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Report_Date" w:displacedByCustomXml="next"/>
    <w:bookmarkStart w:id="1" w:name="_Hlk132364252" w:displacedByCustomXml="next"/>
    <w:sdt>
      <w:sdtPr>
        <w:rPr>
          <w:rFonts w:cstheme="minorBidi"/>
          <w:b w:val="0"/>
          <w:color w:val="auto"/>
          <w:sz w:val="20"/>
          <w:szCs w:val="20"/>
        </w:rPr>
        <w:id w:val="113486750"/>
        <w:docPartObj>
          <w:docPartGallery w:val="Cover Pages"/>
          <w:docPartUnique/>
        </w:docPartObj>
      </w:sdtPr>
      <w:sdtEndPr>
        <w:rPr>
          <w:sz w:val="22"/>
        </w:rPr>
      </w:sdtEndPr>
      <w:sdtContent>
        <w:sdt>
          <w:sdtPr>
            <w:alias w:val="Title"/>
            <w:tag w:val=""/>
            <w:id w:val="248160412"/>
            <w:placeholder>
              <w:docPart w:val="BD9414699D984EB79B3D734CCD7D1BF2"/>
            </w:placeholder>
            <w:dataBinding w:prefixMappings="xmlns:ns0='http://purl.org/dc/elements/1.1/' xmlns:ns1='http://schemas.openxmlformats.org/package/2006/metadata/core-properties' " w:xpath="/ns1:coreProperties[1]/ns0:title[1]" w:storeItemID="{6C3C8BC8-F283-45AE-878A-BAB7291924A1}"/>
            <w:text/>
          </w:sdtPr>
          <w:sdtEndPr/>
          <w:sdtContent>
            <w:p w14:paraId="5B92B5FA" w14:textId="0AD2CDB4" w:rsidR="002E4F6E" w:rsidRPr="008371FA" w:rsidRDefault="00145648" w:rsidP="00BB7257">
              <w:pPr>
                <w:pStyle w:val="CoverTitle"/>
                <w:ind w:left="0"/>
              </w:pPr>
              <w:r>
                <w:t>Evidence Evaluations for Vitamin B6 Upper Level (UL)</w:t>
              </w:r>
            </w:p>
          </w:sdtContent>
        </w:sdt>
        <w:sdt>
          <w:sdtPr>
            <w:alias w:val="Subject"/>
            <w:tag w:val=""/>
            <w:id w:val="-1304070988"/>
            <w:placeholder>
              <w:docPart w:val="CCEB2A1EA1014B6E950C4FF2956F0096"/>
            </w:placeholder>
            <w:dataBinding w:prefixMappings="xmlns:ns0='http://purl.org/dc/elements/1.1/' xmlns:ns1='http://schemas.openxmlformats.org/package/2006/metadata/core-properties' " w:xpath="/ns1:coreProperties[1]/ns0:subject[1]" w:storeItemID="{6C3C8BC8-F283-45AE-878A-BAB7291924A1}"/>
            <w:text/>
          </w:sdtPr>
          <w:sdtEndPr/>
          <w:sdtContent>
            <w:p w14:paraId="265C28E4" w14:textId="2DA2D010" w:rsidR="002E4F6E" w:rsidRPr="008371FA" w:rsidRDefault="00156956" w:rsidP="0009044E">
              <w:pPr>
                <w:pStyle w:val="CoverSubtitle"/>
              </w:pPr>
              <w:r>
                <w:t>Vitamin B6</w:t>
              </w:r>
              <w:r w:rsidR="00C87712">
                <w:t xml:space="preserve"> Upper Level (UL)</w:t>
              </w:r>
              <w:r w:rsidR="00601CCB">
                <w:t xml:space="preserve"> Technical Report</w:t>
              </w:r>
            </w:p>
          </w:sdtContent>
        </w:sdt>
        <w:p w14:paraId="389969FA" w14:textId="1C7F7DD7" w:rsidR="002E4F6E" w:rsidRPr="008371FA" w:rsidRDefault="0009044E" w:rsidP="00FB47D4">
          <w:pPr>
            <w:pStyle w:val="CoverClientName"/>
          </w:pPr>
          <w:r w:rsidRPr="0009044E">
            <w:t>National Health and Medical Research Council</w:t>
          </w:r>
        </w:p>
        <w:p w14:paraId="7C79BAC1" w14:textId="77777777" w:rsidR="002E4F6E" w:rsidRPr="008371FA" w:rsidRDefault="002E4F6E" w:rsidP="00FB47D4">
          <w:pPr>
            <w:pStyle w:val="CoverBody"/>
          </w:pPr>
        </w:p>
        <w:bookmarkEnd w:id="0"/>
        <w:p w14:paraId="64FE8535" w14:textId="77777777" w:rsidR="002E4F6E" w:rsidRPr="008371FA" w:rsidRDefault="002E4F6E" w:rsidP="00FB47D4">
          <w:pPr>
            <w:pStyle w:val="CoverBody"/>
          </w:pPr>
          <w:r w:rsidRPr="008371FA">
            <w:t>Prepared by:</w:t>
          </w:r>
        </w:p>
        <w:sdt>
          <w:sdtPr>
            <w:alias w:val="Company"/>
            <w:tag w:val="Company"/>
            <w:id w:val="-566190103"/>
            <w:placeholder>
              <w:docPart w:val="88FF17C49EF64BCA8CB3728295C74B56"/>
            </w:placeholder>
            <w:dropDownList>
              <w:listItem w:displayText="Select SLR entity" w:value="Select SLR entity"/>
              <w:listItem w:displayText="SLR Consulting Australia Pty Ltd" w:value="SLR Consulting Australia Pty Ltd"/>
              <w:listItem w:displayText="SLR Consulting New Zealand Limited" w:value="SLR Consulting New Zealand Limited"/>
              <w:listItem w:displayText="SLR Holdings NZ Limited" w:value="SLR Holdings NZ Limited"/>
              <w:listItem w:displayText="SLR Consulting Singapore Pte Ltd" w:value="SLR Consulting Singapore Pte Ltd"/>
              <w:listItem w:displayText="Cumberland Ecology Pty Ltd" w:value="Cumberland Ecology Pty Ltd"/>
              <w:listItem w:displayText="Element Advisory Pty Ltd" w:value="Element Advisory Pty Ltd"/>
              <w:listItem w:displayText="Groundwork Plus Pty Ltd" w:value="Groundwork Plus Pty Ltd"/>
              <w:listItem w:displayText="IBIS Environmental &amp; Social Consulting Asia Pte Ltd" w:value="IBIS Environmental &amp; Social Consulting Asia Pte Ltd"/>
            </w:dropDownList>
          </w:sdtPr>
          <w:sdtEndPr/>
          <w:sdtContent>
            <w:p w14:paraId="13492F47" w14:textId="45DD4F31" w:rsidR="002E4F6E" w:rsidRPr="009368CA" w:rsidRDefault="0009044E" w:rsidP="009368CA">
              <w:pPr>
                <w:pStyle w:val="CoverSLRName"/>
              </w:pPr>
              <w:r>
                <w:t>SLR Consulting Australia Pty Ltd</w:t>
              </w:r>
            </w:p>
          </w:sdtContent>
        </w:sdt>
        <w:p w14:paraId="79A77548" w14:textId="77777777" w:rsidR="002E4F6E" w:rsidRPr="008371FA" w:rsidRDefault="002E4F6E" w:rsidP="00FB47D4">
          <w:pPr>
            <w:pStyle w:val="CoverBody"/>
          </w:pPr>
        </w:p>
        <w:p w14:paraId="284B37BB" w14:textId="092AFE8C" w:rsidR="002E4F6E" w:rsidRPr="008371FA" w:rsidRDefault="002E4F6E" w:rsidP="00FB47D4">
          <w:pPr>
            <w:pStyle w:val="CoverProjectNumber"/>
          </w:pPr>
          <w:r w:rsidRPr="008371FA">
            <w:t xml:space="preserve">SLR Project No.: </w:t>
          </w:r>
          <w:sdt>
            <w:sdtPr>
              <w:id w:val="-1247808491"/>
              <w:placeholder>
                <w:docPart w:val="CA6675340CEF41D4892D99B070488EC8"/>
              </w:placeholder>
            </w:sdtPr>
            <w:sdtEndPr/>
            <w:sdtContent>
              <w:r w:rsidR="0009044E" w:rsidRPr="0009044E">
                <w:t>640.</w:t>
              </w:r>
              <w:r w:rsidR="0009044E">
                <w:t>03</w:t>
              </w:r>
              <w:r w:rsidR="00102004">
                <w:t>2</w:t>
              </w:r>
              <w:r w:rsidR="00156956">
                <w:t>3</w:t>
              </w:r>
              <w:r w:rsidR="00601CCB">
                <w:t>59</w:t>
              </w:r>
              <w:r w:rsidR="0009044E">
                <w:t>.00001</w:t>
              </w:r>
            </w:sdtContent>
          </w:sdt>
        </w:p>
        <w:p w14:paraId="392C24A0" w14:textId="25731920" w:rsidR="002E4F6E" w:rsidRPr="008371FA" w:rsidRDefault="00411E7C" w:rsidP="00FB47D4">
          <w:pPr>
            <w:pStyle w:val="CoverDate"/>
          </w:pPr>
          <w:sdt>
            <w:sdtPr>
              <w:alias w:val="Date"/>
              <w:tag w:val="Date"/>
              <w:id w:val="790936868"/>
              <w:placeholder>
                <w:docPart w:val="7157B9425ABE4EB585C0B7D42FFB39D5"/>
              </w:placeholder>
              <w:date w:fullDate="2026-08-07T00:00:00Z">
                <w:dateFormat w:val="d MMMM yyyy"/>
                <w:lid w:val="en-US"/>
                <w:storeMappedDataAs w:val="dateTime"/>
                <w:calendar w:val="gregorian"/>
              </w:date>
            </w:sdtPr>
            <w:sdtEndPr/>
            <w:sdtContent>
              <w:r w:rsidR="00F50723">
                <w:rPr>
                  <w:lang w:val="en-US"/>
                </w:rPr>
                <w:t>7 August 2026</w:t>
              </w:r>
            </w:sdtContent>
          </w:sdt>
        </w:p>
        <w:p w14:paraId="6D85E929" w14:textId="5A925585" w:rsidR="00436332" w:rsidRPr="008371FA" w:rsidRDefault="00436332" w:rsidP="00FB47D4">
          <w:pPr>
            <w:pStyle w:val="CoverBody"/>
          </w:pPr>
          <w:r w:rsidRPr="008371FA">
            <w:t xml:space="preserve">Revision: </w:t>
          </w:r>
          <w:sdt>
            <w:sdtPr>
              <w:rPr>
                <w:rStyle w:val="CoverRevision"/>
              </w:rPr>
              <w:id w:val="-1408367239"/>
              <w:placeholder>
                <w:docPart w:val="F97CA52EA44E4739B596F17E850F734B"/>
              </w:placeholder>
            </w:sdtPr>
            <w:sdtEndPr>
              <w:rPr>
                <w:rStyle w:val="CoverRevision"/>
              </w:rPr>
            </w:sdtEndPr>
            <w:sdtContent>
              <w:r w:rsidR="0031749A">
                <w:rPr>
                  <w:rStyle w:val="CoverRevision"/>
                </w:rPr>
                <w:t>2</w:t>
              </w:r>
              <w:r w:rsidR="00554981">
                <w:rPr>
                  <w:rStyle w:val="CoverRevision"/>
                </w:rPr>
                <w:t>.0</w:t>
              </w:r>
            </w:sdtContent>
          </w:sdt>
        </w:p>
        <w:p w14:paraId="454EBE55" w14:textId="77777777" w:rsidR="00BB2181" w:rsidRPr="008371FA" w:rsidRDefault="00BB2181" w:rsidP="00FB47D4">
          <w:pPr>
            <w:pStyle w:val="CoverBody"/>
          </w:pPr>
        </w:p>
        <w:p w14:paraId="78E8A734" w14:textId="77777777" w:rsidR="002E4F6E" w:rsidRPr="008371FA" w:rsidRDefault="00411E7C" w:rsidP="00FB47D4">
          <w:pPr>
            <w:pStyle w:val="CoverBody"/>
            <w:sectPr w:rsidR="002E4F6E" w:rsidRPr="008371FA" w:rsidSect="00627CB4">
              <w:headerReference w:type="even" r:id="rId11"/>
              <w:footerReference w:type="even" r:id="rId12"/>
              <w:headerReference w:type="first" r:id="rId13"/>
              <w:pgSz w:w="11909" w:h="16834" w:code="9"/>
              <w:pgMar w:top="1440" w:right="1440" w:bottom="1440" w:left="1440" w:header="576" w:footer="576" w:gutter="0"/>
              <w:cols w:space="720"/>
              <w:titlePg/>
              <w:docGrid w:linePitch="360"/>
            </w:sectPr>
          </w:pPr>
        </w:p>
      </w:sdtContent>
    </w:sdt>
    <w:bookmarkEnd w:id="1" w:displacedByCustomXml="prev"/>
    <w:p w14:paraId="10637E6A" w14:textId="77777777" w:rsidR="00875780" w:rsidRPr="008371FA" w:rsidRDefault="00875780" w:rsidP="00875780">
      <w:pPr>
        <w:pStyle w:val="Heading2NoNumber"/>
      </w:pPr>
      <w:bookmarkStart w:id="2" w:name="_Toc512850003"/>
      <w:r w:rsidRPr="008371FA">
        <w:lastRenderedPageBreak/>
        <w:t>Revision Record</w:t>
      </w:r>
      <w:bookmarkEnd w:id="2"/>
    </w:p>
    <w:tbl>
      <w:tblPr>
        <w:tblStyle w:val="SLROption1"/>
        <w:tblW w:w="0" w:type="auto"/>
        <w:tblLook w:val="04A0" w:firstRow="1" w:lastRow="0" w:firstColumn="1" w:lastColumn="0" w:noHBand="0" w:noVBand="1"/>
      </w:tblPr>
      <w:tblGrid>
        <w:gridCol w:w="1255"/>
        <w:gridCol w:w="2142"/>
        <w:gridCol w:w="1998"/>
        <w:gridCol w:w="1806"/>
        <w:gridCol w:w="1818"/>
      </w:tblGrid>
      <w:tr w:rsidR="00725B09" w:rsidRPr="008371FA" w14:paraId="7EC0E79E" w14:textId="77777777" w:rsidTr="00102004">
        <w:trPr>
          <w:cnfStyle w:val="100000000000" w:firstRow="1" w:lastRow="0" w:firstColumn="0" w:lastColumn="0" w:oddVBand="0" w:evenVBand="0" w:oddHBand="0" w:evenHBand="0" w:firstRowFirstColumn="0" w:firstRowLastColumn="0" w:lastRowFirstColumn="0" w:lastRowLastColumn="0"/>
        </w:trPr>
        <w:tc>
          <w:tcPr>
            <w:tcW w:w="1255" w:type="dxa"/>
          </w:tcPr>
          <w:p w14:paraId="53F55A2F" w14:textId="77777777" w:rsidR="00725B09" w:rsidRPr="008371FA" w:rsidRDefault="004A2D1C" w:rsidP="00725B09">
            <w:pPr>
              <w:pStyle w:val="TableHeading"/>
            </w:pPr>
            <w:bookmarkStart w:id="3" w:name="_Hlk132806046"/>
            <w:r w:rsidRPr="008371FA">
              <w:t>Revision</w:t>
            </w:r>
          </w:p>
        </w:tc>
        <w:tc>
          <w:tcPr>
            <w:tcW w:w="2142" w:type="dxa"/>
          </w:tcPr>
          <w:p w14:paraId="0691A754" w14:textId="77777777" w:rsidR="00725B09" w:rsidRPr="008371FA" w:rsidRDefault="00725B09" w:rsidP="00725B09">
            <w:pPr>
              <w:pStyle w:val="TableHeading"/>
            </w:pPr>
            <w:r w:rsidRPr="008371FA">
              <w:t>Date</w:t>
            </w:r>
          </w:p>
        </w:tc>
        <w:tc>
          <w:tcPr>
            <w:tcW w:w="1998" w:type="dxa"/>
          </w:tcPr>
          <w:p w14:paraId="1CCCE45C" w14:textId="77777777" w:rsidR="00725B09" w:rsidRPr="008371FA" w:rsidRDefault="00725B09" w:rsidP="00725B09">
            <w:pPr>
              <w:pStyle w:val="TableHeading"/>
            </w:pPr>
            <w:r w:rsidRPr="008371FA">
              <w:t>Prepared By</w:t>
            </w:r>
          </w:p>
        </w:tc>
        <w:tc>
          <w:tcPr>
            <w:tcW w:w="1806" w:type="dxa"/>
          </w:tcPr>
          <w:p w14:paraId="7B6162A7" w14:textId="77777777" w:rsidR="00725B09" w:rsidRPr="008371FA" w:rsidRDefault="00725B09" w:rsidP="00725B09">
            <w:pPr>
              <w:pStyle w:val="TableHeading"/>
            </w:pPr>
            <w:r w:rsidRPr="008371FA">
              <w:t>Checked By</w:t>
            </w:r>
          </w:p>
        </w:tc>
        <w:tc>
          <w:tcPr>
            <w:tcW w:w="1818" w:type="dxa"/>
          </w:tcPr>
          <w:p w14:paraId="62129A93" w14:textId="77777777" w:rsidR="00725B09" w:rsidRPr="008371FA" w:rsidRDefault="00725B09" w:rsidP="00725B09">
            <w:pPr>
              <w:pStyle w:val="TableHeading"/>
            </w:pPr>
            <w:r w:rsidRPr="008371FA">
              <w:t>Authori</w:t>
            </w:r>
            <w:r w:rsidR="00AE7A3D" w:rsidRPr="008371FA">
              <w:t>s</w:t>
            </w:r>
            <w:r w:rsidRPr="008371FA">
              <w:t>ed By</w:t>
            </w:r>
          </w:p>
        </w:tc>
      </w:tr>
      <w:tr w:rsidR="00023CA6" w:rsidRPr="008371FA" w14:paraId="32D0C1FF" w14:textId="77777777" w:rsidTr="00102004">
        <w:tc>
          <w:tcPr>
            <w:tcW w:w="1255" w:type="dxa"/>
          </w:tcPr>
          <w:p w14:paraId="4982A005" w14:textId="6F08F0BE" w:rsidR="00023CA6" w:rsidRPr="008371FA" w:rsidRDefault="002B7AE5" w:rsidP="00023CA6">
            <w:pPr>
              <w:pStyle w:val="TableText"/>
              <w:rPr>
                <w:lang w:val="en-AU"/>
              </w:rPr>
            </w:pPr>
            <w:r>
              <w:rPr>
                <w:lang w:val="en-AU"/>
              </w:rPr>
              <w:fldChar w:fldCharType="begin"/>
            </w:r>
            <w:r>
              <w:rPr>
                <w:lang w:val="en-AU"/>
              </w:rPr>
              <w:instrText xml:space="preserve"> STYLEREF  "Cover Revision"  \* MERGEFORMAT </w:instrText>
            </w:r>
            <w:r>
              <w:rPr>
                <w:lang w:val="en-AU"/>
              </w:rPr>
              <w:fldChar w:fldCharType="separate"/>
            </w:r>
            <w:r w:rsidR="00A41FEF">
              <w:rPr>
                <w:noProof/>
                <w:lang w:val="en-AU"/>
              </w:rPr>
              <w:t>2.0</w:t>
            </w:r>
            <w:r>
              <w:rPr>
                <w:lang w:val="en-AU"/>
              </w:rPr>
              <w:fldChar w:fldCharType="end"/>
            </w:r>
          </w:p>
        </w:tc>
        <w:sdt>
          <w:sdtPr>
            <w:rPr>
              <w:lang w:val="en-AU"/>
            </w:rPr>
            <w:id w:val="-1291117946"/>
            <w:placeholder>
              <w:docPart w:val="4EA39CE908FB45AAAEBDBD0031FF27B9"/>
            </w:placeholder>
            <w:date w:fullDate="2026-06-22T00:00:00Z">
              <w:dateFormat w:val="d MMMM yyyy"/>
              <w:lid w:val="en-US"/>
              <w:storeMappedDataAs w:val="dateTime"/>
              <w:calendar w:val="gregorian"/>
            </w:date>
          </w:sdtPr>
          <w:sdtEndPr/>
          <w:sdtContent>
            <w:tc>
              <w:tcPr>
                <w:tcW w:w="2142" w:type="dxa"/>
              </w:tcPr>
              <w:p w14:paraId="3341B0F7" w14:textId="0F151468" w:rsidR="00023CA6" w:rsidRPr="008371FA" w:rsidRDefault="00E21479" w:rsidP="00023CA6">
                <w:pPr>
                  <w:pStyle w:val="TableText"/>
                  <w:rPr>
                    <w:lang w:val="en-AU"/>
                  </w:rPr>
                </w:pPr>
                <w:r>
                  <w:rPr>
                    <w:lang w:val="en-US"/>
                  </w:rPr>
                  <w:t>22 June 2026</w:t>
                </w:r>
              </w:p>
            </w:tc>
          </w:sdtContent>
        </w:sdt>
        <w:tc>
          <w:tcPr>
            <w:tcW w:w="1998" w:type="dxa"/>
          </w:tcPr>
          <w:p w14:paraId="35CEA2C1" w14:textId="77777777" w:rsidR="00E456EC" w:rsidRDefault="00023CA6" w:rsidP="00023CA6">
            <w:pPr>
              <w:pStyle w:val="TableText"/>
              <w:rPr>
                <w:lang w:val="en-AU"/>
              </w:rPr>
            </w:pPr>
            <w:r>
              <w:rPr>
                <w:lang w:val="en-AU"/>
              </w:rPr>
              <w:t>Maryam Moslehi PhD RACTRA</w:t>
            </w:r>
          </w:p>
          <w:p w14:paraId="0F25B2E2" w14:textId="77777777" w:rsidR="00E456EC" w:rsidRDefault="00E456EC" w:rsidP="00023CA6">
            <w:pPr>
              <w:pStyle w:val="TableText"/>
              <w:rPr>
                <w:lang w:val="en-AU"/>
              </w:rPr>
            </w:pPr>
          </w:p>
          <w:p w14:paraId="7A2EC2B4" w14:textId="74A98AA3" w:rsidR="00E456EC" w:rsidRPr="008371FA" w:rsidRDefault="00E456EC" w:rsidP="00023CA6">
            <w:pPr>
              <w:pStyle w:val="TableText"/>
              <w:rPr>
                <w:lang w:val="en-AU"/>
              </w:rPr>
            </w:pPr>
            <w:r>
              <w:rPr>
                <w:lang w:val="en-AU"/>
              </w:rPr>
              <w:t>Emma Craven</w:t>
            </w:r>
            <w:r w:rsidR="001C33C0">
              <w:rPr>
                <w:lang w:val="en-AU"/>
              </w:rPr>
              <w:t xml:space="preserve"> MSc</w:t>
            </w:r>
          </w:p>
        </w:tc>
        <w:tc>
          <w:tcPr>
            <w:tcW w:w="1806" w:type="dxa"/>
          </w:tcPr>
          <w:p w14:paraId="23031321" w14:textId="77777777" w:rsidR="00023CA6" w:rsidRDefault="00023CA6" w:rsidP="00023CA6">
            <w:pPr>
              <w:pStyle w:val="TableText"/>
              <w:rPr>
                <w:lang w:val="en-AU"/>
              </w:rPr>
            </w:pPr>
            <w:r w:rsidRPr="00F731BB">
              <w:rPr>
                <w:lang w:val="en-AU"/>
              </w:rPr>
              <w:t>Dr Rhian Cope PhD DABT DABVT FACTRA</w:t>
            </w:r>
          </w:p>
          <w:p w14:paraId="4CEDECEC" w14:textId="77777777" w:rsidR="00E456EC" w:rsidRDefault="00E456EC" w:rsidP="00023CA6">
            <w:pPr>
              <w:pStyle w:val="TableText"/>
            </w:pPr>
          </w:p>
          <w:p w14:paraId="6EF05E76" w14:textId="6FF60A16" w:rsidR="00E21479" w:rsidRPr="008371FA" w:rsidRDefault="00E21479" w:rsidP="00023CA6">
            <w:pPr>
              <w:pStyle w:val="TableText"/>
              <w:rPr>
                <w:lang w:val="en-AU"/>
              </w:rPr>
            </w:pPr>
            <w:r>
              <w:t>Tarah Hagen MSc DABT FACTRA</w:t>
            </w:r>
          </w:p>
        </w:tc>
        <w:tc>
          <w:tcPr>
            <w:tcW w:w="1818" w:type="dxa"/>
          </w:tcPr>
          <w:p w14:paraId="1664C470" w14:textId="12F312C3" w:rsidR="00023CA6" w:rsidRPr="008371FA" w:rsidRDefault="00E21479" w:rsidP="00023CA6">
            <w:pPr>
              <w:pStyle w:val="TableText"/>
              <w:rPr>
                <w:lang w:val="en-AU"/>
              </w:rPr>
            </w:pPr>
            <w:r w:rsidRPr="00F731BB">
              <w:rPr>
                <w:lang w:val="en-AU"/>
              </w:rPr>
              <w:t>Dr Rhian Cope PhD DABT DABVT FACTRA</w:t>
            </w:r>
          </w:p>
        </w:tc>
      </w:tr>
      <w:tr w:rsidR="0031749A" w:rsidRPr="008371FA" w14:paraId="22A6BE71" w14:textId="77777777" w:rsidTr="00102004">
        <w:tc>
          <w:tcPr>
            <w:tcW w:w="1255" w:type="dxa"/>
          </w:tcPr>
          <w:p w14:paraId="54202E35" w14:textId="518BC1F5" w:rsidR="0031749A" w:rsidRDefault="0031749A" w:rsidP="0031749A">
            <w:pPr>
              <w:pStyle w:val="TableText"/>
              <w:rPr>
                <w:lang w:val="en-AU"/>
              </w:rPr>
            </w:pPr>
            <w:r>
              <w:rPr>
                <w:lang w:val="en-AU"/>
              </w:rPr>
              <w:t>2.0</w:t>
            </w:r>
          </w:p>
        </w:tc>
        <w:sdt>
          <w:sdtPr>
            <w:rPr>
              <w:lang w:val="en-AU"/>
            </w:rPr>
            <w:id w:val="-764384256"/>
            <w:placeholder>
              <w:docPart w:val="4ABE2F5BFDD74EC980E574DAC5B13DBD"/>
            </w:placeholder>
            <w:date w:fullDate="2026-08-07T00:00:00Z">
              <w:dateFormat w:val="d MMMM yyyy"/>
              <w:lid w:val="en-US"/>
              <w:storeMappedDataAs w:val="dateTime"/>
              <w:calendar w:val="gregorian"/>
            </w:date>
          </w:sdtPr>
          <w:sdtEndPr/>
          <w:sdtContent>
            <w:tc>
              <w:tcPr>
                <w:tcW w:w="2142" w:type="dxa"/>
              </w:tcPr>
              <w:p w14:paraId="71999B8A" w14:textId="0BD3C884" w:rsidR="0031749A" w:rsidRDefault="0031749A" w:rsidP="0031749A">
                <w:pPr>
                  <w:pStyle w:val="TableText"/>
                  <w:rPr>
                    <w:lang w:val="en-AU"/>
                  </w:rPr>
                </w:pPr>
                <w:r>
                  <w:rPr>
                    <w:lang w:val="en-US"/>
                  </w:rPr>
                  <w:t>7 August 2026</w:t>
                </w:r>
              </w:p>
            </w:tc>
          </w:sdtContent>
        </w:sdt>
        <w:tc>
          <w:tcPr>
            <w:tcW w:w="1998" w:type="dxa"/>
          </w:tcPr>
          <w:p w14:paraId="2C1A2FF8" w14:textId="77777777" w:rsidR="0031749A" w:rsidRDefault="0031749A" w:rsidP="0031749A">
            <w:pPr>
              <w:pStyle w:val="TableText"/>
              <w:rPr>
                <w:lang w:val="en-AU"/>
              </w:rPr>
            </w:pPr>
            <w:r>
              <w:rPr>
                <w:lang w:val="en-AU"/>
              </w:rPr>
              <w:t>Maryam Moslehi, PhD RACTRA</w:t>
            </w:r>
          </w:p>
          <w:p w14:paraId="66CC69C5" w14:textId="77777777" w:rsidR="0031749A" w:rsidRDefault="0031749A" w:rsidP="0031749A">
            <w:pPr>
              <w:pStyle w:val="TableText"/>
              <w:rPr>
                <w:lang w:val="en-AU"/>
              </w:rPr>
            </w:pPr>
          </w:p>
          <w:p w14:paraId="2CF0F9BD" w14:textId="30587D1C" w:rsidR="0031749A" w:rsidRDefault="0031749A" w:rsidP="0031749A">
            <w:pPr>
              <w:pStyle w:val="TableText"/>
              <w:rPr>
                <w:lang w:val="en-AU"/>
              </w:rPr>
            </w:pPr>
            <w:r w:rsidRPr="0031749A">
              <w:rPr>
                <w:lang w:val="en-AU"/>
              </w:rPr>
              <w:t>Emma Craven MSc</w:t>
            </w:r>
          </w:p>
        </w:tc>
        <w:tc>
          <w:tcPr>
            <w:tcW w:w="1806" w:type="dxa"/>
          </w:tcPr>
          <w:p w14:paraId="08A35FBB" w14:textId="77777777" w:rsidR="0031749A" w:rsidRDefault="0031749A" w:rsidP="0031749A">
            <w:pPr>
              <w:pStyle w:val="TableText"/>
              <w:rPr>
                <w:lang w:val="en-AU"/>
              </w:rPr>
            </w:pPr>
            <w:r w:rsidRPr="00F731BB">
              <w:rPr>
                <w:lang w:val="en-AU"/>
              </w:rPr>
              <w:t>Dr Rhian Cope PhD DABT DABVT FACTRA</w:t>
            </w:r>
          </w:p>
          <w:p w14:paraId="7E9C4758" w14:textId="77777777" w:rsidR="0031749A" w:rsidRDefault="0031749A" w:rsidP="0031749A">
            <w:pPr>
              <w:pStyle w:val="TableText"/>
              <w:rPr>
                <w:lang w:val="en-AU"/>
              </w:rPr>
            </w:pPr>
          </w:p>
          <w:p w14:paraId="33A9A433" w14:textId="4C6A06EF" w:rsidR="0031749A" w:rsidRPr="00F731BB" w:rsidRDefault="0031749A" w:rsidP="0031749A">
            <w:pPr>
              <w:pStyle w:val="TableText"/>
              <w:rPr>
                <w:lang w:val="en-AU"/>
              </w:rPr>
            </w:pPr>
            <w:r>
              <w:rPr>
                <w:lang w:val="en-AU"/>
              </w:rPr>
              <w:t>Tarah Hagen MSc DABT FACTRA</w:t>
            </w:r>
          </w:p>
        </w:tc>
        <w:tc>
          <w:tcPr>
            <w:tcW w:w="1818" w:type="dxa"/>
          </w:tcPr>
          <w:p w14:paraId="0E0CF885" w14:textId="1A98E45B" w:rsidR="0031749A" w:rsidRPr="00F731BB" w:rsidRDefault="0031749A" w:rsidP="0031749A">
            <w:pPr>
              <w:pStyle w:val="TableText"/>
              <w:rPr>
                <w:lang w:val="en-AU"/>
              </w:rPr>
            </w:pPr>
            <w:r w:rsidRPr="00F03762">
              <w:rPr>
                <w:lang w:val="en-AU"/>
              </w:rPr>
              <w:t>Tarah Hagen MSc DABT FACTRA</w:t>
            </w:r>
          </w:p>
        </w:tc>
      </w:tr>
      <w:bookmarkEnd w:id="3"/>
    </w:tbl>
    <w:p w14:paraId="0DD04B9A" w14:textId="77777777" w:rsidR="00875780" w:rsidRDefault="00875780" w:rsidP="00875780">
      <w:pPr>
        <w:pStyle w:val="TableText"/>
        <w:rPr>
          <w:lang w:val="en-AU"/>
        </w:rPr>
      </w:pPr>
    </w:p>
    <w:p w14:paraId="5F11068E" w14:textId="77777777" w:rsidR="0047759C" w:rsidRPr="008371FA" w:rsidRDefault="007A332A" w:rsidP="003E7E85">
      <w:pPr>
        <w:pStyle w:val="Heading1NoNumber"/>
      </w:pPr>
      <w:bookmarkStart w:id="4" w:name="_Toc233022850"/>
      <w:r w:rsidRPr="008371FA">
        <w:t>Basis of Report</w:t>
      </w:r>
      <w:bookmarkEnd w:id="4"/>
    </w:p>
    <w:p w14:paraId="2B35618F" w14:textId="3C37ED5A" w:rsidR="00271977" w:rsidRPr="008371FA" w:rsidRDefault="00271977" w:rsidP="00552949">
      <w:pPr>
        <w:pStyle w:val="BodyText"/>
      </w:pPr>
      <w:r w:rsidRPr="008371FA">
        <w:t xml:space="preserve">This report has been prepared by </w:t>
      </w:r>
      <w:fldSimple w:instr=" STYLEREF  &quot;Cover SLR Name&quot;  \* MERGEFORMAT ">
        <w:r w:rsidR="00A41FEF">
          <w:rPr>
            <w:noProof/>
          </w:rPr>
          <w:t>SLR Consulting Australia Pty Ltd</w:t>
        </w:r>
      </w:fldSimple>
      <w:r w:rsidRPr="008371FA">
        <w:t xml:space="preserve"> (SLR) with all reasonable skill, care and diligence, and taking account of the timescale and resources allocated to it by agreement with</w:t>
      </w:r>
      <w:r w:rsidR="00B54689" w:rsidRPr="008371FA">
        <w:t xml:space="preserve"> </w:t>
      </w:r>
      <w:fldSimple w:instr=" STYLEREF  &quot;Cover Client Name&quot;  \* MERGEFORMAT ">
        <w:r w:rsidR="00A41FEF">
          <w:rPr>
            <w:noProof/>
          </w:rPr>
          <w:t>National Health and Medical Research Council</w:t>
        </w:r>
      </w:fldSimple>
      <w:r w:rsidRPr="008371FA">
        <w:t xml:space="preserve"> (the Client).</w:t>
      </w:r>
      <w:r w:rsidR="00B54689" w:rsidRPr="008371FA">
        <w:t xml:space="preserve"> </w:t>
      </w:r>
      <w:r w:rsidRPr="008371FA">
        <w:t>Information reported herein is based on the interpretation of data collected, which has been accepted in good faith as being accurate and valid.</w:t>
      </w:r>
    </w:p>
    <w:p w14:paraId="39EC7AF9" w14:textId="77777777" w:rsidR="00271977" w:rsidRPr="008371FA" w:rsidRDefault="00271977" w:rsidP="00552949">
      <w:pPr>
        <w:pStyle w:val="BodyText"/>
      </w:pPr>
      <w:r w:rsidRPr="008371FA">
        <w:t>This report is for the exclusive use of the Client.</w:t>
      </w:r>
      <w:r w:rsidR="00B54689" w:rsidRPr="008371FA">
        <w:t xml:space="preserve"> </w:t>
      </w:r>
      <w:r w:rsidRPr="008371FA">
        <w:t>No warranties or guarantees are expressed or should be inferred by any third parties.</w:t>
      </w:r>
      <w:r w:rsidR="00B54689" w:rsidRPr="008371FA">
        <w:t xml:space="preserve"> </w:t>
      </w:r>
      <w:r w:rsidRPr="008371FA">
        <w:t>This report may not be relied upon by other parties without written consent from SLR.</w:t>
      </w:r>
    </w:p>
    <w:p w14:paraId="40367BFF" w14:textId="77777777" w:rsidR="00BB2181" w:rsidRDefault="00271977" w:rsidP="00552949">
      <w:pPr>
        <w:pStyle w:val="BodyText"/>
      </w:pPr>
      <w:r w:rsidRPr="008371FA">
        <w:t>SLR disclaims any responsibility to the Client and others in respect of any matters outside the agreed scope of the work.</w:t>
      </w:r>
    </w:p>
    <w:p w14:paraId="05DA71D0" w14:textId="77777777" w:rsidR="00BC28F1" w:rsidRDefault="00BC28F1" w:rsidP="00552949">
      <w:pPr>
        <w:pStyle w:val="BodyText"/>
      </w:pPr>
    </w:p>
    <w:p w14:paraId="3805195B" w14:textId="77777777" w:rsidR="00BC28F1" w:rsidRDefault="00BC28F1" w:rsidP="00552949">
      <w:pPr>
        <w:pStyle w:val="BodyText"/>
        <w:sectPr w:rsidR="00BC28F1" w:rsidSect="00627CB4">
          <w:headerReference w:type="default" r:id="rId14"/>
          <w:footerReference w:type="default" r:id="rId15"/>
          <w:headerReference w:type="first" r:id="rId16"/>
          <w:footerReference w:type="first" r:id="rId17"/>
          <w:pgSz w:w="11909" w:h="16834" w:code="9"/>
          <w:pgMar w:top="1440" w:right="1440" w:bottom="1440" w:left="1440" w:header="576" w:footer="576" w:gutter="0"/>
          <w:pgNumType w:fmt="lowerRoman" w:start="1"/>
          <w:cols w:space="720"/>
          <w:docGrid w:linePitch="360"/>
        </w:sectPr>
      </w:pPr>
    </w:p>
    <w:p w14:paraId="522A58FA" w14:textId="77777777" w:rsidR="00727910" w:rsidRPr="008371FA" w:rsidRDefault="00E8237E" w:rsidP="00B33D79">
      <w:pPr>
        <w:pStyle w:val="TOCHeading"/>
      </w:pPr>
      <w:r w:rsidRPr="008371FA">
        <w:lastRenderedPageBreak/>
        <w:t>Table of Contents</w:t>
      </w:r>
    </w:p>
    <w:p w14:paraId="69E1EE72" w14:textId="3E33D0A7" w:rsidR="0096619C" w:rsidRDefault="0001154A">
      <w:pPr>
        <w:pStyle w:val="TOC1"/>
        <w:rPr>
          <w:rFonts w:asciiTheme="minorHAnsi" w:eastAsiaTheme="minorEastAsia" w:hAnsiTheme="minorHAnsi"/>
          <w:b w:val="0"/>
          <w:kern w:val="2"/>
          <w:sz w:val="24"/>
          <w:szCs w:val="24"/>
          <w:lang w:eastAsia="en-AU"/>
          <w14:ligatures w14:val="standardContextual"/>
        </w:rPr>
      </w:pPr>
      <w:r w:rsidRPr="008371FA">
        <w:rPr>
          <w:caps/>
          <w:noProof w:val="0"/>
        </w:rPr>
        <w:fldChar w:fldCharType="begin"/>
      </w:r>
      <w:r w:rsidRPr="008371FA">
        <w:rPr>
          <w:caps/>
          <w:noProof w:val="0"/>
        </w:rPr>
        <w:instrText xml:space="preserve"> TOC \o "1-3" \h \z \t "Heading 1 No Number,1" </w:instrText>
      </w:r>
      <w:r w:rsidRPr="008371FA">
        <w:rPr>
          <w:caps/>
          <w:noProof w:val="0"/>
        </w:rPr>
        <w:fldChar w:fldCharType="separate"/>
      </w:r>
      <w:hyperlink w:anchor="_Toc233022850" w:history="1">
        <w:r w:rsidR="0096619C" w:rsidRPr="006C6411">
          <w:rPr>
            <w:rStyle w:val="Hyperlink"/>
            <w:rFonts w:eastAsiaTheme="minorHAnsi"/>
          </w:rPr>
          <w:t>Basis of Report</w:t>
        </w:r>
        <w:r w:rsidR="0096619C">
          <w:rPr>
            <w:webHidden/>
          </w:rPr>
          <w:tab/>
        </w:r>
        <w:r w:rsidR="0096619C">
          <w:rPr>
            <w:webHidden/>
          </w:rPr>
          <w:fldChar w:fldCharType="begin"/>
        </w:r>
        <w:r w:rsidR="0096619C">
          <w:rPr>
            <w:webHidden/>
          </w:rPr>
          <w:instrText xml:space="preserve"> PAGEREF _Toc233022850 \h </w:instrText>
        </w:r>
        <w:r w:rsidR="0096619C">
          <w:rPr>
            <w:webHidden/>
          </w:rPr>
        </w:r>
        <w:r w:rsidR="0096619C">
          <w:rPr>
            <w:webHidden/>
          </w:rPr>
          <w:fldChar w:fldCharType="separate"/>
        </w:r>
        <w:r w:rsidR="00A41FEF">
          <w:rPr>
            <w:webHidden/>
          </w:rPr>
          <w:t>i</w:t>
        </w:r>
        <w:r w:rsidR="0096619C">
          <w:rPr>
            <w:webHidden/>
          </w:rPr>
          <w:fldChar w:fldCharType="end"/>
        </w:r>
      </w:hyperlink>
    </w:p>
    <w:p w14:paraId="1B85839A" w14:textId="5EC2B880" w:rsidR="0096619C" w:rsidRDefault="0096619C">
      <w:pPr>
        <w:pStyle w:val="TOC1"/>
        <w:rPr>
          <w:rFonts w:asciiTheme="minorHAnsi" w:eastAsiaTheme="minorEastAsia" w:hAnsiTheme="minorHAnsi"/>
          <w:b w:val="0"/>
          <w:kern w:val="2"/>
          <w:sz w:val="24"/>
          <w:szCs w:val="24"/>
          <w:lang w:eastAsia="en-AU"/>
          <w14:ligatures w14:val="standardContextual"/>
        </w:rPr>
      </w:pPr>
      <w:hyperlink w:anchor="_Toc233022851" w:history="1">
        <w:r w:rsidRPr="006C6411">
          <w:rPr>
            <w:rStyle w:val="Hyperlink"/>
            <w:rFonts w:eastAsiaTheme="minorHAnsi"/>
          </w:rPr>
          <w:t>Acronyms and Abbreviations</w:t>
        </w:r>
        <w:r>
          <w:rPr>
            <w:webHidden/>
          </w:rPr>
          <w:tab/>
        </w:r>
        <w:r>
          <w:rPr>
            <w:webHidden/>
          </w:rPr>
          <w:fldChar w:fldCharType="begin"/>
        </w:r>
        <w:r>
          <w:rPr>
            <w:webHidden/>
          </w:rPr>
          <w:instrText xml:space="preserve"> PAGEREF _Toc233022851 \h </w:instrText>
        </w:r>
        <w:r>
          <w:rPr>
            <w:webHidden/>
          </w:rPr>
        </w:r>
        <w:r>
          <w:rPr>
            <w:webHidden/>
          </w:rPr>
          <w:fldChar w:fldCharType="separate"/>
        </w:r>
        <w:r w:rsidR="00A41FEF">
          <w:rPr>
            <w:webHidden/>
          </w:rPr>
          <w:t>v</w:t>
        </w:r>
        <w:r>
          <w:rPr>
            <w:webHidden/>
          </w:rPr>
          <w:fldChar w:fldCharType="end"/>
        </w:r>
      </w:hyperlink>
    </w:p>
    <w:p w14:paraId="6C166BE8" w14:textId="2995A509" w:rsidR="0096619C" w:rsidRDefault="0096619C">
      <w:pPr>
        <w:pStyle w:val="TOC1"/>
        <w:rPr>
          <w:rFonts w:asciiTheme="minorHAnsi" w:eastAsiaTheme="minorEastAsia" w:hAnsiTheme="minorHAnsi"/>
          <w:b w:val="0"/>
          <w:kern w:val="2"/>
          <w:sz w:val="24"/>
          <w:szCs w:val="24"/>
          <w:lang w:eastAsia="en-AU"/>
          <w14:ligatures w14:val="standardContextual"/>
        </w:rPr>
      </w:pPr>
      <w:hyperlink w:anchor="_Toc233022852" w:history="1">
        <w:r w:rsidRPr="006C6411">
          <w:rPr>
            <w:rStyle w:val="Hyperlink"/>
            <w:rFonts w:eastAsiaTheme="minorHAnsi"/>
          </w:rPr>
          <w:t>1.0</w:t>
        </w:r>
        <w:r>
          <w:rPr>
            <w:rFonts w:asciiTheme="minorHAnsi" w:eastAsiaTheme="minorEastAsia" w:hAnsiTheme="minorHAnsi"/>
            <w:b w:val="0"/>
            <w:kern w:val="2"/>
            <w:sz w:val="24"/>
            <w:szCs w:val="24"/>
            <w:lang w:eastAsia="en-AU"/>
            <w14:ligatures w14:val="standardContextual"/>
          </w:rPr>
          <w:tab/>
        </w:r>
        <w:r w:rsidRPr="006C6411">
          <w:rPr>
            <w:rStyle w:val="Hyperlink"/>
            <w:rFonts w:eastAsiaTheme="minorHAnsi"/>
          </w:rPr>
          <w:t>Introduction and Background</w:t>
        </w:r>
        <w:r>
          <w:rPr>
            <w:webHidden/>
          </w:rPr>
          <w:tab/>
        </w:r>
        <w:r>
          <w:rPr>
            <w:webHidden/>
          </w:rPr>
          <w:fldChar w:fldCharType="begin"/>
        </w:r>
        <w:r>
          <w:rPr>
            <w:webHidden/>
          </w:rPr>
          <w:instrText xml:space="preserve"> PAGEREF _Toc233022852 \h </w:instrText>
        </w:r>
        <w:r>
          <w:rPr>
            <w:webHidden/>
          </w:rPr>
        </w:r>
        <w:r>
          <w:rPr>
            <w:webHidden/>
          </w:rPr>
          <w:fldChar w:fldCharType="separate"/>
        </w:r>
        <w:r w:rsidR="00A41FEF">
          <w:rPr>
            <w:webHidden/>
          </w:rPr>
          <w:t>1</w:t>
        </w:r>
        <w:r>
          <w:rPr>
            <w:webHidden/>
          </w:rPr>
          <w:fldChar w:fldCharType="end"/>
        </w:r>
      </w:hyperlink>
    </w:p>
    <w:p w14:paraId="33368FA1" w14:textId="445237EB" w:rsidR="0096619C" w:rsidRDefault="0096619C">
      <w:pPr>
        <w:pStyle w:val="TOC1"/>
        <w:rPr>
          <w:rFonts w:asciiTheme="minorHAnsi" w:eastAsiaTheme="minorEastAsia" w:hAnsiTheme="minorHAnsi"/>
          <w:b w:val="0"/>
          <w:kern w:val="2"/>
          <w:sz w:val="24"/>
          <w:szCs w:val="24"/>
          <w:lang w:eastAsia="en-AU"/>
          <w14:ligatures w14:val="standardContextual"/>
        </w:rPr>
      </w:pPr>
      <w:hyperlink w:anchor="_Toc233022853" w:history="1">
        <w:r w:rsidRPr="006C6411">
          <w:rPr>
            <w:rStyle w:val="Hyperlink"/>
            <w:rFonts w:eastAsiaTheme="minorHAnsi"/>
          </w:rPr>
          <w:t>2.0</w:t>
        </w:r>
        <w:r>
          <w:rPr>
            <w:rFonts w:asciiTheme="minorHAnsi" w:eastAsiaTheme="minorEastAsia" w:hAnsiTheme="minorHAnsi"/>
            <w:b w:val="0"/>
            <w:kern w:val="2"/>
            <w:sz w:val="24"/>
            <w:szCs w:val="24"/>
            <w:lang w:eastAsia="en-AU"/>
            <w14:ligatures w14:val="standardContextual"/>
          </w:rPr>
          <w:tab/>
        </w:r>
        <w:r w:rsidRPr="006C6411">
          <w:rPr>
            <w:rStyle w:val="Hyperlink"/>
            <w:rFonts w:eastAsiaTheme="minorHAnsi"/>
          </w:rPr>
          <w:t>Research Questions</w:t>
        </w:r>
        <w:r>
          <w:rPr>
            <w:webHidden/>
          </w:rPr>
          <w:tab/>
        </w:r>
        <w:r>
          <w:rPr>
            <w:webHidden/>
          </w:rPr>
          <w:fldChar w:fldCharType="begin"/>
        </w:r>
        <w:r>
          <w:rPr>
            <w:webHidden/>
          </w:rPr>
          <w:instrText xml:space="preserve"> PAGEREF _Toc233022853 \h </w:instrText>
        </w:r>
        <w:r>
          <w:rPr>
            <w:webHidden/>
          </w:rPr>
        </w:r>
        <w:r>
          <w:rPr>
            <w:webHidden/>
          </w:rPr>
          <w:fldChar w:fldCharType="separate"/>
        </w:r>
        <w:r w:rsidR="00A41FEF">
          <w:rPr>
            <w:webHidden/>
          </w:rPr>
          <w:t>1</w:t>
        </w:r>
        <w:r>
          <w:rPr>
            <w:webHidden/>
          </w:rPr>
          <w:fldChar w:fldCharType="end"/>
        </w:r>
      </w:hyperlink>
    </w:p>
    <w:p w14:paraId="4F30E024" w14:textId="7C1CDD99" w:rsidR="0096619C" w:rsidRDefault="0096619C">
      <w:pPr>
        <w:pStyle w:val="TOC1"/>
        <w:rPr>
          <w:rFonts w:asciiTheme="minorHAnsi" w:eastAsiaTheme="minorEastAsia" w:hAnsiTheme="minorHAnsi"/>
          <w:b w:val="0"/>
          <w:kern w:val="2"/>
          <w:sz w:val="24"/>
          <w:szCs w:val="24"/>
          <w:lang w:eastAsia="en-AU"/>
          <w14:ligatures w14:val="standardContextual"/>
        </w:rPr>
      </w:pPr>
      <w:hyperlink w:anchor="_Toc233022854" w:history="1">
        <w:r w:rsidRPr="006C6411">
          <w:rPr>
            <w:rStyle w:val="Hyperlink"/>
            <w:rFonts w:eastAsiaTheme="minorHAnsi"/>
          </w:rPr>
          <w:t>3.0</w:t>
        </w:r>
        <w:r>
          <w:rPr>
            <w:rFonts w:asciiTheme="minorHAnsi" w:eastAsiaTheme="minorEastAsia" w:hAnsiTheme="minorHAnsi"/>
            <w:b w:val="0"/>
            <w:kern w:val="2"/>
            <w:sz w:val="24"/>
            <w:szCs w:val="24"/>
            <w:lang w:eastAsia="en-AU"/>
            <w14:ligatures w14:val="standardContextual"/>
          </w:rPr>
          <w:tab/>
        </w:r>
        <w:r w:rsidRPr="006C6411">
          <w:rPr>
            <w:rStyle w:val="Hyperlink"/>
            <w:rFonts w:eastAsiaTheme="minorHAnsi"/>
          </w:rPr>
          <w:t>Evidence Evaluation Methods</w:t>
        </w:r>
        <w:r>
          <w:rPr>
            <w:webHidden/>
          </w:rPr>
          <w:tab/>
        </w:r>
        <w:r>
          <w:rPr>
            <w:webHidden/>
          </w:rPr>
          <w:fldChar w:fldCharType="begin"/>
        </w:r>
        <w:r>
          <w:rPr>
            <w:webHidden/>
          </w:rPr>
          <w:instrText xml:space="preserve"> PAGEREF _Toc233022854 \h </w:instrText>
        </w:r>
        <w:r>
          <w:rPr>
            <w:webHidden/>
          </w:rPr>
        </w:r>
        <w:r>
          <w:rPr>
            <w:webHidden/>
          </w:rPr>
          <w:fldChar w:fldCharType="separate"/>
        </w:r>
        <w:r w:rsidR="00A41FEF">
          <w:rPr>
            <w:webHidden/>
          </w:rPr>
          <w:t>2</w:t>
        </w:r>
        <w:r>
          <w:rPr>
            <w:webHidden/>
          </w:rPr>
          <w:fldChar w:fldCharType="end"/>
        </w:r>
      </w:hyperlink>
    </w:p>
    <w:p w14:paraId="211397F3" w14:textId="7246C29B" w:rsidR="0096619C" w:rsidRDefault="0096619C">
      <w:pPr>
        <w:pStyle w:val="TOC2"/>
        <w:rPr>
          <w:rFonts w:asciiTheme="minorHAnsi" w:eastAsiaTheme="minorEastAsia" w:hAnsiTheme="minorHAnsi"/>
          <w:kern w:val="2"/>
          <w:sz w:val="24"/>
          <w:szCs w:val="24"/>
          <w:lang w:eastAsia="en-AU"/>
          <w14:ligatures w14:val="standardContextual"/>
        </w:rPr>
      </w:pPr>
      <w:hyperlink w:anchor="_Toc233022855" w:history="1">
        <w:r w:rsidRPr="006C6411">
          <w:rPr>
            <w:rStyle w:val="Hyperlink"/>
            <w:rFonts w:eastAsiaTheme="minorHAnsi"/>
          </w:rPr>
          <w:t>3.1</w:t>
        </w:r>
        <w:r>
          <w:rPr>
            <w:rFonts w:asciiTheme="minorHAnsi" w:eastAsiaTheme="minorEastAsia" w:hAnsiTheme="minorHAnsi"/>
            <w:kern w:val="2"/>
            <w:sz w:val="24"/>
            <w:szCs w:val="24"/>
            <w:lang w:eastAsia="en-AU"/>
            <w14:ligatures w14:val="standardContextual"/>
          </w:rPr>
          <w:tab/>
        </w:r>
        <w:r w:rsidRPr="006C6411">
          <w:rPr>
            <w:rStyle w:val="Hyperlink"/>
            <w:rFonts w:eastAsiaTheme="minorHAnsi"/>
          </w:rPr>
          <w:t>Overview</w:t>
        </w:r>
        <w:r>
          <w:rPr>
            <w:webHidden/>
          </w:rPr>
          <w:tab/>
        </w:r>
        <w:r>
          <w:rPr>
            <w:webHidden/>
          </w:rPr>
          <w:fldChar w:fldCharType="begin"/>
        </w:r>
        <w:r>
          <w:rPr>
            <w:webHidden/>
          </w:rPr>
          <w:instrText xml:space="preserve"> PAGEREF _Toc233022855 \h </w:instrText>
        </w:r>
        <w:r>
          <w:rPr>
            <w:webHidden/>
          </w:rPr>
        </w:r>
        <w:r>
          <w:rPr>
            <w:webHidden/>
          </w:rPr>
          <w:fldChar w:fldCharType="separate"/>
        </w:r>
        <w:r w:rsidR="00A41FEF">
          <w:rPr>
            <w:webHidden/>
          </w:rPr>
          <w:t>2</w:t>
        </w:r>
        <w:r>
          <w:rPr>
            <w:webHidden/>
          </w:rPr>
          <w:fldChar w:fldCharType="end"/>
        </w:r>
      </w:hyperlink>
    </w:p>
    <w:p w14:paraId="07B91B13" w14:textId="0D1B126D" w:rsidR="0096619C" w:rsidRDefault="0096619C">
      <w:pPr>
        <w:pStyle w:val="TOC2"/>
        <w:rPr>
          <w:rFonts w:asciiTheme="minorHAnsi" w:eastAsiaTheme="minorEastAsia" w:hAnsiTheme="minorHAnsi"/>
          <w:kern w:val="2"/>
          <w:sz w:val="24"/>
          <w:szCs w:val="24"/>
          <w:lang w:eastAsia="en-AU"/>
          <w14:ligatures w14:val="standardContextual"/>
        </w:rPr>
      </w:pPr>
      <w:hyperlink w:anchor="_Toc233022856" w:history="1">
        <w:r w:rsidRPr="006C6411">
          <w:rPr>
            <w:rStyle w:val="Hyperlink"/>
            <w:rFonts w:eastAsiaTheme="minorHAnsi"/>
          </w:rPr>
          <w:t>3.2</w:t>
        </w:r>
        <w:r>
          <w:rPr>
            <w:rFonts w:asciiTheme="minorHAnsi" w:eastAsiaTheme="minorEastAsia" w:hAnsiTheme="minorHAnsi"/>
            <w:kern w:val="2"/>
            <w:sz w:val="24"/>
            <w:szCs w:val="24"/>
            <w:lang w:eastAsia="en-AU"/>
            <w14:ligatures w14:val="standardContextual"/>
          </w:rPr>
          <w:tab/>
        </w:r>
        <w:r w:rsidRPr="006C6411">
          <w:rPr>
            <w:rStyle w:val="Hyperlink"/>
            <w:rFonts w:eastAsiaTheme="minorHAnsi"/>
          </w:rPr>
          <w:t>Targeted screening of existing health-based guidance</w:t>
        </w:r>
        <w:r>
          <w:rPr>
            <w:webHidden/>
          </w:rPr>
          <w:tab/>
        </w:r>
        <w:r>
          <w:rPr>
            <w:webHidden/>
          </w:rPr>
          <w:fldChar w:fldCharType="begin"/>
        </w:r>
        <w:r>
          <w:rPr>
            <w:webHidden/>
          </w:rPr>
          <w:instrText xml:space="preserve"> PAGEREF _Toc233022856 \h </w:instrText>
        </w:r>
        <w:r>
          <w:rPr>
            <w:webHidden/>
          </w:rPr>
        </w:r>
        <w:r>
          <w:rPr>
            <w:webHidden/>
          </w:rPr>
          <w:fldChar w:fldCharType="separate"/>
        </w:r>
        <w:r w:rsidR="00A41FEF">
          <w:rPr>
            <w:webHidden/>
          </w:rPr>
          <w:t>4</w:t>
        </w:r>
        <w:r>
          <w:rPr>
            <w:webHidden/>
          </w:rPr>
          <w:fldChar w:fldCharType="end"/>
        </w:r>
      </w:hyperlink>
    </w:p>
    <w:p w14:paraId="63505A8D" w14:textId="78FE6BC0" w:rsidR="0096619C" w:rsidRDefault="0096619C">
      <w:pPr>
        <w:pStyle w:val="TOC2"/>
        <w:rPr>
          <w:rFonts w:asciiTheme="minorHAnsi" w:eastAsiaTheme="minorEastAsia" w:hAnsiTheme="minorHAnsi"/>
          <w:kern w:val="2"/>
          <w:sz w:val="24"/>
          <w:szCs w:val="24"/>
          <w:lang w:eastAsia="en-AU"/>
          <w14:ligatures w14:val="standardContextual"/>
        </w:rPr>
      </w:pPr>
      <w:hyperlink w:anchor="_Toc233022857" w:history="1">
        <w:r w:rsidRPr="006C6411">
          <w:rPr>
            <w:rStyle w:val="Hyperlink"/>
            <w:rFonts w:eastAsiaTheme="minorHAnsi"/>
          </w:rPr>
          <w:t>3.3</w:t>
        </w:r>
        <w:r>
          <w:rPr>
            <w:rFonts w:asciiTheme="minorHAnsi" w:eastAsiaTheme="minorEastAsia" w:hAnsiTheme="minorHAnsi"/>
            <w:kern w:val="2"/>
            <w:sz w:val="24"/>
            <w:szCs w:val="24"/>
            <w:lang w:eastAsia="en-AU"/>
            <w14:ligatures w14:val="standardContextual"/>
          </w:rPr>
          <w:tab/>
        </w:r>
        <w:r w:rsidRPr="006C6411">
          <w:rPr>
            <w:rStyle w:val="Hyperlink"/>
            <w:rFonts w:eastAsiaTheme="minorHAnsi"/>
          </w:rPr>
          <w:t>Evidence Review for recent studies</w:t>
        </w:r>
        <w:r>
          <w:rPr>
            <w:webHidden/>
          </w:rPr>
          <w:tab/>
        </w:r>
        <w:r>
          <w:rPr>
            <w:webHidden/>
          </w:rPr>
          <w:fldChar w:fldCharType="begin"/>
        </w:r>
        <w:r>
          <w:rPr>
            <w:webHidden/>
          </w:rPr>
          <w:instrText xml:space="preserve"> PAGEREF _Toc233022857 \h </w:instrText>
        </w:r>
        <w:r>
          <w:rPr>
            <w:webHidden/>
          </w:rPr>
        </w:r>
        <w:r>
          <w:rPr>
            <w:webHidden/>
          </w:rPr>
          <w:fldChar w:fldCharType="separate"/>
        </w:r>
        <w:r w:rsidR="00A41FEF">
          <w:rPr>
            <w:webHidden/>
          </w:rPr>
          <w:t>7</w:t>
        </w:r>
        <w:r>
          <w:rPr>
            <w:webHidden/>
          </w:rPr>
          <w:fldChar w:fldCharType="end"/>
        </w:r>
      </w:hyperlink>
    </w:p>
    <w:p w14:paraId="1CAECB56" w14:textId="57400C3F" w:rsidR="0096619C" w:rsidRDefault="0096619C">
      <w:pPr>
        <w:pStyle w:val="TOC2"/>
        <w:rPr>
          <w:rFonts w:asciiTheme="minorHAnsi" w:eastAsiaTheme="minorEastAsia" w:hAnsiTheme="minorHAnsi"/>
          <w:kern w:val="2"/>
          <w:sz w:val="24"/>
          <w:szCs w:val="24"/>
          <w:lang w:eastAsia="en-AU"/>
          <w14:ligatures w14:val="standardContextual"/>
        </w:rPr>
      </w:pPr>
      <w:hyperlink w:anchor="_Toc233022858" w:history="1">
        <w:r w:rsidRPr="006C6411">
          <w:rPr>
            <w:rStyle w:val="Hyperlink"/>
            <w:rFonts w:eastAsiaTheme="minorHAnsi"/>
          </w:rPr>
          <w:t>3.4</w:t>
        </w:r>
        <w:r>
          <w:rPr>
            <w:rFonts w:asciiTheme="minorHAnsi" w:eastAsiaTheme="minorEastAsia" w:hAnsiTheme="minorHAnsi"/>
            <w:kern w:val="2"/>
            <w:sz w:val="24"/>
            <w:szCs w:val="24"/>
            <w:lang w:eastAsia="en-AU"/>
            <w14:ligatures w14:val="standardContextual"/>
          </w:rPr>
          <w:tab/>
        </w:r>
        <w:r w:rsidRPr="006C6411">
          <w:rPr>
            <w:rStyle w:val="Hyperlink"/>
            <w:rFonts w:eastAsiaTheme="minorHAnsi"/>
          </w:rPr>
          <w:t>Adverse Event Reports</w:t>
        </w:r>
        <w:r>
          <w:rPr>
            <w:webHidden/>
          </w:rPr>
          <w:tab/>
        </w:r>
        <w:r>
          <w:rPr>
            <w:webHidden/>
          </w:rPr>
          <w:fldChar w:fldCharType="begin"/>
        </w:r>
        <w:r>
          <w:rPr>
            <w:webHidden/>
          </w:rPr>
          <w:instrText xml:space="preserve"> PAGEREF _Toc233022858 \h </w:instrText>
        </w:r>
        <w:r>
          <w:rPr>
            <w:webHidden/>
          </w:rPr>
        </w:r>
        <w:r>
          <w:rPr>
            <w:webHidden/>
          </w:rPr>
          <w:fldChar w:fldCharType="separate"/>
        </w:r>
        <w:r w:rsidR="00A41FEF">
          <w:rPr>
            <w:webHidden/>
          </w:rPr>
          <w:t>12</w:t>
        </w:r>
        <w:r>
          <w:rPr>
            <w:webHidden/>
          </w:rPr>
          <w:fldChar w:fldCharType="end"/>
        </w:r>
      </w:hyperlink>
    </w:p>
    <w:p w14:paraId="78BB5C3C" w14:textId="7E9CA82A" w:rsidR="0096619C" w:rsidRDefault="0096619C">
      <w:pPr>
        <w:pStyle w:val="TOC3"/>
        <w:rPr>
          <w:rFonts w:asciiTheme="minorHAnsi" w:eastAsiaTheme="minorEastAsia" w:hAnsiTheme="minorHAnsi"/>
          <w:kern w:val="2"/>
          <w:sz w:val="24"/>
          <w:szCs w:val="24"/>
          <w:lang w:eastAsia="en-AU"/>
          <w14:ligatures w14:val="standardContextual"/>
        </w:rPr>
      </w:pPr>
      <w:hyperlink w:anchor="_Toc233022859" w:history="1">
        <w:r w:rsidRPr="006C6411">
          <w:rPr>
            <w:rStyle w:val="Hyperlink"/>
            <w:rFonts w:eastAsiaTheme="minorHAnsi"/>
          </w:rPr>
          <w:t>3.4.1</w:t>
        </w:r>
        <w:r>
          <w:rPr>
            <w:rFonts w:asciiTheme="minorHAnsi" w:eastAsiaTheme="minorEastAsia" w:hAnsiTheme="minorHAnsi"/>
            <w:kern w:val="2"/>
            <w:sz w:val="24"/>
            <w:szCs w:val="24"/>
            <w:lang w:eastAsia="en-AU"/>
            <w14:ligatures w14:val="standardContextual"/>
          </w:rPr>
          <w:tab/>
        </w:r>
        <w:r w:rsidRPr="006C6411">
          <w:rPr>
            <w:rStyle w:val="Hyperlink"/>
            <w:rFonts w:eastAsiaTheme="minorHAnsi"/>
          </w:rPr>
          <w:t>Database of Adverse Event Notifications (DAEN) – medicines</w:t>
        </w:r>
        <w:r>
          <w:rPr>
            <w:webHidden/>
          </w:rPr>
          <w:tab/>
        </w:r>
        <w:r>
          <w:rPr>
            <w:webHidden/>
          </w:rPr>
          <w:fldChar w:fldCharType="begin"/>
        </w:r>
        <w:r>
          <w:rPr>
            <w:webHidden/>
          </w:rPr>
          <w:instrText xml:space="preserve"> PAGEREF _Toc233022859 \h </w:instrText>
        </w:r>
        <w:r>
          <w:rPr>
            <w:webHidden/>
          </w:rPr>
        </w:r>
        <w:r>
          <w:rPr>
            <w:webHidden/>
          </w:rPr>
          <w:fldChar w:fldCharType="separate"/>
        </w:r>
        <w:r w:rsidR="00A41FEF">
          <w:rPr>
            <w:webHidden/>
          </w:rPr>
          <w:t>12</w:t>
        </w:r>
        <w:r>
          <w:rPr>
            <w:webHidden/>
          </w:rPr>
          <w:fldChar w:fldCharType="end"/>
        </w:r>
      </w:hyperlink>
    </w:p>
    <w:p w14:paraId="46CE5A44" w14:textId="33D82F3E" w:rsidR="0096619C" w:rsidRDefault="0096619C">
      <w:pPr>
        <w:pStyle w:val="TOC3"/>
        <w:rPr>
          <w:rFonts w:asciiTheme="minorHAnsi" w:eastAsiaTheme="minorEastAsia" w:hAnsiTheme="minorHAnsi"/>
          <w:kern w:val="2"/>
          <w:sz w:val="24"/>
          <w:szCs w:val="24"/>
          <w:lang w:eastAsia="en-AU"/>
          <w14:ligatures w14:val="standardContextual"/>
        </w:rPr>
      </w:pPr>
      <w:hyperlink w:anchor="_Toc233022860" w:history="1">
        <w:r w:rsidRPr="006C6411">
          <w:rPr>
            <w:rStyle w:val="Hyperlink"/>
            <w:rFonts w:eastAsiaTheme="minorHAnsi"/>
          </w:rPr>
          <w:t>3.4.2</w:t>
        </w:r>
        <w:r>
          <w:rPr>
            <w:rFonts w:asciiTheme="minorHAnsi" w:eastAsiaTheme="minorEastAsia" w:hAnsiTheme="minorHAnsi"/>
            <w:kern w:val="2"/>
            <w:sz w:val="24"/>
            <w:szCs w:val="24"/>
            <w:lang w:eastAsia="en-AU"/>
            <w14:ligatures w14:val="standardContextual"/>
          </w:rPr>
          <w:tab/>
        </w:r>
        <w:r w:rsidRPr="006C6411">
          <w:rPr>
            <w:rStyle w:val="Hyperlink"/>
            <w:rFonts w:eastAsiaTheme="minorHAnsi"/>
          </w:rPr>
          <w:t>WHO VigiAccess</w:t>
        </w:r>
        <w:r>
          <w:rPr>
            <w:webHidden/>
          </w:rPr>
          <w:tab/>
        </w:r>
        <w:r>
          <w:rPr>
            <w:webHidden/>
          </w:rPr>
          <w:fldChar w:fldCharType="begin"/>
        </w:r>
        <w:r>
          <w:rPr>
            <w:webHidden/>
          </w:rPr>
          <w:instrText xml:space="preserve"> PAGEREF _Toc233022860 \h </w:instrText>
        </w:r>
        <w:r>
          <w:rPr>
            <w:webHidden/>
          </w:rPr>
        </w:r>
        <w:r>
          <w:rPr>
            <w:webHidden/>
          </w:rPr>
          <w:fldChar w:fldCharType="separate"/>
        </w:r>
        <w:r w:rsidR="00A41FEF">
          <w:rPr>
            <w:webHidden/>
          </w:rPr>
          <w:t>13</w:t>
        </w:r>
        <w:r>
          <w:rPr>
            <w:webHidden/>
          </w:rPr>
          <w:fldChar w:fldCharType="end"/>
        </w:r>
      </w:hyperlink>
    </w:p>
    <w:p w14:paraId="7569AEE7" w14:textId="1BBCDEA8" w:rsidR="0096619C" w:rsidRDefault="0096619C">
      <w:pPr>
        <w:pStyle w:val="TOC3"/>
        <w:rPr>
          <w:rFonts w:asciiTheme="minorHAnsi" w:eastAsiaTheme="minorEastAsia" w:hAnsiTheme="minorHAnsi"/>
          <w:kern w:val="2"/>
          <w:sz w:val="24"/>
          <w:szCs w:val="24"/>
          <w:lang w:eastAsia="en-AU"/>
          <w14:ligatures w14:val="standardContextual"/>
        </w:rPr>
      </w:pPr>
      <w:hyperlink w:anchor="_Toc233022861" w:history="1">
        <w:r w:rsidRPr="006C6411">
          <w:rPr>
            <w:rStyle w:val="Hyperlink"/>
            <w:rFonts w:eastAsiaTheme="minorHAnsi"/>
          </w:rPr>
          <w:t>3.4.3</w:t>
        </w:r>
        <w:r>
          <w:rPr>
            <w:rFonts w:asciiTheme="minorHAnsi" w:eastAsiaTheme="minorEastAsia" w:hAnsiTheme="minorHAnsi"/>
            <w:kern w:val="2"/>
            <w:sz w:val="24"/>
            <w:szCs w:val="24"/>
            <w:lang w:eastAsia="en-AU"/>
            <w14:ligatures w14:val="standardContextual"/>
          </w:rPr>
          <w:tab/>
        </w:r>
        <w:r w:rsidRPr="006C6411">
          <w:rPr>
            <w:rStyle w:val="Hyperlink"/>
            <w:rFonts w:eastAsiaTheme="minorHAnsi"/>
          </w:rPr>
          <w:t>FDA Adverse Event Monitoring System (AEMS) Public Dashboard for Drugs and Biologics</w:t>
        </w:r>
        <w:r>
          <w:rPr>
            <w:webHidden/>
          </w:rPr>
          <w:tab/>
        </w:r>
        <w:r>
          <w:rPr>
            <w:webHidden/>
          </w:rPr>
          <w:fldChar w:fldCharType="begin"/>
        </w:r>
        <w:r>
          <w:rPr>
            <w:webHidden/>
          </w:rPr>
          <w:instrText xml:space="preserve"> PAGEREF _Toc233022861 \h </w:instrText>
        </w:r>
        <w:r>
          <w:rPr>
            <w:webHidden/>
          </w:rPr>
        </w:r>
        <w:r>
          <w:rPr>
            <w:webHidden/>
          </w:rPr>
          <w:fldChar w:fldCharType="separate"/>
        </w:r>
        <w:r w:rsidR="00A41FEF">
          <w:rPr>
            <w:webHidden/>
          </w:rPr>
          <w:t>13</w:t>
        </w:r>
        <w:r>
          <w:rPr>
            <w:webHidden/>
          </w:rPr>
          <w:fldChar w:fldCharType="end"/>
        </w:r>
      </w:hyperlink>
    </w:p>
    <w:p w14:paraId="7267C9B4" w14:textId="7501A4F7" w:rsidR="0096619C" w:rsidRDefault="0096619C">
      <w:pPr>
        <w:pStyle w:val="TOC3"/>
        <w:rPr>
          <w:rFonts w:asciiTheme="minorHAnsi" w:eastAsiaTheme="minorEastAsia" w:hAnsiTheme="minorHAnsi"/>
          <w:kern w:val="2"/>
          <w:sz w:val="24"/>
          <w:szCs w:val="24"/>
          <w:lang w:eastAsia="en-AU"/>
          <w14:ligatures w14:val="standardContextual"/>
        </w:rPr>
      </w:pPr>
      <w:hyperlink w:anchor="_Toc233022862" w:history="1">
        <w:r w:rsidRPr="006C6411">
          <w:rPr>
            <w:rStyle w:val="Hyperlink"/>
            <w:rFonts w:eastAsiaTheme="minorHAnsi"/>
          </w:rPr>
          <w:t>3.4.4</w:t>
        </w:r>
        <w:r>
          <w:rPr>
            <w:rFonts w:asciiTheme="minorHAnsi" w:eastAsiaTheme="minorEastAsia" w:hAnsiTheme="minorHAnsi"/>
            <w:kern w:val="2"/>
            <w:sz w:val="24"/>
            <w:szCs w:val="24"/>
            <w:lang w:eastAsia="en-AU"/>
            <w14:ligatures w14:val="standardContextual"/>
          </w:rPr>
          <w:tab/>
        </w:r>
        <w:r w:rsidRPr="006C6411">
          <w:rPr>
            <w:rStyle w:val="Hyperlink"/>
            <w:rFonts w:eastAsiaTheme="minorHAnsi"/>
          </w:rPr>
          <w:t>EudraVigilance – European database of suspected adverse drug reaction reports</w:t>
        </w:r>
        <w:r>
          <w:rPr>
            <w:webHidden/>
          </w:rPr>
          <w:tab/>
        </w:r>
        <w:r>
          <w:rPr>
            <w:webHidden/>
          </w:rPr>
          <w:fldChar w:fldCharType="begin"/>
        </w:r>
        <w:r>
          <w:rPr>
            <w:webHidden/>
          </w:rPr>
          <w:instrText xml:space="preserve"> PAGEREF _Toc233022862 \h </w:instrText>
        </w:r>
        <w:r>
          <w:rPr>
            <w:webHidden/>
          </w:rPr>
        </w:r>
        <w:r>
          <w:rPr>
            <w:webHidden/>
          </w:rPr>
          <w:fldChar w:fldCharType="separate"/>
        </w:r>
        <w:r w:rsidR="00A41FEF">
          <w:rPr>
            <w:webHidden/>
          </w:rPr>
          <w:t>14</w:t>
        </w:r>
        <w:r>
          <w:rPr>
            <w:webHidden/>
          </w:rPr>
          <w:fldChar w:fldCharType="end"/>
        </w:r>
      </w:hyperlink>
    </w:p>
    <w:p w14:paraId="12B1ECEA" w14:textId="5A4810D7" w:rsidR="0096619C" w:rsidRDefault="0096619C">
      <w:pPr>
        <w:pStyle w:val="TOC3"/>
        <w:rPr>
          <w:rFonts w:asciiTheme="minorHAnsi" w:eastAsiaTheme="minorEastAsia" w:hAnsiTheme="minorHAnsi"/>
          <w:kern w:val="2"/>
          <w:sz w:val="24"/>
          <w:szCs w:val="24"/>
          <w:lang w:eastAsia="en-AU"/>
          <w14:ligatures w14:val="standardContextual"/>
        </w:rPr>
      </w:pPr>
      <w:hyperlink w:anchor="_Toc233022863" w:history="1">
        <w:r w:rsidRPr="006C6411">
          <w:rPr>
            <w:rStyle w:val="Hyperlink"/>
            <w:rFonts w:eastAsiaTheme="minorHAnsi"/>
          </w:rPr>
          <w:t>3.4.5</w:t>
        </w:r>
        <w:r>
          <w:rPr>
            <w:rFonts w:asciiTheme="minorHAnsi" w:eastAsiaTheme="minorEastAsia" w:hAnsiTheme="minorHAnsi"/>
            <w:kern w:val="2"/>
            <w:sz w:val="24"/>
            <w:szCs w:val="24"/>
            <w:lang w:eastAsia="en-AU"/>
            <w14:ligatures w14:val="standardContextual"/>
          </w:rPr>
          <w:tab/>
        </w:r>
        <w:r w:rsidRPr="006C6411">
          <w:rPr>
            <w:rStyle w:val="Hyperlink"/>
            <w:rFonts w:eastAsiaTheme="minorHAnsi"/>
          </w:rPr>
          <w:t>Canadian Vigilance Adverse Reaction Online Database</w:t>
        </w:r>
        <w:r>
          <w:rPr>
            <w:webHidden/>
          </w:rPr>
          <w:tab/>
        </w:r>
        <w:r>
          <w:rPr>
            <w:webHidden/>
          </w:rPr>
          <w:fldChar w:fldCharType="begin"/>
        </w:r>
        <w:r>
          <w:rPr>
            <w:webHidden/>
          </w:rPr>
          <w:instrText xml:space="preserve"> PAGEREF _Toc233022863 \h </w:instrText>
        </w:r>
        <w:r>
          <w:rPr>
            <w:webHidden/>
          </w:rPr>
        </w:r>
        <w:r>
          <w:rPr>
            <w:webHidden/>
          </w:rPr>
          <w:fldChar w:fldCharType="separate"/>
        </w:r>
        <w:r w:rsidR="00A41FEF">
          <w:rPr>
            <w:webHidden/>
          </w:rPr>
          <w:t>14</w:t>
        </w:r>
        <w:r>
          <w:rPr>
            <w:webHidden/>
          </w:rPr>
          <w:fldChar w:fldCharType="end"/>
        </w:r>
      </w:hyperlink>
    </w:p>
    <w:p w14:paraId="4EDA7D7C" w14:textId="3599C320" w:rsidR="0096619C" w:rsidRDefault="0096619C">
      <w:pPr>
        <w:pStyle w:val="TOC1"/>
        <w:rPr>
          <w:rFonts w:asciiTheme="minorHAnsi" w:eastAsiaTheme="minorEastAsia" w:hAnsiTheme="minorHAnsi"/>
          <w:b w:val="0"/>
          <w:kern w:val="2"/>
          <w:sz w:val="24"/>
          <w:szCs w:val="24"/>
          <w:lang w:eastAsia="en-AU"/>
          <w14:ligatures w14:val="standardContextual"/>
        </w:rPr>
      </w:pPr>
      <w:hyperlink w:anchor="_Toc233022864" w:history="1">
        <w:r w:rsidRPr="006C6411">
          <w:rPr>
            <w:rStyle w:val="Hyperlink"/>
            <w:rFonts w:eastAsiaTheme="minorHAnsi"/>
          </w:rPr>
          <w:t>4.0</w:t>
        </w:r>
        <w:r>
          <w:rPr>
            <w:rFonts w:asciiTheme="minorHAnsi" w:eastAsiaTheme="minorEastAsia" w:hAnsiTheme="minorHAnsi"/>
            <w:b w:val="0"/>
            <w:kern w:val="2"/>
            <w:sz w:val="24"/>
            <w:szCs w:val="24"/>
            <w:lang w:eastAsia="en-AU"/>
            <w14:ligatures w14:val="standardContextual"/>
          </w:rPr>
          <w:tab/>
        </w:r>
        <w:r w:rsidRPr="006C6411">
          <w:rPr>
            <w:rStyle w:val="Hyperlink"/>
            <w:rFonts w:eastAsiaTheme="minorHAnsi"/>
          </w:rPr>
          <w:t>Results</w:t>
        </w:r>
        <w:r>
          <w:rPr>
            <w:webHidden/>
          </w:rPr>
          <w:tab/>
        </w:r>
        <w:r>
          <w:rPr>
            <w:webHidden/>
          </w:rPr>
          <w:fldChar w:fldCharType="begin"/>
        </w:r>
        <w:r>
          <w:rPr>
            <w:webHidden/>
          </w:rPr>
          <w:instrText xml:space="preserve"> PAGEREF _Toc233022864 \h </w:instrText>
        </w:r>
        <w:r>
          <w:rPr>
            <w:webHidden/>
          </w:rPr>
        </w:r>
        <w:r>
          <w:rPr>
            <w:webHidden/>
          </w:rPr>
          <w:fldChar w:fldCharType="separate"/>
        </w:r>
        <w:r w:rsidR="00A41FEF">
          <w:rPr>
            <w:webHidden/>
          </w:rPr>
          <w:t>15</w:t>
        </w:r>
        <w:r>
          <w:rPr>
            <w:webHidden/>
          </w:rPr>
          <w:fldChar w:fldCharType="end"/>
        </w:r>
      </w:hyperlink>
    </w:p>
    <w:p w14:paraId="2F0CEBE5" w14:textId="2435AFBE" w:rsidR="0096619C" w:rsidRDefault="0096619C">
      <w:pPr>
        <w:pStyle w:val="TOC2"/>
        <w:rPr>
          <w:rFonts w:asciiTheme="minorHAnsi" w:eastAsiaTheme="minorEastAsia" w:hAnsiTheme="minorHAnsi"/>
          <w:kern w:val="2"/>
          <w:sz w:val="24"/>
          <w:szCs w:val="24"/>
          <w:lang w:eastAsia="en-AU"/>
          <w14:ligatures w14:val="standardContextual"/>
        </w:rPr>
      </w:pPr>
      <w:hyperlink w:anchor="_Toc233022865" w:history="1">
        <w:r w:rsidRPr="006C6411">
          <w:rPr>
            <w:rStyle w:val="Hyperlink"/>
            <w:rFonts w:eastAsiaTheme="minorHAnsi"/>
          </w:rPr>
          <w:t>4.1</w:t>
        </w:r>
        <w:r>
          <w:rPr>
            <w:rFonts w:asciiTheme="minorHAnsi" w:eastAsiaTheme="minorEastAsia" w:hAnsiTheme="minorHAnsi"/>
            <w:kern w:val="2"/>
            <w:sz w:val="24"/>
            <w:szCs w:val="24"/>
            <w:lang w:eastAsia="en-AU"/>
            <w14:ligatures w14:val="standardContextual"/>
          </w:rPr>
          <w:tab/>
        </w:r>
        <w:r w:rsidRPr="006C6411">
          <w:rPr>
            <w:rStyle w:val="Hyperlink"/>
            <w:rFonts w:eastAsiaTheme="minorHAnsi"/>
          </w:rPr>
          <w:t>Health-based research question analysis for guidance documents</w:t>
        </w:r>
        <w:r>
          <w:rPr>
            <w:webHidden/>
          </w:rPr>
          <w:tab/>
        </w:r>
        <w:r>
          <w:rPr>
            <w:webHidden/>
          </w:rPr>
          <w:fldChar w:fldCharType="begin"/>
        </w:r>
        <w:r>
          <w:rPr>
            <w:webHidden/>
          </w:rPr>
          <w:instrText xml:space="preserve"> PAGEREF _Toc233022865 \h </w:instrText>
        </w:r>
        <w:r>
          <w:rPr>
            <w:webHidden/>
          </w:rPr>
        </w:r>
        <w:r>
          <w:rPr>
            <w:webHidden/>
          </w:rPr>
          <w:fldChar w:fldCharType="separate"/>
        </w:r>
        <w:r w:rsidR="00A41FEF">
          <w:rPr>
            <w:webHidden/>
          </w:rPr>
          <w:t>15</w:t>
        </w:r>
        <w:r>
          <w:rPr>
            <w:webHidden/>
          </w:rPr>
          <w:fldChar w:fldCharType="end"/>
        </w:r>
      </w:hyperlink>
    </w:p>
    <w:p w14:paraId="1DC26E9C" w14:textId="3C62C4B5" w:rsidR="0096619C" w:rsidRDefault="0096619C">
      <w:pPr>
        <w:pStyle w:val="TOC2"/>
        <w:rPr>
          <w:rFonts w:asciiTheme="minorHAnsi" w:eastAsiaTheme="minorEastAsia" w:hAnsiTheme="minorHAnsi"/>
          <w:kern w:val="2"/>
          <w:sz w:val="24"/>
          <w:szCs w:val="24"/>
          <w:lang w:eastAsia="en-AU"/>
          <w14:ligatures w14:val="standardContextual"/>
        </w:rPr>
      </w:pPr>
      <w:hyperlink w:anchor="_Toc233022866" w:history="1">
        <w:r w:rsidRPr="006C6411">
          <w:rPr>
            <w:rStyle w:val="Hyperlink"/>
            <w:rFonts w:eastAsiaTheme="minorHAnsi"/>
          </w:rPr>
          <w:t>4.2</w:t>
        </w:r>
        <w:r>
          <w:rPr>
            <w:rFonts w:asciiTheme="minorHAnsi" w:eastAsiaTheme="minorEastAsia" w:hAnsiTheme="minorHAnsi"/>
            <w:kern w:val="2"/>
            <w:sz w:val="24"/>
            <w:szCs w:val="24"/>
            <w:lang w:eastAsia="en-AU"/>
            <w14:ligatures w14:val="standardContextual"/>
          </w:rPr>
          <w:tab/>
        </w:r>
        <w:r w:rsidRPr="006C6411">
          <w:rPr>
            <w:rStyle w:val="Hyperlink"/>
            <w:rFonts w:eastAsiaTheme="minorHAnsi"/>
          </w:rPr>
          <w:t>Health-based research question analysis for new evidence – grouped based on health outcomes</w:t>
        </w:r>
        <w:r>
          <w:rPr>
            <w:webHidden/>
          </w:rPr>
          <w:tab/>
        </w:r>
        <w:r>
          <w:rPr>
            <w:webHidden/>
          </w:rPr>
          <w:fldChar w:fldCharType="begin"/>
        </w:r>
        <w:r>
          <w:rPr>
            <w:webHidden/>
          </w:rPr>
          <w:instrText xml:space="preserve"> PAGEREF _Toc233022866 \h </w:instrText>
        </w:r>
        <w:r>
          <w:rPr>
            <w:webHidden/>
          </w:rPr>
        </w:r>
        <w:r>
          <w:rPr>
            <w:webHidden/>
          </w:rPr>
          <w:fldChar w:fldCharType="separate"/>
        </w:r>
        <w:r w:rsidR="00A41FEF">
          <w:rPr>
            <w:webHidden/>
          </w:rPr>
          <w:t>20</w:t>
        </w:r>
        <w:r>
          <w:rPr>
            <w:webHidden/>
          </w:rPr>
          <w:fldChar w:fldCharType="end"/>
        </w:r>
      </w:hyperlink>
    </w:p>
    <w:p w14:paraId="471A15E9" w14:textId="78774B08" w:rsidR="0096619C" w:rsidRDefault="0096619C">
      <w:pPr>
        <w:pStyle w:val="TOC1"/>
        <w:rPr>
          <w:rFonts w:asciiTheme="minorHAnsi" w:eastAsiaTheme="minorEastAsia" w:hAnsiTheme="minorHAnsi"/>
          <w:b w:val="0"/>
          <w:kern w:val="2"/>
          <w:sz w:val="24"/>
          <w:szCs w:val="24"/>
          <w:lang w:eastAsia="en-AU"/>
          <w14:ligatures w14:val="standardContextual"/>
        </w:rPr>
      </w:pPr>
      <w:hyperlink w:anchor="_Toc233022867" w:history="1">
        <w:r w:rsidRPr="006C6411">
          <w:rPr>
            <w:rStyle w:val="Hyperlink"/>
            <w:rFonts w:eastAsiaTheme="minorHAnsi"/>
          </w:rPr>
          <w:t>5.0</w:t>
        </w:r>
        <w:r>
          <w:rPr>
            <w:rFonts w:asciiTheme="minorHAnsi" w:eastAsiaTheme="minorEastAsia" w:hAnsiTheme="minorHAnsi"/>
            <w:b w:val="0"/>
            <w:kern w:val="2"/>
            <w:sz w:val="24"/>
            <w:szCs w:val="24"/>
            <w:lang w:eastAsia="en-AU"/>
            <w14:ligatures w14:val="standardContextual"/>
          </w:rPr>
          <w:tab/>
        </w:r>
        <w:r w:rsidRPr="006C6411">
          <w:rPr>
            <w:rStyle w:val="Hyperlink"/>
            <w:rFonts w:eastAsiaTheme="minorHAnsi"/>
          </w:rPr>
          <w:t>References</w:t>
        </w:r>
        <w:r>
          <w:rPr>
            <w:webHidden/>
          </w:rPr>
          <w:tab/>
        </w:r>
        <w:r>
          <w:rPr>
            <w:webHidden/>
          </w:rPr>
          <w:fldChar w:fldCharType="begin"/>
        </w:r>
        <w:r>
          <w:rPr>
            <w:webHidden/>
          </w:rPr>
          <w:instrText xml:space="preserve"> PAGEREF _Toc233022867 \h </w:instrText>
        </w:r>
        <w:r>
          <w:rPr>
            <w:webHidden/>
          </w:rPr>
        </w:r>
        <w:r>
          <w:rPr>
            <w:webHidden/>
          </w:rPr>
          <w:fldChar w:fldCharType="separate"/>
        </w:r>
        <w:r w:rsidR="00A41FEF">
          <w:rPr>
            <w:webHidden/>
          </w:rPr>
          <w:t>24</w:t>
        </w:r>
        <w:r>
          <w:rPr>
            <w:webHidden/>
          </w:rPr>
          <w:fldChar w:fldCharType="end"/>
        </w:r>
      </w:hyperlink>
    </w:p>
    <w:p w14:paraId="6658DE71" w14:textId="4EC7712C" w:rsidR="00F727E1" w:rsidRPr="008371FA" w:rsidRDefault="0001154A" w:rsidP="00D002F6">
      <w:pPr>
        <w:pStyle w:val="BodyText"/>
        <w:ind w:right="29"/>
      </w:pPr>
      <w:r w:rsidRPr="008371FA">
        <w:rPr>
          <w:b/>
          <w:caps/>
          <w:szCs w:val="22"/>
        </w:rPr>
        <w:fldChar w:fldCharType="end"/>
      </w:r>
    </w:p>
    <w:p w14:paraId="7A5A8477" w14:textId="77777777" w:rsidR="009E7921" w:rsidRPr="008371FA" w:rsidRDefault="00E8237E" w:rsidP="00B33D79">
      <w:pPr>
        <w:pStyle w:val="TOCHeading"/>
      </w:pPr>
      <w:r w:rsidRPr="008371FA">
        <w:t>Tables</w:t>
      </w:r>
    </w:p>
    <w:p w14:paraId="095C3EE3" w14:textId="29867A78" w:rsidR="0096619C" w:rsidRDefault="009B3165">
      <w:pPr>
        <w:pStyle w:val="TableofFigures"/>
        <w:rPr>
          <w:rFonts w:asciiTheme="minorHAnsi" w:eastAsiaTheme="minorEastAsia" w:hAnsiTheme="minorHAnsi"/>
          <w:kern w:val="2"/>
          <w:sz w:val="24"/>
          <w:szCs w:val="24"/>
          <w:lang w:eastAsia="en-AU"/>
          <w14:ligatures w14:val="standardContextual"/>
        </w:rPr>
      </w:pPr>
      <w:r w:rsidRPr="008371FA">
        <w:rPr>
          <w:noProof w:val="0"/>
        </w:rPr>
        <w:fldChar w:fldCharType="begin"/>
      </w:r>
      <w:r w:rsidRPr="008371FA">
        <w:rPr>
          <w:noProof w:val="0"/>
        </w:rPr>
        <w:instrText xml:space="preserve"> TOC \h \z \t "Table Title,1" \c "Table" </w:instrText>
      </w:r>
      <w:r w:rsidRPr="008371FA">
        <w:rPr>
          <w:noProof w:val="0"/>
        </w:rPr>
        <w:fldChar w:fldCharType="separate"/>
      </w:r>
      <w:hyperlink w:anchor="_Toc233022868" w:history="1">
        <w:r w:rsidR="0096619C" w:rsidRPr="003E438D">
          <w:rPr>
            <w:rStyle w:val="Hyperlink"/>
            <w:rFonts w:eastAsiaTheme="majorEastAsia"/>
          </w:rPr>
          <w:t>Table 1 Research Questions for Evidence Evaluation of Vitamin B6 Upper Level (UL) Review</w:t>
        </w:r>
        <w:r w:rsidR="0096619C">
          <w:rPr>
            <w:webHidden/>
          </w:rPr>
          <w:tab/>
        </w:r>
        <w:r w:rsidR="0096619C">
          <w:rPr>
            <w:webHidden/>
          </w:rPr>
          <w:fldChar w:fldCharType="begin"/>
        </w:r>
        <w:r w:rsidR="0096619C">
          <w:rPr>
            <w:webHidden/>
          </w:rPr>
          <w:instrText xml:space="preserve"> PAGEREF _Toc233022868 \h </w:instrText>
        </w:r>
        <w:r w:rsidR="0096619C">
          <w:rPr>
            <w:webHidden/>
          </w:rPr>
        </w:r>
        <w:r w:rsidR="0096619C">
          <w:rPr>
            <w:webHidden/>
          </w:rPr>
          <w:fldChar w:fldCharType="separate"/>
        </w:r>
        <w:r w:rsidR="00A41FEF">
          <w:rPr>
            <w:webHidden/>
          </w:rPr>
          <w:t>1</w:t>
        </w:r>
        <w:r w:rsidR="0096619C">
          <w:rPr>
            <w:webHidden/>
          </w:rPr>
          <w:fldChar w:fldCharType="end"/>
        </w:r>
      </w:hyperlink>
    </w:p>
    <w:p w14:paraId="32E5388C" w14:textId="6C97788B" w:rsidR="0096619C" w:rsidRDefault="0096619C">
      <w:pPr>
        <w:pStyle w:val="TableofFigures"/>
        <w:rPr>
          <w:rFonts w:asciiTheme="minorHAnsi" w:eastAsiaTheme="minorEastAsia" w:hAnsiTheme="minorHAnsi"/>
          <w:kern w:val="2"/>
          <w:sz w:val="24"/>
          <w:szCs w:val="24"/>
          <w:lang w:eastAsia="en-AU"/>
          <w14:ligatures w14:val="standardContextual"/>
        </w:rPr>
      </w:pPr>
      <w:hyperlink w:anchor="_Toc233022869" w:history="1">
        <w:r w:rsidRPr="003E438D">
          <w:rPr>
            <w:rStyle w:val="Hyperlink"/>
            <w:rFonts w:eastAsiaTheme="majorEastAsia"/>
          </w:rPr>
          <w:t>Table 2</w:t>
        </w:r>
        <w:r>
          <w:rPr>
            <w:rFonts w:asciiTheme="minorHAnsi" w:eastAsiaTheme="minorEastAsia" w:hAnsiTheme="minorHAnsi"/>
            <w:kern w:val="2"/>
            <w:sz w:val="24"/>
            <w:szCs w:val="24"/>
            <w:lang w:eastAsia="en-AU"/>
            <w14:ligatures w14:val="standardContextual"/>
          </w:rPr>
          <w:tab/>
        </w:r>
        <w:r w:rsidRPr="003E438D">
          <w:rPr>
            <w:rStyle w:val="Hyperlink"/>
            <w:rFonts w:eastAsiaTheme="majorEastAsia"/>
          </w:rPr>
          <w:t>Search strategy for Existing Guidance/Guidelines</w:t>
        </w:r>
        <w:r>
          <w:rPr>
            <w:webHidden/>
          </w:rPr>
          <w:tab/>
        </w:r>
        <w:r>
          <w:rPr>
            <w:webHidden/>
          </w:rPr>
          <w:fldChar w:fldCharType="begin"/>
        </w:r>
        <w:r>
          <w:rPr>
            <w:webHidden/>
          </w:rPr>
          <w:instrText xml:space="preserve"> PAGEREF _Toc233022869 \h </w:instrText>
        </w:r>
        <w:r>
          <w:rPr>
            <w:webHidden/>
          </w:rPr>
        </w:r>
        <w:r>
          <w:rPr>
            <w:webHidden/>
          </w:rPr>
          <w:fldChar w:fldCharType="separate"/>
        </w:r>
        <w:r w:rsidR="00A41FEF">
          <w:rPr>
            <w:webHidden/>
          </w:rPr>
          <w:t>4</w:t>
        </w:r>
        <w:r>
          <w:rPr>
            <w:webHidden/>
          </w:rPr>
          <w:fldChar w:fldCharType="end"/>
        </w:r>
      </w:hyperlink>
    </w:p>
    <w:p w14:paraId="1EB72189" w14:textId="193B4E8A" w:rsidR="0096619C" w:rsidRDefault="0096619C">
      <w:pPr>
        <w:pStyle w:val="TableofFigures"/>
        <w:rPr>
          <w:rFonts w:asciiTheme="minorHAnsi" w:eastAsiaTheme="minorEastAsia" w:hAnsiTheme="minorHAnsi"/>
          <w:kern w:val="2"/>
          <w:sz w:val="24"/>
          <w:szCs w:val="24"/>
          <w:lang w:eastAsia="en-AU"/>
          <w14:ligatures w14:val="standardContextual"/>
        </w:rPr>
      </w:pPr>
      <w:hyperlink w:anchor="_Toc233022870" w:history="1">
        <w:r w:rsidRPr="003E438D">
          <w:rPr>
            <w:rStyle w:val="Hyperlink"/>
            <w:rFonts w:eastAsiaTheme="majorEastAsia"/>
          </w:rPr>
          <w:t>Table 3</w:t>
        </w:r>
        <w:r>
          <w:rPr>
            <w:rFonts w:asciiTheme="minorHAnsi" w:eastAsiaTheme="minorEastAsia" w:hAnsiTheme="minorHAnsi"/>
            <w:kern w:val="2"/>
            <w:sz w:val="24"/>
            <w:szCs w:val="24"/>
            <w:lang w:eastAsia="en-AU"/>
            <w14:ligatures w14:val="standardContextual"/>
          </w:rPr>
          <w:tab/>
        </w:r>
        <w:r w:rsidRPr="003E438D">
          <w:rPr>
            <w:rStyle w:val="Hyperlink"/>
            <w:rFonts w:eastAsiaTheme="majorEastAsia"/>
          </w:rPr>
          <w:t>Example of data extraction table format for existing health-based key studies</w:t>
        </w:r>
        <w:r>
          <w:rPr>
            <w:webHidden/>
          </w:rPr>
          <w:tab/>
        </w:r>
        <w:r>
          <w:rPr>
            <w:webHidden/>
          </w:rPr>
          <w:fldChar w:fldCharType="begin"/>
        </w:r>
        <w:r>
          <w:rPr>
            <w:webHidden/>
          </w:rPr>
          <w:instrText xml:space="preserve"> PAGEREF _Toc233022870 \h </w:instrText>
        </w:r>
        <w:r>
          <w:rPr>
            <w:webHidden/>
          </w:rPr>
        </w:r>
        <w:r>
          <w:rPr>
            <w:webHidden/>
          </w:rPr>
          <w:fldChar w:fldCharType="separate"/>
        </w:r>
        <w:r w:rsidR="00A41FEF">
          <w:rPr>
            <w:webHidden/>
          </w:rPr>
          <w:t>6</w:t>
        </w:r>
        <w:r>
          <w:rPr>
            <w:webHidden/>
          </w:rPr>
          <w:fldChar w:fldCharType="end"/>
        </w:r>
      </w:hyperlink>
    </w:p>
    <w:p w14:paraId="728E53F7" w14:textId="3796AD67" w:rsidR="0096619C" w:rsidRDefault="0096619C">
      <w:pPr>
        <w:pStyle w:val="TableofFigures"/>
        <w:rPr>
          <w:rFonts w:asciiTheme="minorHAnsi" w:eastAsiaTheme="minorEastAsia" w:hAnsiTheme="minorHAnsi"/>
          <w:kern w:val="2"/>
          <w:sz w:val="24"/>
          <w:szCs w:val="24"/>
          <w:lang w:eastAsia="en-AU"/>
          <w14:ligatures w14:val="standardContextual"/>
        </w:rPr>
      </w:pPr>
      <w:hyperlink w:anchor="_Toc233022871" w:history="1">
        <w:r w:rsidRPr="003E438D">
          <w:rPr>
            <w:rStyle w:val="Hyperlink"/>
            <w:rFonts w:eastAsiaTheme="majorEastAsia"/>
          </w:rPr>
          <w:t>Table 4</w:t>
        </w:r>
        <w:r>
          <w:rPr>
            <w:rFonts w:asciiTheme="minorHAnsi" w:eastAsiaTheme="minorEastAsia" w:hAnsiTheme="minorHAnsi"/>
            <w:kern w:val="2"/>
            <w:sz w:val="24"/>
            <w:szCs w:val="24"/>
            <w:lang w:eastAsia="en-AU"/>
            <w14:ligatures w14:val="standardContextual"/>
          </w:rPr>
          <w:tab/>
        </w:r>
        <w:r w:rsidRPr="003E438D">
          <w:rPr>
            <w:rStyle w:val="Hyperlink"/>
            <w:rFonts w:eastAsiaTheme="majorEastAsia"/>
          </w:rPr>
          <w:t>Search strategy for evidence review of recent health-based studies</w:t>
        </w:r>
        <w:r>
          <w:rPr>
            <w:webHidden/>
          </w:rPr>
          <w:tab/>
        </w:r>
        <w:r>
          <w:rPr>
            <w:webHidden/>
          </w:rPr>
          <w:fldChar w:fldCharType="begin"/>
        </w:r>
        <w:r>
          <w:rPr>
            <w:webHidden/>
          </w:rPr>
          <w:instrText xml:space="preserve"> PAGEREF _Toc233022871 \h </w:instrText>
        </w:r>
        <w:r>
          <w:rPr>
            <w:webHidden/>
          </w:rPr>
        </w:r>
        <w:r>
          <w:rPr>
            <w:webHidden/>
          </w:rPr>
          <w:fldChar w:fldCharType="separate"/>
        </w:r>
        <w:r w:rsidR="00A41FEF">
          <w:rPr>
            <w:webHidden/>
          </w:rPr>
          <w:t>7</w:t>
        </w:r>
        <w:r>
          <w:rPr>
            <w:webHidden/>
          </w:rPr>
          <w:fldChar w:fldCharType="end"/>
        </w:r>
      </w:hyperlink>
    </w:p>
    <w:p w14:paraId="59382AB5" w14:textId="1A1813BC" w:rsidR="0096619C" w:rsidRDefault="0096619C">
      <w:pPr>
        <w:pStyle w:val="TableofFigures"/>
        <w:rPr>
          <w:rFonts w:asciiTheme="minorHAnsi" w:eastAsiaTheme="minorEastAsia" w:hAnsiTheme="minorHAnsi"/>
          <w:kern w:val="2"/>
          <w:sz w:val="24"/>
          <w:szCs w:val="24"/>
          <w:lang w:eastAsia="en-AU"/>
          <w14:ligatures w14:val="standardContextual"/>
        </w:rPr>
      </w:pPr>
      <w:hyperlink w:anchor="_Toc233022872" w:history="1">
        <w:r w:rsidRPr="003E438D">
          <w:rPr>
            <w:rStyle w:val="Hyperlink"/>
            <w:rFonts w:eastAsiaTheme="majorEastAsia"/>
          </w:rPr>
          <w:t xml:space="preserve">Table 5 </w:t>
        </w:r>
        <w:r>
          <w:rPr>
            <w:rFonts w:asciiTheme="minorHAnsi" w:eastAsiaTheme="minorEastAsia" w:hAnsiTheme="minorHAnsi"/>
            <w:kern w:val="2"/>
            <w:sz w:val="24"/>
            <w:szCs w:val="24"/>
            <w:lang w:eastAsia="en-AU"/>
            <w14:ligatures w14:val="standardContextual"/>
          </w:rPr>
          <w:tab/>
        </w:r>
        <w:r w:rsidRPr="003E438D">
          <w:rPr>
            <w:rStyle w:val="Hyperlink"/>
            <w:rFonts w:eastAsiaTheme="majorEastAsia"/>
          </w:rPr>
          <w:t>Example of data extraction table format for evidence review of recent health-based studies</w:t>
        </w:r>
        <w:r>
          <w:rPr>
            <w:webHidden/>
          </w:rPr>
          <w:tab/>
        </w:r>
        <w:r>
          <w:rPr>
            <w:webHidden/>
          </w:rPr>
          <w:fldChar w:fldCharType="begin"/>
        </w:r>
        <w:r>
          <w:rPr>
            <w:webHidden/>
          </w:rPr>
          <w:instrText xml:space="preserve"> PAGEREF _Toc233022872 \h </w:instrText>
        </w:r>
        <w:r>
          <w:rPr>
            <w:webHidden/>
          </w:rPr>
        </w:r>
        <w:r>
          <w:rPr>
            <w:webHidden/>
          </w:rPr>
          <w:fldChar w:fldCharType="separate"/>
        </w:r>
        <w:r w:rsidR="00A41FEF">
          <w:rPr>
            <w:webHidden/>
          </w:rPr>
          <w:t>9</w:t>
        </w:r>
        <w:r>
          <w:rPr>
            <w:webHidden/>
          </w:rPr>
          <w:fldChar w:fldCharType="end"/>
        </w:r>
      </w:hyperlink>
    </w:p>
    <w:p w14:paraId="5ACB44E2" w14:textId="79CF0E50" w:rsidR="0096619C" w:rsidRDefault="0096619C">
      <w:pPr>
        <w:pStyle w:val="TableofFigures"/>
        <w:rPr>
          <w:rFonts w:asciiTheme="minorHAnsi" w:eastAsiaTheme="minorEastAsia" w:hAnsiTheme="minorHAnsi"/>
          <w:kern w:val="2"/>
          <w:sz w:val="24"/>
          <w:szCs w:val="24"/>
          <w:lang w:eastAsia="en-AU"/>
          <w14:ligatures w14:val="standardContextual"/>
        </w:rPr>
      </w:pPr>
      <w:hyperlink w:anchor="_Toc233022873" w:history="1">
        <w:r w:rsidRPr="003E438D">
          <w:rPr>
            <w:rStyle w:val="Hyperlink"/>
            <w:rFonts w:eastAsiaTheme="majorEastAsia"/>
            <w:b/>
            <w:bCs/>
          </w:rPr>
          <w:t xml:space="preserve">Table 6 </w:t>
        </w:r>
        <w:r>
          <w:rPr>
            <w:rFonts w:asciiTheme="minorHAnsi" w:eastAsiaTheme="minorEastAsia" w:hAnsiTheme="minorHAnsi"/>
            <w:kern w:val="2"/>
            <w:sz w:val="24"/>
            <w:szCs w:val="24"/>
            <w:lang w:eastAsia="en-AU"/>
            <w14:ligatures w14:val="standardContextual"/>
          </w:rPr>
          <w:tab/>
        </w:r>
        <w:r w:rsidRPr="003E438D">
          <w:rPr>
            <w:rStyle w:val="Hyperlink"/>
            <w:rFonts w:eastAsiaTheme="majorEastAsia"/>
            <w:b/>
            <w:bCs/>
          </w:rPr>
          <w:t>Example of risk of bias assessment for individual new study from evidence scan</w:t>
        </w:r>
        <w:r>
          <w:rPr>
            <w:webHidden/>
          </w:rPr>
          <w:tab/>
        </w:r>
        <w:r>
          <w:rPr>
            <w:webHidden/>
          </w:rPr>
          <w:fldChar w:fldCharType="begin"/>
        </w:r>
        <w:r>
          <w:rPr>
            <w:webHidden/>
          </w:rPr>
          <w:instrText xml:space="preserve"> PAGEREF _Toc233022873 \h </w:instrText>
        </w:r>
        <w:r>
          <w:rPr>
            <w:webHidden/>
          </w:rPr>
        </w:r>
        <w:r>
          <w:rPr>
            <w:webHidden/>
          </w:rPr>
          <w:fldChar w:fldCharType="separate"/>
        </w:r>
        <w:r w:rsidR="00A41FEF">
          <w:rPr>
            <w:webHidden/>
          </w:rPr>
          <w:t>11</w:t>
        </w:r>
        <w:r>
          <w:rPr>
            <w:webHidden/>
          </w:rPr>
          <w:fldChar w:fldCharType="end"/>
        </w:r>
      </w:hyperlink>
    </w:p>
    <w:p w14:paraId="431E77DB" w14:textId="1D083936" w:rsidR="0096619C" w:rsidRDefault="0096619C">
      <w:pPr>
        <w:pStyle w:val="TableofFigures"/>
        <w:rPr>
          <w:rFonts w:asciiTheme="minorHAnsi" w:eastAsiaTheme="minorEastAsia" w:hAnsiTheme="minorHAnsi"/>
          <w:kern w:val="2"/>
          <w:sz w:val="24"/>
          <w:szCs w:val="24"/>
          <w:lang w:eastAsia="en-AU"/>
          <w14:ligatures w14:val="standardContextual"/>
        </w:rPr>
      </w:pPr>
      <w:hyperlink w:anchor="_Toc233022874" w:history="1">
        <w:r w:rsidRPr="003E438D">
          <w:rPr>
            <w:rStyle w:val="Hyperlink"/>
            <w:rFonts w:eastAsiaTheme="majorEastAsia"/>
          </w:rPr>
          <w:t>Table 7</w:t>
        </w:r>
        <w:r>
          <w:rPr>
            <w:rFonts w:asciiTheme="minorHAnsi" w:eastAsiaTheme="minorEastAsia" w:hAnsiTheme="minorHAnsi"/>
            <w:kern w:val="2"/>
            <w:sz w:val="24"/>
            <w:szCs w:val="24"/>
            <w:lang w:eastAsia="en-AU"/>
            <w14:ligatures w14:val="standardContextual"/>
          </w:rPr>
          <w:tab/>
        </w:r>
        <w:r w:rsidRPr="003E438D">
          <w:rPr>
            <w:rStyle w:val="Hyperlink"/>
            <w:rFonts w:eastAsiaTheme="majorEastAsia"/>
          </w:rPr>
          <w:t>Synthesis of extracted data for health-based research questions</w:t>
        </w:r>
        <w:r>
          <w:rPr>
            <w:webHidden/>
          </w:rPr>
          <w:tab/>
        </w:r>
        <w:r>
          <w:rPr>
            <w:webHidden/>
          </w:rPr>
          <w:fldChar w:fldCharType="begin"/>
        </w:r>
        <w:r>
          <w:rPr>
            <w:webHidden/>
          </w:rPr>
          <w:instrText xml:space="preserve"> PAGEREF _Toc233022874 \h </w:instrText>
        </w:r>
        <w:r>
          <w:rPr>
            <w:webHidden/>
          </w:rPr>
        </w:r>
        <w:r>
          <w:rPr>
            <w:webHidden/>
          </w:rPr>
          <w:fldChar w:fldCharType="separate"/>
        </w:r>
        <w:r w:rsidR="00A41FEF">
          <w:rPr>
            <w:webHidden/>
          </w:rPr>
          <w:t>15</w:t>
        </w:r>
        <w:r>
          <w:rPr>
            <w:webHidden/>
          </w:rPr>
          <w:fldChar w:fldCharType="end"/>
        </w:r>
      </w:hyperlink>
    </w:p>
    <w:p w14:paraId="02E8D9AA" w14:textId="6F82E546" w:rsidR="0096619C" w:rsidRDefault="0096619C">
      <w:pPr>
        <w:pStyle w:val="TableofFigures"/>
        <w:rPr>
          <w:rFonts w:asciiTheme="minorHAnsi" w:eastAsiaTheme="minorEastAsia" w:hAnsiTheme="minorHAnsi"/>
          <w:kern w:val="2"/>
          <w:sz w:val="24"/>
          <w:szCs w:val="24"/>
          <w:lang w:eastAsia="en-AU"/>
          <w14:ligatures w14:val="standardContextual"/>
        </w:rPr>
      </w:pPr>
      <w:hyperlink w:anchor="_Toc233022875" w:history="1">
        <w:r w:rsidRPr="003E438D">
          <w:rPr>
            <w:rStyle w:val="Hyperlink"/>
            <w:rFonts w:eastAsiaTheme="majorEastAsia"/>
            <w:b/>
            <w:bCs/>
          </w:rPr>
          <w:t>Table 8</w:t>
        </w:r>
        <w:r>
          <w:rPr>
            <w:rFonts w:asciiTheme="minorHAnsi" w:eastAsiaTheme="minorEastAsia" w:hAnsiTheme="minorHAnsi"/>
            <w:kern w:val="2"/>
            <w:sz w:val="24"/>
            <w:szCs w:val="24"/>
            <w:lang w:eastAsia="en-AU"/>
            <w14:ligatures w14:val="standardContextual"/>
          </w:rPr>
          <w:tab/>
        </w:r>
        <w:r w:rsidRPr="003E438D">
          <w:rPr>
            <w:rStyle w:val="Hyperlink"/>
            <w:rFonts w:eastAsiaTheme="majorEastAsia"/>
            <w:b/>
            <w:bCs/>
          </w:rPr>
          <w:t>Synthesis of extracted data for health-based research questions – grouped based on health outcomes</w:t>
        </w:r>
        <w:r>
          <w:rPr>
            <w:webHidden/>
          </w:rPr>
          <w:tab/>
        </w:r>
        <w:r>
          <w:rPr>
            <w:webHidden/>
          </w:rPr>
          <w:fldChar w:fldCharType="begin"/>
        </w:r>
        <w:r>
          <w:rPr>
            <w:webHidden/>
          </w:rPr>
          <w:instrText xml:space="preserve"> PAGEREF _Toc233022875 \h </w:instrText>
        </w:r>
        <w:r>
          <w:rPr>
            <w:webHidden/>
          </w:rPr>
        </w:r>
        <w:r>
          <w:rPr>
            <w:webHidden/>
          </w:rPr>
          <w:fldChar w:fldCharType="separate"/>
        </w:r>
        <w:r w:rsidR="00A41FEF">
          <w:rPr>
            <w:webHidden/>
          </w:rPr>
          <w:t>20</w:t>
        </w:r>
        <w:r>
          <w:rPr>
            <w:webHidden/>
          </w:rPr>
          <w:fldChar w:fldCharType="end"/>
        </w:r>
      </w:hyperlink>
    </w:p>
    <w:p w14:paraId="2C5F8045" w14:textId="39F2FEB6" w:rsidR="00FF3DA1" w:rsidRPr="008371FA" w:rsidRDefault="009B3165" w:rsidP="00B33D79">
      <w:pPr>
        <w:pStyle w:val="BodyText"/>
        <w:rPr>
          <w:rFonts w:eastAsiaTheme="majorEastAsia"/>
        </w:rPr>
      </w:pPr>
      <w:r w:rsidRPr="008371FA">
        <w:rPr>
          <w:rFonts w:eastAsiaTheme="majorEastAsia"/>
        </w:rPr>
        <w:fldChar w:fldCharType="end"/>
      </w:r>
    </w:p>
    <w:p w14:paraId="66C890C2" w14:textId="77777777" w:rsidR="009E7921" w:rsidRPr="008371FA" w:rsidRDefault="00E8237E" w:rsidP="00B33D79">
      <w:pPr>
        <w:pStyle w:val="TOCHeading"/>
      </w:pPr>
      <w:r w:rsidRPr="008371FA">
        <w:lastRenderedPageBreak/>
        <w:t>Figures</w:t>
      </w:r>
    </w:p>
    <w:p w14:paraId="777897B9" w14:textId="763B6643" w:rsidR="0096619C" w:rsidRDefault="009B3165">
      <w:pPr>
        <w:pStyle w:val="TableofFigures"/>
        <w:rPr>
          <w:rFonts w:asciiTheme="minorHAnsi" w:eastAsiaTheme="minorEastAsia" w:hAnsiTheme="minorHAnsi"/>
          <w:kern w:val="2"/>
          <w:sz w:val="24"/>
          <w:szCs w:val="24"/>
          <w:lang w:eastAsia="en-AU"/>
          <w14:ligatures w14:val="standardContextual"/>
        </w:rPr>
      </w:pPr>
      <w:r w:rsidRPr="008371FA">
        <w:rPr>
          <w:noProof w:val="0"/>
        </w:rPr>
        <w:fldChar w:fldCharType="begin"/>
      </w:r>
      <w:r w:rsidRPr="008371FA">
        <w:rPr>
          <w:noProof w:val="0"/>
        </w:rPr>
        <w:instrText xml:space="preserve"> TOC \h \z \t "Figure Title,1" \c "Figure" </w:instrText>
      </w:r>
      <w:r w:rsidRPr="008371FA">
        <w:rPr>
          <w:noProof w:val="0"/>
        </w:rPr>
        <w:fldChar w:fldCharType="separate"/>
      </w:r>
      <w:hyperlink w:anchor="_Toc233022876" w:history="1">
        <w:r w:rsidR="0096619C" w:rsidRPr="00DA25B2">
          <w:rPr>
            <w:rStyle w:val="Hyperlink"/>
            <w:rFonts w:eastAsiaTheme="majorEastAsia"/>
          </w:rPr>
          <w:t>Figure 1</w:t>
        </w:r>
        <w:r w:rsidR="0096619C">
          <w:rPr>
            <w:rFonts w:asciiTheme="minorHAnsi" w:eastAsiaTheme="minorEastAsia" w:hAnsiTheme="minorHAnsi"/>
            <w:kern w:val="2"/>
            <w:sz w:val="24"/>
            <w:szCs w:val="24"/>
            <w:lang w:eastAsia="en-AU"/>
            <w14:ligatures w14:val="standardContextual"/>
          </w:rPr>
          <w:tab/>
        </w:r>
        <w:r w:rsidR="0096619C" w:rsidRPr="00DA25B2">
          <w:rPr>
            <w:rStyle w:val="Hyperlink"/>
            <w:rFonts w:eastAsiaTheme="majorEastAsia"/>
          </w:rPr>
          <w:t>Overview of literature search process followed for Vitamin B6 UL</w:t>
        </w:r>
        <w:r w:rsidR="0096619C">
          <w:rPr>
            <w:webHidden/>
          </w:rPr>
          <w:tab/>
        </w:r>
        <w:r w:rsidR="0096619C">
          <w:rPr>
            <w:webHidden/>
          </w:rPr>
          <w:fldChar w:fldCharType="begin"/>
        </w:r>
        <w:r w:rsidR="0096619C">
          <w:rPr>
            <w:webHidden/>
          </w:rPr>
          <w:instrText xml:space="preserve"> PAGEREF _Toc233022876 \h </w:instrText>
        </w:r>
        <w:r w:rsidR="0096619C">
          <w:rPr>
            <w:webHidden/>
          </w:rPr>
        </w:r>
        <w:r w:rsidR="0096619C">
          <w:rPr>
            <w:webHidden/>
          </w:rPr>
          <w:fldChar w:fldCharType="separate"/>
        </w:r>
        <w:r w:rsidR="00A41FEF">
          <w:rPr>
            <w:webHidden/>
          </w:rPr>
          <w:t>3</w:t>
        </w:r>
        <w:r w:rsidR="0096619C">
          <w:rPr>
            <w:webHidden/>
          </w:rPr>
          <w:fldChar w:fldCharType="end"/>
        </w:r>
      </w:hyperlink>
    </w:p>
    <w:p w14:paraId="6D1B47EF" w14:textId="68618C51" w:rsidR="0056068B" w:rsidRPr="008371FA" w:rsidRDefault="009B3165" w:rsidP="00B33D79">
      <w:pPr>
        <w:pStyle w:val="BodyText"/>
      </w:pPr>
      <w:r w:rsidRPr="008371FA">
        <w:fldChar w:fldCharType="end"/>
      </w:r>
    </w:p>
    <w:p w14:paraId="0FAE5A37" w14:textId="77777777" w:rsidR="007F3143" w:rsidRPr="008371FA" w:rsidRDefault="00B91332" w:rsidP="00B33D79">
      <w:pPr>
        <w:pStyle w:val="TOCHeading"/>
      </w:pPr>
      <w:r w:rsidRPr="008371FA">
        <w:t>Appendices</w:t>
      </w:r>
    </w:p>
    <w:p w14:paraId="72BB1850" w14:textId="77777777" w:rsidR="0096619C" w:rsidRDefault="001B4499">
      <w:pPr>
        <w:pStyle w:val="TOC1"/>
        <w:tabs>
          <w:tab w:val="left" w:pos="1680"/>
        </w:tabs>
        <w:rPr>
          <w:rFonts w:asciiTheme="minorHAnsi" w:eastAsiaTheme="minorEastAsia" w:hAnsiTheme="minorHAnsi"/>
          <w:b w:val="0"/>
          <w:kern w:val="2"/>
          <w:sz w:val="24"/>
          <w:szCs w:val="24"/>
          <w:lang w:eastAsia="en-AU"/>
          <w14:ligatures w14:val="standardContextual"/>
        </w:rPr>
      </w:pPr>
      <w:r w:rsidRPr="008371FA">
        <w:rPr>
          <w:noProof w:val="0"/>
        </w:rPr>
        <w:fldChar w:fldCharType="begin"/>
      </w:r>
      <w:r w:rsidRPr="008371FA">
        <w:rPr>
          <w:noProof w:val="0"/>
        </w:rPr>
        <w:instrText xml:space="preserve"> TOC \n \h \z \t "Heading 7,1,Heading 8,2,Heading 9,3,Subject SLR,1" </w:instrText>
      </w:r>
      <w:r w:rsidRPr="008371FA">
        <w:rPr>
          <w:noProof w:val="0"/>
        </w:rPr>
        <w:fldChar w:fldCharType="separate"/>
      </w:r>
      <w:hyperlink w:anchor="_Toc233022877" w:history="1">
        <w:r w:rsidR="0096619C" w:rsidRPr="00DF42B6">
          <w:rPr>
            <w:rStyle w:val="Hyperlink"/>
            <w:rFonts w:eastAsiaTheme="minorHAnsi"/>
          </w:rPr>
          <w:t>Appendix A</w:t>
        </w:r>
        <w:r w:rsidR="0096619C">
          <w:rPr>
            <w:rFonts w:asciiTheme="minorHAnsi" w:eastAsiaTheme="minorEastAsia" w:hAnsiTheme="minorHAnsi"/>
            <w:b w:val="0"/>
            <w:kern w:val="2"/>
            <w:sz w:val="24"/>
            <w:szCs w:val="24"/>
            <w:lang w:eastAsia="en-AU"/>
            <w14:ligatures w14:val="standardContextual"/>
          </w:rPr>
          <w:tab/>
        </w:r>
        <w:r w:rsidR="0096619C" w:rsidRPr="00DF42B6">
          <w:rPr>
            <w:rStyle w:val="Hyperlink"/>
            <w:rFonts w:eastAsiaTheme="minorHAnsi"/>
          </w:rPr>
          <w:t>Research Protocol</w:t>
        </w:r>
      </w:hyperlink>
    </w:p>
    <w:p w14:paraId="0EA0B0B3" w14:textId="77777777" w:rsidR="0096619C" w:rsidRDefault="0096619C">
      <w:pPr>
        <w:pStyle w:val="TOC1"/>
        <w:tabs>
          <w:tab w:val="left" w:pos="1680"/>
        </w:tabs>
        <w:rPr>
          <w:rFonts w:asciiTheme="minorHAnsi" w:eastAsiaTheme="minorEastAsia" w:hAnsiTheme="minorHAnsi"/>
          <w:b w:val="0"/>
          <w:kern w:val="2"/>
          <w:sz w:val="24"/>
          <w:szCs w:val="24"/>
          <w:lang w:eastAsia="en-AU"/>
          <w14:ligatures w14:val="standardContextual"/>
        </w:rPr>
      </w:pPr>
      <w:hyperlink w:anchor="_Toc233022878" w:history="1">
        <w:r w:rsidRPr="00DF42B6">
          <w:rPr>
            <w:rStyle w:val="Hyperlink"/>
            <w:rFonts w:eastAsiaTheme="minorHAnsi"/>
          </w:rPr>
          <w:t>Appendix B</w:t>
        </w:r>
        <w:r>
          <w:rPr>
            <w:rFonts w:asciiTheme="minorHAnsi" w:eastAsiaTheme="minorEastAsia" w:hAnsiTheme="minorHAnsi"/>
            <w:b w:val="0"/>
            <w:kern w:val="2"/>
            <w:sz w:val="24"/>
            <w:szCs w:val="24"/>
            <w:lang w:eastAsia="en-AU"/>
            <w14:ligatures w14:val="standardContextual"/>
          </w:rPr>
          <w:tab/>
        </w:r>
        <w:r w:rsidRPr="00DF42B6">
          <w:rPr>
            <w:rStyle w:val="Hyperlink"/>
            <w:rFonts w:eastAsiaTheme="minorHAnsi"/>
          </w:rPr>
          <w:t>Literature Search Screening Outcome Spreadsheet</w:t>
        </w:r>
      </w:hyperlink>
    </w:p>
    <w:p w14:paraId="45A76B6A" w14:textId="77777777" w:rsidR="0096619C" w:rsidRDefault="0096619C">
      <w:pPr>
        <w:pStyle w:val="TOC2"/>
        <w:rPr>
          <w:rFonts w:asciiTheme="minorHAnsi" w:eastAsiaTheme="minorEastAsia" w:hAnsiTheme="minorHAnsi"/>
          <w:kern w:val="2"/>
          <w:sz w:val="24"/>
          <w:szCs w:val="24"/>
          <w:lang w:eastAsia="en-AU"/>
          <w14:ligatures w14:val="standardContextual"/>
        </w:rPr>
      </w:pPr>
      <w:hyperlink w:anchor="_Toc233022879" w:history="1">
        <w:r w:rsidRPr="00DF42B6">
          <w:rPr>
            <w:rStyle w:val="Hyperlink"/>
            <w:rFonts w:eastAsiaTheme="minorHAnsi"/>
          </w:rPr>
          <w:t>B.1</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Included studies</w:t>
        </w:r>
      </w:hyperlink>
    </w:p>
    <w:p w14:paraId="42D097AD" w14:textId="77777777" w:rsidR="0096619C" w:rsidRDefault="0096619C">
      <w:pPr>
        <w:pStyle w:val="TOC2"/>
        <w:rPr>
          <w:rFonts w:asciiTheme="minorHAnsi" w:eastAsiaTheme="minorEastAsia" w:hAnsiTheme="minorHAnsi"/>
          <w:kern w:val="2"/>
          <w:sz w:val="24"/>
          <w:szCs w:val="24"/>
          <w:lang w:eastAsia="en-AU"/>
          <w14:ligatures w14:val="standardContextual"/>
        </w:rPr>
      </w:pPr>
      <w:hyperlink w:anchor="_Toc233022880" w:history="1">
        <w:r w:rsidRPr="00DF42B6">
          <w:rPr>
            <w:rStyle w:val="Hyperlink"/>
            <w:rFonts w:eastAsiaTheme="minorHAnsi"/>
          </w:rPr>
          <w:t>B.2</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Excluded studies – full-text review</w:t>
        </w:r>
      </w:hyperlink>
    </w:p>
    <w:p w14:paraId="57579D57" w14:textId="77777777" w:rsidR="0096619C" w:rsidRDefault="0096619C">
      <w:pPr>
        <w:pStyle w:val="TOC2"/>
        <w:rPr>
          <w:rFonts w:asciiTheme="minorHAnsi" w:eastAsiaTheme="minorEastAsia" w:hAnsiTheme="minorHAnsi"/>
          <w:kern w:val="2"/>
          <w:sz w:val="24"/>
          <w:szCs w:val="24"/>
          <w:lang w:eastAsia="en-AU"/>
          <w14:ligatures w14:val="standardContextual"/>
        </w:rPr>
      </w:pPr>
      <w:hyperlink w:anchor="_Toc233022881" w:history="1">
        <w:r w:rsidRPr="00DF42B6">
          <w:rPr>
            <w:rStyle w:val="Hyperlink"/>
            <w:rFonts w:eastAsiaTheme="minorHAnsi"/>
          </w:rPr>
          <w:t>B.3</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Irrelevant studies – results from screening titles and abstracts</w:t>
        </w:r>
      </w:hyperlink>
    </w:p>
    <w:p w14:paraId="573BF61C" w14:textId="77777777" w:rsidR="0096619C" w:rsidRDefault="0096619C">
      <w:pPr>
        <w:pStyle w:val="TOC1"/>
        <w:tabs>
          <w:tab w:val="left" w:pos="1680"/>
        </w:tabs>
        <w:rPr>
          <w:rFonts w:asciiTheme="minorHAnsi" w:eastAsiaTheme="minorEastAsia" w:hAnsiTheme="minorHAnsi"/>
          <w:b w:val="0"/>
          <w:kern w:val="2"/>
          <w:sz w:val="24"/>
          <w:szCs w:val="24"/>
          <w:lang w:eastAsia="en-AU"/>
          <w14:ligatures w14:val="standardContextual"/>
        </w:rPr>
      </w:pPr>
      <w:hyperlink w:anchor="_Toc233022882" w:history="1">
        <w:r w:rsidRPr="00DF42B6">
          <w:rPr>
            <w:rStyle w:val="Hyperlink"/>
            <w:rFonts w:eastAsiaTheme="minorHAnsi"/>
          </w:rPr>
          <w:t>Appendix C</w:t>
        </w:r>
        <w:r>
          <w:rPr>
            <w:rFonts w:asciiTheme="minorHAnsi" w:eastAsiaTheme="minorEastAsia" w:hAnsiTheme="minorHAnsi"/>
            <w:b w:val="0"/>
            <w:kern w:val="2"/>
            <w:sz w:val="24"/>
            <w:szCs w:val="24"/>
            <w:lang w:eastAsia="en-AU"/>
            <w14:ligatures w14:val="standardContextual"/>
          </w:rPr>
          <w:tab/>
        </w:r>
        <w:r w:rsidRPr="00DF42B6">
          <w:rPr>
            <w:rStyle w:val="Hyperlink"/>
            <w:rFonts w:eastAsiaTheme="minorHAnsi"/>
          </w:rPr>
          <w:t>Existing Guideline/Guidance Assessment Tables – Credibility Assessment</w:t>
        </w:r>
      </w:hyperlink>
    </w:p>
    <w:p w14:paraId="325D7267" w14:textId="77777777" w:rsidR="0096619C" w:rsidRDefault="0096619C">
      <w:pPr>
        <w:pStyle w:val="TOC2"/>
        <w:rPr>
          <w:rFonts w:asciiTheme="minorHAnsi" w:eastAsiaTheme="minorEastAsia" w:hAnsiTheme="minorHAnsi"/>
          <w:kern w:val="2"/>
          <w:sz w:val="24"/>
          <w:szCs w:val="24"/>
          <w:lang w:eastAsia="en-AU"/>
          <w14:ligatures w14:val="standardContextual"/>
        </w:rPr>
      </w:pPr>
      <w:hyperlink w:anchor="_Toc233022883" w:history="1">
        <w:r w:rsidRPr="00DF42B6">
          <w:rPr>
            <w:rStyle w:val="Hyperlink"/>
            <w:rFonts w:eastAsiaTheme="minorHAnsi"/>
          </w:rPr>
          <w:t>C.1</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Criteria for assessing existing guidance or guidelines</w:t>
        </w:r>
      </w:hyperlink>
    </w:p>
    <w:p w14:paraId="45FAB847" w14:textId="77777777" w:rsidR="0096619C" w:rsidRDefault="0096619C">
      <w:pPr>
        <w:pStyle w:val="TOC3"/>
        <w:rPr>
          <w:rFonts w:asciiTheme="minorHAnsi" w:eastAsiaTheme="minorEastAsia" w:hAnsiTheme="minorHAnsi"/>
          <w:kern w:val="2"/>
          <w:sz w:val="24"/>
          <w:szCs w:val="24"/>
          <w:lang w:eastAsia="en-AU"/>
          <w14:ligatures w14:val="standardContextual"/>
        </w:rPr>
      </w:pPr>
      <w:hyperlink w:anchor="_Toc233022884" w:history="1">
        <w:r w:rsidRPr="00DF42B6">
          <w:rPr>
            <w:rStyle w:val="Hyperlink"/>
            <w:rFonts w:eastAsiaTheme="minorHAnsi"/>
          </w:rPr>
          <w:t>C.1.1</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Overall guidance/advice development process – EFSA 2023</w:t>
        </w:r>
      </w:hyperlink>
    </w:p>
    <w:p w14:paraId="3E7C53FC" w14:textId="77777777" w:rsidR="0096619C" w:rsidRDefault="0096619C">
      <w:pPr>
        <w:pStyle w:val="TOC3"/>
        <w:rPr>
          <w:rFonts w:asciiTheme="minorHAnsi" w:eastAsiaTheme="minorEastAsia" w:hAnsiTheme="minorHAnsi"/>
          <w:kern w:val="2"/>
          <w:sz w:val="24"/>
          <w:szCs w:val="24"/>
          <w:lang w:eastAsia="en-AU"/>
          <w14:ligatures w14:val="standardContextual"/>
        </w:rPr>
      </w:pPr>
      <w:hyperlink w:anchor="_Toc233022885" w:history="1">
        <w:r w:rsidRPr="00DF42B6">
          <w:rPr>
            <w:rStyle w:val="Hyperlink"/>
            <w:rFonts w:eastAsiaTheme="minorHAnsi"/>
          </w:rPr>
          <w:t>C.1.2</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Credibility assessment – EFSA 2023</w:t>
        </w:r>
      </w:hyperlink>
    </w:p>
    <w:p w14:paraId="42AEBC5E" w14:textId="77777777" w:rsidR="0096619C" w:rsidRDefault="0096619C">
      <w:pPr>
        <w:pStyle w:val="TOC1"/>
        <w:tabs>
          <w:tab w:val="left" w:pos="1680"/>
        </w:tabs>
        <w:rPr>
          <w:rFonts w:asciiTheme="minorHAnsi" w:eastAsiaTheme="minorEastAsia" w:hAnsiTheme="minorHAnsi"/>
          <w:b w:val="0"/>
          <w:kern w:val="2"/>
          <w:sz w:val="24"/>
          <w:szCs w:val="24"/>
          <w:lang w:eastAsia="en-AU"/>
          <w14:ligatures w14:val="standardContextual"/>
        </w:rPr>
      </w:pPr>
      <w:hyperlink w:anchor="_Toc233022886" w:history="1">
        <w:r w:rsidRPr="00DF42B6">
          <w:rPr>
            <w:rStyle w:val="Hyperlink"/>
            <w:rFonts w:eastAsiaTheme="minorHAnsi"/>
          </w:rPr>
          <w:t>Appendix D</w:t>
        </w:r>
        <w:r>
          <w:rPr>
            <w:rFonts w:asciiTheme="minorHAnsi" w:eastAsiaTheme="minorEastAsia" w:hAnsiTheme="minorHAnsi"/>
            <w:b w:val="0"/>
            <w:kern w:val="2"/>
            <w:sz w:val="24"/>
            <w:szCs w:val="24"/>
            <w:lang w:eastAsia="en-AU"/>
            <w14:ligatures w14:val="standardContextual"/>
          </w:rPr>
          <w:tab/>
        </w:r>
        <w:r w:rsidRPr="00DF42B6">
          <w:rPr>
            <w:rStyle w:val="Hyperlink"/>
            <w:rFonts w:eastAsiaTheme="minorHAnsi"/>
          </w:rPr>
          <w:t>Data Extraction Tables – Health-based Guidance/Guideline</w:t>
        </w:r>
      </w:hyperlink>
    </w:p>
    <w:p w14:paraId="447D4979" w14:textId="77777777" w:rsidR="0096619C" w:rsidRDefault="0096619C">
      <w:pPr>
        <w:pStyle w:val="TOC2"/>
        <w:rPr>
          <w:rFonts w:asciiTheme="minorHAnsi" w:eastAsiaTheme="minorEastAsia" w:hAnsiTheme="minorHAnsi"/>
          <w:kern w:val="2"/>
          <w:sz w:val="24"/>
          <w:szCs w:val="24"/>
          <w:lang w:eastAsia="en-AU"/>
          <w14:ligatures w14:val="standardContextual"/>
        </w:rPr>
      </w:pPr>
      <w:hyperlink w:anchor="_Toc233022887" w:history="1">
        <w:r w:rsidRPr="00DF42B6">
          <w:rPr>
            <w:rStyle w:val="Hyperlink"/>
            <w:rFonts w:eastAsiaTheme="minorHAnsi"/>
          </w:rPr>
          <w:t>D.1</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Existing Health-based Guidance for vitamin B6</w:t>
        </w:r>
      </w:hyperlink>
    </w:p>
    <w:p w14:paraId="1578934E" w14:textId="77777777" w:rsidR="0096619C" w:rsidRDefault="0096619C">
      <w:pPr>
        <w:pStyle w:val="TOC3"/>
        <w:rPr>
          <w:rFonts w:asciiTheme="minorHAnsi" w:eastAsiaTheme="minorEastAsia" w:hAnsiTheme="minorHAnsi"/>
          <w:kern w:val="2"/>
          <w:sz w:val="24"/>
          <w:szCs w:val="24"/>
          <w:lang w:eastAsia="en-AU"/>
          <w14:ligatures w14:val="standardContextual"/>
        </w:rPr>
      </w:pPr>
      <w:hyperlink w:anchor="_Toc233022888" w:history="1">
        <w:r w:rsidRPr="00DF42B6">
          <w:rPr>
            <w:rStyle w:val="Hyperlink"/>
            <w:rFonts w:eastAsiaTheme="minorHAnsi"/>
          </w:rPr>
          <w:t>D.1.1</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EFSA 2023</w:t>
        </w:r>
      </w:hyperlink>
    </w:p>
    <w:p w14:paraId="4DB7E3D6" w14:textId="77777777" w:rsidR="0096619C" w:rsidRDefault="0096619C">
      <w:pPr>
        <w:pStyle w:val="TOC1"/>
        <w:tabs>
          <w:tab w:val="left" w:pos="1680"/>
        </w:tabs>
        <w:rPr>
          <w:rFonts w:asciiTheme="minorHAnsi" w:eastAsiaTheme="minorEastAsia" w:hAnsiTheme="minorHAnsi"/>
          <w:b w:val="0"/>
          <w:kern w:val="2"/>
          <w:sz w:val="24"/>
          <w:szCs w:val="24"/>
          <w:lang w:eastAsia="en-AU"/>
          <w14:ligatures w14:val="standardContextual"/>
        </w:rPr>
      </w:pPr>
      <w:hyperlink w:anchor="_Toc233022889" w:history="1">
        <w:r w:rsidRPr="00DF42B6">
          <w:rPr>
            <w:rStyle w:val="Hyperlink"/>
            <w:rFonts w:eastAsiaTheme="minorHAnsi"/>
          </w:rPr>
          <w:t>Appendix E</w:t>
        </w:r>
        <w:r>
          <w:rPr>
            <w:rFonts w:asciiTheme="minorHAnsi" w:eastAsiaTheme="minorEastAsia" w:hAnsiTheme="minorHAnsi"/>
            <w:b w:val="0"/>
            <w:kern w:val="2"/>
            <w:sz w:val="24"/>
            <w:szCs w:val="24"/>
            <w:lang w:eastAsia="en-AU"/>
            <w14:ligatures w14:val="standardContextual"/>
          </w:rPr>
          <w:tab/>
        </w:r>
        <w:r w:rsidRPr="00DF42B6">
          <w:rPr>
            <w:rStyle w:val="Hyperlink"/>
            <w:rFonts w:eastAsiaTheme="minorHAnsi"/>
          </w:rPr>
          <w:t>Data Extraction Tables – Evidence Review for Recent (Health-based) Studies</w:t>
        </w:r>
      </w:hyperlink>
    </w:p>
    <w:p w14:paraId="22AC740B" w14:textId="77777777" w:rsidR="0096619C" w:rsidRDefault="0096619C">
      <w:pPr>
        <w:pStyle w:val="TOC2"/>
        <w:rPr>
          <w:rFonts w:asciiTheme="minorHAnsi" w:eastAsiaTheme="minorEastAsia" w:hAnsiTheme="minorHAnsi"/>
          <w:kern w:val="2"/>
          <w:sz w:val="24"/>
          <w:szCs w:val="24"/>
          <w:lang w:eastAsia="en-AU"/>
          <w14:ligatures w14:val="standardContextual"/>
        </w:rPr>
      </w:pPr>
      <w:hyperlink w:anchor="_Toc233022890" w:history="1">
        <w:r w:rsidRPr="00DF42B6">
          <w:rPr>
            <w:rStyle w:val="Hyperlink"/>
            <w:rFonts w:eastAsiaTheme="minorHAnsi"/>
          </w:rPr>
          <w:t>E.1</w:t>
        </w:r>
      </w:hyperlink>
    </w:p>
    <w:p w14:paraId="4CEC81AB" w14:textId="77777777" w:rsidR="0096619C" w:rsidRDefault="0096619C">
      <w:pPr>
        <w:pStyle w:val="TOC3"/>
        <w:rPr>
          <w:rFonts w:asciiTheme="minorHAnsi" w:eastAsiaTheme="minorEastAsia" w:hAnsiTheme="minorHAnsi"/>
          <w:kern w:val="2"/>
          <w:sz w:val="24"/>
          <w:szCs w:val="24"/>
          <w:lang w:eastAsia="en-AU"/>
          <w14:ligatures w14:val="standardContextual"/>
        </w:rPr>
      </w:pPr>
      <w:hyperlink w:anchor="_Toc233022891" w:history="1">
        <w:r w:rsidRPr="00DF42B6">
          <w:rPr>
            <w:rStyle w:val="Hyperlink"/>
            <w:rFonts w:eastAsiaTheme="minorHAnsi"/>
          </w:rPr>
          <w:t>E.1.1</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Paluszny et al., 2023</w:t>
        </w:r>
      </w:hyperlink>
    </w:p>
    <w:p w14:paraId="28375563" w14:textId="77777777" w:rsidR="0096619C" w:rsidRDefault="0096619C">
      <w:pPr>
        <w:pStyle w:val="TOC3"/>
        <w:rPr>
          <w:rFonts w:asciiTheme="minorHAnsi" w:eastAsiaTheme="minorEastAsia" w:hAnsiTheme="minorHAnsi"/>
          <w:kern w:val="2"/>
          <w:sz w:val="24"/>
          <w:szCs w:val="24"/>
          <w:lang w:eastAsia="en-AU"/>
          <w14:ligatures w14:val="standardContextual"/>
        </w:rPr>
      </w:pPr>
      <w:hyperlink w:anchor="_Toc233022892" w:history="1">
        <w:r w:rsidRPr="00DF42B6">
          <w:rPr>
            <w:rStyle w:val="Hyperlink"/>
            <w:rFonts w:eastAsiaTheme="minorHAnsi"/>
          </w:rPr>
          <w:t>E.1.2</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Arai et al., 2023</w:t>
        </w:r>
      </w:hyperlink>
    </w:p>
    <w:p w14:paraId="6DD38FC1" w14:textId="77777777" w:rsidR="0096619C" w:rsidRDefault="0096619C">
      <w:pPr>
        <w:pStyle w:val="TOC3"/>
        <w:rPr>
          <w:rFonts w:asciiTheme="minorHAnsi" w:eastAsiaTheme="minorEastAsia" w:hAnsiTheme="minorHAnsi"/>
          <w:kern w:val="2"/>
          <w:sz w:val="24"/>
          <w:szCs w:val="24"/>
          <w:lang w:eastAsia="en-AU"/>
          <w14:ligatures w14:val="standardContextual"/>
        </w:rPr>
      </w:pPr>
      <w:hyperlink w:anchor="_Toc233022893" w:history="1">
        <w:r w:rsidRPr="00DF42B6">
          <w:rPr>
            <w:rStyle w:val="Hyperlink"/>
            <w:rFonts w:eastAsiaTheme="minorHAnsi"/>
          </w:rPr>
          <w:t>E.1.3</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Bossard et al., 2022</w:t>
        </w:r>
      </w:hyperlink>
    </w:p>
    <w:p w14:paraId="683EC251" w14:textId="77777777" w:rsidR="0096619C" w:rsidRDefault="0096619C">
      <w:pPr>
        <w:pStyle w:val="TOC3"/>
        <w:rPr>
          <w:rFonts w:asciiTheme="minorHAnsi" w:eastAsiaTheme="minorEastAsia" w:hAnsiTheme="minorHAnsi"/>
          <w:kern w:val="2"/>
          <w:sz w:val="24"/>
          <w:szCs w:val="24"/>
          <w:lang w:eastAsia="en-AU"/>
          <w14:ligatures w14:val="standardContextual"/>
        </w:rPr>
      </w:pPr>
      <w:hyperlink w:anchor="_Toc233022894" w:history="1">
        <w:r w:rsidRPr="00DF42B6">
          <w:rPr>
            <w:rStyle w:val="Hyperlink"/>
            <w:rFonts w:eastAsiaTheme="minorHAnsi"/>
          </w:rPr>
          <w:t>E.1.4</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Brands et al., 2026</w:t>
        </w:r>
      </w:hyperlink>
    </w:p>
    <w:p w14:paraId="4AB18A25" w14:textId="77777777" w:rsidR="0096619C" w:rsidRDefault="0096619C">
      <w:pPr>
        <w:pStyle w:val="TOC3"/>
        <w:rPr>
          <w:rFonts w:asciiTheme="minorHAnsi" w:eastAsiaTheme="minorEastAsia" w:hAnsiTheme="minorHAnsi"/>
          <w:kern w:val="2"/>
          <w:sz w:val="24"/>
          <w:szCs w:val="24"/>
          <w:lang w:eastAsia="en-AU"/>
          <w14:ligatures w14:val="standardContextual"/>
        </w:rPr>
      </w:pPr>
      <w:hyperlink w:anchor="_Toc233022895" w:history="1">
        <w:r w:rsidRPr="00DF42B6">
          <w:rPr>
            <w:rStyle w:val="Hyperlink"/>
            <w:rFonts w:eastAsiaTheme="minorHAnsi" w:cstheme="minorHAnsi"/>
          </w:rPr>
          <w:t>E.1.5</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cstheme="minorHAnsi"/>
          </w:rPr>
          <w:t>Gdynia et al., 2025</w:t>
        </w:r>
      </w:hyperlink>
    </w:p>
    <w:p w14:paraId="180D9CCA" w14:textId="77777777" w:rsidR="0096619C" w:rsidRDefault="0096619C">
      <w:pPr>
        <w:pStyle w:val="TOC3"/>
        <w:rPr>
          <w:rFonts w:asciiTheme="minorHAnsi" w:eastAsiaTheme="minorEastAsia" w:hAnsiTheme="minorHAnsi"/>
          <w:kern w:val="2"/>
          <w:sz w:val="24"/>
          <w:szCs w:val="24"/>
          <w:lang w:eastAsia="en-AU"/>
          <w14:ligatures w14:val="standardContextual"/>
        </w:rPr>
      </w:pPr>
      <w:hyperlink w:anchor="_Toc233022896" w:history="1">
        <w:r w:rsidRPr="00DF42B6">
          <w:rPr>
            <w:rStyle w:val="Hyperlink"/>
            <w:rFonts w:eastAsiaTheme="minorHAnsi"/>
          </w:rPr>
          <w:t>E.1.6</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Gospe, 2022</w:t>
        </w:r>
      </w:hyperlink>
    </w:p>
    <w:p w14:paraId="5D44A1B6" w14:textId="77777777" w:rsidR="0096619C" w:rsidRDefault="0096619C">
      <w:pPr>
        <w:pStyle w:val="TOC3"/>
        <w:rPr>
          <w:rFonts w:asciiTheme="minorHAnsi" w:eastAsiaTheme="minorEastAsia" w:hAnsiTheme="minorHAnsi"/>
          <w:kern w:val="2"/>
          <w:sz w:val="24"/>
          <w:szCs w:val="24"/>
          <w:lang w:eastAsia="en-AU"/>
          <w14:ligatures w14:val="standardContextual"/>
        </w:rPr>
      </w:pPr>
      <w:hyperlink w:anchor="_Toc233022897" w:history="1">
        <w:r w:rsidRPr="00DF42B6">
          <w:rPr>
            <w:rStyle w:val="Hyperlink"/>
            <w:rFonts w:eastAsiaTheme="minorHAnsi"/>
          </w:rPr>
          <w:t>E.1.7</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He et al., 2025</w:t>
        </w:r>
      </w:hyperlink>
    </w:p>
    <w:p w14:paraId="2CFCA307" w14:textId="77777777" w:rsidR="0096619C" w:rsidRDefault="0096619C">
      <w:pPr>
        <w:pStyle w:val="TOC3"/>
        <w:rPr>
          <w:rFonts w:asciiTheme="minorHAnsi" w:eastAsiaTheme="minorEastAsia" w:hAnsiTheme="minorHAnsi"/>
          <w:kern w:val="2"/>
          <w:sz w:val="24"/>
          <w:szCs w:val="24"/>
          <w:lang w:eastAsia="en-AU"/>
          <w14:ligatures w14:val="standardContextual"/>
        </w:rPr>
      </w:pPr>
      <w:hyperlink w:anchor="_Toc233022898" w:history="1">
        <w:r w:rsidRPr="00DF42B6">
          <w:rPr>
            <w:rStyle w:val="Hyperlink"/>
            <w:rFonts w:eastAsiaTheme="minorHAnsi"/>
          </w:rPr>
          <w:t>E.1.8</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cs="Arial"/>
            <w:lang w:eastAsia="en-AU"/>
          </w:rPr>
          <w:t>Kościńska</w:t>
        </w:r>
        <w:r w:rsidRPr="00DF42B6">
          <w:rPr>
            <w:rStyle w:val="Hyperlink"/>
            <w:rFonts w:eastAsiaTheme="minorHAnsi" w:cs="Arial"/>
            <w:lang w:eastAsia="en-AU"/>
          </w:rPr>
          <w:noBreakHyphen/>
          <w:t>Shukla et al.</w:t>
        </w:r>
        <w:r w:rsidRPr="00DF42B6">
          <w:rPr>
            <w:rStyle w:val="Hyperlink"/>
            <w:rFonts w:eastAsiaTheme="minorHAnsi" w:cs="Arial"/>
          </w:rPr>
          <w:t>,</w:t>
        </w:r>
        <w:r w:rsidRPr="00DF42B6">
          <w:rPr>
            <w:rStyle w:val="Hyperlink"/>
            <w:rFonts w:eastAsiaTheme="minorHAnsi"/>
          </w:rPr>
          <w:t xml:space="preserve"> 2025</w:t>
        </w:r>
      </w:hyperlink>
    </w:p>
    <w:p w14:paraId="73070A33" w14:textId="77777777" w:rsidR="0096619C" w:rsidRDefault="0096619C">
      <w:pPr>
        <w:pStyle w:val="TOC3"/>
        <w:rPr>
          <w:rFonts w:asciiTheme="minorHAnsi" w:eastAsiaTheme="minorEastAsia" w:hAnsiTheme="minorHAnsi"/>
          <w:kern w:val="2"/>
          <w:sz w:val="24"/>
          <w:szCs w:val="24"/>
          <w:lang w:eastAsia="en-AU"/>
          <w14:ligatures w14:val="standardContextual"/>
        </w:rPr>
      </w:pPr>
      <w:hyperlink w:anchor="_Toc233022899" w:history="1">
        <w:r w:rsidRPr="00DF42B6">
          <w:rPr>
            <w:rStyle w:val="Hyperlink"/>
            <w:rFonts w:eastAsiaTheme="minorHAnsi"/>
          </w:rPr>
          <w:t>E.1.9</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Lee et al., 2025</w:t>
        </w:r>
      </w:hyperlink>
    </w:p>
    <w:p w14:paraId="701F2B61" w14:textId="77777777" w:rsidR="0096619C" w:rsidRDefault="0096619C">
      <w:pPr>
        <w:pStyle w:val="TOC3"/>
        <w:tabs>
          <w:tab w:val="left" w:pos="1100"/>
        </w:tabs>
        <w:rPr>
          <w:rFonts w:asciiTheme="minorHAnsi" w:eastAsiaTheme="minorEastAsia" w:hAnsiTheme="minorHAnsi"/>
          <w:kern w:val="2"/>
          <w:sz w:val="24"/>
          <w:szCs w:val="24"/>
          <w:lang w:eastAsia="en-AU"/>
          <w14:ligatures w14:val="standardContextual"/>
        </w:rPr>
      </w:pPr>
      <w:hyperlink w:anchor="_Toc233022900" w:history="1">
        <w:r w:rsidRPr="00DF42B6">
          <w:rPr>
            <w:rStyle w:val="Hyperlink"/>
            <w:rFonts w:eastAsiaTheme="minorHAnsi"/>
          </w:rPr>
          <w:t>E.1.10</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Modica et al., 2023</w:t>
        </w:r>
      </w:hyperlink>
    </w:p>
    <w:p w14:paraId="76D014F5" w14:textId="77777777" w:rsidR="0096619C" w:rsidRDefault="0096619C">
      <w:pPr>
        <w:pStyle w:val="TOC3"/>
        <w:tabs>
          <w:tab w:val="left" w:pos="1100"/>
        </w:tabs>
        <w:rPr>
          <w:rFonts w:asciiTheme="minorHAnsi" w:eastAsiaTheme="minorEastAsia" w:hAnsiTheme="minorHAnsi"/>
          <w:kern w:val="2"/>
          <w:sz w:val="24"/>
          <w:szCs w:val="24"/>
          <w:lang w:eastAsia="en-AU"/>
          <w14:ligatures w14:val="standardContextual"/>
        </w:rPr>
      </w:pPr>
      <w:hyperlink w:anchor="_Toc233022901" w:history="1">
        <w:r w:rsidRPr="00DF42B6">
          <w:rPr>
            <w:rStyle w:val="Hyperlink"/>
            <w:rFonts w:eastAsiaTheme="minorHAnsi"/>
          </w:rPr>
          <w:t>E.1.11</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Morris et al., 2025</w:t>
        </w:r>
      </w:hyperlink>
    </w:p>
    <w:p w14:paraId="27C0EA6D" w14:textId="77777777" w:rsidR="0096619C" w:rsidRDefault="0096619C">
      <w:pPr>
        <w:pStyle w:val="TOC3"/>
        <w:tabs>
          <w:tab w:val="left" w:pos="1100"/>
        </w:tabs>
        <w:rPr>
          <w:rFonts w:asciiTheme="minorHAnsi" w:eastAsiaTheme="minorEastAsia" w:hAnsiTheme="minorHAnsi"/>
          <w:kern w:val="2"/>
          <w:sz w:val="24"/>
          <w:szCs w:val="24"/>
          <w:lang w:eastAsia="en-AU"/>
          <w14:ligatures w14:val="standardContextual"/>
        </w:rPr>
      </w:pPr>
      <w:hyperlink w:anchor="_Toc233022902" w:history="1">
        <w:r w:rsidRPr="00DF42B6">
          <w:rPr>
            <w:rStyle w:val="Hyperlink"/>
            <w:rFonts w:eastAsiaTheme="minorHAnsi" w:cs="Arial"/>
          </w:rPr>
          <w:t>E.1.12</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cs="Arial"/>
          </w:rPr>
          <w:t>Muhamad et al., 2023</w:t>
        </w:r>
      </w:hyperlink>
    </w:p>
    <w:p w14:paraId="2EEE0EF9" w14:textId="77777777" w:rsidR="0096619C" w:rsidRDefault="0096619C">
      <w:pPr>
        <w:pStyle w:val="TOC3"/>
        <w:tabs>
          <w:tab w:val="left" w:pos="1100"/>
        </w:tabs>
        <w:rPr>
          <w:rFonts w:asciiTheme="minorHAnsi" w:eastAsiaTheme="minorEastAsia" w:hAnsiTheme="minorHAnsi"/>
          <w:kern w:val="2"/>
          <w:sz w:val="24"/>
          <w:szCs w:val="24"/>
          <w:lang w:eastAsia="en-AU"/>
          <w14:ligatures w14:val="standardContextual"/>
        </w:rPr>
      </w:pPr>
      <w:hyperlink w:anchor="_Toc233022903" w:history="1">
        <w:r w:rsidRPr="00DF42B6">
          <w:rPr>
            <w:rStyle w:val="Hyperlink"/>
            <w:rFonts w:eastAsiaTheme="minorHAnsi"/>
          </w:rPr>
          <w:t>E.1.23</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Reddy 2022</w:t>
        </w:r>
      </w:hyperlink>
    </w:p>
    <w:p w14:paraId="7DC122D9" w14:textId="77777777" w:rsidR="0096619C" w:rsidRDefault="0096619C">
      <w:pPr>
        <w:pStyle w:val="TOC1"/>
        <w:tabs>
          <w:tab w:val="left" w:pos="1680"/>
        </w:tabs>
        <w:rPr>
          <w:rFonts w:asciiTheme="minorHAnsi" w:eastAsiaTheme="minorEastAsia" w:hAnsiTheme="minorHAnsi"/>
          <w:b w:val="0"/>
          <w:kern w:val="2"/>
          <w:sz w:val="24"/>
          <w:szCs w:val="24"/>
          <w:lang w:eastAsia="en-AU"/>
          <w14:ligatures w14:val="standardContextual"/>
        </w:rPr>
      </w:pPr>
      <w:hyperlink w:anchor="_Toc233022904" w:history="1">
        <w:r w:rsidRPr="00DF42B6">
          <w:rPr>
            <w:rStyle w:val="Hyperlink"/>
            <w:rFonts w:eastAsiaTheme="minorHAnsi"/>
          </w:rPr>
          <w:t>Appendix F</w:t>
        </w:r>
        <w:r>
          <w:rPr>
            <w:rFonts w:asciiTheme="minorHAnsi" w:eastAsiaTheme="minorEastAsia" w:hAnsiTheme="minorHAnsi"/>
            <w:b w:val="0"/>
            <w:kern w:val="2"/>
            <w:sz w:val="24"/>
            <w:szCs w:val="24"/>
            <w:lang w:eastAsia="en-AU"/>
            <w14:ligatures w14:val="standardContextual"/>
          </w:rPr>
          <w:tab/>
        </w:r>
        <w:r w:rsidRPr="00DF42B6">
          <w:rPr>
            <w:rStyle w:val="Hyperlink"/>
            <w:rFonts w:eastAsiaTheme="minorHAnsi"/>
          </w:rPr>
          <w:t>Risk of Bias – Assessment Tables – Evidence Review for Recent Studies</w:t>
        </w:r>
      </w:hyperlink>
    </w:p>
    <w:p w14:paraId="7562C81A" w14:textId="77777777" w:rsidR="0096619C" w:rsidRDefault="0096619C">
      <w:pPr>
        <w:pStyle w:val="TOC2"/>
        <w:rPr>
          <w:rFonts w:asciiTheme="minorHAnsi" w:eastAsiaTheme="minorEastAsia" w:hAnsiTheme="minorHAnsi"/>
          <w:kern w:val="2"/>
          <w:sz w:val="24"/>
          <w:szCs w:val="24"/>
          <w:lang w:eastAsia="en-AU"/>
          <w14:ligatures w14:val="standardContextual"/>
        </w:rPr>
      </w:pPr>
      <w:hyperlink w:anchor="_Toc233022905" w:history="1">
        <w:r w:rsidRPr="00DF42B6">
          <w:rPr>
            <w:rStyle w:val="Hyperlink"/>
            <w:rFonts w:eastAsiaTheme="minorHAnsi"/>
          </w:rPr>
          <w:t>F.1</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Risk of bias assessment summary – all new studies from evidence review</w:t>
        </w:r>
      </w:hyperlink>
    </w:p>
    <w:p w14:paraId="69A39596" w14:textId="77777777" w:rsidR="0096619C" w:rsidRDefault="0096619C">
      <w:pPr>
        <w:pStyle w:val="TOC2"/>
        <w:rPr>
          <w:rFonts w:asciiTheme="minorHAnsi" w:eastAsiaTheme="minorEastAsia" w:hAnsiTheme="minorHAnsi"/>
          <w:kern w:val="2"/>
          <w:sz w:val="24"/>
          <w:szCs w:val="24"/>
          <w:lang w:eastAsia="en-AU"/>
          <w14:ligatures w14:val="standardContextual"/>
        </w:rPr>
      </w:pPr>
      <w:hyperlink w:anchor="_Toc233022906" w:history="1">
        <w:r w:rsidRPr="00DF42B6">
          <w:rPr>
            <w:rStyle w:val="Hyperlink"/>
            <w:rFonts w:eastAsiaTheme="minorHAnsi"/>
          </w:rPr>
          <w:t>F.2</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Risk of bias assessment for individual new study from evidence review</w:t>
        </w:r>
      </w:hyperlink>
    </w:p>
    <w:p w14:paraId="43AE9D58" w14:textId="25910D26" w:rsidR="0096619C" w:rsidRDefault="0096619C">
      <w:pPr>
        <w:pStyle w:val="TOC3"/>
        <w:rPr>
          <w:rFonts w:asciiTheme="minorHAnsi" w:eastAsiaTheme="minorEastAsia" w:hAnsiTheme="minorHAnsi"/>
          <w:kern w:val="2"/>
          <w:sz w:val="24"/>
          <w:szCs w:val="24"/>
          <w:lang w:eastAsia="en-AU"/>
          <w14:ligatures w14:val="standardContextual"/>
        </w:rPr>
      </w:pPr>
      <w:hyperlink w:anchor="_Toc233022907" w:history="1">
        <w:r w:rsidRPr="00DF42B6">
          <w:rPr>
            <w:rStyle w:val="Hyperlink"/>
            <w:rFonts w:eastAsiaTheme="minorHAnsi"/>
          </w:rPr>
          <w:t>F.2.1</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Sano et al. 202</w:t>
        </w:r>
        <w:r w:rsidR="008D1458">
          <w:rPr>
            <w:rStyle w:val="Hyperlink"/>
            <w:rFonts w:eastAsiaTheme="minorHAnsi"/>
          </w:rPr>
          <w:t>2</w:t>
        </w:r>
      </w:hyperlink>
    </w:p>
    <w:p w14:paraId="1CD70A7E" w14:textId="77777777" w:rsidR="0096619C" w:rsidRDefault="0096619C">
      <w:pPr>
        <w:pStyle w:val="TOC3"/>
        <w:rPr>
          <w:rFonts w:asciiTheme="minorHAnsi" w:eastAsiaTheme="minorEastAsia" w:hAnsiTheme="minorHAnsi"/>
          <w:kern w:val="2"/>
          <w:sz w:val="24"/>
          <w:szCs w:val="24"/>
          <w:lang w:eastAsia="en-AU"/>
          <w14:ligatures w14:val="standardContextual"/>
        </w:rPr>
      </w:pPr>
      <w:hyperlink w:anchor="_Toc233022908" w:history="1">
        <w:r w:rsidRPr="00DF42B6">
          <w:rPr>
            <w:rStyle w:val="Hyperlink"/>
            <w:rFonts w:eastAsiaTheme="minorHAnsi"/>
          </w:rPr>
          <w:t>F.2.2</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Stewart et al. 2022</w:t>
        </w:r>
      </w:hyperlink>
    </w:p>
    <w:p w14:paraId="00BA4F3B" w14:textId="77777777" w:rsidR="0096619C" w:rsidRDefault="0096619C">
      <w:pPr>
        <w:pStyle w:val="TOC3"/>
        <w:rPr>
          <w:rFonts w:asciiTheme="minorHAnsi" w:eastAsiaTheme="minorEastAsia" w:hAnsiTheme="minorHAnsi"/>
          <w:kern w:val="2"/>
          <w:sz w:val="24"/>
          <w:szCs w:val="24"/>
          <w:lang w:eastAsia="en-AU"/>
          <w14:ligatures w14:val="standardContextual"/>
        </w:rPr>
      </w:pPr>
      <w:hyperlink w:anchor="_Toc233022909" w:history="1">
        <w:r w:rsidRPr="00DF42B6">
          <w:rPr>
            <w:rStyle w:val="Hyperlink"/>
            <w:rFonts w:eastAsiaTheme="minorHAnsi"/>
          </w:rPr>
          <w:t>F.2.3</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Theil et al. 2023</w:t>
        </w:r>
      </w:hyperlink>
    </w:p>
    <w:p w14:paraId="067E3A8B" w14:textId="77777777" w:rsidR="0096619C" w:rsidRDefault="0096619C">
      <w:pPr>
        <w:pStyle w:val="TOC3"/>
        <w:rPr>
          <w:rFonts w:asciiTheme="minorHAnsi" w:eastAsiaTheme="minorEastAsia" w:hAnsiTheme="minorHAnsi"/>
          <w:kern w:val="2"/>
          <w:sz w:val="24"/>
          <w:szCs w:val="24"/>
          <w:lang w:eastAsia="en-AU"/>
          <w14:ligatures w14:val="standardContextual"/>
        </w:rPr>
      </w:pPr>
      <w:hyperlink w:anchor="_Toc233022910" w:history="1">
        <w:r w:rsidRPr="00DF42B6">
          <w:rPr>
            <w:rStyle w:val="Hyperlink"/>
            <w:rFonts w:eastAsiaTheme="minorHAnsi"/>
          </w:rPr>
          <w:t>F.2.4</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vanHunsel et al. 2025</w:t>
        </w:r>
      </w:hyperlink>
    </w:p>
    <w:p w14:paraId="33988B23" w14:textId="77777777" w:rsidR="0096619C" w:rsidRDefault="0096619C">
      <w:pPr>
        <w:pStyle w:val="TOC3"/>
        <w:rPr>
          <w:rFonts w:asciiTheme="minorHAnsi" w:eastAsiaTheme="minorEastAsia" w:hAnsiTheme="minorHAnsi"/>
          <w:kern w:val="2"/>
          <w:sz w:val="24"/>
          <w:szCs w:val="24"/>
          <w:lang w:eastAsia="en-AU"/>
          <w14:ligatures w14:val="standardContextual"/>
        </w:rPr>
      </w:pPr>
      <w:hyperlink w:anchor="_Toc233022911" w:history="1">
        <w:r w:rsidRPr="00DF42B6">
          <w:rPr>
            <w:rStyle w:val="Hyperlink"/>
            <w:rFonts w:eastAsiaTheme="minorHAnsi"/>
          </w:rPr>
          <w:t>F.2.5</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Whyte et al. 2024 – not for dose – response health outcomes, for mechanistic information only</w:t>
        </w:r>
      </w:hyperlink>
    </w:p>
    <w:p w14:paraId="7E1E9C3B" w14:textId="77777777" w:rsidR="0096619C" w:rsidRDefault="0096619C">
      <w:pPr>
        <w:pStyle w:val="TOC3"/>
        <w:rPr>
          <w:rFonts w:asciiTheme="minorHAnsi" w:eastAsiaTheme="minorEastAsia" w:hAnsiTheme="minorHAnsi"/>
          <w:kern w:val="2"/>
          <w:sz w:val="24"/>
          <w:szCs w:val="24"/>
          <w:lang w:eastAsia="en-AU"/>
          <w14:ligatures w14:val="standardContextual"/>
        </w:rPr>
      </w:pPr>
      <w:hyperlink w:anchor="_Toc233022912" w:history="1">
        <w:r w:rsidRPr="00DF42B6">
          <w:rPr>
            <w:rStyle w:val="Hyperlink"/>
            <w:rFonts w:eastAsiaTheme="minorHAnsi"/>
          </w:rPr>
          <w:t>F.2.6</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Paluszny et al. 2023</w:t>
        </w:r>
      </w:hyperlink>
    </w:p>
    <w:p w14:paraId="775C6E2A" w14:textId="77777777" w:rsidR="0096619C" w:rsidRDefault="0096619C">
      <w:pPr>
        <w:pStyle w:val="TOC3"/>
        <w:rPr>
          <w:rFonts w:asciiTheme="minorHAnsi" w:eastAsiaTheme="minorEastAsia" w:hAnsiTheme="minorHAnsi"/>
          <w:kern w:val="2"/>
          <w:sz w:val="24"/>
          <w:szCs w:val="24"/>
          <w:lang w:eastAsia="en-AU"/>
          <w14:ligatures w14:val="standardContextual"/>
        </w:rPr>
      </w:pPr>
      <w:hyperlink w:anchor="_Toc233022913" w:history="1">
        <w:r w:rsidRPr="00DF42B6">
          <w:rPr>
            <w:rStyle w:val="Hyperlink"/>
            <w:rFonts w:eastAsiaTheme="minorHAnsi"/>
          </w:rPr>
          <w:t>F.2.7</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Gdynia et al. 2025</w:t>
        </w:r>
      </w:hyperlink>
    </w:p>
    <w:p w14:paraId="2FFB4B0D" w14:textId="77777777" w:rsidR="0096619C" w:rsidRDefault="0096619C">
      <w:pPr>
        <w:pStyle w:val="TOC2"/>
        <w:rPr>
          <w:rFonts w:asciiTheme="minorHAnsi" w:eastAsiaTheme="minorEastAsia" w:hAnsiTheme="minorHAnsi"/>
          <w:kern w:val="2"/>
          <w:sz w:val="24"/>
          <w:szCs w:val="24"/>
          <w:lang w:eastAsia="en-AU"/>
          <w14:ligatures w14:val="standardContextual"/>
        </w:rPr>
      </w:pPr>
      <w:hyperlink w:anchor="_Toc233022914" w:history="1">
        <w:r w:rsidRPr="00DF42B6">
          <w:rPr>
            <w:rStyle w:val="Hyperlink"/>
            <w:rFonts w:eastAsiaTheme="minorHAnsi"/>
          </w:rPr>
          <w:t>F.3</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Confidence rating (intial and overall) – grouped based on health outcomes</w:t>
        </w:r>
      </w:hyperlink>
    </w:p>
    <w:p w14:paraId="567B0D0F" w14:textId="77777777" w:rsidR="0096619C" w:rsidRDefault="0096619C">
      <w:pPr>
        <w:pStyle w:val="TOC3"/>
        <w:rPr>
          <w:rFonts w:asciiTheme="minorHAnsi" w:eastAsiaTheme="minorEastAsia" w:hAnsiTheme="minorHAnsi"/>
          <w:kern w:val="2"/>
          <w:sz w:val="24"/>
          <w:szCs w:val="24"/>
          <w:lang w:eastAsia="en-AU"/>
          <w14:ligatures w14:val="standardContextual"/>
        </w:rPr>
      </w:pPr>
      <w:hyperlink w:anchor="_Toc233022915" w:history="1">
        <w:r w:rsidRPr="00DF42B6">
          <w:rPr>
            <w:rStyle w:val="Hyperlink"/>
            <w:rFonts w:eastAsiaTheme="minorHAnsi"/>
          </w:rPr>
          <w:t>F.3.1</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Initial confidence rating</w:t>
        </w:r>
      </w:hyperlink>
    </w:p>
    <w:p w14:paraId="49B0E266" w14:textId="77777777" w:rsidR="0096619C" w:rsidRDefault="0096619C">
      <w:pPr>
        <w:pStyle w:val="TOC3"/>
        <w:rPr>
          <w:rFonts w:asciiTheme="minorHAnsi" w:eastAsiaTheme="minorEastAsia" w:hAnsiTheme="minorHAnsi"/>
          <w:kern w:val="2"/>
          <w:sz w:val="24"/>
          <w:szCs w:val="24"/>
          <w:lang w:eastAsia="en-AU"/>
          <w14:ligatures w14:val="standardContextual"/>
        </w:rPr>
      </w:pPr>
      <w:hyperlink w:anchor="_Toc233022916" w:history="1">
        <w:r w:rsidRPr="00DF42B6">
          <w:rPr>
            <w:rStyle w:val="Hyperlink"/>
            <w:rFonts w:eastAsiaTheme="minorHAnsi"/>
          </w:rPr>
          <w:t>F.3.2</w:t>
        </w:r>
        <w:r>
          <w:rPr>
            <w:rFonts w:asciiTheme="minorHAnsi" w:eastAsiaTheme="minorEastAsia" w:hAnsiTheme="minorHAnsi"/>
            <w:kern w:val="2"/>
            <w:sz w:val="24"/>
            <w:szCs w:val="24"/>
            <w:lang w:eastAsia="en-AU"/>
            <w14:ligatures w14:val="standardContextual"/>
          </w:rPr>
          <w:tab/>
        </w:r>
        <w:r w:rsidRPr="00DF42B6">
          <w:rPr>
            <w:rStyle w:val="Hyperlink"/>
            <w:rFonts w:eastAsiaTheme="minorHAnsi"/>
          </w:rPr>
          <w:t>Adjustments to the Initial Confidence in the Body of Evidence</w:t>
        </w:r>
      </w:hyperlink>
    </w:p>
    <w:p w14:paraId="0BE8EB40" w14:textId="21EA36C0" w:rsidR="00F727E1" w:rsidRPr="008371FA" w:rsidRDefault="001B4499" w:rsidP="009E7F77">
      <w:pPr>
        <w:pStyle w:val="TOC1"/>
        <w:ind w:left="1418" w:hanging="1418"/>
        <w:rPr>
          <w:noProof w:val="0"/>
        </w:rPr>
      </w:pPr>
      <w:r w:rsidRPr="008371FA">
        <w:rPr>
          <w:noProof w:val="0"/>
        </w:rPr>
        <w:fldChar w:fldCharType="end"/>
      </w:r>
    </w:p>
    <w:p w14:paraId="6552599A" w14:textId="77777777" w:rsidR="00AB37C8" w:rsidRPr="008371FA" w:rsidRDefault="00AB37C8" w:rsidP="00B33D79">
      <w:pPr>
        <w:pStyle w:val="BodyText"/>
      </w:pPr>
    </w:p>
    <w:p w14:paraId="234460C2" w14:textId="77777777" w:rsidR="007544F4" w:rsidRPr="008371FA" w:rsidRDefault="007544F4" w:rsidP="00B33D79">
      <w:pPr>
        <w:pStyle w:val="BodyText"/>
        <w:sectPr w:rsidR="007544F4" w:rsidRPr="008371FA" w:rsidSect="00627CB4">
          <w:footerReference w:type="default" r:id="rId18"/>
          <w:pgSz w:w="11909" w:h="16834" w:code="9"/>
          <w:pgMar w:top="1440" w:right="1440" w:bottom="1440" w:left="1440" w:header="576" w:footer="576" w:gutter="0"/>
          <w:pgNumType w:fmt="lowerRoman"/>
          <w:cols w:space="720"/>
          <w:docGrid w:linePitch="360"/>
        </w:sectPr>
      </w:pPr>
    </w:p>
    <w:p w14:paraId="1140C26E" w14:textId="77777777" w:rsidR="00EF61D5" w:rsidRDefault="000F3767" w:rsidP="00B33D79">
      <w:pPr>
        <w:pStyle w:val="Heading1NoNumber"/>
      </w:pPr>
      <w:bookmarkStart w:id="5" w:name="_Toc233022851"/>
      <w:r w:rsidRPr="008371FA">
        <w:lastRenderedPageBreak/>
        <w:t>Acronyms and Abbreviations</w:t>
      </w:r>
      <w:bookmarkEnd w:id="5"/>
    </w:p>
    <w:p w14:paraId="432B2084" w14:textId="77777777" w:rsidR="00E85411" w:rsidRPr="00E85411" w:rsidRDefault="00E85411" w:rsidP="00E85411">
      <w:pPr>
        <w:pStyle w:val="BodyText"/>
      </w:pPr>
    </w:p>
    <w:tbl>
      <w:tblPr>
        <w:tblStyle w:val="SLROption1"/>
        <w:tblW w:w="0" w:type="auto"/>
        <w:tblLook w:val="0480" w:firstRow="0" w:lastRow="0" w:firstColumn="1" w:lastColumn="0" w:noHBand="0" w:noVBand="1"/>
      </w:tblPr>
      <w:tblGrid>
        <w:gridCol w:w="2091"/>
        <w:gridCol w:w="6928"/>
      </w:tblGrid>
      <w:tr w:rsidR="0037433D" w:rsidRPr="008371FA" w14:paraId="4A572192" w14:textId="77777777" w:rsidTr="0037433D">
        <w:tc>
          <w:tcPr>
            <w:tcW w:w="2091" w:type="dxa"/>
            <w:tcBorders>
              <w:right w:val="single" w:sz="4" w:space="0" w:color="FFFFFF" w:themeColor="background1"/>
            </w:tcBorders>
            <w:shd w:val="clear" w:color="auto" w:fill="3C533C" w:themeFill="accent1"/>
          </w:tcPr>
          <w:p w14:paraId="1D7C20BF" w14:textId="30DAEDFF" w:rsidR="0037433D" w:rsidRPr="0037433D" w:rsidRDefault="0037433D" w:rsidP="0037433D">
            <w:pPr>
              <w:pStyle w:val="TableText"/>
              <w:rPr>
                <w:color w:val="FFFFFF" w:themeColor="background1"/>
              </w:rPr>
            </w:pPr>
            <w:r w:rsidRPr="0037433D">
              <w:rPr>
                <w:b/>
                <w:color w:val="FFFFFF" w:themeColor="background1"/>
              </w:rPr>
              <w:t>Acronym</w:t>
            </w:r>
          </w:p>
        </w:tc>
        <w:tc>
          <w:tcPr>
            <w:tcW w:w="6928" w:type="dxa"/>
            <w:tcBorders>
              <w:left w:val="single" w:sz="4" w:space="0" w:color="FFFFFF" w:themeColor="background1"/>
            </w:tcBorders>
            <w:shd w:val="clear" w:color="auto" w:fill="3C533C" w:themeFill="accent1"/>
          </w:tcPr>
          <w:p w14:paraId="3E011388" w14:textId="59E918EA" w:rsidR="0037433D" w:rsidRPr="0037433D" w:rsidRDefault="0037433D" w:rsidP="0037433D">
            <w:pPr>
              <w:pStyle w:val="TableText"/>
              <w:rPr>
                <w:color w:val="FFFFFF" w:themeColor="background1"/>
              </w:rPr>
            </w:pPr>
            <w:r w:rsidRPr="0037433D">
              <w:rPr>
                <w:b/>
                <w:color w:val="FFFFFF" w:themeColor="background1"/>
              </w:rPr>
              <w:t>Definition</w:t>
            </w:r>
          </w:p>
        </w:tc>
      </w:tr>
      <w:tr w:rsidR="00E85411" w:rsidRPr="008371FA" w14:paraId="4B7A267E" w14:textId="77777777" w:rsidTr="00767956">
        <w:tc>
          <w:tcPr>
            <w:tcW w:w="2091" w:type="dxa"/>
          </w:tcPr>
          <w:p w14:paraId="7C6FA22A" w14:textId="72D7DD9B" w:rsidR="00E85411" w:rsidRPr="00601CCB" w:rsidRDefault="00E85411" w:rsidP="00E85411">
            <w:pPr>
              <w:pStyle w:val="TableText"/>
              <w:rPr>
                <w:highlight w:val="yellow"/>
                <w:lang w:val="en-AU"/>
              </w:rPr>
            </w:pPr>
            <w:r>
              <w:t>ALDH7A1</w:t>
            </w:r>
          </w:p>
        </w:tc>
        <w:tc>
          <w:tcPr>
            <w:tcW w:w="6928" w:type="dxa"/>
          </w:tcPr>
          <w:p w14:paraId="61AD2BE7" w14:textId="5E5D7FC3" w:rsidR="00E85411" w:rsidRPr="00601CCB" w:rsidRDefault="00E85411" w:rsidP="00E85411">
            <w:pPr>
              <w:pStyle w:val="TableText"/>
              <w:rPr>
                <w:highlight w:val="yellow"/>
                <w:lang w:val="en-AU"/>
              </w:rPr>
            </w:pPr>
            <w:r>
              <w:t>Aldehyde dehydrogenase 7 family member A1</w:t>
            </w:r>
          </w:p>
        </w:tc>
      </w:tr>
      <w:tr w:rsidR="00E85411" w:rsidRPr="008371FA" w14:paraId="3FD707F8" w14:textId="77777777" w:rsidTr="00767956">
        <w:tc>
          <w:tcPr>
            <w:tcW w:w="2091" w:type="dxa"/>
          </w:tcPr>
          <w:p w14:paraId="282386FE" w14:textId="7B67D7E6" w:rsidR="00E85411" w:rsidRPr="00601CCB" w:rsidRDefault="00E85411" w:rsidP="00E85411">
            <w:pPr>
              <w:pStyle w:val="TableText"/>
              <w:rPr>
                <w:highlight w:val="yellow"/>
                <w:lang w:val="en-AU"/>
              </w:rPr>
            </w:pPr>
            <w:r>
              <w:t>AU/NZ</w:t>
            </w:r>
          </w:p>
        </w:tc>
        <w:tc>
          <w:tcPr>
            <w:tcW w:w="6928" w:type="dxa"/>
          </w:tcPr>
          <w:p w14:paraId="75FE823B" w14:textId="59D2833F" w:rsidR="00E85411" w:rsidRPr="00601CCB" w:rsidRDefault="00E85411" w:rsidP="00E85411">
            <w:pPr>
              <w:pStyle w:val="TableText"/>
              <w:rPr>
                <w:highlight w:val="yellow"/>
                <w:lang w:val="en-AU"/>
              </w:rPr>
            </w:pPr>
            <w:r>
              <w:t>Australia and New Zealand</w:t>
            </w:r>
          </w:p>
        </w:tc>
      </w:tr>
      <w:tr w:rsidR="00E85411" w:rsidRPr="008371FA" w14:paraId="7B995568" w14:textId="77777777" w:rsidTr="00767956">
        <w:tc>
          <w:tcPr>
            <w:tcW w:w="2091" w:type="dxa"/>
          </w:tcPr>
          <w:p w14:paraId="37599CB8" w14:textId="4FCEA55D" w:rsidR="00E85411" w:rsidRPr="00601CCB" w:rsidRDefault="00E85411" w:rsidP="00E85411">
            <w:pPr>
              <w:pStyle w:val="TableText"/>
              <w:rPr>
                <w:highlight w:val="yellow"/>
                <w:lang w:val="en-AU"/>
              </w:rPr>
            </w:pPr>
            <w:r>
              <w:t>bw</w:t>
            </w:r>
          </w:p>
        </w:tc>
        <w:tc>
          <w:tcPr>
            <w:tcW w:w="6928" w:type="dxa"/>
          </w:tcPr>
          <w:p w14:paraId="03DE20B4" w14:textId="45AAB202" w:rsidR="00E85411" w:rsidRPr="00601CCB" w:rsidRDefault="00E85411" w:rsidP="00E85411">
            <w:pPr>
              <w:pStyle w:val="TableText"/>
              <w:rPr>
                <w:highlight w:val="yellow"/>
                <w:lang w:val="en-AU"/>
              </w:rPr>
            </w:pPr>
            <w:r>
              <w:t>Body weight</w:t>
            </w:r>
          </w:p>
        </w:tc>
      </w:tr>
      <w:tr w:rsidR="00E85411" w:rsidRPr="008371FA" w14:paraId="3F2EE30D" w14:textId="77777777" w:rsidTr="00767956">
        <w:tc>
          <w:tcPr>
            <w:tcW w:w="2091" w:type="dxa"/>
          </w:tcPr>
          <w:p w14:paraId="446E6394" w14:textId="1713BA40" w:rsidR="00E85411" w:rsidRPr="00601CCB" w:rsidRDefault="00E85411" w:rsidP="00E85411">
            <w:pPr>
              <w:pStyle w:val="TableText"/>
              <w:rPr>
                <w:highlight w:val="yellow"/>
                <w:lang w:val="en-AU"/>
              </w:rPr>
            </w:pPr>
            <w:r>
              <w:t>CBS</w:t>
            </w:r>
          </w:p>
        </w:tc>
        <w:tc>
          <w:tcPr>
            <w:tcW w:w="6928" w:type="dxa"/>
          </w:tcPr>
          <w:p w14:paraId="59EEF4B6" w14:textId="6ADCF659" w:rsidR="00E85411" w:rsidRPr="00601CCB" w:rsidRDefault="00E85411" w:rsidP="00E85411">
            <w:pPr>
              <w:pStyle w:val="TableText"/>
              <w:rPr>
                <w:highlight w:val="yellow"/>
                <w:lang w:val="en-AU"/>
              </w:rPr>
            </w:pPr>
            <w:r>
              <w:t>Cystathionine beta-synthase</w:t>
            </w:r>
          </w:p>
        </w:tc>
      </w:tr>
      <w:tr w:rsidR="00E85411" w:rsidRPr="008371FA" w14:paraId="72D37B88" w14:textId="77777777" w:rsidTr="00767956">
        <w:tc>
          <w:tcPr>
            <w:tcW w:w="2091" w:type="dxa"/>
          </w:tcPr>
          <w:p w14:paraId="04C94A02" w14:textId="3C20B72B" w:rsidR="00E85411" w:rsidRPr="00601CCB" w:rsidRDefault="00E85411" w:rsidP="00E85411">
            <w:pPr>
              <w:pStyle w:val="TableText"/>
              <w:rPr>
                <w:highlight w:val="yellow"/>
                <w:lang w:val="en-AU"/>
              </w:rPr>
            </w:pPr>
            <w:r>
              <w:t>CIAP</w:t>
            </w:r>
          </w:p>
        </w:tc>
        <w:tc>
          <w:tcPr>
            <w:tcW w:w="6928" w:type="dxa"/>
          </w:tcPr>
          <w:p w14:paraId="3928F1DD" w14:textId="4E1FBD2B" w:rsidR="00E85411" w:rsidRPr="00601CCB" w:rsidRDefault="00E85411" w:rsidP="00E85411">
            <w:pPr>
              <w:pStyle w:val="TableText"/>
              <w:rPr>
                <w:highlight w:val="yellow"/>
                <w:lang w:val="en-AU"/>
              </w:rPr>
            </w:pPr>
            <w:r>
              <w:t>Chronic idiopathic axonal polyneuropathy</w:t>
            </w:r>
          </w:p>
        </w:tc>
      </w:tr>
      <w:tr w:rsidR="00E85411" w:rsidRPr="008371FA" w14:paraId="3A628DA8" w14:textId="77777777" w:rsidTr="00767956">
        <w:tc>
          <w:tcPr>
            <w:tcW w:w="2091" w:type="dxa"/>
          </w:tcPr>
          <w:p w14:paraId="08986D50" w14:textId="7997522A" w:rsidR="00E85411" w:rsidRPr="00601CCB" w:rsidRDefault="00E85411" w:rsidP="00E85411">
            <w:pPr>
              <w:pStyle w:val="TableText"/>
              <w:rPr>
                <w:highlight w:val="yellow"/>
              </w:rPr>
            </w:pPr>
            <w:r>
              <w:t>CNS</w:t>
            </w:r>
          </w:p>
        </w:tc>
        <w:tc>
          <w:tcPr>
            <w:tcW w:w="6928" w:type="dxa"/>
          </w:tcPr>
          <w:p w14:paraId="5AA656F3" w14:textId="3D38093F" w:rsidR="00E85411" w:rsidRPr="00601CCB" w:rsidRDefault="00E85411" w:rsidP="00E85411">
            <w:pPr>
              <w:pStyle w:val="TableText"/>
              <w:rPr>
                <w:highlight w:val="yellow"/>
              </w:rPr>
            </w:pPr>
            <w:r>
              <w:t>Central nervous system</w:t>
            </w:r>
          </w:p>
        </w:tc>
      </w:tr>
      <w:tr w:rsidR="00E85411" w:rsidRPr="008371FA" w14:paraId="678D7B03" w14:textId="77777777" w:rsidTr="00767956">
        <w:tc>
          <w:tcPr>
            <w:tcW w:w="2091" w:type="dxa"/>
          </w:tcPr>
          <w:p w14:paraId="3636FEDA" w14:textId="0858EE17" w:rsidR="00E85411" w:rsidRPr="00601CCB" w:rsidRDefault="00E85411" w:rsidP="00E85411">
            <w:pPr>
              <w:pStyle w:val="TableText"/>
              <w:rPr>
                <w:highlight w:val="yellow"/>
                <w:lang w:val="en-AU"/>
              </w:rPr>
            </w:pPr>
            <w:r>
              <w:t>DRG</w:t>
            </w:r>
          </w:p>
        </w:tc>
        <w:tc>
          <w:tcPr>
            <w:tcW w:w="6928" w:type="dxa"/>
          </w:tcPr>
          <w:p w14:paraId="76DBC124" w14:textId="56B2AF89" w:rsidR="00E85411" w:rsidRPr="00601CCB" w:rsidRDefault="00E85411" w:rsidP="00E85411">
            <w:pPr>
              <w:pStyle w:val="TableText"/>
              <w:rPr>
                <w:highlight w:val="yellow"/>
                <w:lang w:val="en-AU"/>
              </w:rPr>
            </w:pPr>
            <w:r>
              <w:t>Dorsal root ganglia</w:t>
            </w:r>
          </w:p>
        </w:tc>
      </w:tr>
      <w:tr w:rsidR="00E85411" w:rsidRPr="008371FA" w14:paraId="47B3771F" w14:textId="77777777" w:rsidTr="00767956">
        <w:tc>
          <w:tcPr>
            <w:tcW w:w="2091" w:type="dxa"/>
          </w:tcPr>
          <w:p w14:paraId="39B50286" w14:textId="0033DE92" w:rsidR="00E85411" w:rsidRPr="00601CCB" w:rsidRDefault="00E85411" w:rsidP="00E85411">
            <w:pPr>
              <w:pStyle w:val="TableText"/>
              <w:rPr>
                <w:highlight w:val="yellow"/>
                <w:lang w:val="en-AU"/>
              </w:rPr>
            </w:pPr>
            <w:r>
              <w:t>EFSA</w:t>
            </w:r>
          </w:p>
        </w:tc>
        <w:tc>
          <w:tcPr>
            <w:tcW w:w="6928" w:type="dxa"/>
          </w:tcPr>
          <w:p w14:paraId="702E9FC0" w14:textId="60EE3CC3" w:rsidR="00E85411" w:rsidRPr="00601CCB" w:rsidRDefault="00E85411" w:rsidP="00E85411">
            <w:pPr>
              <w:pStyle w:val="TableText"/>
              <w:rPr>
                <w:highlight w:val="yellow"/>
                <w:lang w:val="en-AU"/>
              </w:rPr>
            </w:pPr>
            <w:r>
              <w:t>European Food Safety Authority</w:t>
            </w:r>
          </w:p>
        </w:tc>
      </w:tr>
      <w:tr w:rsidR="00E85411" w:rsidRPr="008371FA" w14:paraId="2E1D6200" w14:textId="77777777" w:rsidTr="00767956">
        <w:tc>
          <w:tcPr>
            <w:tcW w:w="2091" w:type="dxa"/>
          </w:tcPr>
          <w:p w14:paraId="4AEDA92B" w14:textId="139739C5" w:rsidR="00E85411" w:rsidRPr="00601CCB" w:rsidRDefault="00E85411" w:rsidP="00E85411">
            <w:pPr>
              <w:pStyle w:val="TableText"/>
              <w:rPr>
                <w:highlight w:val="yellow"/>
                <w:lang w:val="en-AU"/>
              </w:rPr>
            </w:pPr>
            <w:r>
              <w:t>EU</w:t>
            </w:r>
          </w:p>
        </w:tc>
        <w:tc>
          <w:tcPr>
            <w:tcW w:w="6928" w:type="dxa"/>
          </w:tcPr>
          <w:p w14:paraId="1A7FA659" w14:textId="2B8FF83C" w:rsidR="00E85411" w:rsidRPr="00601CCB" w:rsidRDefault="00E85411" w:rsidP="00E85411">
            <w:pPr>
              <w:pStyle w:val="TableText"/>
              <w:rPr>
                <w:highlight w:val="yellow"/>
                <w:lang w:val="en-AU"/>
              </w:rPr>
            </w:pPr>
            <w:r>
              <w:t>European Union</w:t>
            </w:r>
          </w:p>
        </w:tc>
      </w:tr>
      <w:tr w:rsidR="00E85411" w:rsidRPr="008371FA" w14:paraId="35B4D327" w14:textId="77777777" w:rsidTr="00767956">
        <w:tc>
          <w:tcPr>
            <w:tcW w:w="2091" w:type="dxa"/>
          </w:tcPr>
          <w:p w14:paraId="739DD58C" w14:textId="091321A6" w:rsidR="00E85411" w:rsidRPr="00601CCB" w:rsidRDefault="00E85411" w:rsidP="00E85411">
            <w:pPr>
              <w:pStyle w:val="TableText"/>
              <w:rPr>
                <w:highlight w:val="yellow"/>
                <w:lang w:val="en-AU"/>
              </w:rPr>
            </w:pPr>
            <w:r>
              <w:t>EVM</w:t>
            </w:r>
          </w:p>
        </w:tc>
        <w:tc>
          <w:tcPr>
            <w:tcW w:w="6928" w:type="dxa"/>
          </w:tcPr>
          <w:p w14:paraId="0916407E" w14:textId="3DFE80E5" w:rsidR="00E85411" w:rsidRPr="00601CCB" w:rsidRDefault="00E85411" w:rsidP="00E85411">
            <w:pPr>
              <w:pStyle w:val="TableText"/>
              <w:rPr>
                <w:highlight w:val="yellow"/>
                <w:lang w:val="en-AU"/>
              </w:rPr>
            </w:pPr>
            <w:r>
              <w:t>Expert Group on Vitamins and Minerals</w:t>
            </w:r>
          </w:p>
        </w:tc>
      </w:tr>
      <w:tr w:rsidR="00E85411" w:rsidRPr="008371FA" w14:paraId="6C461A04" w14:textId="77777777" w:rsidTr="00767956">
        <w:tc>
          <w:tcPr>
            <w:tcW w:w="2091" w:type="dxa"/>
          </w:tcPr>
          <w:p w14:paraId="1A0B94E7" w14:textId="7666901B" w:rsidR="00E85411" w:rsidRPr="00601CCB" w:rsidRDefault="00E85411" w:rsidP="00E85411">
            <w:pPr>
              <w:pStyle w:val="TableText"/>
              <w:rPr>
                <w:highlight w:val="yellow"/>
              </w:rPr>
            </w:pPr>
            <w:r>
              <w:t>FAO</w:t>
            </w:r>
          </w:p>
        </w:tc>
        <w:tc>
          <w:tcPr>
            <w:tcW w:w="6928" w:type="dxa"/>
          </w:tcPr>
          <w:p w14:paraId="495C12B2" w14:textId="57B35D0F" w:rsidR="00E85411" w:rsidRPr="00601CCB" w:rsidRDefault="00E85411" w:rsidP="00E85411">
            <w:pPr>
              <w:pStyle w:val="TableText"/>
              <w:rPr>
                <w:highlight w:val="yellow"/>
              </w:rPr>
            </w:pPr>
            <w:r>
              <w:t>Food and Agriculture Organization of the United Nations</w:t>
            </w:r>
          </w:p>
        </w:tc>
      </w:tr>
      <w:tr w:rsidR="00E85411" w:rsidRPr="008371FA" w14:paraId="01C5F17F" w14:textId="77777777" w:rsidTr="00767956">
        <w:tc>
          <w:tcPr>
            <w:tcW w:w="2091" w:type="dxa"/>
          </w:tcPr>
          <w:p w14:paraId="70F56F40" w14:textId="6F686854" w:rsidR="00E85411" w:rsidRPr="00601CCB" w:rsidRDefault="00E85411" w:rsidP="00E85411">
            <w:pPr>
              <w:pStyle w:val="TableText"/>
              <w:rPr>
                <w:highlight w:val="yellow"/>
              </w:rPr>
            </w:pPr>
            <w:r>
              <w:t>FSANZ</w:t>
            </w:r>
          </w:p>
        </w:tc>
        <w:tc>
          <w:tcPr>
            <w:tcW w:w="6928" w:type="dxa"/>
          </w:tcPr>
          <w:p w14:paraId="12B9ED01" w14:textId="13774FF6" w:rsidR="00E85411" w:rsidRPr="00601CCB" w:rsidRDefault="00E85411" w:rsidP="00E85411">
            <w:pPr>
              <w:pStyle w:val="TableText"/>
              <w:rPr>
                <w:highlight w:val="yellow"/>
              </w:rPr>
            </w:pPr>
            <w:r>
              <w:t>Food Standards Australia New Zealand</w:t>
            </w:r>
          </w:p>
        </w:tc>
      </w:tr>
      <w:tr w:rsidR="00E85411" w:rsidRPr="008371FA" w14:paraId="5A1F0FAC" w14:textId="77777777" w:rsidTr="00767956">
        <w:tc>
          <w:tcPr>
            <w:tcW w:w="2091" w:type="dxa"/>
          </w:tcPr>
          <w:p w14:paraId="0991A3F0" w14:textId="34FCBBA3" w:rsidR="00E85411" w:rsidRPr="00601CCB" w:rsidRDefault="00E85411" w:rsidP="00E85411">
            <w:pPr>
              <w:pStyle w:val="TableText"/>
              <w:rPr>
                <w:highlight w:val="yellow"/>
                <w:lang w:val="en-AU"/>
              </w:rPr>
            </w:pPr>
            <w:r>
              <w:t>GABA</w:t>
            </w:r>
          </w:p>
        </w:tc>
        <w:tc>
          <w:tcPr>
            <w:tcW w:w="6928" w:type="dxa"/>
          </w:tcPr>
          <w:p w14:paraId="334ADD78" w14:textId="5EB730A8" w:rsidR="00E85411" w:rsidRPr="00601CCB" w:rsidRDefault="00E85411" w:rsidP="00E85411">
            <w:pPr>
              <w:pStyle w:val="TableText"/>
              <w:rPr>
                <w:highlight w:val="yellow"/>
                <w:lang w:val="en-AU"/>
              </w:rPr>
            </w:pPr>
            <w:r>
              <w:t>Gamma-aminobutyric acid</w:t>
            </w:r>
          </w:p>
        </w:tc>
      </w:tr>
      <w:tr w:rsidR="00E85411" w:rsidRPr="008371FA" w14:paraId="30559BA8" w14:textId="77777777" w:rsidTr="00767956">
        <w:tc>
          <w:tcPr>
            <w:tcW w:w="2091" w:type="dxa"/>
          </w:tcPr>
          <w:p w14:paraId="1A7E9261" w14:textId="06BABDDC" w:rsidR="00E85411" w:rsidRPr="00601CCB" w:rsidRDefault="00E85411" w:rsidP="00E85411">
            <w:pPr>
              <w:pStyle w:val="TableText"/>
              <w:rPr>
                <w:highlight w:val="yellow"/>
                <w:lang w:val="en-AU"/>
              </w:rPr>
            </w:pPr>
            <w:r>
              <w:t>GRADE</w:t>
            </w:r>
          </w:p>
        </w:tc>
        <w:tc>
          <w:tcPr>
            <w:tcW w:w="6928" w:type="dxa"/>
          </w:tcPr>
          <w:p w14:paraId="04C262D1" w14:textId="45124EDA" w:rsidR="00E85411" w:rsidRPr="00601CCB" w:rsidRDefault="00E85411" w:rsidP="00E85411">
            <w:pPr>
              <w:pStyle w:val="TableText"/>
              <w:rPr>
                <w:highlight w:val="yellow"/>
                <w:lang w:val="en-AU"/>
              </w:rPr>
            </w:pPr>
            <w:r>
              <w:t>Grading of Recommendations, Assessment, Development and Evaluations</w:t>
            </w:r>
          </w:p>
        </w:tc>
      </w:tr>
      <w:tr w:rsidR="00E85411" w:rsidRPr="008371FA" w14:paraId="76348F5B" w14:textId="77777777" w:rsidTr="00767956">
        <w:tc>
          <w:tcPr>
            <w:tcW w:w="2091" w:type="dxa"/>
          </w:tcPr>
          <w:p w14:paraId="4AB4D945" w14:textId="468C799C" w:rsidR="00E85411" w:rsidRPr="00601CCB" w:rsidRDefault="00E85411" w:rsidP="00E85411">
            <w:pPr>
              <w:pStyle w:val="TableText"/>
              <w:rPr>
                <w:highlight w:val="yellow"/>
                <w:lang w:val="en-AU"/>
              </w:rPr>
            </w:pPr>
            <w:r>
              <w:t>HCC</w:t>
            </w:r>
          </w:p>
        </w:tc>
        <w:tc>
          <w:tcPr>
            <w:tcW w:w="6928" w:type="dxa"/>
          </w:tcPr>
          <w:p w14:paraId="1700010A" w14:textId="16222DB7" w:rsidR="00E85411" w:rsidRPr="00601CCB" w:rsidRDefault="00E85411" w:rsidP="00E85411">
            <w:pPr>
              <w:pStyle w:val="TableText"/>
              <w:rPr>
                <w:highlight w:val="yellow"/>
                <w:lang w:val="en-AU"/>
              </w:rPr>
            </w:pPr>
            <w:r>
              <w:t>Hepatocellular carcinoma</w:t>
            </w:r>
          </w:p>
        </w:tc>
      </w:tr>
      <w:tr w:rsidR="00E85411" w:rsidRPr="008371FA" w14:paraId="226332B4" w14:textId="77777777" w:rsidTr="00767956">
        <w:tc>
          <w:tcPr>
            <w:tcW w:w="2091" w:type="dxa"/>
          </w:tcPr>
          <w:p w14:paraId="2F292FA9" w14:textId="16057BDB" w:rsidR="00E85411" w:rsidRPr="00601CCB" w:rsidRDefault="00E85411" w:rsidP="00E85411">
            <w:pPr>
              <w:pStyle w:val="TableText"/>
              <w:rPr>
                <w:highlight w:val="yellow"/>
                <w:lang w:val="en-AU"/>
              </w:rPr>
            </w:pPr>
            <w:r>
              <w:t>HPP</w:t>
            </w:r>
          </w:p>
        </w:tc>
        <w:tc>
          <w:tcPr>
            <w:tcW w:w="6928" w:type="dxa"/>
          </w:tcPr>
          <w:p w14:paraId="5A163E5C" w14:textId="6B6D505B" w:rsidR="00E85411" w:rsidRPr="00601CCB" w:rsidRDefault="00E85411" w:rsidP="00E85411">
            <w:pPr>
              <w:pStyle w:val="TableText"/>
              <w:rPr>
                <w:highlight w:val="yellow"/>
                <w:lang w:val="en-AU"/>
              </w:rPr>
            </w:pPr>
            <w:r>
              <w:t>Hypophosphatasia</w:t>
            </w:r>
          </w:p>
        </w:tc>
      </w:tr>
      <w:tr w:rsidR="00E85411" w:rsidRPr="008371FA" w14:paraId="293C42AA" w14:textId="77777777" w:rsidTr="00767956">
        <w:tc>
          <w:tcPr>
            <w:tcW w:w="2091" w:type="dxa"/>
          </w:tcPr>
          <w:p w14:paraId="7EBC92E5" w14:textId="34B33C94" w:rsidR="00E85411" w:rsidRPr="00601CCB" w:rsidRDefault="00E85411" w:rsidP="00E85411">
            <w:pPr>
              <w:pStyle w:val="TableText"/>
              <w:rPr>
                <w:highlight w:val="yellow"/>
                <w:lang w:val="en-AU"/>
              </w:rPr>
            </w:pPr>
            <w:r>
              <w:t>IOM</w:t>
            </w:r>
          </w:p>
        </w:tc>
        <w:tc>
          <w:tcPr>
            <w:tcW w:w="6928" w:type="dxa"/>
          </w:tcPr>
          <w:p w14:paraId="235C5BD8" w14:textId="5B27CCDC" w:rsidR="00E85411" w:rsidRPr="00601CCB" w:rsidRDefault="00E85411" w:rsidP="00E85411">
            <w:pPr>
              <w:pStyle w:val="TableText"/>
              <w:rPr>
                <w:highlight w:val="yellow"/>
                <w:lang w:val="en-AU"/>
              </w:rPr>
            </w:pPr>
            <w:r>
              <w:t>Institute of Medicine</w:t>
            </w:r>
          </w:p>
        </w:tc>
      </w:tr>
      <w:tr w:rsidR="00E85411" w:rsidRPr="008371FA" w14:paraId="4D94F453" w14:textId="77777777" w:rsidTr="00767956">
        <w:tc>
          <w:tcPr>
            <w:tcW w:w="2091" w:type="dxa"/>
          </w:tcPr>
          <w:p w14:paraId="13984A2A" w14:textId="4CB302B1" w:rsidR="00E85411" w:rsidRPr="00601CCB" w:rsidRDefault="00E85411" w:rsidP="00E85411">
            <w:pPr>
              <w:pStyle w:val="TableText"/>
              <w:rPr>
                <w:highlight w:val="yellow"/>
                <w:lang w:val="en-AU"/>
              </w:rPr>
            </w:pPr>
            <w:r>
              <w:t>JECFA</w:t>
            </w:r>
          </w:p>
        </w:tc>
        <w:tc>
          <w:tcPr>
            <w:tcW w:w="6928" w:type="dxa"/>
          </w:tcPr>
          <w:p w14:paraId="5461F8DC" w14:textId="0A7B1E57" w:rsidR="00E85411" w:rsidRPr="00601CCB" w:rsidRDefault="00E85411" w:rsidP="00E85411">
            <w:pPr>
              <w:pStyle w:val="TableText"/>
              <w:rPr>
                <w:highlight w:val="yellow"/>
                <w:lang w:val="en-AU"/>
              </w:rPr>
            </w:pPr>
            <w:r>
              <w:t>Joint FAO/WHO Expert Committee on Food Additives</w:t>
            </w:r>
          </w:p>
        </w:tc>
      </w:tr>
      <w:tr w:rsidR="00E85411" w:rsidRPr="008371FA" w14:paraId="26AFF3FB" w14:textId="77777777" w:rsidTr="00767956">
        <w:tc>
          <w:tcPr>
            <w:tcW w:w="2091" w:type="dxa"/>
          </w:tcPr>
          <w:p w14:paraId="29184498" w14:textId="16207451" w:rsidR="00E85411" w:rsidRPr="00601CCB" w:rsidRDefault="00E85411" w:rsidP="00E85411">
            <w:pPr>
              <w:pStyle w:val="TableText"/>
              <w:rPr>
                <w:highlight w:val="yellow"/>
                <w:lang w:val="en-AU"/>
              </w:rPr>
            </w:pPr>
            <w:r>
              <w:t>LOAEL</w:t>
            </w:r>
          </w:p>
        </w:tc>
        <w:tc>
          <w:tcPr>
            <w:tcW w:w="6928" w:type="dxa"/>
          </w:tcPr>
          <w:p w14:paraId="230C373D" w14:textId="761B004B" w:rsidR="00E85411" w:rsidRPr="00601CCB" w:rsidRDefault="00E85411" w:rsidP="00E85411">
            <w:pPr>
              <w:pStyle w:val="TableText"/>
              <w:rPr>
                <w:highlight w:val="yellow"/>
                <w:lang w:val="en-AU"/>
              </w:rPr>
            </w:pPr>
            <w:r>
              <w:t>Lowest-observed-adverse-effect level</w:t>
            </w:r>
          </w:p>
        </w:tc>
      </w:tr>
      <w:tr w:rsidR="00E85411" w:rsidRPr="008371FA" w14:paraId="2FB7F93D" w14:textId="77777777" w:rsidTr="00767956">
        <w:tc>
          <w:tcPr>
            <w:tcW w:w="2091" w:type="dxa"/>
          </w:tcPr>
          <w:p w14:paraId="10F1C91A" w14:textId="74D26D49" w:rsidR="00E85411" w:rsidRPr="00601CCB" w:rsidRDefault="00E85411" w:rsidP="00E85411">
            <w:pPr>
              <w:pStyle w:val="TableText"/>
              <w:rPr>
                <w:highlight w:val="yellow"/>
                <w:lang w:val="en-AU"/>
              </w:rPr>
            </w:pPr>
            <w:r>
              <w:t>MeSH</w:t>
            </w:r>
          </w:p>
        </w:tc>
        <w:tc>
          <w:tcPr>
            <w:tcW w:w="6928" w:type="dxa"/>
          </w:tcPr>
          <w:p w14:paraId="26BCAFFB" w14:textId="47B79184" w:rsidR="00E85411" w:rsidRPr="00601CCB" w:rsidRDefault="00E85411" w:rsidP="00E85411">
            <w:pPr>
              <w:pStyle w:val="TableText"/>
              <w:rPr>
                <w:highlight w:val="yellow"/>
                <w:lang w:val="en-AU"/>
              </w:rPr>
            </w:pPr>
            <w:r>
              <w:t>Medical Subject Headings</w:t>
            </w:r>
          </w:p>
        </w:tc>
      </w:tr>
      <w:tr w:rsidR="00E85411" w:rsidRPr="008371FA" w14:paraId="731330B5" w14:textId="77777777" w:rsidTr="00767956">
        <w:tc>
          <w:tcPr>
            <w:tcW w:w="2091" w:type="dxa"/>
          </w:tcPr>
          <w:p w14:paraId="57E0F5BC" w14:textId="069E030C" w:rsidR="00E85411" w:rsidRPr="00601CCB" w:rsidRDefault="00E85411" w:rsidP="00E85411">
            <w:pPr>
              <w:pStyle w:val="TableText"/>
              <w:rPr>
                <w:highlight w:val="yellow"/>
                <w:lang w:val="en-AU"/>
              </w:rPr>
            </w:pPr>
            <w:r>
              <w:t>NHMRC</w:t>
            </w:r>
          </w:p>
        </w:tc>
        <w:tc>
          <w:tcPr>
            <w:tcW w:w="6928" w:type="dxa"/>
          </w:tcPr>
          <w:p w14:paraId="6C401FDC" w14:textId="76E78A78" w:rsidR="00E85411" w:rsidRPr="00601CCB" w:rsidRDefault="00E85411" w:rsidP="00E85411">
            <w:pPr>
              <w:pStyle w:val="TableText"/>
              <w:rPr>
                <w:highlight w:val="yellow"/>
                <w:lang w:val="en-AU"/>
              </w:rPr>
            </w:pPr>
            <w:r>
              <w:t>National Health and Medical Research Council</w:t>
            </w:r>
          </w:p>
        </w:tc>
      </w:tr>
      <w:tr w:rsidR="00E85411" w:rsidRPr="008371FA" w14:paraId="67B18F9D" w14:textId="77777777" w:rsidTr="00767956">
        <w:tc>
          <w:tcPr>
            <w:tcW w:w="2091" w:type="dxa"/>
          </w:tcPr>
          <w:p w14:paraId="4DF41558" w14:textId="06FEA036" w:rsidR="00E85411" w:rsidRPr="00601CCB" w:rsidRDefault="00E85411" w:rsidP="00E85411">
            <w:pPr>
              <w:pStyle w:val="TableText"/>
              <w:rPr>
                <w:highlight w:val="yellow"/>
                <w:lang w:val="en-AU"/>
              </w:rPr>
            </w:pPr>
            <w:r>
              <w:t>NOAEL</w:t>
            </w:r>
          </w:p>
        </w:tc>
        <w:tc>
          <w:tcPr>
            <w:tcW w:w="6928" w:type="dxa"/>
          </w:tcPr>
          <w:p w14:paraId="27E3C2B6" w14:textId="7154EFE3" w:rsidR="00E85411" w:rsidRPr="00601CCB" w:rsidRDefault="00E85411" w:rsidP="00E85411">
            <w:pPr>
              <w:pStyle w:val="TableText"/>
              <w:rPr>
                <w:highlight w:val="yellow"/>
                <w:lang w:val="en-AU"/>
              </w:rPr>
            </w:pPr>
            <w:r>
              <w:t>No-observed-adverse-effect level</w:t>
            </w:r>
          </w:p>
        </w:tc>
      </w:tr>
      <w:tr w:rsidR="00E85411" w:rsidRPr="008371FA" w14:paraId="193D696E" w14:textId="77777777" w:rsidTr="00767956">
        <w:tc>
          <w:tcPr>
            <w:tcW w:w="2091" w:type="dxa"/>
          </w:tcPr>
          <w:p w14:paraId="0FC2476F" w14:textId="47982B62" w:rsidR="00E85411" w:rsidRPr="00601CCB" w:rsidRDefault="00E85411" w:rsidP="00E85411">
            <w:pPr>
              <w:pStyle w:val="TableText"/>
              <w:rPr>
                <w:highlight w:val="yellow"/>
                <w:lang w:val="en-AU"/>
              </w:rPr>
            </w:pPr>
            <w:r>
              <w:t>NRV</w:t>
            </w:r>
          </w:p>
        </w:tc>
        <w:tc>
          <w:tcPr>
            <w:tcW w:w="6928" w:type="dxa"/>
          </w:tcPr>
          <w:p w14:paraId="2B3B33C2" w14:textId="33C51C27" w:rsidR="00E85411" w:rsidRPr="00601CCB" w:rsidRDefault="00E85411" w:rsidP="00E85411">
            <w:pPr>
              <w:pStyle w:val="TableText"/>
              <w:rPr>
                <w:highlight w:val="yellow"/>
                <w:lang w:val="en-AU"/>
              </w:rPr>
            </w:pPr>
            <w:r>
              <w:t>Nutrient Reference Value</w:t>
            </w:r>
          </w:p>
        </w:tc>
      </w:tr>
      <w:tr w:rsidR="00E85411" w:rsidRPr="008371FA" w14:paraId="4A709BC0" w14:textId="77777777" w:rsidTr="00767956">
        <w:tc>
          <w:tcPr>
            <w:tcW w:w="2091" w:type="dxa"/>
          </w:tcPr>
          <w:p w14:paraId="5D7191F7" w14:textId="506C646B" w:rsidR="00E85411" w:rsidRPr="00601CCB" w:rsidRDefault="00E85411" w:rsidP="00E85411">
            <w:pPr>
              <w:pStyle w:val="TableText"/>
              <w:rPr>
                <w:highlight w:val="yellow"/>
                <w:lang w:val="en-AU"/>
              </w:rPr>
            </w:pPr>
            <w:r>
              <w:t>NTP OHAT</w:t>
            </w:r>
          </w:p>
        </w:tc>
        <w:tc>
          <w:tcPr>
            <w:tcW w:w="6928" w:type="dxa"/>
          </w:tcPr>
          <w:p w14:paraId="68F99907" w14:textId="69554099" w:rsidR="00E85411" w:rsidRPr="00601CCB" w:rsidRDefault="00E85411" w:rsidP="00E85411">
            <w:pPr>
              <w:pStyle w:val="TableText"/>
              <w:rPr>
                <w:highlight w:val="yellow"/>
                <w:lang w:val="en-AU"/>
              </w:rPr>
            </w:pPr>
            <w:r>
              <w:t>National Toxicology Program Office of Health Assessment and Translation</w:t>
            </w:r>
          </w:p>
        </w:tc>
      </w:tr>
      <w:tr w:rsidR="00E85411" w:rsidRPr="008371FA" w14:paraId="330C22C8" w14:textId="77777777" w:rsidTr="00767956">
        <w:tc>
          <w:tcPr>
            <w:tcW w:w="2091" w:type="dxa"/>
          </w:tcPr>
          <w:p w14:paraId="7DA55FD2" w14:textId="52AD4115" w:rsidR="00E85411" w:rsidRPr="00601CCB" w:rsidRDefault="00E85411" w:rsidP="00E85411">
            <w:pPr>
              <w:pStyle w:val="TableText"/>
              <w:rPr>
                <w:highlight w:val="yellow"/>
                <w:lang w:val="en-AU"/>
              </w:rPr>
            </w:pPr>
            <w:r>
              <w:t>NVP</w:t>
            </w:r>
          </w:p>
        </w:tc>
        <w:tc>
          <w:tcPr>
            <w:tcW w:w="6928" w:type="dxa"/>
          </w:tcPr>
          <w:p w14:paraId="4C59FB57" w14:textId="5BA6A7B5" w:rsidR="00E85411" w:rsidRPr="00601CCB" w:rsidRDefault="00E85411" w:rsidP="00E85411">
            <w:pPr>
              <w:pStyle w:val="TableText"/>
              <w:rPr>
                <w:highlight w:val="yellow"/>
                <w:lang w:val="en-AU"/>
              </w:rPr>
            </w:pPr>
            <w:r>
              <w:t>Nausea and vomiting of pregnancy</w:t>
            </w:r>
          </w:p>
        </w:tc>
      </w:tr>
      <w:tr w:rsidR="00E85411" w:rsidRPr="008371FA" w14:paraId="59CC1F0E" w14:textId="77777777" w:rsidTr="00767956">
        <w:tc>
          <w:tcPr>
            <w:tcW w:w="2091" w:type="dxa"/>
          </w:tcPr>
          <w:p w14:paraId="0BB103F2" w14:textId="43EFE1CE" w:rsidR="00E85411" w:rsidRPr="00601CCB" w:rsidRDefault="00E85411" w:rsidP="00E85411">
            <w:pPr>
              <w:pStyle w:val="TableText"/>
              <w:rPr>
                <w:highlight w:val="yellow"/>
                <w:lang w:val="en-AU"/>
              </w:rPr>
            </w:pPr>
            <w:r>
              <w:t>OTC</w:t>
            </w:r>
          </w:p>
        </w:tc>
        <w:tc>
          <w:tcPr>
            <w:tcW w:w="6928" w:type="dxa"/>
          </w:tcPr>
          <w:p w14:paraId="20F107FC" w14:textId="64B67945" w:rsidR="00E85411" w:rsidRPr="00601CCB" w:rsidRDefault="00E85411" w:rsidP="00E85411">
            <w:pPr>
              <w:pStyle w:val="TableText"/>
              <w:rPr>
                <w:highlight w:val="yellow"/>
                <w:lang w:val="en-AU"/>
              </w:rPr>
            </w:pPr>
            <w:r>
              <w:t>Over-the-counter</w:t>
            </w:r>
          </w:p>
        </w:tc>
      </w:tr>
      <w:tr w:rsidR="00E85411" w:rsidRPr="008371FA" w14:paraId="61484E6E" w14:textId="77777777" w:rsidTr="00767956">
        <w:tc>
          <w:tcPr>
            <w:tcW w:w="2091" w:type="dxa"/>
          </w:tcPr>
          <w:p w14:paraId="2CBB3F35" w14:textId="5A4C7909" w:rsidR="00E85411" w:rsidRPr="00601CCB" w:rsidRDefault="00E85411" w:rsidP="00E85411">
            <w:pPr>
              <w:pStyle w:val="TableText"/>
              <w:rPr>
                <w:highlight w:val="yellow"/>
                <w:lang w:val="en-AU"/>
              </w:rPr>
            </w:pPr>
            <w:r>
              <w:t>P95</w:t>
            </w:r>
          </w:p>
        </w:tc>
        <w:tc>
          <w:tcPr>
            <w:tcW w:w="6928" w:type="dxa"/>
          </w:tcPr>
          <w:p w14:paraId="2674936C" w14:textId="42CC318D" w:rsidR="00E85411" w:rsidRPr="00601CCB" w:rsidRDefault="00E85411" w:rsidP="00E85411">
            <w:pPr>
              <w:pStyle w:val="TableText"/>
              <w:rPr>
                <w:highlight w:val="yellow"/>
                <w:lang w:val="en-AU"/>
              </w:rPr>
            </w:pPr>
            <w:r>
              <w:t>95th percentile</w:t>
            </w:r>
          </w:p>
        </w:tc>
      </w:tr>
      <w:tr w:rsidR="00E85411" w:rsidRPr="008371FA" w14:paraId="606694A7" w14:textId="77777777" w:rsidTr="00767956">
        <w:tc>
          <w:tcPr>
            <w:tcW w:w="2091" w:type="dxa"/>
          </w:tcPr>
          <w:p w14:paraId="4B2DDC2D" w14:textId="3CFB2681" w:rsidR="00E85411" w:rsidRDefault="00E85411" w:rsidP="00E85411">
            <w:pPr>
              <w:pStyle w:val="TableText"/>
            </w:pPr>
            <w:r>
              <w:t>PDXK</w:t>
            </w:r>
          </w:p>
        </w:tc>
        <w:tc>
          <w:tcPr>
            <w:tcW w:w="6928" w:type="dxa"/>
          </w:tcPr>
          <w:p w14:paraId="3964859C" w14:textId="0A00E4BB" w:rsidR="00E85411" w:rsidRDefault="00E85411" w:rsidP="00E85411">
            <w:pPr>
              <w:pStyle w:val="TableText"/>
            </w:pPr>
            <w:r>
              <w:t>Pyridoxal kinase</w:t>
            </w:r>
          </w:p>
        </w:tc>
      </w:tr>
      <w:tr w:rsidR="00E85411" w:rsidRPr="008371FA" w14:paraId="141F5A97" w14:textId="77777777" w:rsidTr="00767956">
        <w:tc>
          <w:tcPr>
            <w:tcW w:w="2091" w:type="dxa"/>
          </w:tcPr>
          <w:p w14:paraId="2F6BEB59" w14:textId="29A9B134" w:rsidR="00E85411" w:rsidRDefault="00E85411" w:rsidP="00E85411">
            <w:pPr>
              <w:pStyle w:val="TableText"/>
            </w:pPr>
            <w:r>
              <w:t>PL</w:t>
            </w:r>
          </w:p>
        </w:tc>
        <w:tc>
          <w:tcPr>
            <w:tcW w:w="6928" w:type="dxa"/>
          </w:tcPr>
          <w:p w14:paraId="5A30905E" w14:textId="6DFFED9B" w:rsidR="00E85411" w:rsidRDefault="00E85411" w:rsidP="00E85411">
            <w:pPr>
              <w:pStyle w:val="TableText"/>
            </w:pPr>
            <w:r>
              <w:t>Pyridoxal</w:t>
            </w:r>
          </w:p>
        </w:tc>
      </w:tr>
      <w:tr w:rsidR="00E85411" w:rsidRPr="008371FA" w14:paraId="7503A142" w14:textId="77777777" w:rsidTr="00767956">
        <w:tc>
          <w:tcPr>
            <w:tcW w:w="2091" w:type="dxa"/>
          </w:tcPr>
          <w:p w14:paraId="42D30975" w14:textId="4125F69C" w:rsidR="00E85411" w:rsidRDefault="00E85411" w:rsidP="00E85411">
            <w:pPr>
              <w:pStyle w:val="TableText"/>
            </w:pPr>
            <w:r>
              <w:t>PLP</w:t>
            </w:r>
          </w:p>
        </w:tc>
        <w:tc>
          <w:tcPr>
            <w:tcW w:w="6928" w:type="dxa"/>
          </w:tcPr>
          <w:p w14:paraId="351EADF0" w14:textId="6872A698" w:rsidR="00E85411" w:rsidRDefault="00E85411" w:rsidP="00E85411">
            <w:pPr>
              <w:pStyle w:val="TableText"/>
            </w:pPr>
            <w:r>
              <w:t>Pyridoxal 5’-phosphate</w:t>
            </w:r>
          </w:p>
        </w:tc>
      </w:tr>
      <w:tr w:rsidR="00E85411" w:rsidRPr="008371FA" w14:paraId="2C09EDEF" w14:textId="77777777" w:rsidTr="00767956">
        <w:tc>
          <w:tcPr>
            <w:tcW w:w="2091" w:type="dxa"/>
          </w:tcPr>
          <w:p w14:paraId="111E7175" w14:textId="420499C4" w:rsidR="00E85411" w:rsidRDefault="00E85411" w:rsidP="00E85411">
            <w:pPr>
              <w:pStyle w:val="TableText"/>
            </w:pPr>
            <w:r>
              <w:t>PMS</w:t>
            </w:r>
          </w:p>
        </w:tc>
        <w:tc>
          <w:tcPr>
            <w:tcW w:w="6928" w:type="dxa"/>
          </w:tcPr>
          <w:p w14:paraId="57F34E26" w14:textId="458BD7A2" w:rsidR="00E85411" w:rsidRDefault="00E85411" w:rsidP="00E85411">
            <w:pPr>
              <w:pStyle w:val="TableText"/>
            </w:pPr>
            <w:r>
              <w:t>Premenstrual syndrome</w:t>
            </w:r>
          </w:p>
        </w:tc>
      </w:tr>
      <w:tr w:rsidR="00E85411" w:rsidRPr="008371FA" w14:paraId="60EA7F16" w14:textId="77777777" w:rsidTr="00767956">
        <w:tc>
          <w:tcPr>
            <w:tcW w:w="2091" w:type="dxa"/>
          </w:tcPr>
          <w:p w14:paraId="6A4EE7DD" w14:textId="642FB8F0" w:rsidR="00E85411" w:rsidRDefault="00E85411" w:rsidP="00E85411">
            <w:pPr>
              <w:pStyle w:val="TableText"/>
            </w:pPr>
            <w:r>
              <w:t>PN</w:t>
            </w:r>
          </w:p>
        </w:tc>
        <w:tc>
          <w:tcPr>
            <w:tcW w:w="6928" w:type="dxa"/>
          </w:tcPr>
          <w:p w14:paraId="7021EF69" w14:textId="15D6B432" w:rsidR="00E85411" w:rsidRDefault="00E85411" w:rsidP="00E85411">
            <w:pPr>
              <w:pStyle w:val="TableText"/>
            </w:pPr>
            <w:r>
              <w:t>Pyridoxine</w:t>
            </w:r>
          </w:p>
        </w:tc>
      </w:tr>
      <w:tr w:rsidR="00E85411" w:rsidRPr="008371FA" w14:paraId="17AA2BC8" w14:textId="77777777" w:rsidTr="00767956">
        <w:tc>
          <w:tcPr>
            <w:tcW w:w="2091" w:type="dxa"/>
          </w:tcPr>
          <w:p w14:paraId="0CBF62C2" w14:textId="702143F1" w:rsidR="00E85411" w:rsidRDefault="00E85411" w:rsidP="00E85411">
            <w:pPr>
              <w:pStyle w:val="TableText"/>
            </w:pPr>
            <w:r>
              <w:t>PN-HCl</w:t>
            </w:r>
          </w:p>
        </w:tc>
        <w:tc>
          <w:tcPr>
            <w:tcW w:w="6928" w:type="dxa"/>
          </w:tcPr>
          <w:p w14:paraId="253C5C35" w14:textId="473871AE" w:rsidR="00E85411" w:rsidRDefault="00E85411" w:rsidP="00E85411">
            <w:pPr>
              <w:pStyle w:val="TableText"/>
            </w:pPr>
            <w:r>
              <w:t>Pyridoxine hydrochloride</w:t>
            </w:r>
          </w:p>
        </w:tc>
      </w:tr>
      <w:tr w:rsidR="00E85411" w:rsidRPr="008371FA" w14:paraId="7F4DC527" w14:textId="77777777" w:rsidTr="00767956">
        <w:tc>
          <w:tcPr>
            <w:tcW w:w="2091" w:type="dxa"/>
          </w:tcPr>
          <w:p w14:paraId="7D8D5BA9" w14:textId="14ECCB07" w:rsidR="00E85411" w:rsidRDefault="00E85411" w:rsidP="00E85411">
            <w:pPr>
              <w:pStyle w:val="TableText"/>
            </w:pPr>
            <w:r>
              <w:lastRenderedPageBreak/>
              <w:t>PNPO</w:t>
            </w:r>
          </w:p>
        </w:tc>
        <w:tc>
          <w:tcPr>
            <w:tcW w:w="6928" w:type="dxa"/>
          </w:tcPr>
          <w:p w14:paraId="33026E49" w14:textId="5B3575CD" w:rsidR="00E85411" w:rsidRDefault="00E85411" w:rsidP="00E85411">
            <w:pPr>
              <w:pStyle w:val="TableText"/>
            </w:pPr>
            <w:r>
              <w:t>Pyridox(am)ine 5’-phosphate oxidase</w:t>
            </w:r>
          </w:p>
        </w:tc>
      </w:tr>
      <w:tr w:rsidR="00E85411" w:rsidRPr="008371FA" w14:paraId="3B376A05" w14:textId="77777777" w:rsidTr="00767956">
        <w:tc>
          <w:tcPr>
            <w:tcW w:w="2091" w:type="dxa"/>
          </w:tcPr>
          <w:p w14:paraId="4F1349F9" w14:textId="51E442DA" w:rsidR="00E85411" w:rsidRDefault="00E85411" w:rsidP="00E85411">
            <w:pPr>
              <w:pStyle w:val="TableText"/>
            </w:pPr>
            <w:r>
              <w:t>PRISMA</w:t>
            </w:r>
          </w:p>
        </w:tc>
        <w:tc>
          <w:tcPr>
            <w:tcW w:w="6928" w:type="dxa"/>
          </w:tcPr>
          <w:p w14:paraId="3209C0D5" w14:textId="3CE57A77" w:rsidR="00E85411" w:rsidRDefault="00E85411" w:rsidP="00E85411">
            <w:pPr>
              <w:pStyle w:val="TableText"/>
            </w:pPr>
            <w:r>
              <w:t>Preferred Reporting Items for Systematic Reviews and Meta-Analyses</w:t>
            </w:r>
          </w:p>
        </w:tc>
      </w:tr>
      <w:tr w:rsidR="00E85411" w:rsidRPr="008371FA" w14:paraId="1C84CBAC" w14:textId="77777777" w:rsidTr="00767956">
        <w:tc>
          <w:tcPr>
            <w:tcW w:w="2091" w:type="dxa"/>
          </w:tcPr>
          <w:p w14:paraId="21699C35" w14:textId="3AF1BDB0" w:rsidR="00E85411" w:rsidRDefault="00E85411" w:rsidP="00E85411">
            <w:pPr>
              <w:pStyle w:val="TableText"/>
            </w:pPr>
            <w:r>
              <w:t>QST</w:t>
            </w:r>
          </w:p>
        </w:tc>
        <w:tc>
          <w:tcPr>
            <w:tcW w:w="6928" w:type="dxa"/>
          </w:tcPr>
          <w:p w14:paraId="6B9A60E9" w14:textId="6706EA0B" w:rsidR="00E85411" w:rsidRDefault="00E85411" w:rsidP="00E85411">
            <w:pPr>
              <w:pStyle w:val="TableText"/>
            </w:pPr>
            <w:r>
              <w:t>Quantitative sensory testing</w:t>
            </w:r>
          </w:p>
        </w:tc>
      </w:tr>
      <w:tr w:rsidR="00E85411" w:rsidRPr="008371FA" w14:paraId="3656CB7A" w14:textId="77777777" w:rsidTr="00767956">
        <w:tc>
          <w:tcPr>
            <w:tcW w:w="2091" w:type="dxa"/>
          </w:tcPr>
          <w:p w14:paraId="33CD7537" w14:textId="18218FBB" w:rsidR="00E85411" w:rsidRDefault="00E85411" w:rsidP="00E85411">
            <w:pPr>
              <w:pStyle w:val="TableText"/>
            </w:pPr>
            <w:r>
              <w:t>RoB</w:t>
            </w:r>
          </w:p>
        </w:tc>
        <w:tc>
          <w:tcPr>
            <w:tcW w:w="6928" w:type="dxa"/>
          </w:tcPr>
          <w:p w14:paraId="6C1680C4" w14:textId="5A93C4D6" w:rsidR="00E85411" w:rsidRDefault="00E85411" w:rsidP="00E85411">
            <w:pPr>
              <w:pStyle w:val="TableText"/>
            </w:pPr>
            <w:r>
              <w:t>Risk of bias</w:t>
            </w:r>
          </w:p>
        </w:tc>
      </w:tr>
      <w:tr w:rsidR="00E85411" w:rsidRPr="008371FA" w14:paraId="2EEBF1AC" w14:textId="77777777" w:rsidTr="00767956">
        <w:tc>
          <w:tcPr>
            <w:tcW w:w="2091" w:type="dxa"/>
          </w:tcPr>
          <w:p w14:paraId="13EC66CC" w14:textId="267C375D" w:rsidR="00E85411" w:rsidRDefault="00E85411" w:rsidP="00E85411">
            <w:pPr>
              <w:pStyle w:val="TableText"/>
            </w:pPr>
            <w:r>
              <w:t>RP</w:t>
            </w:r>
          </w:p>
        </w:tc>
        <w:tc>
          <w:tcPr>
            <w:tcW w:w="6928" w:type="dxa"/>
          </w:tcPr>
          <w:p w14:paraId="6F3066FD" w14:textId="0664B92A" w:rsidR="00E85411" w:rsidRDefault="00E85411" w:rsidP="00E85411">
            <w:pPr>
              <w:pStyle w:val="TableText"/>
            </w:pPr>
            <w:r>
              <w:t>Reference point</w:t>
            </w:r>
          </w:p>
        </w:tc>
      </w:tr>
      <w:tr w:rsidR="00E85411" w:rsidRPr="008371FA" w14:paraId="07D38C1C" w14:textId="77777777" w:rsidTr="00767956">
        <w:tc>
          <w:tcPr>
            <w:tcW w:w="2091" w:type="dxa"/>
          </w:tcPr>
          <w:p w14:paraId="7FA4ECE4" w14:textId="49D8AEF4" w:rsidR="00E85411" w:rsidRPr="00601CCB" w:rsidRDefault="00E85411" w:rsidP="00E85411">
            <w:pPr>
              <w:pStyle w:val="TableText"/>
              <w:rPr>
                <w:highlight w:val="yellow"/>
                <w:lang w:val="en-AU"/>
              </w:rPr>
            </w:pPr>
            <w:r>
              <w:t>SCF</w:t>
            </w:r>
          </w:p>
        </w:tc>
        <w:tc>
          <w:tcPr>
            <w:tcW w:w="6928" w:type="dxa"/>
          </w:tcPr>
          <w:p w14:paraId="7520D68B" w14:textId="18BC97B7" w:rsidR="00E85411" w:rsidRPr="00601CCB" w:rsidRDefault="00E85411" w:rsidP="00E85411">
            <w:pPr>
              <w:pStyle w:val="TableText"/>
              <w:rPr>
                <w:highlight w:val="yellow"/>
                <w:lang w:val="en-AU"/>
              </w:rPr>
            </w:pPr>
            <w:r>
              <w:t>Scientific Committee on Food</w:t>
            </w:r>
          </w:p>
        </w:tc>
      </w:tr>
      <w:tr w:rsidR="00E85411" w:rsidRPr="008371FA" w14:paraId="2DACAD75" w14:textId="77777777" w:rsidTr="00767956">
        <w:tc>
          <w:tcPr>
            <w:tcW w:w="2091" w:type="dxa"/>
          </w:tcPr>
          <w:p w14:paraId="66A79804" w14:textId="3F780BDD" w:rsidR="00E85411" w:rsidRPr="00601CCB" w:rsidRDefault="00E85411" w:rsidP="00E85411">
            <w:pPr>
              <w:pStyle w:val="TableText"/>
              <w:rPr>
                <w:highlight w:val="yellow"/>
                <w:lang w:val="en-AU"/>
              </w:rPr>
            </w:pPr>
            <w:r>
              <w:t>SR</w:t>
            </w:r>
          </w:p>
        </w:tc>
        <w:tc>
          <w:tcPr>
            <w:tcW w:w="6928" w:type="dxa"/>
          </w:tcPr>
          <w:p w14:paraId="467FBE19" w14:textId="7B6BECC8" w:rsidR="00E85411" w:rsidRPr="00601CCB" w:rsidRDefault="00E85411" w:rsidP="00E85411">
            <w:pPr>
              <w:pStyle w:val="TableText"/>
              <w:rPr>
                <w:highlight w:val="yellow"/>
                <w:lang w:val="en-AU"/>
              </w:rPr>
            </w:pPr>
            <w:r>
              <w:t>Systematic review</w:t>
            </w:r>
          </w:p>
        </w:tc>
      </w:tr>
      <w:tr w:rsidR="00E85411" w:rsidRPr="008371FA" w14:paraId="65762DA9" w14:textId="77777777" w:rsidTr="00767956">
        <w:tc>
          <w:tcPr>
            <w:tcW w:w="2091" w:type="dxa"/>
          </w:tcPr>
          <w:p w14:paraId="3CA3C72F" w14:textId="4E05BC98" w:rsidR="00E85411" w:rsidRPr="00601CCB" w:rsidRDefault="00E85411" w:rsidP="00E85411">
            <w:pPr>
              <w:pStyle w:val="TableText"/>
              <w:rPr>
                <w:highlight w:val="yellow"/>
                <w:lang w:val="en-AU"/>
              </w:rPr>
            </w:pPr>
            <w:r>
              <w:t>TGA</w:t>
            </w:r>
          </w:p>
        </w:tc>
        <w:tc>
          <w:tcPr>
            <w:tcW w:w="6928" w:type="dxa"/>
          </w:tcPr>
          <w:p w14:paraId="721D348E" w14:textId="4D20FE11" w:rsidR="00E85411" w:rsidRPr="00601CCB" w:rsidRDefault="00E85411" w:rsidP="00E85411">
            <w:pPr>
              <w:pStyle w:val="TableText"/>
              <w:rPr>
                <w:highlight w:val="yellow"/>
                <w:lang w:val="en-AU"/>
              </w:rPr>
            </w:pPr>
            <w:r>
              <w:t>Therapeutic Goods Administration</w:t>
            </w:r>
          </w:p>
        </w:tc>
      </w:tr>
      <w:tr w:rsidR="00E85411" w:rsidRPr="008371FA" w14:paraId="658B3FF9" w14:textId="77777777" w:rsidTr="00767956">
        <w:tc>
          <w:tcPr>
            <w:tcW w:w="2091" w:type="dxa"/>
          </w:tcPr>
          <w:p w14:paraId="290C473A" w14:textId="67D59AB5" w:rsidR="00E85411" w:rsidRPr="00601CCB" w:rsidRDefault="00E85411" w:rsidP="00E85411">
            <w:pPr>
              <w:pStyle w:val="TableText"/>
              <w:rPr>
                <w:highlight w:val="yellow"/>
                <w:lang w:val="en-AU"/>
              </w:rPr>
            </w:pPr>
            <w:r>
              <w:t>TNSALP</w:t>
            </w:r>
          </w:p>
        </w:tc>
        <w:tc>
          <w:tcPr>
            <w:tcW w:w="6928" w:type="dxa"/>
          </w:tcPr>
          <w:p w14:paraId="571541D4" w14:textId="089CF1D1" w:rsidR="00E85411" w:rsidRPr="00601CCB" w:rsidRDefault="00E85411" w:rsidP="00E85411">
            <w:pPr>
              <w:pStyle w:val="TableText"/>
              <w:rPr>
                <w:highlight w:val="yellow"/>
                <w:lang w:val="en-AU"/>
              </w:rPr>
            </w:pPr>
            <w:r>
              <w:t>Tissue-nonspecific alkaline phosphatase</w:t>
            </w:r>
          </w:p>
        </w:tc>
      </w:tr>
      <w:tr w:rsidR="00E85411" w:rsidRPr="008371FA" w14:paraId="0F78B9C9" w14:textId="77777777" w:rsidTr="00767956">
        <w:tc>
          <w:tcPr>
            <w:tcW w:w="2091" w:type="dxa"/>
          </w:tcPr>
          <w:p w14:paraId="77F23177" w14:textId="774B2154" w:rsidR="00E85411" w:rsidRPr="00601CCB" w:rsidRDefault="00E85411" w:rsidP="00E85411">
            <w:pPr>
              <w:pStyle w:val="TableText"/>
              <w:rPr>
                <w:highlight w:val="yellow"/>
                <w:lang w:val="en-AU"/>
              </w:rPr>
            </w:pPr>
            <w:r>
              <w:t>UF</w:t>
            </w:r>
          </w:p>
        </w:tc>
        <w:tc>
          <w:tcPr>
            <w:tcW w:w="6928" w:type="dxa"/>
          </w:tcPr>
          <w:p w14:paraId="2160891C" w14:textId="184A8FE6" w:rsidR="00E85411" w:rsidRPr="00601CCB" w:rsidRDefault="00E85411" w:rsidP="00E85411">
            <w:pPr>
              <w:pStyle w:val="TableText"/>
              <w:rPr>
                <w:highlight w:val="yellow"/>
                <w:lang w:val="en-AU"/>
              </w:rPr>
            </w:pPr>
            <w:r>
              <w:t>Uncertainty factor</w:t>
            </w:r>
          </w:p>
        </w:tc>
      </w:tr>
      <w:tr w:rsidR="00E85411" w:rsidRPr="008371FA" w14:paraId="70CD254C" w14:textId="77777777" w:rsidTr="00767956">
        <w:tc>
          <w:tcPr>
            <w:tcW w:w="2091" w:type="dxa"/>
          </w:tcPr>
          <w:p w14:paraId="665D2E1B" w14:textId="44DC910B" w:rsidR="00E85411" w:rsidRPr="00601CCB" w:rsidRDefault="00E85411" w:rsidP="00E85411">
            <w:pPr>
              <w:pStyle w:val="TableText"/>
              <w:rPr>
                <w:highlight w:val="yellow"/>
                <w:lang w:val="en-AU"/>
              </w:rPr>
            </w:pPr>
            <w:r>
              <w:t>UL</w:t>
            </w:r>
          </w:p>
        </w:tc>
        <w:tc>
          <w:tcPr>
            <w:tcW w:w="6928" w:type="dxa"/>
          </w:tcPr>
          <w:p w14:paraId="1FBEABAF" w14:textId="5CB52BB6" w:rsidR="00E85411" w:rsidRPr="00601CCB" w:rsidRDefault="00E85411" w:rsidP="00E85411">
            <w:pPr>
              <w:pStyle w:val="TableText"/>
              <w:rPr>
                <w:highlight w:val="yellow"/>
                <w:lang w:val="en-AU"/>
              </w:rPr>
            </w:pPr>
            <w:r>
              <w:t>Upper Level of Intake / Tolerable Upper Intake Level</w:t>
            </w:r>
          </w:p>
        </w:tc>
      </w:tr>
      <w:tr w:rsidR="00E85411" w:rsidRPr="008371FA" w14:paraId="034DC437" w14:textId="77777777" w:rsidTr="00767956">
        <w:tc>
          <w:tcPr>
            <w:tcW w:w="2091" w:type="dxa"/>
          </w:tcPr>
          <w:p w14:paraId="73C449C3" w14:textId="1AB9105C" w:rsidR="00E85411" w:rsidRPr="00601CCB" w:rsidRDefault="00E85411" w:rsidP="00E85411">
            <w:pPr>
              <w:pStyle w:val="TableText"/>
              <w:rPr>
                <w:highlight w:val="yellow"/>
                <w:lang w:val="en-AU"/>
              </w:rPr>
            </w:pPr>
            <w:r>
              <w:t>US FDA</w:t>
            </w:r>
          </w:p>
        </w:tc>
        <w:tc>
          <w:tcPr>
            <w:tcW w:w="6928" w:type="dxa"/>
          </w:tcPr>
          <w:p w14:paraId="4C4EBA4C" w14:textId="48B54B40" w:rsidR="00E85411" w:rsidRPr="00601CCB" w:rsidRDefault="00E85411" w:rsidP="00E85411">
            <w:pPr>
              <w:pStyle w:val="TableText"/>
              <w:rPr>
                <w:highlight w:val="yellow"/>
                <w:lang w:val="en-AU"/>
              </w:rPr>
            </w:pPr>
            <w:r>
              <w:t>United States Food and Drug Administration</w:t>
            </w:r>
          </w:p>
        </w:tc>
      </w:tr>
      <w:tr w:rsidR="00E85411" w:rsidRPr="008371FA" w14:paraId="0D5172BC" w14:textId="77777777" w:rsidTr="00767956">
        <w:tc>
          <w:tcPr>
            <w:tcW w:w="2091" w:type="dxa"/>
          </w:tcPr>
          <w:p w14:paraId="30101CD1" w14:textId="1D67987B" w:rsidR="00E85411" w:rsidRPr="00601CCB" w:rsidRDefault="00E85411" w:rsidP="00E85411">
            <w:pPr>
              <w:pStyle w:val="TableText"/>
              <w:rPr>
                <w:highlight w:val="yellow"/>
                <w:lang w:val="en-AU"/>
              </w:rPr>
            </w:pPr>
            <w:r>
              <w:t>WHO</w:t>
            </w:r>
          </w:p>
        </w:tc>
        <w:tc>
          <w:tcPr>
            <w:tcW w:w="6928" w:type="dxa"/>
          </w:tcPr>
          <w:p w14:paraId="752E53CA" w14:textId="2A516D7E" w:rsidR="00E85411" w:rsidRPr="00601CCB" w:rsidRDefault="00E85411" w:rsidP="00E85411">
            <w:pPr>
              <w:pStyle w:val="TableText"/>
              <w:rPr>
                <w:highlight w:val="yellow"/>
                <w:lang w:val="en-AU"/>
              </w:rPr>
            </w:pPr>
            <w:r>
              <w:t>World Health Organization</w:t>
            </w:r>
          </w:p>
        </w:tc>
      </w:tr>
    </w:tbl>
    <w:p w14:paraId="38456049" w14:textId="77777777" w:rsidR="00EF61D5" w:rsidRPr="008371FA" w:rsidRDefault="00EF61D5" w:rsidP="00B33D79">
      <w:pPr>
        <w:pStyle w:val="BodyText"/>
      </w:pPr>
    </w:p>
    <w:p w14:paraId="588B9288" w14:textId="77777777" w:rsidR="00B33D79" w:rsidRPr="008371FA" w:rsidRDefault="00B33D79" w:rsidP="00B33D79">
      <w:pPr>
        <w:pStyle w:val="BodyText"/>
      </w:pPr>
    </w:p>
    <w:p w14:paraId="7D814637" w14:textId="77777777" w:rsidR="00CA3E88" w:rsidRPr="008371FA" w:rsidRDefault="00CA3E88" w:rsidP="00B33D79">
      <w:pPr>
        <w:pStyle w:val="BodyText"/>
      </w:pPr>
    </w:p>
    <w:p w14:paraId="636FB1E0" w14:textId="77777777" w:rsidR="008141A4" w:rsidRPr="008371FA" w:rsidRDefault="008141A4" w:rsidP="00B33D79">
      <w:pPr>
        <w:pStyle w:val="BodyText"/>
        <w:sectPr w:rsidR="008141A4" w:rsidRPr="008371FA" w:rsidSect="00627CB4">
          <w:pgSz w:w="11909" w:h="16834" w:code="9"/>
          <w:pgMar w:top="1440" w:right="1440" w:bottom="1440" w:left="1440" w:header="576" w:footer="576" w:gutter="0"/>
          <w:pgNumType w:fmt="lowerRoman"/>
          <w:cols w:space="720"/>
          <w:docGrid w:linePitch="360"/>
        </w:sectPr>
      </w:pPr>
    </w:p>
    <w:p w14:paraId="4E4FB149" w14:textId="0CC3344F" w:rsidR="00767956" w:rsidRDefault="00767956" w:rsidP="00767956">
      <w:pPr>
        <w:pStyle w:val="Heading1"/>
      </w:pPr>
      <w:bookmarkStart w:id="6" w:name="_Toc233022852"/>
      <w:r>
        <w:lastRenderedPageBreak/>
        <w:t>Introduction and Background</w:t>
      </w:r>
      <w:bookmarkEnd w:id="6"/>
    </w:p>
    <w:p w14:paraId="09763550" w14:textId="22D42D86" w:rsidR="00E427BB" w:rsidRDefault="00E427BB" w:rsidP="00E427BB">
      <w:r w:rsidRPr="00E427BB">
        <w:t>The National Health and Medical Research Council (NHMRC) engaged SLR Consulting Australia Pty Ltd (SLR) to evaluate existing guidance, primary evidence and relevant supporting information for the Upper Level (UL) of vitamin B6 (pyridoxine) as part of the review of the Nutrient Reference Values (NRVs) for Australia and New Zealand. The review was undertaken in accordance with a Research Protocol</w:t>
      </w:r>
      <w:r>
        <w:t xml:space="preserve"> (</w:t>
      </w:r>
      <w:r w:rsidRPr="00E427BB">
        <w:rPr>
          <w:b/>
          <w:bCs/>
        </w:rPr>
        <w:fldChar w:fldCharType="begin"/>
      </w:r>
      <w:r w:rsidRPr="00E427BB">
        <w:rPr>
          <w:b/>
          <w:bCs/>
        </w:rPr>
        <w:instrText xml:space="preserve"> REF _Ref231983386 \r \h </w:instrText>
      </w:r>
      <w:r>
        <w:rPr>
          <w:b/>
          <w:bCs/>
        </w:rPr>
        <w:instrText xml:space="preserve"> \* MERGEFORMAT </w:instrText>
      </w:r>
      <w:r w:rsidRPr="00E427BB">
        <w:rPr>
          <w:b/>
          <w:bCs/>
        </w:rPr>
      </w:r>
      <w:r w:rsidRPr="00E427BB">
        <w:rPr>
          <w:b/>
          <w:bCs/>
        </w:rPr>
        <w:fldChar w:fldCharType="separate"/>
      </w:r>
      <w:r w:rsidR="00A41FEF">
        <w:rPr>
          <w:b/>
          <w:bCs/>
        </w:rPr>
        <w:t>Appendix A</w:t>
      </w:r>
      <w:r w:rsidRPr="00E427BB">
        <w:rPr>
          <w:b/>
          <w:bCs/>
        </w:rPr>
        <w:fldChar w:fldCharType="end"/>
      </w:r>
      <w:r>
        <w:t>)</w:t>
      </w:r>
      <w:r w:rsidRPr="00E427BB">
        <w:t xml:space="preserve"> designed to support a transparent, systematic and quality-controlled approach to evaluating evidence for health-based guidance values for vitamin B6. For the vitamin B6 UL review, SLR was asked to</w:t>
      </w:r>
      <w:r w:rsidR="00FF418C" w:rsidRPr="00FF418C">
        <w:t>:</w:t>
      </w:r>
    </w:p>
    <w:p w14:paraId="7BD978B6" w14:textId="3B88C83A" w:rsidR="00511EC3" w:rsidRDefault="00E427BB" w:rsidP="00F84245">
      <w:pPr>
        <w:pStyle w:val="ListParagraph"/>
        <w:numPr>
          <w:ilvl w:val="0"/>
          <w:numId w:val="20"/>
        </w:numPr>
      </w:pPr>
      <w:r w:rsidRPr="00E427BB">
        <w:t>Customise and apply the Research Protocol to address the agreed research questions for the vitamin B6 UL, including consideration of critical health effects, dose–response relationships, and the suitability of existing international guidance for adoption or adaptation in the Australian and New Zealand context.</w:t>
      </w:r>
    </w:p>
    <w:p w14:paraId="39FCB463" w14:textId="5F315E68" w:rsidR="00E427BB" w:rsidRDefault="00E427BB" w:rsidP="00F84245">
      <w:pPr>
        <w:pStyle w:val="ListParagraph"/>
        <w:numPr>
          <w:ilvl w:val="0"/>
          <w:numId w:val="20"/>
        </w:numPr>
      </w:pPr>
      <w:r w:rsidRPr="00E427BB">
        <w:t>Review and evaluate recent international guidance documents, primary human and animal health evidence, and relevant supporting information pertaining to adverse health effects associated with excess vitamin B6 intake, with a particular focus on peripheral neuropathy and other neurological outcomes.</w:t>
      </w:r>
    </w:p>
    <w:p w14:paraId="03015EB4" w14:textId="18B20194" w:rsidR="00E427BB" w:rsidRDefault="00E427BB" w:rsidP="00F84245">
      <w:pPr>
        <w:pStyle w:val="ListParagraph"/>
        <w:numPr>
          <w:ilvl w:val="0"/>
          <w:numId w:val="20"/>
        </w:numPr>
      </w:pPr>
      <w:r w:rsidRPr="00E427BB">
        <w:t>Collate contextual information relevant to interpretation of the UL review, including information from adverse event reporting systems in Australia, New Zealand and comparable jurisdictions, and data on vitamin B6 dietary and supplemental intake patterns in the Australian and New Zealand population.</w:t>
      </w:r>
    </w:p>
    <w:p w14:paraId="4D308982" w14:textId="3EAD3CBE" w:rsidR="00E427BB" w:rsidRDefault="00E427BB" w:rsidP="00F84245">
      <w:pPr>
        <w:pStyle w:val="ListParagraph"/>
        <w:numPr>
          <w:ilvl w:val="0"/>
          <w:numId w:val="20"/>
        </w:numPr>
      </w:pPr>
      <w:r w:rsidRPr="00E427BB">
        <w:t>Produce a Technical Report and an Evidence Evaluation Report</w:t>
      </w:r>
      <w:r>
        <w:t>:</w:t>
      </w:r>
    </w:p>
    <w:p w14:paraId="3A481701" w14:textId="2296BF3F" w:rsidR="00E427BB" w:rsidRDefault="00E427BB" w:rsidP="00F84245">
      <w:pPr>
        <w:pStyle w:val="ListParagraph"/>
        <w:numPr>
          <w:ilvl w:val="1"/>
          <w:numId w:val="20"/>
        </w:numPr>
      </w:pPr>
      <w:r w:rsidRPr="00E427BB">
        <w:t>The Technical Report documents the detailed methods, evidence sources, data extraction, assessment processes, critical appraisal outputs and supporting analyses used in the review.</w:t>
      </w:r>
    </w:p>
    <w:p w14:paraId="75B55AB2" w14:textId="7F9E4D8A" w:rsidR="00E427BB" w:rsidRDefault="00E427BB" w:rsidP="00F84245">
      <w:pPr>
        <w:pStyle w:val="ListParagraph"/>
        <w:numPr>
          <w:ilvl w:val="1"/>
          <w:numId w:val="20"/>
        </w:numPr>
      </w:pPr>
      <w:r w:rsidRPr="00E427BB">
        <w:t>The Evidence Evaluation Report interprets, synthesises and summarises the findings of the evidence review, addresses the agreed research questions, and presents conclusions on the suitability of existing international guidance for adoption or adaptation, for consideration by NHMRC and the Vitamin B6 Expert Working Group.</w:t>
      </w:r>
    </w:p>
    <w:p w14:paraId="3E702A26" w14:textId="0FE0EC84" w:rsidR="00FF418C" w:rsidRPr="00E427BB" w:rsidRDefault="00E427BB" w:rsidP="00767956">
      <w:r w:rsidRPr="00E427BB">
        <w:t>These tasks were undertaken in collaboration with NHMRC and the Vitamin B6 Expert Working Group, with advice from the Working Group incorporated as required. Any amendments to the Research Protocol agreed with NHMRC and the Vitamin B6 Expert Working Group during the course of the review have been documented in this Technical Report.</w:t>
      </w:r>
    </w:p>
    <w:p w14:paraId="40CF1021" w14:textId="324F286F" w:rsidR="00767956" w:rsidRDefault="00767956" w:rsidP="00767956">
      <w:pPr>
        <w:pStyle w:val="Heading1"/>
      </w:pPr>
      <w:bookmarkStart w:id="7" w:name="_Toc233022853"/>
      <w:r>
        <w:t>Research Questions</w:t>
      </w:r>
      <w:bookmarkEnd w:id="7"/>
    </w:p>
    <w:p w14:paraId="4FF3B0C3" w14:textId="5D622AD1" w:rsidR="00767956" w:rsidRDefault="00767956" w:rsidP="00767956">
      <w:r>
        <w:t xml:space="preserve">Research questions for this review were drafted by SLR and peer reviewed and agreed upon by the </w:t>
      </w:r>
      <w:r w:rsidR="00E427BB" w:rsidRPr="00E427BB">
        <w:t xml:space="preserve">NHMRC and the Vitamin B6 Expert Working Group </w:t>
      </w:r>
      <w:r>
        <w:t>prior to conducting the search. They are provided in</w:t>
      </w:r>
      <w:r w:rsidR="000D5389">
        <w:t xml:space="preserve"> </w:t>
      </w:r>
      <w:r w:rsidR="000D5389" w:rsidRPr="000D5389">
        <w:rPr>
          <w:b/>
          <w:bCs/>
        </w:rPr>
        <w:fldChar w:fldCharType="begin"/>
      </w:r>
      <w:r w:rsidR="000D5389" w:rsidRPr="000D5389">
        <w:rPr>
          <w:b/>
          <w:bCs/>
        </w:rPr>
        <w:instrText xml:space="preserve"> REF _Ref219294815 \h </w:instrText>
      </w:r>
      <w:r w:rsidR="000D5389">
        <w:rPr>
          <w:b/>
          <w:bCs/>
        </w:rPr>
        <w:instrText xml:space="preserve"> \* MERGEFORMAT </w:instrText>
      </w:r>
      <w:r w:rsidR="000D5389" w:rsidRPr="000D5389">
        <w:rPr>
          <w:b/>
          <w:bCs/>
        </w:rPr>
      </w:r>
      <w:r w:rsidR="000D5389" w:rsidRPr="000D5389">
        <w:rPr>
          <w:b/>
          <w:bCs/>
        </w:rPr>
        <w:fldChar w:fldCharType="separate"/>
      </w:r>
      <w:r w:rsidR="00A41FEF" w:rsidRPr="00A41FEF">
        <w:rPr>
          <w:b/>
          <w:bCs/>
        </w:rPr>
        <w:t xml:space="preserve">Table </w:t>
      </w:r>
      <w:r w:rsidR="00A41FEF" w:rsidRPr="00A41FEF">
        <w:rPr>
          <w:b/>
          <w:bCs/>
          <w:noProof/>
        </w:rPr>
        <w:t>1</w:t>
      </w:r>
      <w:r w:rsidR="000D5389" w:rsidRPr="000D5389">
        <w:rPr>
          <w:b/>
          <w:bCs/>
        </w:rPr>
        <w:fldChar w:fldCharType="end"/>
      </w:r>
      <w:r>
        <w:t>.</w:t>
      </w:r>
    </w:p>
    <w:p w14:paraId="50B364F0" w14:textId="730A0B93" w:rsidR="00F4486A" w:rsidRDefault="000D5389" w:rsidP="000D5389">
      <w:pPr>
        <w:pStyle w:val="Caption"/>
      </w:pPr>
      <w:bookmarkStart w:id="8" w:name="_Ref219294815"/>
      <w:bookmarkStart w:id="9" w:name="_Toc233022868"/>
      <w:r>
        <w:t xml:space="preserve">Table </w:t>
      </w:r>
      <w:r w:rsidR="00D90030">
        <w:fldChar w:fldCharType="begin"/>
      </w:r>
      <w:r w:rsidR="00D90030">
        <w:instrText xml:space="preserve"> SEQ Table \* ARABIC </w:instrText>
      </w:r>
      <w:r w:rsidR="00D90030">
        <w:fldChar w:fldCharType="separate"/>
      </w:r>
      <w:r w:rsidR="00A41FEF">
        <w:rPr>
          <w:noProof/>
        </w:rPr>
        <w:t>1</w:t>
      </w:r>
      <w:r w:rsidR="00D90030">
        <w:fldChar w:fldCharType="end"/>
      </w:r>
      <w:bookmarkEnd w:id="8"/>
      <w:r w:rsidR="00E427BB">
        <w:t xml:space="preserve"> </w:t>
      </w:r>
      <w:r w:rsidR="00767956" w:rsidRPr="00767956">
        <w:t xml:space="preserve">Research Questions for Evidence Evaluation of </w:t>
      </w:r>
      <w:r w:rsidR="002D3E89">
        <w:t>Vitamin B6</w:t>
      </w:r>
      <w:r w:rsidR="00767956" w:rsidRPr="00767956">
        <w:t xml:space="preserve"> </w:t>
      </w:r>
      <w:r w:rsidR="002D3E89">
        <w:t>Upper Level (UL)</w:t>
      </w:r>
      <w:r w:rsidR="00E427BB">
        <w:t xml:space="preserve"> </w:t>
      </w:r>
      <w:r w:rsidR="00767956" w:rsidRPr="00767956">
        <w:t>Review</w:t>
      </w:r>
      <w:bookmarkEnd w:id="9"/>
    </w:p>
    <w:p w14:paraId="31E9DB34" w14:textId="0DC68C61" w:rsidR="0037433D" w:rsidRPr="00B44F3B" w:rsidRDefault="0037433D" w:rsidP="00B44F3B">
      <w:pPr>
        <w:pStyle w:val="BodyText"/>
        <w:rPr>
          <w:b/>
          <w:bCs/>
        </w:rPr>
      </w:pPr>
      <w:r w:rsidRPr="00B44F3B">
        <w:rPr>
          <w:b/>
          <w:bCs/>
        </w:rPr>
        <w:t>Health-based</w:t>
      </w:r>
    </w:p>
    <w:tbl>
      <w:tblPr>
        <w:tblStyle w:val="SLROption2"/>
        <w:tblW w:w="5000" w:type="pct"/>
        <w:tblLook w:val="01A0" w:firstRow="1" w:lastRow="0" w:firstColumn="1" w:lastColumn="1" w:noHBand="0" w:noVBand="0"/>
      </w:tblPr>
      <w:tblGrid>
        <w:gridCol w:w="933"/>
        <w:gridCol w:w="8086"/>
      </w:tblGrid>
      <w:tr w:rsidR="00767956" w:rsidRPr="008371FA" w14:paraId="5200A64E" w14:textId="77777777" w:rsidTr="0037433D">
        <w:trPr>
          <w:cnfStyle w:val="100000000000" w:firstRow="1" w:lastRow="0" w:firstColumn="0" w:lastColumn="0" w:oddVBand="0" w:evenVBand="0" w:oddHBand="0" w:evenHBand="0" w:firstRowFirstColumn="0" w:firstRowLastColumn="0" w:lastRowFirstColumn="0" w:lastRowLastColumn="0"/>
        </w:trPr>
        <w:tc>
          <w:tcPr>
            <w:tcW w:w="517" w:type="pct"/>
            <w:vAlign w:val="center"/>
          </w:tcPr>
          <w:p w14:paraId="0D343464" w14:textId="459B2BD2" w:rsidR="00767956" w:rsidRPr="008371FA" w:rsidRDefault="000D5389" w:rsidP="0037433D">
            <w:pPr>
              <w:pStyle w:val="TableHeading"/>
            </w:pPr>
            <w:bookmarkStart w:id="10" w:name="_Toc48056857"/>
            <w:r>
              <w:t>Number</w:t>
            </w:r>
          </w:p>
        </w:tc>
        <w:tc>
          <w:tcPr>
            <w:tcW w:w="4483" w:type="pct"/>
            <w:vAlign w:val="center"/>
          </w:tcPr>
          <w:p w14:paraId="26CA94B4" w14:textId="786B856D" w:rsidR="00767956" w:rsidRPr="008371FA" w:rsidRDefault="000D5389" w:rsidP="0037433D">
            <w:pPr>
              <w:pStyle w:val="TableHeading"/>
            </w:pPr>
            <w:r>
              <w:t>Research Questions</w:t>
            </w:r>
          </w:p>
        </w:tc>
      </w:tr>
      <w:tr w:rsidR="00767956" w:rsidRPr="00767956" w14:paraId="2047CA95" w14:textId="77777777" w:rsidTr="00767956">
        <w:tc>
          <w:tcPr>
            <w:tcW w:w="517" w:type="pct"/>
          </w:tcPr>
          <w:p w14:paraId="2E133D56" w14:textId="050B3C62" w:rsidR="00767956" w:rsidRPr="00767956" w:rsidRDefault="00767956" w:rsidP="00767956">
            <w:pPr>
              <w:pStyle w:val="TableText"/>
              <w:jc w:val="center"/>
            </w:pPr>
            <w:r w:rsidRPr="004A03EB">
              <w:t>1</w:t>
            </w:r>
          </w:p>
        </w:tc>
        <w:tc>
          <w:tcPr>
            <w:tcW w:w="4483" w:type="pct"/>
          </w:tcPr>
          <w:p w14:paraId="5E286668" w14:textId="38DFFDDE" w:rsidR="00DB5179" w:rsidRPr="00767956" w:rsidRDefault="00DB5179" w:rsidP="00767956">
            <w:pPr>
              <w:pStyle w:val="TableText"/>
            </w:pPr>
            <w:r w:rsidRPr="00DB5179">
              <w:t>Upper Level (UL)</w:t>
            </w:r>
            <w:r>
              <w:t xml:space="preserve"> question - </w:t>
            </w:r>
            <w:r w:rsidRPr="00DB5179">
              <w:t>What excess intake of vitamin B6 is associated with adverse health effects?</w:t>
            </w:r>
          </w:p>
        </w:tc>
      </w:tr>
      <w:tr w:rsidR="00767956" w:rsidRPr="00767956" w14:paraId="07806252" w14:textId="77777777" w:rsidTr="00767956">
        <w:tc>
          <w:tcPr>
            <w:tcW w:w="517" w:type="pct"/>
          </w:tcPr>
          <w:p w14:paraId="2A67DF68" w14:textId="09C1A4B8" w:rsidR="00767956" w:rsidRPr="00767956" w:rsidRDefault="00767956" w:rsidP="00767956">
            <w:pPr>
              <w:pStyle w:val="TableText"/>
              <w:jc w:val="center"/>
            </w:pPr>
            <w:r w:rsidRPr="004A03EB">
              <w:t>2</w:t>
            </w:r>
          </w:p>
        </w:tc>
        <w:tc>
          <w:tcPr>
            <w:tcW w:w="4483" w:type="pct"/>
          </w:tcPr>
          <w:p w14:paraId="6DF267AE" w14:textId="2F52A971" w:rsidR="00767956" w:rsidRPr="00767956" w:rsidRDefault="00DB5179" w:rsidP="00767956">
            <w:pPr>
              <w:pStyle w:val="TableText"/>
            </w:pPr>
            <w:r w:rsidRPr="00DB5179">
              <w:t>Upper Level (UL) question -</w:t>
            </w:r>
            <w:r>
              <w:t xml:space="preserve"> </w:t>
            </w:r>
            <w:r w:rsidRPr="00DB5179">
              <w:t>What is the critical human health endpoint that determines the UL, and what is the justification for selecting this endpoint?</w:t>
            </w:r>
          </w:p>
        </w:tc>
      </w:tr>
      <w:tr w:rsidR="00767956" w:rsidRPr="00767956" w14:paraId="25BABB56" w14:textId="77777777" w:rsidTr="00767956">
        <w:tc>
          <w:tcPr>
            <w:tcW w:w="517" w:type="pct"/>
          </w:tcPr>
          <w:p w14:paraId="10D68B86" w14:textId="6C1FE5C6" w:rsidR="00767956" w:rsidRPr="00767956" w:rsidRDefault="00767956" w:rsidP="00767956">
            <w:pPr>
              <w:pStyle w:val="TableText"/>
              <w:jc w:val="center"/>
            </w:pPr>
            <w:r w:rsidRPr="004A03EB">
              <w:lastRenderedPageBreak/>
              <w:t>3</w:t>
            </w:r>
          </w:p>
        </w:tc>
        <w:tc>
          <w:tcPr>
            <w:tcW w:w="4483" w:type="pct"/>
          </w:tcPr>
          <w:p w14:paraId="11B34715" w14:textId="1162D3EF" w:rsidR="00767956" w:rsidRPr="00767956" w:rsidRDefault="00DB5179" w:rsidP="00767956">
            <w:pPr>
              <w:pStyle w:val="TableText"/>
            </w:pPr>
            <w:r w:rsidRPr="00DB5179">
              <w:t>Upper Level (UL) question - What recent ULs or equivalent health-based guidance values exist internationally (for excess vitamin B6 intake)? How were they derived, what assumptions and uncertainties were applied, and are they suitable to adopt or adapt for Australia and New Zealand?</w:t>
            </w:r>
          </w:p>
        </w:tc>
      </w:tr>
      <w:tr w:rsidR="00767956" w:rsidRPr="00767956" w14:paraId="65635FF9" w14:textId="77777777" w:rsidTr="00767956">
        <w:tc>
          <w:tcPr>
            <w:tcW w:w="517" w:type="pct"/>
          </w:tcPr>
          <w:p w14:paraId="26DDBD7E" w14:textId="1684A929" w:rsidR="00767956" w:rsidRPr="00767956" w:rsidRDefault="00767956" w:rsidP="00767956">
            <w:pPr>
              <w:pStyle w:val="TableText"/>
              <w:jc w:val="center"/>
            </w:pPr>
            <w:r w:rsidRPr="004A03EB">
              <w:t>4</w:t>
            </w:r>
          </w:p>
        </w:tc>
        <w:tc>
          <w:tcPr>
            <w:tcW w:w="4483" w:type="pct"/>
          </w:tcPr>
          <w:p w14:paraId="23BB5973" w14:textId="584ADDF5" w:rsidR="00767956" w:rsidRPr="00767956" w:rsidRDefault="00DB5179" w:rsidP="00767956">
            <w:pPr>
              <w:pStyle w:val="TableText"/>
            </w:pPr>
            <w:r>
              <w:t xml:space="preserve">Health considerations - </w:t>
            </w:r>
            <w:r w:rsidRPr="00DB5179">
              <w:t>What are the key adverse health effects associated with excess vitamin B6 intake, particularly neurological outcomes such as peripheral neuropathy?</w:t>
            </w:r>
          </w:p>
        </w:tc>
      </w:tr>
      <w:tr w:rsidR="00767956" w:rsidRPr="00767956" w14:paraId="632D001F" w14:textId="77777777" w:rsidTr="00767956">
        <w:tc>
          <w:tcPr>
            <w:tcW w:w="517" w:type="pct"/>
          </w:tcPr>
          <w:p w14:paraId="35D45696" w14:textId="735B9265" w:rsidR="00767956" w:rsidRPr="00767956" w:rsidRDefault="00767956" w:rsidP="00767956">
            <w:pPr>
              <w:pStyle w:val="TableText"/>
              <w:jc w:val="center"/>
            </w:pPr>
            <w:r w:rsidRPr="004A03EB">
              <w:t>5</w:t>
            </w:r>
          </w:p>
        </w:tc>
        <w:tc>
          <w:tcPr>
            <w:tcW w:w="4483" w:type="pct"/>
          </w:tcPr>
          <w:p w14:paraId="2E0A7B68" w14:textId="257C5E71" w:rsidR="00767956" w:rsidRPr="00767956" w:rsidRDefault="00DB5179" w:rsidP="00767956">
            <w:pPr>
              <w:pStyle w:val="TableText"/>
            </w:pPr>
            <w:r>
              <w:t xml:space="preserve">Health considerations - </w:t>
            </w:r>
            <w:r w:rsidRPr="00DB5179">
              <w:t>What is the strength of evidence for a causal association for the key adverse health effects (including consideration of mode of action, dose–response relationships, and consistency of findings)? Where relevant, how do findings differ by study type (e.g. human and animal evidence) and by population group, including infants, children, pregnancy/lactation and older adults?</w:t>
            </w:r>
          </w:p>
        </w:tc>
      </w:tr>
      <w:tr w:rsidR="00767956" w:rsidRPr="00767956" w14:paraId="28EF8F22" w14:textId="77777777" w:rsidTr="00767956">
        <w:tc>
          <w:tcPr>
            <w:tcW w:w="517" w:type="pct"/>
          </w:tcPr>
          <w:p w14:paraId="189AEF24" w14:textId="3D3A1DE7" w:rsidR="00767956" w:rsidRPr="00767956" w:rsidRDefault="00767956" w:rsidP="00767956">
            <w:pPr>
              <w:pStyle w:val="TableText"/>
              <w:jc w:val="center"/>
            </w:pPr>
            <w:r w:rsidRPr="004A03EB">
              <w:t>6</w:t>
            </w:r>
          </w:p>
        </w:tc>
        <w:tc>
          <w:tcPr>
            <w:tcW w:w="4483" w:type="pct"/>
          </w:tcPr>
          <w:p w14:paraId="0AD50362" w14:textId="212B51D8" w:rsidR="00767956" w:rsidRPr="00767956" w:rsidRDefault="00DB5179" w:rsidP="00DB5179">
            <w:pPr>
              <w:spacing w:after="60" w:line="240" w:lineRule="atLeast"/>
            </w:pPr>
            <w:r w:rsidRPr="00DB5179">
              <w:rPr>
                <w:sz w:val="20"/>
                <w:szCs w:val="18"/>
              </w:rPr>
              <w:t>Health considerations - Are there sensitive subpopulations, exposure patterns or use scenarios that require specific consideration</w:t>
            </w:r>
            <w:r w:rsidRPr="00DB5179">
              <w:rPr>
                <w:rStyle w:val="FootnoteReference"/>
                <w:sz w:val="20"/>
                <w:szCs w:val="18"/>
              </w:rPr>
              <w:footnoteReference w:id="1"/>
            </w:r>
            <w:r w:rsidRPr="00DB5179">
              <w:rPr>
                <w:sz w:val="20"/>
                <w:szCs w:val="18"/>
              </w:rPr>
              <w:t>?</w:t>
            </w:r>
          </w:p>
        </w:tc>
      </w:tr>
      <w:tr w:rsidR="00767956" w:rsidRPr="00767956" w14:paraId="73421D76" w14:textId="77777777" w:rsidTr="00767956">
        <w:tc>
          <w:tcPr>
            <w:tcW w:w="517" w:type="pct"/>
          </w:tcPr>
          <w:p w14:paraId="03085413" w14:textId="25E4EF96" w:rsidR="00767956" w:rsidRPr="00767956" w:rsidRDefault="00767956" w:rsidP="00767956">
            <w:pPr>
              <w:pStyle w:val="TableText"/>
              <w:jc w:val="center"/>
            </w:pPr>
            <w:r w:rsidRPr="004A03EB">
              <w:t>7</w:t>
            </w:r>
          </w:p>
        </w:tc>
        <w:tc>
          <w:tcPr>
            <w:tcW w:w="4483" w:type="pct"/>
          </w:tcPr>
          <w:p w14:paraId="718E182B" w14:textId="74E3E060" w:rsidR="00767956" w:rsidRPr="00767956" w:rsidRDefault="00DB5179" w:rsidP="00767956">
            <w:pPr>
              <w:pStyle w:val="TableText"/>
            </w:pPr>
            <w:r w:rsidRPr="00DB5179">
              <w:t>Health considerations -</w:t>
            </w:r>
            <w:r>
              <w:t xml:space="preserve"> </w:t>
            </w:r>
            <w:r w:rsidRPr="00DB5179">
              <w:t>How are pregnancy and other potentially sensitive life stages considered in the derivation of the UL, and are different uncertainty factors or adjustments applied for specific subpopulations where appropriate?</w:t>
            </w:r>
          </w:p>
        </w:tc>
      </w:tr>
      <w:tr w:rsidR="00767956" w:rsidRPr="00767956" w14:paraId="26D2673C" w14:textId="77777777" w:rsidTr="00767956">
        <w:tc>
          <w:tcPr>
            <w:tcW w:w="517" w:type="pct"/>
          </w:tcPr>
          <w:p w14:paraId="0E4CAB13" w14:textId="4B157F80" w:rsidR="00767956" w:rsidRPr="00767956" w:rsidRDefault="00767956" w:rsidP="00767956">
            <w:pPr>
              <w:pStyle w:val="TableText"/>
              <w:jc w:val="center"/>
            </w:pPr>
            <w:r w:rsidRPr="004A03EB">
              <w:t>8</w:t>
            </w:r>
          </w:p>
        </w:tc>
        <w:tc>
          <w:tcPr>
            <w:tcW w:w="4483" w:type="pct"/>
          </w:tcPr>
          <w:p w14:paraId="2E4BA3A9" w14:textId="167BEBB8" w:rsidR="00767956" w:rsidRPr="00767956" w:rsidRDefault="00DB5179" w:rsidP="00767956">
            <w:pPr>
              <w:pStyle w:val="TableText"/>
            </w:pPr>
            <w:r w:rsidRPr="00DB5179">
              <w:t>Australian and New Zealand intake profile</w:t>
            </w:r>
            <w:r>
              <w:t xml:space="preserve"> (</w:t>
            </w:r>
            <w:r w:rsidRPr="00DB5179">
              <w:t>where relevant to interpretation of risk in Australia and New Zealand</w:t>
            </w:r>
            <w:r>
              <w:t xml:space="preserve">) - </w:t>
            </w:r>
            <w:r w:rsidRPr="00DB5179">
              <w:t>What are the typical dietary and supplemental sources of vitamin B6 in Australia and New Zealand?</w:t>
            </w:r>
          </w:p>
        </w:tc>
      </w:tr>
      <w:tr w:rsidR="00767956" w:rsidRPr="00767956" w14:paraId="41F4CB49" w14:textId="77777777" w:rsidTr="00767956">
        <w:tc>
          <w:tcPr>
            <w:tcW w:w="517" w:type="pct"/>
          </w:tcPr>
          <w:p w14:paraId="0145A33F" w14:textId="4A28FEEF" w:rsidR="00767956" w:rsidRPr="00767956" w:rsidRDefault="00767956" w:rsidP="00767956">
            <w:pPr>
              <w:pStyle w:val="TableText"/>
              <w:jc w:val="center"/>
            </w:pPr>
            <w:r w:rsidRPr="004A03EB">
              <w:t>9</w:t>
            </w:r>
          </w:p>
        </w:tc>
        <w:tc>
          <w:tcPr>
            <w:tcW w:w="4483" w:type="pct"/>
          </w:tcPr>
          <w:p w14:paraId="67945E5C" w14:textId="5D4A374B" w:rsidR="00767956" w:rsidRPr="00767956" w:rsidRDefault="00DB5179" w:rsidP="00767956">
            <w:pPr>
              <w:pStyle w:val="TableText"/>
            </w:pPr>
            <w:r w:rsidRPr="00DB5179">
              <w:t>Australian and New Zealand intake profile (where relevant to interpretation of risk in Australia and New Zealand) -</w:t>
            </w:r>
            <w:r>
              <w:t xml:space="preserve"> </w:t>
            </w:r>
            <w:r w:rsidRPr="00DB5179">
              <w:t>What are the typical dietary and supplementary intakes of vitamin B6 in the Australian and New Zealand population?</w:t>
            </w:r>
          </w:p>
        </w:tc>
      </w:tr>
    </w:tbl>
    <w:p w14:paraId="11C32C3C" w14:textId="3EB59182" w:rsidR="00767956" w:rsidRDefault="00767956" w:rsidP="00767956">
      <w:pPr>
        <w:pStyle w:val="Heading1"/>
      </w:pPr>
      <w:bookmarkStart w:id="11" w:name="_Toc233022854"/>
      <w:bookmarkEnd w:id="10"/>
      <w:r>
        <w:t>Evidence Evaluation Methods</w:t>
      </w:r>
      <w:bookmarkEnd w:id="11"/>
    </w:p>
    <w:p w14:paraId="0784B5E5" w14:textId="1147700E" w:rsidR="00767956" w:rsidRDefault="00767956" w:rsidP="00767956">
      <w:pPr>
        <w:pStyle w:val="Heading2"/>
      </w:pPr>
      <w:bookmarkStart w:id="12" w:name="_Toc233022855"/>
      <w:r>
        <w:t>Overview</w:t>
      </w:r>
      <w:bookmarkEnd w:id="12"/>
    </w:p>
    <w:p w14:paraId="7BEA514D" w14:textId="77777777" w:rsidR="00E427BB" w:rsidRDefault="00E427BB" w:rsidP="00E427BB">
      <w:pPr>
        <w:pStyle w:val="BodyText"/>
      </w:pPr>
      <w:r>
        <w:t>This section summarises the methods used to undertake the evidence evaluation for vitamin B6. The intention is to provide sufficient detail to allow a third party to understand and, where applicable, reproduce the search and study selection process.</w:t>
      </w:r>
    </w:p>
    <w:p w14:paraId="673DEB56" w14:textId="77777777" w:rsidR="00E427BB" w:rsidRDefault="00E427BB" w:rsidP="00E427BB">
      <w:pPr>
        <w:pStyle w:val="BodyText"/>
      </w:pPr>
      <w:r>
        <w:t>Some flexibility was required in applying the methodology described in the final Research Protocol to ensure relevant information could be identified efficiently and appropriately across different evidence types, including existing international guidance documents, primary human and animal health evidence, and supporting contextual information such as adverse event reporting data and intake estimates for the Australian and New Zealand population. Searches and screening records were managed in Covidence, which was used to support title and abstract screening, full-text review, and documentation of inclusion and exclusion decisions. Any deviations from the final Research Protocol methodology have been documented in this report.</w:t>
      </w:r>
    </w:p>
    <w:p w14:paraId="4D7A1F87" w14:textId="5814703D" w:rsidR="00E427BB" w:rsidRDefault="00E427BB" w:rsidP="00E427BB">
      <w:pPr>
        <w:pStyle w:val="BodyText"/>
      </w:pPr>
      <w:r w:rsidRPr="00E427BB">
        <w:rPr>
          <w:b/>
          <w:bCs/>
        </w:rPr>
        <w:fldChar w:fldCharType="begin"/>
      </w:r>
      <w:r w:rsidRPr="00E427BB">
        <w:rPr>
          <w:b/>
          <w:bCs/>
        </w:rPr>
        <w:instrText xml:space="preserve"> REF _Ref218524436 \h </w:instrText>
      </w:r>
      <w:r>
        <w:rPr>
          <w:b/>
          <w:bCs/>
        </w:rPr>
        <w:instrText xml:space="preserve"> \* MERGEFORMAT </w:instrText>
      </w:r>
      <w:r w:rsidRPr="00E427BB">
        <w:rPr>
          <w:b/>
          <w:bCs/>
        </w:rPr>
      </w:r>
      <w:r w:rsidRPr="00E427BB">
        <w:rPr>
          <w:b/>
          <w:bCs/>
        </w:rPr>
        <w:fldChar w:fldCharType="separate"/>
      </w:r>
      <w:r w:rsidR="00A41FEF" w:rsidRPr="00A41FEF">
        <w:rPr>
          <w:b/>
          <w:bCs/>
        </w:rPr>
        <w:t xml:space="preserve">Figure </w:t>
      </w:r>
      <w:r w:rsidR="00A41FEF" w:rsidRPr="00A41FEF">
        <w:rPr>
          <w:b/>
          <w:bCs/>
          <w:noProof/>
        </w:rPr>
        <w:t>1</w:t>
      </w:r>
      <w:r w:rsidRPr="00E427BB">
        <w:rPr>
          <w:b/>
          <w:bCs/>
        </w:rPr>
        <w:fldChar w:fldCharType="end"/>
      </w:r>
      <w:r w:rsidRPr="00E427BB">
        <w:rPr>
          <w:b/>
          <w:bCs/>
        </w:rPr>
        <w:t xml:space="preserve"> </w:t>
      </w:r>
      <w:r>
        <w:t>provides an overview of the literature search and screening process for vitamin B6, presented as a PRISMA (Preferred Reporting Items for Systematic Reviews and Meta-Analyses) flow diagram, showing the number of records identified, screened, excluded and included at each stage of the review process (Moher et al. 2009).</w:t>
      </w:r>
    </w:p>
    <w:p w14:paraId="64D62832" w14:textId="03C4EFD3" w:rsidR="004C4DDA" w:rsidRPr="008371FA" w:rsidRDefault="00E427BB" w:rsidP="00E427BB">
      <w:pPr>
        <w:pStyle w:val="BodyText"/>
      </w:pPr>
      <w:r>
        <w:lastRenderedPageBreak/>
        <w:t xml:space="preserve">The evidence evaluation followed a two-stream approach as set out in the Research Protocol. The first stream comprised an adopt/adapt review of existing international guidance relevant to the vitamin B6 UL, including assessment of the methodological credibility and applicability of identified guidance documents using the criteria outlined in </w:t>
      </w:r>
      <w:r w:rsidR="00C14D6E" w:rsidRPr="00C14D6E">
        <w:rPr>
          <w:b/>
          <w:bCs/>
        </w:rPr>
        <w:fldChar w:fldCharType="begin"/>
      </w:r>
      <w:r w:rsidR="00C14D6E" w:rsidRPr="00C14D6E">
        <w:rPr>
          <w:b/>
          <w:bCs/>
        </w:rPr>
        <w:instrText xml:space="preserve"> REF _Ref231983737 \r \h </w:instrText>
      </w:r>
      <w:r w:rsidR="00C14D6E">
        <w:rPr>
          <w:b/>
          <w:bCs/>
        </w:rPr>
        <w:instrText xml:space="preserve"> \* MERGEFORMAT </w:instrText>
      </w:r>
      <w:r w:rsidR="00C14D6E" w:rsidRPr="00C14D6E">
        <w:rPr>
          <w:b/>
          <w:bCs/>
        </w:rPr>
      </w:r>
      <w:r w:rsidR="00C14D6E" w:rsidRPr="00C14D6E">
        <w:rPr>
          <w:b/>
          <w:bCs/>
        </w:rPr>
        <w:fldChar w:fldCharType="separate"/>
      </w:r>
      <w:r w:rsidR="00A41FEF">
        <w:rPr>
          <w:b/>
          <w:bCs/>
        </w:rPr>
        <w:t>Appendix B</w:t>
      </w:r>
      <w:r w:rsidR="00C14D6E" w:rsidRPr="00C14D6E">
        <w:rPr>
          <w:b/>
          <w:bCs/>
        </w:rPr>
        <w:fldChar w:fldCharType="end"/>
      </w:r>
      <w:r>
        <w:t xml:space="preserve"> of the Research Protocol. The second stream comprised an evidence scan of primary studies published since the most recent existing guidance review (i.e., from 2022 onwards), supplemented by earlier pivotal studies identified through backward citation searching where necessary to understand the basis of existing guidance values. Risk of bias and certainty of evidence assessments were applied to key primary studies and bodies of evidence relevant to the critical endpoint(s) underpinning the UL, using a modified OHAT risk-of-bias tool (NTP OHAT 2019) and a GRADE-informed approach (Alonso-Coello et al. 2016), respectively. Evidence was synthesised narratively, with integration of findings from existing guidance, newly identified primary studies, and relevant adverse event data.</w:t>
      </w:r>
    </w:p>
    <w:p w14:paraId="0B736FB6" w14:textId="15B4F943" w:rsidR="00767956" w:rsidRDefault="008F1C7B" w:rsidP="00450D3E">
      <w:pPr>
        <w:pStyle w:val="BodyText"/>
      </w:pPr>
      <w:r>
        <w:rPr>
          <w:noProof/>
          <w:lang w:eastAsia="en-AU"/>
        </w:rPr>
        <mc:AlternateContent>
          <mc:Choice Requires="wpc">
            <w:drawing>
              <wp:inline distT="0" distB="0" distL="0" distR="0" wp14:anchorId="5ACB2B9F" wp14:editId="02261944">
                <wp:extent cx="5733415" cy="5999480"/>
                <wp:effectExtent l="0" t="0" r="19685" b="20320"/>
                <wp:docPr id="13" name="Canvas 13" descr="The figure is a flow diagram illustrating the literature search process for vitamin B6 upper limit, structured according to PRISMA guidelines. It is divided into three vertical sections labelled on the left: Identification, Screening, and Included.&#10;Identification section (top):&#10;Two horizontally aligned green rounded rectangles represent sources of initial records:&#10;Targeted screening of existing health-based guidance (n = 1) on the left.&#10;Evidence review for recent health-based literature (n = 678) on the right.&#10;Thin connecting lines from each box converge downward into the next stage.&#10;Screening section (middle):&#10;A single green rounded rectangle labelled Preliminary title screen (n = 586) appears below, indicating the combined total from the identification stage.&#10;To the right of this box are grey rectangles labelled Records excluded (n = 539) and-deduplication (n = 93), connected by a horizontal arrow, showing the number of records removed at this step.&#10;Below, another green rounded rectangle labelled Content screen (n = 47) represents the next filtering stage.&#10;To its right, another grey rectangle labelled Records excluded total (n = 397) (consisting of n=318 irrelevant studies, n=64 excluded from full text review, n=23 excluded based on credible guidance).&#10;Included section (bottom):&#10;Two dark green rounded rectangles are arranged horizontally, each representing categories of included records after screening:&#10;Agency reviews with health information (n = 1) on the far left.&#10;Health-based peer-reviewed journal articles (n = 23) on the far right.&#10;Both boxes are connected upward to the content screen box by thin vertical lines.&#10;In the diagram, a blue box connected to the health-based peer-reviewed journal articles green box highlighting the total pool of studies selected for risk of bias assessment (n=7). &#10;The diagram uses green for active process steps and grey for excluded records. Arrows indicate the flow from identification through screening to inclusion. Numbers in parentheses show the count of records at each stage, highlighting progressive narrowing from 679 initial records to 24 included across categories."/>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4" name="Text Box 14"/>
                        <wps:cNvSpPr txBox="1"/>
                        <wps:spPr>
                          <a:xfrm>
                            <a:off x="88900" y="35999"/>
                            <a:ext cx="371958" cy="1708253"/>
                          </a:xfrm>
                          <a:prstGeom prst="rect">
                            <a:avLst/>
                          </a:prstGeom>
                          <a:solidFill>
                            <a:srgbClr val="FFFFFF">
                              <a:lumMod val="75000"/>
                            </a:srgbClr>
                          </a:solidFill>
                          <a:ln w="6350">
                            <a:solidFill>
                              <a:prstClr val="black"/>
                            </a:solidFill>
                          </a:ln>
                        </wps:spPr>
                        <wps:txbx>
                          <w:txbxContent>
                            <w:p w14:paraId="049947C3" w14:textId="77777777" w:rsidR="008F1C7B" w:rsidRPr="00767956" w:rsidRDefault="008F1C7B" w:rsidP="008F1C7B">
                              <w:pPr>
                                <w:spacing w:before="60" w:after="60"/>
                                <w:jc w:val="center"/>
                                <w:rPr>
                                  <w:b/>
                                  <w:bCs/>
                                  <w:sz w:val="20"/>
                                  <w:lang w:val="en-US"/>
                                </w:rPr>
                              </w:pPr>
                              <w:r w:rsidRPr="00767956">
                                <w:rPr>
                                  <w:b/>
                                  <w:bCs/>
                                  <w:sz w:val="20"/>
                                  <w:lang w:val="en-US"/>
                                </w:rPr>
                                <w:t>Identification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15" name="Text Box 14"/>
                        <wps:cNvSpPr txBox="1"/>
                        <wps:spPr>
                          <a:xfrm>
                            <a:off x="88900" y="1859014"/>
                            <a:ext cx="371958" cy="2057400"/>
                          </a:xfrm>
                          <a:prstGeom prst="rect">
                            <a:avLst/>
                          </a:prstGeom>
                          <a:solidFill>
                            <a:srgbClr val="FFFFFF">
                              <a:lumMod val="75000"/>
                            </a:srgbClr>
                          </a:solidFill>
                          <a:ln w="6350">
                            <a:solidFill>
                              <a:prstClr val="black"/>
                            </a:solidFill>
                          </a:ln>
                        </wps:spPr>
                        <wps:txbx>
                          <w:txbxContent>
                            <w:p w14:paraId="0762C555" w14:textId="77777777" w:rsidR="008F1C7B" w:rsidRPr="00767956" w:rsidRDefault="008F1C7B" w:rsidP="008F1C7B">
                              <w:pPr>
                                <w:spacing w:before="60" w:after="60"/>
                                <w:jc w:val="center"/>
                                <w:rPr>
                                  <w:b/>
                                  <w:bCs/>
                                  <w:sz w:val="20"/>
                                  <w:lang w:val="en-US"/>
                                </w:rPr>
                              </w:pPr>
                              <w:r w:rsidRPr="00767956">
                                <w:rPr>
                                  <w:b/>
                                  <w:bCs/>
                                  <w:sz w:val="20"/>
                                  <w:lang w:val="en-US"/>
                                </w:rPr>
                                <w:t>Screening</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16" name="Text Box 14"/>
                        <wps:cNvSpPr txBox="1"/>
                        <wps:spPr>
                          <a:xfrm>
                            <a:off x="88900" y="4052669"/>
                            <a:ext cx="371958" cy="1946833"/>
                          </a:xfrm>
                          <a:prstGeom prst="rect">
                            <a:avLst/>
                          </a:prstGeom>
                          <a:solidFill>
                            <a:srgbClr val="FFFFFF">
                              <a:lumMod val="75000"/>
                            </a:srgbClr>
                          </a:solidFill>
                          <a:ln w="6350">
                            <a:solidFill>
                              <a:prstClr val="black"/>
                            </a:solidFill>
                          </a:ln>
                        </wps:spPr>
                        <wps:txbx>
                          <w:txbxContent>
                            <w:p w14:paraId="7338F7E9" w14:textId="77777777" w:rsidR="008F1C7B" w:rsidRPr="00767956" w:rsidRDefault="008F1C7B" w:rsidP="008F1C7B">
                              <w:pPr>
                                <w:spacing w:before="60" w:after="60"/>
                                <w:jc w:val="center"/>
                                <w:rPr>
                                  <w:b/>
                                  <w:bCs/>
                                  <w:sz w:val="20"/>
                                  <w:lang w:val="en-US"/>
                                </w:rPr>
                              </w:pPr>
                              <w:r w:rsidRPr="00767956">
                                <w:rPr>
                                  <w:b/>
                                  <w:bCs/>
                                  <w:sz w:val="20"/>
                                  <w:lang w:val="en-US"/>
                                </w:rPr>
                                <w:t>Included</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17" name="Flowchart: Alternate Process 17"/>
                        <wps:cNvSpPr/>
                        <wps:spPr>
                          <a:xfrm>
                            <a:off x="1115911" y="361493"/>
                            <a:ext cx="1557223" cy="908050"/>
                          </a:xfrm>
                          <a:prstGeom prst="flowChartAlternateProcess">
                            <a:avLst/>
                          </a:prstGeom>
                          <a:solidFill>
                            <a:srgbClr val="3C533C"/>
                          </a:solidFill>
                          <a:ln w="25400" cap="flat" cmpd="sng" algn="ctr">
                            <a:noFill/>
                            <a:prstDash val="solid"/>
                          </a:ln>
                          <a:effectLst/>
                        </wps:spPr>
                        <wps:txbx>
                          <w:txbxContent>
                            <w:p w14:paraId="6B8BA206" w14:textId="77777777" w:rsidR="008F1C7B" w:rsidRPr="008B5244" w:rsidRDefault="008F1C7B" w:rsidP="008F1C7B">
                              <w:pPr>
                                <w:jc w:val="center"/>
                                <w:rPr>
                                  <w:color w:val="FFFFFF" w:themeColor="background1"/>
                                  <w:sz w:val="20"/>
                                  <w:lang w:val="en-US"/>
                                </w:rPr>
                              </w:pPr>
                              <w:r w:rsidRPr="008B5244">
                                <w:rPr>
                                  <w:color w:val="FFFFFF" w:themeColor="background1"/>
                                  <w:sz w:val="20"/>
                                  <w:lang w:val="en-US"/>
                                </w:rPr>
                                <w:t>Targeted screening of existing health-based guidance (n=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lowchart: Alternate Process 19"/>
                        <wps:cNvSpPr/>
                        <wps:spPr>
                          <a:xfrm>
                            <a:off x="3406557" y="358491"/>
                            <a:ext cx="1666164" cy="908050"/>
                          </a:xfrm>
                          <a:prstGeom prst="flowChartAlternateProcess">
                            <a:avLst/>
                          </a:prstGeom>
                          <a:solidFill>
                            <a:srgbClr val="3C533C"/>
                          </a:solidFill>
                          <a:ln w="25400" cap="flat" cmpd="sng" algn="ctr">
                            <a:noFill/>
                            <a:prstDash val="solid"/>
                          </a:ln>
                          <a:effectLst/>
                        </wps:spPr>
                        <wps:txbx>
                          <w:txbxContent>
                            <w:p w14:paraId="66D3AE19" w14:textId="77777777" w:rsidR="008F1C7B" w:rsidRPr="008B5244" w:rsidRDefault="008F1C7B" w:rsidP="008F1C7B">
                              <w:pPr>
                                <w:jc w:val="center"/>
                                <w:rPr>
                                  <w:color w:val="FFFFFF" w:themeColor="background1"/>
                                  <w:sz w:val="20"/>
                                  <w:lang w:val="en-US"/>
                                </w:rPr>
                              </w:pPr>
                              <w:r w:rsidRPr="008B5244">
                                <w:rPr>
                                  <w:color w:val="FFFFFF" w:themeColor="background1"/>
                                  <w:sz w:val="20"/>
                                  <w:lang w:val="en-US"/>
                                </w:rPr>
                                <w:t>Evidence scan for recent health-based literature (n= 678)</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Flowchart: Alternate Process 20"/>
                        <wps:cNvSpPr/>
                        <wps:spPr>
                          <a:xfrm>
                            <a:off x="2125640" y="1871498"/>
                            <a:ext cx="1879600" cy="908050"/>
                          </a:xfrm>
                          <a:prstGeom prst="flowChartAlternateProcess">
                            <a:avLst/>
                          </a:prstGeom>
                          <a:solidFill>
                            <a:srgbClr val="3C533C"/>
                          </a:solidFill>
                          <a:ln w="25400" cap="flat" cmpd="sng" algn="ctr">
                            <a:noFill/>
                            <a:prstDash val="solid"/>
                          </a:ln>
                          <a:effectLst/>
                        </wps:spPr>
                        <wps:txbx>
                          <w:txbxContent>
                            <w:p w14:paraId="61CAE0E7" w14:textId="77777777" w:rsidR="008F1C7B" w:rsidRPr="008B5244" w:rsidRDefault="008F1C7B" w:rsidP="008F1C7B">
                              <w:pPr>
                                <w:jc w:val="center"/>
                                <w:rPr>
                                  <w:color w:val="FFFFFF" w:themeColor="background1"/>
                                  <w:sz w:val="20"/>
                                  <w:lang w:val="en-US"/>
                                </w:rPr>
                              </w:pPr>
                              <w:r w:rsidRPr="008B5244">
                                <w:rPr>
                                  <w:color w:val="FFFFFF" w:themeColor="background1"/>
                                  <w:sz w:val="20"/>
                                  <w:lang w:val="en-US"/>
                                </w:rPr>
                                <w:t xml:space="preserve">Preliminary title screen </w:t>
                              </w:r>
                            </w:p>
                            <w:p w14:paraId="3F22E65E" w14:textId="77777777" w:rsidR="008F1C7B" w:rsidRPr="008B5244" w:rsidRDefault="008F1C7B" w:rsidP="008F1C7B">
                              <w:pPr>
                                <w:jc w:val="center"/>
                                <w:rPr>
                                  <w:color w:val="FFFFFF" w:themeColor="background1"/>
                                  <w:sz w:val="20"/>
                                  <w:lang w:val="en-US"/>
                                </w:rPr>
                              </w:pPr>
                              <w:r w:rsidRPr="008B5244">
                                <w:rPr>
                                  <w:color w:val="FFFFFF" w:themeColor="background1"/>
                                  <w:sz w:val="20"/>
                                  <w:lang w:val="en-US"/>
                                </w:rPr>
                                <w:t>(n= 586)</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Flowchart: Alternate Process 21"/>
                        <wps:cNvSpPr/>
                        <wps:spPr>
                          <a:xfrm>
                            <a:off x="2125640" y="3046248"/>
                            <a:ext cx="1879600" cy="908050"/>
                          </a:xfrm>
                          <a:prstGeom prst="flowChartAlternateProcess">
                            <a:avLst/>
                          </a:prstGeom>
                          <a:solidFill>
                            <a:srgbClr val="3C533C"/>
                          </a:solidFill>
                          <a:ln w="25400" cap="flat" cmpd="sng" algn="ctr">
                            <a:noFill/>
                            <a:prstDash val="solid"/>
                          </a:ln>
                          <a:effectLst/>
                        </wps:spPr>
                        <wps:txbx>
                          <w:txbxContent>
                            <w:p w14:paraId="38EC85EE" w14:textId="77777777" w:rsidR="008F1C7B" w:rsidRPr="008B5244" w:rsidRDefault="008F1C7B" w:rsidP="008F1C7B">
                              <w:pPr>
                                <w:jc w:val="center"/>
                                <w:rPr>
                                  <w:color w:val="FFFFFF" w:themeColor="background1"/>
                                  <w:sz w:val="20"/>
                                  <w:lang w:val="en-US"/>
                                </w:rPr>
                              </w:pPr>
                              <w:r w:rsidRPr="008B5244">
                                <w:rPr>
                                  <w:color w:val="FFFFFF" w:themeColor="background1"/>
                                  <w:sz w:val="20"/>
                                  <w:lang w:val="en-US"/>
                                </w:rPr>
                                <w:t>Content screen (n=47)</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 name="Connector: Elbow 22"/>
                        <wps:cNvCnPr>
                          <a:stCxn id="17" idx="2"/>
                          <a:endCxn id="20" idx="0"/>
                        </wps:cNvCnPr>
                        <wps:spPr>
                          <a:xfrm rot="16200000" flipH="1">
                            <a:off x="2179004" y="985061"/>
                            <a:ext cx="601955" cy="1170917"/>
                          </a:xfrm>
                          <a:prstGeom prst="bentConnector3">
                            <a:avLst/>
                          </a:prstGeom>
                          <a:noFill/>
                          <a:ln w="19050" cap="flat" cmpd="sng" algn="ctr">
                            <a:solidFill>
                              <a:srgbClr val="3C533C">
                                <a:shade val="95000"/>
                                <a:satMod val="105000"/>
                              </a:srgbClr>
                            </a:solidFill>
                            <a:prstDash val="solid"/>
                            <a:tailEnd type="triangle"/>
                          </a:ln>
                          <a:effectLst/>
                        </wps:spPr>
                        <wps:bodyPr/>
                      </wps:wsp>
                      <wps:wsp>
                        <wps:cNvPr id="24" name="Connector: Elbow 24"/>
                        <wps:cNvCnPr>
                          <a:stCxn id="19" idx="2"/>
                          <a:endCxn id="20" idx="0"/>
                        </wps:cNvCnPr>
                        <wps:spPr>
                          <a:xfrm rot="5400000">
                            <a:off x="3350062" y="981920"/>
                            <a:ext cx="604957" cy="1174199"/>
                          </a:xfrm>
                          <a:prstGeom prst="bentConnector3">
                            <a:avLst/>
                          </a:prstGeom>
                          <a:noFill/>
                          <a:ln w="19050" cap="flat" cmpd="sng" algn="ctr">
                            <a:solidFill>
                              <a:srgbClr val="3C533C">
                                <a:shade val="95000"/>
                                <a:satMod val="105000"/>
                              </a:srgbClr>
                            </a:solidFill>
                            <a:prstDash val="solid"/>
                            <a:tailEnd type="triangle"/>
                          </a:ln>
                          <a:effectLst/>
                        </wps:spPr>
                        <wps:bodyPr/>
                      </wps:wsp>
                      <wps:wsp>
                        <wps:cNvPr id="25" name="Flowchart: Process 25"/>
                        <wps:cNvSpPr/>
                        <wps:spPr>
                          <a:xfrm>
                            <a:off x="4640250" y="1926448"/>
                            <a:ext cx="1085850" cy="806450"/>
                          </a:xfrm>
                          <a:prstGeom prst="flowChartProcess">
                            <a:avLst/>
                          </a:prstGeom>
                          <a:solidFill>
                            <a:srgbClr val="1E1E1E">
                              <a:lumMod val="50000"/>
                              <a:lumOff val="50000"/>
                            </a:srgbClr>
                          </a:solidFill>
                          <a:ln w="25400" cap="flat" cmpd="sng" algn="ctr">
                            <a:solidFill>
                              <a:srgbClr val="1E1E1E"/>
                            </a:solidFill>
                            <a:prstDash val="solid"/>
                          </a:ln>
                          <a:effectLst/>
                        </wps:spPr>
                        <wps:txbx>
                          <w:txbxContent>
                            <w:p w14:paraId="64DAD6DF" w14:textId="77777777" w:rsidR="008F1C7B" w:rsidRPr="0037433D" w:rsidRDefault="008F1C7B" w:rsidP="008F1C7B">
                              <w:pPr>
                                <w:jc w:val="center"/>
                                <w:rPr>
                                  <w:sz w:val="20"/>
                                  <w:lang w:val="en-US"/>
                                </w:rPr>
                              </w:pPr>
                              <w:r w:rsidRPr="0037433D">
                                <w:rPr>
                                  <w:sz w:val="20"/>
                                  <w:lang w:val="en-US"/>
                                </w:rPr>
                                <w:t>Records excluded (n=</w:t>
                              </w:r>
                              <w:r>
                                <w:rPr>
                                  <w:sz w:val="20"/>
                                  <w:lang w:val="en-US"/>
                                </w:rPr>
                                <w:t>539</w:t>
                              </w:r>
                              <w:r w:rsidRPr="0037433D">
                                <w:rPr>
                                  <w:sz w:val="20"/>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lowchart: Process 26"/>
                        <wps:cNvSpPr/>
                        <wps:spPr>
                          <a:xfrm>
                            <a:off x="4640250" y="3065298"/>
                            <a:ext cx="1085850" cy="861400"/>
                          </a:xfrm>
                          <a:prstGeom prst="flowChartProcess">
                            <a:avLst/>
                          </a:prstGeom>
                          <a:solidFill>
                            <a:srgbClr val="1E1E1E">
                              <a:lumMod val="50000"/>
                              <a:lumOff val="50000"/>
                            </a:srgbClr>
                          </a:solidFill>
                          <a:ln w="25400" cap="flat" cmpd="sng" algn="ctr">
                            <a:solidFill>
                              <a:srgbClr val="1E1E1E"/>
                            </a:solidFill>
                            <a:prstDash val="solid"/>
                          </a:ln>
                          <a:effectLst/>
                        </wps:spPr>
                        <wps:txbx>
                          <w:txbxContent>
                            <w:p w14:paraId="3A7219EE" w14:textId="77777777" w:rsidR="008F1C7B" w:rsidRPr="0037433D" w:rsidRDefault="008F1C7B" w:rsidP="008F1C7B">
                              <w:pPr>
                                <w:jc w:val="center"/>
                                <w:rPr>
                                  <w:sz w:val="20"/>
                                  <w:lang w:val="en-US"/>
                                </w:rPr>
                              </w:pPr>
                              <w:r w:rsidRPr="0037433D">
                                <w:rPr>
                                  <w:sz w:val="20"/>
                                  <w:lang w:val="en-US"/>
                                </w:rPr>
                                <w:t>Records excluded</w:t>
                              </w:r>
                            </w:p>
                            <w:p w14:paraId="46598F09" w14:textId="77777777" w:rsidR="008F1C7B" w:rsidRPr="0037433D" w:rsidRDefault="008F1C7B" w:rsidP="008F1C7B">
                              <w:pPr>
                                <w:jc w:val="center"/>
                                <w:rPr>
                                  <w:sz w:val="20"/>
                                  <w:lang w:val="en-US"/>
                                </w:rPr>
                              </w:pPr>
                              <w:r w:rsidRPr="0037433D">
                                <w:rPr>
                                  <w:sz w:val="20"/>
                                  <w:lang w:val="en-US"/>
                                </w:rPr>
                                <w:t>(n=</w:t>
                              </w:r>
                              <w:r>
                                <w:rPr>
                                  <w:sz w:val="20"/>
                                  <w:lang w:val="en-US"/>
                                </w:rPr>
                                <w:t>23</w:t>
                              </w:r>
                              <w:r w:rsidRPr="0037433D">
                                <w:rPr>
                                  <w:sz w:val="20"/>
                                  <w:lang w:val="en-US"/>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Flowchart: Alternate Process 30"/>
                        <wps:cNvSpPr/>
                        <wps:spPr>
                          <a:xfrm>
                            <a:off x="962631" y="4718600"/>
                            <a:ext cx="1169518" cy="1201215"/>
                          </a:xfrm>
                          <a:prstGeom prst="flowChartAlternateProcess">
                            <a:avLst/>
                          </a:prstGeom>
                          <a:solidFill>
                            <a:srgbClr val="3C533C"/>
                          </a:solidFill>
                          <a:ln w="25400" cap="flat" cmpd="sng" algn="ctr">
                            <a:noFill/>
                            <a:prstDash val="solid"/>
                          </a:ln>
                          <a:effectLst/>
                        </wps:spPr>
                        <wps:txbx>
                          <w:txbxContent>
                            <w:p w14:paraId="74D1225C" w14:textId="77777777" w:rsidR="008F1C7B" w:rsidRPr="008B5244" w:rsidRDefault="008F1C7B" w:rsidP="008F1C7B">
                              <w:pPr>
                                <w:jc w:val="center"/>
                                <w:rPr>
                                  <w:color w:val="FFFFFF" w:themeColor="background1"/>
                                  <w:sz w:val="20"/>
                                  <w:lang w:val="en-US"/>
                                </w:rPr>
                              </w:pPr>
                              <w:r w:rsidRPr="008B5244">
                                <w:rPr>
                                  <w:color w:val="FFFFFF" w:themeColor="background1"/>
                                  <w:sz w:val="20"/>
                                  <w:lang w:val="en-US"/>
                                </w:rPr>
                                <w:t>Agency reviews with health information (n=1)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 name="Flowchart: Alternate Process 35"/>
                        <wps:cNvSpPr/>
                        <wps:spPr>
                          <a:xfrm>
                            <a:off x="4014185" y="4718600"/>
                            <a:ext cx="1189406" cy="1180073"/>
                          </a:xfrm>
                          <a:prstGeom prst="flowChartAlternateProcess">
                            <a:avLst/>
                          </a:prstGeom>
                          <a:solidFill>
                            <a:srgbClr val="3C533C"/>
                          </a:solidFill>
                          <a:ln w="25400" cap="flat" cmpd="sng" algn="ctr">
                            <a:noFill/>
                            <a:prstDash val="solid"/>
                          </a:ln>
                          <a:effectLst/>
                        </wps:spPr>
                        <wps:txbx>
                          <w:txbxContent>
                            <w:p w14:paraId="16201850" w14:textId="77777777" w:rsidR="008F1C7B" w:rsidRPr="008B5244" w:rsidRDefault="008F1C7B" w:rsidP="008F1C7B">
                              <w:pPr>
                                <w:jc w:val="center"/>
                                <w:rPr>
                                  <w:color w:val="FFFFFF" w:themeColor="background1"/>
                                  <w:sz w:val="20"/>
                                  <w:lang w:val="en-US"/>
                                </w:rPr>
                              </w:pPr>
                              <w:r w:rsidRPr="008B5244">
                                <w:rPr>
                                  <w:color w:val="FFFFFF" w:themeColor="background1"/>
                                  <w:sz w:val="20"/>
                                  <w:lang w:val="en-US"/>
                                </w:rPr>
                                <w:t>Health-based peer-reviewed journal articles (n=23)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 name="Connector: Elbow 36"/>
                        <wps:cNvCnPr>
                          <a:stCxn id="21" idx="2"/>
                          <a:endCxn id="30" idx="0"/>
                        </wps:cNvCnPr>
                        <wps:spPr>
                          <a:xfrm rot="5400000">
                            <a:off x="1924264" y="3577424"/>
                            <a:ext cx="764302" cy="1518050"/>
                          </a:xfrm>
                          <a:prstGeom prst="bentConnector3">
                            <a:avLst/>
                          </a:prstGeom>
                          <a:noFill/>
                          <a:ln w="19050" cap="flat" cmpd="sng" algn="ctr">
                            <a:solidFill>
                              <a:srgbClr val="3C533C">
                                <a:shade val="95000"/>
                                <a:satMod val="105000"/>
                              </a:srgbClr>
                            </a:solidFill>
                            <a:prstDash val="solid"/>
                            <a:tailEnd type="triangle"/>
                          </a:ln>
                          <a:effectLst/>
                        </wps:spPr>
                        <wps:bodyPr/>
                      </wps:wsp>
                      <wps:wsp>
                        <wps:cNvPr id="37" name="Straight Arrow Connector 37"/>
                        <wps:cNvCnPr>
                          <a:stCxn id="20" idx="2"/>
                          <a:endCxn id="21" idx="0"/>
                        </wps:cNvCnPr>
                        <wps:spPr>
                          <a:xfrm>
                            <a:off x="3065440" y="2779548"/>
                            <a:ext cx="0" cy="266700"/>
                          </a:xfrm>
                          <a:prstGeom prst="straightConnector1">
                            <a:avLst/>
                          </a:prstGeom>
                          <a:noFill/>
                          <a:ln w="19050" cap="flat" cmpd="sng" algn="ctr">
                            <a:solidFill>
                              <a:srgbClr val="3C533C">
                                <a:shade val="95000"/>
                                <a:satMod val="105000"/>
                              </a:srgbClr>
                            </a:solidFill>
                            <a:prstDash val="solid"/>
                            <a:tailEnd type="triangle"/>
                          </a:ln>
                          <a:effectLst/>
                        </wps:spPr>
                        <wps:bodyPr/>
                      </wps:wsp>
                      <wps:wsp>
                        <wps:cNvPr id="39" name="Straight Arrow Connector 39"/>
                        <wps:cNvCnPr>
                          <a:stCxn id="20" idx="3"/>
                          <a:endCxn id="25" idx="1"/>
                        </wps:cNvCnPr>
                        <wps:spPr>
                          <a:xfrm>
                            <a:off x="4005240" y="2325523"/>
                            <a:ext cx="635010" cy="4150"/>
                          </a:xfrm>
                          <a:prstGeom prst="straightConnector1">
                            <a:avLst/>
                          </a:prstGeom>
                          <a:noFill/>
                          <a:ln w="19050" cap="flat" cmpd="sng" algn="ctr">
                            <a:solidFill>
                              <a:srgbClr val="FFFFFF">
                                <a:lumMod val="50000"/>
                              </a:srgbClr>
                            </a:solidFill>
                            <a:prstDash val="solid"/>
                            <a:tailEnd type="triangle"/>
                          </a:ln>
                          <a:effectLst/>
                        </wps:spPr>
                        <wps:bodyPr/>
                      </wps:wsp>
                      <wps:wsp>
                        <wps:cNvPr id="40" name="Straight Arrow Connector 40"/>
                        <wps:cNvCnPr>
                          <a:stCxn id="21" idx="3"/>
                          <a:endCxn id="26" idx="1"/>
                        </wps:cNvCnPr>
                        <wps:spPr>
                          <a:xfrm flipV="1">
                            <a:off x="4005240" y="3495998"/>
                            <a:ext cx="635010" cy="4275"/>
                          </a:xfrm>
                          <a:prstGeom prst="straightConnector1">
                            <a:avLst/>
                          </a:prstGeom>
                          <a:noFill/>
                          <a:ln w="19050" cap="flat" cmpd="sng" algn="ctr">
                            <a:solidFill>
                              <a:srgbClr val="FFFFFF">
                                <a:lumMod val="50000"/>
                              </a:srgbClr>
                            </a:solidFill>
                            <a:prstDash val="solid"/>
                            <a:tailEnd type="triangle"/>
                          </a:ln>
                          <a:effectLst/>
                        </wps:spPr>
                        <wps:bodyPr/>
                      </wps:wsp>
                      <wps:wsp>
                        <wps:cNvPr id="43" name="Connector: Elbow 43"/>
                        <wps:cNvCnPr>
                          <a:stCxn id="21" idx="2"/>
                          <a:endCxn id="35" idx="0"/>
                        </wps:cNvCnPr>
                        <wps:spPr>
                          <a:xfrm rot="16200000" flipH="1">
                            <a:off x="3455013" y="3564725"/>
                            <a:ext cx="764302" cy="1543448"/>
                          </a:xfrm>
                          <a:prstGeom prst="bentConnector3">
                            <a:avLst/>
                          </a:prstGeom>
                          <a:noFill/>
                          <a:ln w="19050" cap="flat" cmpd="sng" algn="ctr">
                            <a:solidFill>
                              <a:srgbClr val="3C533C">
                                <a:shade val="95000"/>
                                <a:satMod val="105000"/>
                              </a:srgbClr>
                            </a:solidFill>
                            <a:prstDash val="solid"/>
                            <a:tailEnd type="triangle"/>
                          </a:ln>
                          <a:effectLst/>
                        </wps:spPr>
                        <wps:bodyPr/>
                      </wps:wsp>
                      <wps:wsp>
                        <wps:cNvPr id="888324755" name="Straight Arrow Connector 888324755"/>
                        <wps:cNvCnPr>
                          <a:endCxn id="1606280875" idx="1"/>
                        </wps:cNvCnPr>
                        <wps:spPr>
                          <a:xfrm>
                            <a:off x="3076190" y="1605836"/>
                            <a:ext cx="1564060" cy="55"/>
                          </a:xfrm>
                          <a:prstGeom prst="straightConnector1">
                            <a:avLst/>
                          </a:prstGeom>
                          <a:noFill/>
                          <a:ln w="19050" cap="flat" cmpd="sng" algn="ctr">
                            <a:solidFill>
                              <a:srgbClr val="FFFFFF">
                                <a:lumMod val="50000"/>
                              </a:srgbClr>
                            </a:solidFill>
                            <a:prstDash val="solid"/>
                            <a:tailEnd type="triangle"/>
                          </a:ln>
                          <a:effectLst/>
                        </wps:spPr>
                        <wps:bodyPr/>
                      </wps:wsp>
                      <wps:wsp>
                        <wps:cNvPr id="1606280875" name="Flowchart: Process 1606280875"/>
                        <wps:cNvSpPr/>
                        <wps:spPr>
                          <a:xfrm>
                            <a:off x="4640250" y="1363672"/>
                            <a:ext cx="1085850" cy="484549"/>
                          </a:xfrm>
                          <a:prstGeom prst="flowChartProcess">
                            <a:avLst/>
                          </a:prstGeom>
                          <a:solidFill>
                            <a:srgbClr val="1E1E1E">
                              <a:lumMod val="50000"/>
                              <a:lumOff val="50000"/>
                            </a:srgbClr>
                          </a:solidFill>
                          <a:ln w="25400" cap="flat" cmpd="sng" algn="ctr">
                            <a:solidFill>
                              <a:srgbClr val="1E1E1E"/>
                            </a:solidFill>
                            <a:prstDash val="solid"/>
                          </a:ln>
                          <a:effectLst/>
                        </wps:spPr>
                        <wps:txbx>
                          <w:txbxContent>
                            <w:p w14:paraId="68517653" w14:textId="77777777" w:rsidR="008F1C7B" w:rsidRDefault="008F1C7B" w:rsidP="008F1C7B">
                              <w:pPr>
                                <w:jc w:val="center"/>
                                <w:rPr>
                                  <w:rFonts w:eastAsia="Arial"/>
                                  <w:sz w:val="20"/>
                                  <w:lang w:val="en-US"/>
                                </w:rPr>
                              </w:pPr>
                              <w:r>
                                <w:rPr>
                                  <w:rFonts w:eastAsia="Arial"/>
                                  <w:sz w:val="20"/>
                                  <w:lang w:val="en-US"/>
                                </w:rPr>
                                <w:t>Deduplication (n = 93)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00079333" name="Straight Arrow Connector 2000079333"/>
                        <wps:cNvCnPr>
                          <a:stCxn id="35" idx="1"/>
                          <a:endCxn id="285479427" idx="3"/>
                        </wps:cNvCnPr>
                        <wps:spPr>
                          <a:xfrm flipH="1">
                            <a:off x="3848276" y="5308637"/>
                            <a:ext cx="165909" cy="404158"/>
                          </a:xfrm>
                          <a:prstGeom prst="straightConnector1">
                            <a:avLst/>
                          </a:prstGeom>
                          <a:noFill/>
                          <a:ln w="19050" cap="flat" cmpd="sng" algn="ctr">
                            <a:solidFill>
                              <a:srgbClr val="0070C0"/>
                            </a:solidFill>
                            <a:prstDash val="solid"/>
                            <a:tailEnd type="triangle"/>
                          </a:ln>
                          <a:effectLst/>
                        </wps:spPr>
                        <wps:bodyPr/>
                      </wps:wsp>
                      <wps:wsp>
                        <wps:cNvPr id="285479427" name="Flowchart: Process 285479427"/>
                        <wps:cNvSpPr/>
                        <wps:spPr>
                          <a:xfrm>
                            <a:off x="2632668" y="5426110"/>
                            <a:ext cx="1215608" cy="573370"/>
                          </a:xfrm>
                          <a:prstGeom prst="flowChartProcess">
                            <a:avLst/>
                          </a:prstGeom>
                          <a:solidFill>
                            <a:srgbClr val="DDF6FF"/>
                          </a:solidFill>
                          <a:ln w="25400" cap="flat" cmpd="sng" algn="ctr">
                            <a:solidFill>
                              <a:srgbClr val="0070C0"/>
                            </a:solidFill>
                            <a:prstDash val="solid"/>
                          </a:ln>
                          <a:effectLst/>
                        </wps:spPr>
                        <wps:txbx>
                          <w:txbxContent>
                            <w:p w14:paraId="18353003" w14:textId="77777777" w:rsidR="008F1C7B" w:rsidRPr="008B5244" w:rsidRDefault="008F1C7B" w:rsidP="008F1C7B">
                              <w:pPr>
                                <w:jc w:val="center"/>
                                <w:rPr>
                                  <w:rFonts w:eastAsia="Arial"/>
                                  <w:sz w:val="18"/>
                                  <w:szCs w:val="18"/>
                                  <w:lang w:val="en-US"/>
                                </w:rPr>
                              </w:pPr>
                              <w:r w:rsidRPr="008B5244">
                                <w:rPr>
                                  <w:rFonts w:eastAsia="Arial"/>
                                  <w:sz w:val="18"/>
                                  <w:szCs w:val="18"/>
                                  <w:lang w:val="en-US"/>
                                </w:rPr>
                                <w:t>Risk of Bias assessment undertaken</w:t>
                              </w:r>
                              <w:r>
                                <w:rPr>
                                  <w:rFonts w:eastAsia="Arial"/>
                                  <w:sz w:val="18"/>
                                  <w:szCs w:val="18"/>
                                  <w:lang w:val="en-US"/>
                                </w:rPr>
                                <w:t xml:space="preserve"> (n=7)*</w:t>
                              </w:r>
                            </w:p>
                            <w:p w14:paraId="4B7F9F1B" w14:textId="77777777" w:rsidR="008F1C7B" w:rsidRDefault="008F1C7B" w:rsidP="008F1C7B">
                              <w:pPr>
                                <w:jc w:val="center"/>
                                <w:rPr>
                                  <w:rFonts w:eastAsia="Arial"/>
                                  <w:sz w:val="20"/>
                                  <w:lang w:val="en-US"/>
                                </w:rPr>
                              </w:pPr>
                              <w:r>
                                <w:rPr>
                                  <w:rFonts w:eastAsia="Arial"/>
                                  <w:sz w:val="20"/>
                                  <w:lang w:val="en-US"/>
                                </w:rPr>
                                <w:t>(n=23)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5ACB2B9F" id="Canvas 13" o:spid="_x0000_s1026" editas="canvas" alt="The figure is a flow diagram illustrating the literature search process for vitamin B6 upper limit, structured according to PRISMA guidelines. It is divided into three vertical sections labelled on the left: Identification, Screening, and Included.&#10;Identification section (top):&#10;Two horizontally aligned green rounded rectangles represent sources of initial records:&#10;Targeted screening of existing health-based guidance (n = 1) on the left.&#10;Evidence review for recent health-based literature (n = 678) on the right.&#10;Thin connecting lines from each box converge downward into the next stage.&#10;Screening section (middle):&#10;A single green rounded rectangle labelled Preliminary title screen (n = 586) appears below, indicating the combined total from the identification stage.&#10;To the right of this box are grey rectangles labelled Records excluded (n = 539) and-deduplication (n = 93), connected by a horizontal arrow, showing the number of records removed at this step.&#10;Below, another green rounded rectangle labelled Content screen (n = 47) represents the next filtering stage.&#10;To its right, another grey rectangle labelled Records excluded total (n = 397) (consisting of n=318 irrelevant studies, n=64 excluded from full text review, n=23 excluded based on credible guidance).&#10;Included section (bottom):&#10;Two dark green rounded rectangles are arranged horizontally, each representing categories of included records after screening:&#10;Agency reviews with health information (n = 1) on the far left.&#10;Health-based peer-reviewed journal articles (n = 23) on the far right.&#10;Both boxes are connected upward to the content screen box by thin vertical lines.&#10;In the diagram, a blue box connected to the health-based peer-reviewed journal articles green box highlighting the total pool of studies selected for risk of bias assessment (n=7). &#10;The diagram uses green for active process steps and grey for excluded records. Arrows indicate the flow from identification through screening to inclusion. Numbers in parentheses show the count of records at each stage, highlighting progressive narrowing from 679 initial records to 24 included across categories." style="width:451.45pt;height:472.4pt;mso-position-horizontal-relative:char;mso-position-vertical-relative:line" coordsize="57334,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The figure is a flow diagram illustrating the literature search process for vitamin B6 upper limit, structured according to PRISMA guidelines. It is divided into three vertical sections labelled on the left: Identification, Screening, and Included.&#10;Identification section (top):&#10;Two horizontally aligned green rounded rectangles represent sources of initial records:&#10;Targeted screening of existing health-based guidance (n = 1) on the left.&#10;Evidence review for recent health-based literature (n = 678) on the right.&#10;Thin connecting lines from each box converge downward into the next stage.&#10;Screening section (middle):&#10;A single green rounded rectangle labelled Preliminary title screen (n = 586) appears below, indicating the combined total from the identification stage.&#10;To the right of this box are grey rectangles labelled Records excluded (n = 539) and-deduplication (n = 93), connected by a horizontal arrow, showing the number of records removed at this step.&#10;Below, another green rounded rectangle labelled Content screen (n = 47) represents the next filtering stage.&#10;To its right, another grey rectangle labelled Records excluded total (n = 397) (consisting of n=318 irrelevant studies, n=64 excluded from full text review, n=23 excluded based on credible guidance).&#10;Included section (bottom):&#10;Two dark green rounded rectangles are arranged horizontally, each representing categories of included records after screening:&#10;Agency reviews with health information (n = 1) on the far left.&#10;Health-based peer-reviewed journal articles (n = 23) on the far right.&#10;Both boxes are connected upward to the content screen box by thin vertical lines.&#10;In the diagram, a blue box connected to the health-based peer-reviewed journal articles green box highlighting the total pool of studies selected for risk of bias assessment (n=7). &#10;The diagram uses green for active process steps and grey for excluded records. Arrows indicate the flow from identification through screening to inclusion. Numbers in parentheses show the count of records at each stage, highlighting progressive narrowing from 679 initial records to 24 included across categories." style="position:absolute;width:57334;height:59994;visibility:visible;mso-wrap-style:square" filled="t">
                  <v:fill o:detectmouseclick="t"/>
                  <v:path o:connecttype="none"/>
                </v:shape>
                <v:shapetype id="_x0000_t202" coordsize="21600,21600" o:spt="202" path="m,l,21600r21600,l21600,xe">
                  <v:stroke joinstyle="miter"/>
                  <v:path gradientshapeok="t" o:connecttype="rect"/>
                </v:shapetype>
                <v:shape id="Text Box 14" o:spid="_x0000_s1028" type="#_x0000_t202" style="position:absolute;left:889;top:359;width:3719;height:17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" fillcolor="#bfbfbf" strokeweight=".5pt">
                  <v:textbox style="layout-flow:vertical;mso-layout-flow-alt:bottom-to-top">
                    <w:txbxContent>
                      <w:p w14:paraId="049947C3" w14:textId="77777777" w:rsidR="008F1C7B" w:rsidRPr="00767956" w:rsidRDefault="008F1C7B" w:rsidP="008F1C7B">
                        <w:pPr>
                          <w:spacing w:before="60" w:after="60"/>
                          <w:jc w:val="center"/>
                          <w:rPr>
                            <w:b/>
                            <w:bCs/>
                            <w:sz w:val="20"/>
                            <w:lang w:val="en-US"/>
                          </w:rPr>
                        </w:pPr>
                        <w:r w:rsidRPr="00767956">
                          <w:rPr>
                            <w:b/>
                            <w:bCs/>
                            <w:sz w:val="20"/>
                            <w:lang w:val="en-US"/>
                          </w:rPr>
                          <w:t>Identification</w:t>
                        </w:r>
                      </w:p>
                    </w:txbxContent>
                  </v:textbox>
                </v:shape>
                <v:shape id="Text Box 14" o:spid="_x0000_s1029" type="#_x0000_t202" style="position:absolute;left:889;top:18590;width:3719;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" fillcolor="#bfbfbf" strokeweight=".5pt">
                  <v:textbox style="layout-flow:vertical;mso-layout-flow-alt:bottom-to-top">
                    <w:txbxContent>
                      <w:p w14:paraId="0762C555" w14:textId="77777777" w:rsidR="008F1C7B" w:rsidRPr="00767956" w:rsidRDefault="008F1C7B" w:rsidP="008F1C7B">
                        <w:pPr>
                          <w:spacing w:before="60" w:after="60"/>
                          <w:jc w:val="center"/>
                          <w:rPr>
                            <w:b/>
                            <w:bCs/>
                            <w:sz w:val="20"/>
                            <w:lang w:val="en-US"/>
                          </w:rPr>
                        </w:pPr>
                        <w:r w:rsidRPr="00767956">
                          <w:rPr>
                            <w:b/>
                            <w:bCs/>
                            <w:sz w:val="20"/>
                            <w:lang w:val="en-US"/>
                          </w:rPr>
                          <w:t>Screening</w:t>
                        </w:r>
                      </w:p>
                    </w:txbxContent>
                  </v:textbox>
                </v:shape>
                <v:shape id="Text Box 14" o:spid="_x0000_s1030" type="#_x0000_t202" style="position:absolute;left:889;top:40526;width:3719;height:19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" fillcolor="#bfbfbf" strokeweight=".5pt">
                  <v:textbox style="layout-flow:vertical;mso-layout-flow-alt:bottom-to-top">
                    <w:txbxContent>
                      <w:p w14:paraId="7338F7E9" w14:textId="77777777" w:rsidR="008F1C7B" w:rsidRPr="00767956" w:rsidRDefault="008F1C7B" w:rsidP="008F1C7B">
                        <w:pPr>
                          <w:spacing w:before="60" w:after="60"/>
                          <w:jc w:val="center"/>
                          <w:rPr>
                            <w:b/>
                            <w:bCs/>
                            <w:sz w:val="20"/>
                            <w:lang w:val="en-US"/>
                          </w:rPr>
                        </w:pPr>
                        <w:r w:rsidRPr="00767956">
                          <w:rPr>
                            <w:b/>
                            <w:bCs/>
                            <w:sz w:val="20"/>
                            <w:lang w:val="en-US"/>
                          </w:rPr>
                          <w:t>Included</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31" type="#_x0000_t176" style="position:absolute;left:11159;top:3614;width:15572;height:9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" fillcolor="#3c533c" stroked="f" strokeweight="2pt">
                  <v:textbox>
                    <w:txbxContent>
                      <w:p w14:paraId="6B8BA206" w14:textId="77777777" w:rsidR="008F1C7B" w:rsidRPr="008B5244" w:rsidRDefault="008F1C7B" w:rsidP="008F1C7B">
                        <w:pPr>
                          <w:jc w:val="center"/>
                          <w:rPr>
                            <w:color w:val="FFFFFF" w:themeColor="background1"/>
                            <w:sz w:val="20"/>
                            <w:lang w:val="en-US"/>
                          </w:rPr>
                        </w:pPr>
                        <w:r w:rsidRPr="008B5244">
                          <w:rPr>
                            <w:color w:val="FFFFFF" w:themeColor="background1"/>
                            <w:sz w:val="20"/>
                            <w:lang w:val="en-US"/>
                          </w:rPr>
                          <w:t>Targeted screening of existing health-based guidance (n= 1)</w:t>
                        </w:r>
                      </w:p>
                    </w:txbxContent>
                  </v:textbox>
                </v:shape>
                <v:shape id="Flowchart: Alternate Process 19" o:spid="_x0000_s1032" type="#_x0000_t176" style="position:absolute;left:34065;top:3584;width:16662;height:9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" fillcolor="#3c533c" stroked="f" strokeweight="2pt">
                  <v:textbox>
                    <w:txbxContent>
                      <w:p w14:paraId="66D3AE19" w14:textId="77777777" w:rsidR="008F1C7B" w:rsidRPr="008B5244" w:rsidRDefault="008F1C7B" w:rsidP="008F1C7B">
                        <w:pPr>
                          <w:jc w:val="center"/>
                          <w:rPr>
                            <w:color w:val="FFFFFF" w:themeColor="background1"/>
                            <w:sz w:val="20"/>
                            <w:lang w:val="en-US"/>
                          </w:rPr>
                        </w:pPr>
                        <w:r w:rsidRPr="008B5244">
                          <w:rPr>
                            <w:color w:val="FFFFFF" w:themeColor="background1"/>
                            <w:sz w:val="20"/>
                            <w:lang w:val="en-US"/>
                          </w:rPr>
                          <w:t>Evidence scan for recent health-based literature (n= 678)</w:t>
                        </w:r>
                      </w:p>
                    </w:txbxContent>
                  </v:textbox>
                </v:shape>
                <v:shape id="Flowchart: Alternate Process 20" o:spid="_x0000_s1033" type="#_x0000_t176" style="position:absolute;left:21256;top:18714;width:18796;height:9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" fillcolor="#3c533c" stroked="f" strokeweight="2pt">
                  <v:textbox>
                    <w:txbxContent>
                      <w:p w14:paraId="61CAE0E7" w14:textId="77777777" w:rsidR="008F1C7B" w:rsidRPr="008B5244" w:rsidRDefault="008F1C7B" w:rsidP="008F1C7B">
                        <w:pPr>
                          <w:jc w:val="center"/>
                          <w:rPr>
                            <w:color w:val="FFFFFF" w:themeColor="background1"/>
                            <w:sz w:val="20"/>
                            <w:lang w:val="en-US"/>
                          </w:rPr>
                        </w:pPr>
                        <w:r w:rsidRPr="008B5244">
                          <w:rPr>
                            <w:color w:val="FFFFFF" w:themeColor="background1"/>
                            <w:sz w:val="20"/>
                            <w:lang w:val="en-US"/>
                          </w:rPr>
                          <w:t xml:space="preserve">Preliminary title screen </w:t>
                        </w:r>
                      </w:p>
                      <w:p w14:paraId="3F22E65E" w14:textId="77777777" w:rsidR="008F1C7B" w:rsidRPr="008B5244" w:rsidRDefault="008F1C7B" w:rsidP="008F1C7B">
                        <w:pPr>
                          <w:jc w:val="center"/>
                          <w:rPr>
                            <w:color w:val="FFFFFF" w:themeColor="background1"/>
                            <w:sz w:val="20"/>
                            <w:lang w:val="en-US"/>
                          </w:rPr>
                        </w:pPr>
                        <w:r w:rsidRPr="008B5244">
                          <w:rPr>
                            <w:color w:val="FFFFFF" w:themeColor="background1"/>
                            <w:sz w:val="20"/>
                            <w:lang w:val="en-US"/>
                          </w:rPr>
                          <w:t>(n= 586)</w:t>
                        </w:r>
                      </w:p>
                    </w:txbxContent>
                  </v:textbox>
                </v:shape>
                <v:shape id="Flowchart: Alternate Process 21" o:spid="_x0000_s1034" type="#_x0000_t176" style="position:absolute;left:21256;top:30462;width:18796;height:9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" fillcolor="#3c533c" stroked="f" strokeweight="2pt">
                  <v:textbox>
                    <w:txbxContent>
                      <w:p w14:paraId="38EC85EE" w14:textId="77777777" w:rsidR="008F1C7B" w:rsidRPr="008B5244" w:rsidRDefault="008F1C7B" w:rsidP="008F1C7B">
                        <w:pPr>
                          <w:jc w:val="center"/>
                          <w:rPr>
                            <w:color w:val="FFFFFF" w:themeColor="background1"/>
                            <w:sz w:val="20"/>
                            <w:lang w:val="en-US"/>
                          </w:rPr>
                        </w:pPr>
                        <w:r w:rsidRPr="008B5244">
                          <w:rPr>
                            <w:color w:val="FFFFFF" w:themeColor="background1"/>
                            <w:sz w:val="20"/>
                            <w:lang w:val="en-US"/>
                          </w:rPr>
                          <w:t>Content screen (n=47)</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2" o:spid="_x0000_s1035" type="#_x0000_t34" style="position:absolute;left:21790;top:9850;width:6019;height:1170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" strokecolor="#3a523a" strokeweight="1.5pt">
                  <v:stroke endarrow="block"/>
                </v:shape>
                <v:shape id="Connector: Elbow 24" o:spid="_x0000_s1036" type="#_x0000_t34" style="position:absolute;left:33500;top:9819;width:6049;height:1174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" strokecolor="#3a523a" strokeweight="1.5pt">
                  <v:stroke endarrow="block"/>
                </v:shape>
                <v:shapetype id="_x0000_t109" coordsize="21600,21600" o:spt="109" path="m,l,21600r21600,l21600,xe">
                  <v:stroke joinstyle="miter"/>
                  <v:path gradientshapeok="t" o:connecttype="rect"/>
                </v:shapetype>
                <v:shape id="Flowchart: Process 25" o:spid="_x0000_s1037" type="#_x0000_t109" style="position:absolute;left:46402;top:19264;width:10859;height:8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" fillcolor="#8e8e8e" strokecolor="#1e1e1e" strokeweight="2pt">
                  <v:textbox>
                    <w:txbxContent>
                      <w:p w14:paraId="64DAD6DF" w14:textId="77777777" w:rsidR="008F1C7B" w:rsidRPr="0037433D" w:rsidRDefault="008F1C7B" w:rsidP="008F1C7B">
                        <w:pPr>
                          <w:jc w:val="center"/>
                          <w:rPr>
                            <w:sz w:val="20"/>
                            <w:lang w:val="en-US"/>
                          </w:rPr>
                        </w:pPr>
                        <w:r w:rsidRPr="0037433D">
                          <w:rPr>
                            <w:sz w:val="20"/>
                            <w:lang w:val="en-US"/>
                          </w:rPr>
                          <w:t>Records excluded (n=</w:t>
                        </w:r>
                        <w:r>
                          <w:rPr>
                            <w:sz w:val="20"/>
                            <w:lang w:val="en-US"/>
                          </w:rPr>
                          <w:t>539</w:t>
                        </w:r>
                        <w:r w:rsidRPr="0037433D">
                          <w:rPr>
                            <w:sz w:val="20"/>
                            <w:lang w:val="en-US"/>
                          </w:rPr>
                          <w:t>)</w:t>
                        </w:r>
                      </w:p>
                    </w:txbxContent>
                  </v:textbox>
                </v:shape>
                <v:shape id="Flowchart: Process 26" o:spid="_x0000_s1038" type="#_x0000_t109" style="position:absolute;left:46402;top:30652;width:10859;height:8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" fillcolor="#8e8e8e" strokecolor="#1e1e1e" strokeweight="2pt">
                  <v:textbox>
                    <w:txbxContent>
                      <w:p w14:paraId="3A7219EE" w14:textId="77777777" w:rsidR="008F1C7B" w:rsidRPr="0037433D" w:rsidRDefault="008F1C7B" w:rsidP="008F1C7B">
                        <w:pPr>
                          <w:jc w:val="center"/>
                          <w:rPr>
                            <w:sz w:val="20"/>
                            <w:lang w:val="en-US"/>
                          </w:rPr>
                        </w:pPr>
                        <w:r w:rsidRPr="0037433D">
                          <w:rPr>
                            <w:sz w:val="20"/>
                            <w:lang w:val="en-US"/>
                          </w:rPr>
                          <w:t>Records excluded</w:t>
                        </w:r>
                      </w:p>
                      <w:p w14:paraId="46598F09" w14:textId="77777777" w:rsidR="008F1C7B" w:rsidRPr="0037433D" w:rsidRDefault="008F1C7B" w:rsidP="008F1C7B">
                        <w:pPr>
                          <w:jc w:val="center"/>
                          <w:rPr>
                            <w:sz w:val="20"/>
                            <w:lang w:val="en-US"/>
                          </w:rPr>
                        </w:pPr>
                        <w:r w:rsidRPr="0037433D">
                          <w:rPr>
                            <w:sz w:val="20"/>
                            <w:lang w:val="en-US"/>
                          </w:rPr>
                          <w:t>(n=</w:t>
                        </w:r>
                        <w:r>
                          <w:rPr>
                            <w:sz w:val="20"/>
                            <w:lang w:val="en-US"/>
                          </w:rPr>
                          <w:t>23</w:t>
                        </w:r>
                        <w:r w:rsidRPr="0037433D">
                          <w:rPr>
                            <w:sz w:val="20"/>
                            <w:lang w:val="en-US"/>
                          </w:rPr>
                          <w:t>)</w:t>
                        </w:r>
                      </w:p>
                    </w:txbxContent>
                  </v:textbox>
                </v:shape>
                <v:shape id="Flowchart: Alternate Process 30" o:spid="_x0000_s1039" type="#_x0000_t176" style="position:absolute;left:9626;top:47186;width:11695;height:12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" fillcolor="#3c533c" stroked="f" strokeweight="2pt">
                  <v:textbox>
                    <w:txbxContent>
                      <w:p w14:paraId="74D1225C" w14:textId="77777777" w:rsidR="008F1C7B" w:rsidRPr="008B5244" w:rsidRDefault="008F1C7B" w:rsidP="008F1C7B">
                        <w:pPr>
                          <w:jc w:val="center"/>
                          <w:rPr>
                            <w:color w:val="FFFFFF" w:themeColor="background1"/>
                            <w:sz w:val="20"/>
                            <w:lang w:val="en-US"/>
                          </w:rPr>
                        </w:pPr>
                        <w:r w:rsidRPr="008B5244">
                          <w:rPr>
                            <w:color w:val="FFFFFF" w:themeColor="background1"/>
                            <w:sz w:val="20"/>
                            <w:lang w:val="en-US"/>
                          </w:rPr>
                          <w:t>Agency reviews with health information (n=1)</w:t>
                        </w:r>
                      </w:p>
                    </w:txbxContent>
                  </v:textbox>
                </v:shape>
                <v:shape id="Flowchart: Alternate Process 35" o:spid="_x0000_s1040" type="#_x0000_t176" style="position:absolute;left:40141;top:47186;width:11894;height:1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" fillcolor="#3c533c" stroked="f" strokeweight="2pt">
                  <v:textbox>
                    <w:txbxContent>
                      <w:p w14:paraId="16201850" w14:textId="77777777" w:rsidR="008F1C7B" w:rsidRPr="008B5244" w:rsidRDefault="008F1C7B" w:rsidP="008F1C7B">
                        <w:pPr>
                          <w:jc w:val="center"/>
                          <w:rPr>
                            <w:color w:val="FFFFFF" w:themeColor="background1"/>
                            <w:sz w:val="20"/>
                            <w:lang w:val="en-US"/>
                          </w:rPr>
                        </w:pPr>
                        <w:r w:rsidRPr="008B5244">
                          <w:rPr>
                            <w:color w:val="FFFFFF" w:themeColor="background1"/>
                            <w:sz w:val="20"/>
                            <w:lang w:val="en-US"/>
                          </w:rPr>
                          <w:t>Health-based peer-reviewed journal articles (n=23)</w:t>
                        </w:r>
                      </w:p>
                    </w:txbxContent>
                  </v:textbox>
                </v:shape>
                <v:shape id="Connector: Elbow 36" o:spid="_x0000_s1041" type="#_x0000_t34" style="position:absolute;left:19242;top:35773;width:7644;height:1518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" strokecolor="#3a523a" strokeweight="1.5pt">
                  <v:stroke endarrow="block"/>
                </v:shape>
                <v:shapetype id="_x0000_t32" coordsize="21600,21600" o:spt="32" o:oned="t" path="m,l21600,21600e" filled="f">
                  <v:path arrowok="t" fillok="f" o:connecttype="none"/>
                  <o:lock v:ext="edit" shapetype="t"/>
                </v:shapetype>
                <v:shape id="Straight Arrow Connector 37" o:spid="_x0000_s1042" type="#_x0000_t32" style="position:absolute;left:30654;top:27795;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" strokecolor="#3a523a" strokeweight="1.5pt">
                  <v:stroke endarrow="block"/>
                </v:shape>
                <v:shape id="Straight Arrow Connector 39" o:spid="_x0000_s1043" type="#_x0000_t32" style="position:absolute;left:40052;top:23255;width:6350;height: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" strokecolor="#7f7f7f" strokeweight="1.5pt">
                  <v:stroke endarrow="block"/>
                </v:shape>
                <v:shape id="Straight Arrow Connector 40" o:spid="_x0000_s1044" type="#_x0000_t32" style="position:absolute;left:40052;top:34959;width:6350;height: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" strokecolor="#7f7f7f" strokeweight="1.5pt">
                  <v:stroke endarrow="block"/>
                </v:shape>
                <v:shape id="Connector: Elbow 43" o:spid="_x0000_s1045" type="#_x0000_t34" style="position:absolute;left:34549;top:35647;width:7644;height:1543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" strokecolor="#3a523a" strokeweight="1.5pt">
                  <v:stroke endarrow="block"/>
                </v:shape>
                <v:shape id="Straight Arrow Connector 888324755" o:spid="_x0000_s1046" type="#_x0000_t32" style="position:absolute;left:30761;top:16058;width:156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" strokecolor="#7f7f7f" strokeweight="1.5pt">
                  <v:stroke endarrow="block"/>
                </v:shape>
                <v:shape id="Flowchart: Process 1606280875" o:spid="_x0000_s1047" type="#_x0000_t109" style="position:absolute;left:46402;top:13636;width:10859;height:4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" fillcolor="#8e8e8e" strokecolor="#1e1e1e" strokeweight="2pt">
                  <v:textbox>
                    <w:txbxContent>
                      <w:p w14:paraId="68517653" w14:textId="77777777" w:rsidR="008F1C7B" w:rsidRDefault="008F1C7B" w:rsidP="008F1C7B">
                        <w:pPr>
                          <w:jc w:val="center"/>
                          <w:rPr>
                            <w:rFonts w:eastAsia="Arial"/>
                            <w:sz w:val="20"/>
                            <w:lang w:val="en-US"/>
                          </w:rPr>
                        </w:pPr>
                        <w:r>
                          <w:rPr>
                            <w:rFonts w:eastAsia="Arial"/>
                            <w:sz w:val="20"/>
                            <w:lang w:val="en-US"/>
                          </w:rPr>
                          <w:t>Deduplication (n = 93)</w:t>
                        </w:r>
                      </w:p>
                    </w:txbxContent>
                  </v:textbox>
                </v:shape>
                <v:shape id="Straight Arrow Connector 2000079333" o:spid="_x0000_s1048" type="#_x0000_t32" style="position:absolute;left:38482;top:53086;width:1659;height:40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" strokecolor="#0070c0" strokeweight="1.5pt">
                  <v:stroke endarrow="block"/>
                </v:shape>
                <v:shape id="Flowchart: Process 285479427" o:spid="_x0000_s1049" type="#_x0000_t109" style="position:absolute;left:26326;top:54261;width:12156;height:5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" fillcolor="#ddf6ff" strokecolor="#0070c0" strokeweight="2pt">
                  <v:textbox>
                    <w:txbxContent>
                      <w:p w14:paraId="18353003" w14:textId="77777777" w:rsidR="008F1C7B" w:rsidRPr="008B5244" w:rsidRDefault="008F1C7B" w:rsidP="008F1C7B">
                        <w:pPr>
                          <w:jc w:val="center"/>
                          <w:rPr>
                            <w:rFonts w:eastAsia="Arial"/>
                            <w:sz w:val="18"/>
                            <w:szCs w:val="18"/>
                            <w:lang w:val="en-US"/>
                          </w:rPr>
                        </w:pPr>
                        <w:r w:rsidRPr="008B5244">
                          <w:rPr>
                            <w:rFonts w:eastAsia="Arial"/>
                            <w:sz w:val="18"/>
                            <w:szCs w:val="18"/>
                            <w:lang w:val="en-US"/>
                          </w:rPr>
                          <w:t>Risk of Bias assessment undertaken</w:t>
                        </w:r>
                        <w:r>
                          <w:rPr>
                            <w:rFonts w:eastAsia="Arial"/>
                            <w:sz w:val="18"/>
                            <w:szCs w:val="18"/>
                            <w:lang w:val="en-US"/>
                          </w:rPr>
                          <w:t xml:space="preserve"> (n=7)*</w:t>
                        </w:r>
                      </w:p>
                      <w:p w14:paraId="4B7F9F1B" w14:textId="77777777" w:rsidR="008F1C7B" w:rsidRDefault="008F1C7B" w:rsidP="008F1C7B">
                        <w:pPr>
                          <w:jc w:val="center"/>
                          <w:rPr>
                            <w:rFonts w:eastAsia="Arial"/>
                            <w:sz w:val="20"/>
                            <w:lang w:val="en-US"/>
                          </w:rPr>
                        </w:pPr>
                        <w:r>
                          <w:rPr>
                            <w:rFonts w:eastAsia="Arial"/>
                            <w:sz w:val="20"/>
                            <w:lang w:val="en-US"/>
                          </w:rPr>
                          <w:t>(n=23)</w:t>
                        </w:r>
                      </w:p>
                    </w:txbxContent>
                  </v:textbox>
                </v:shape>
                <w10:anchorlock/>
              </v:group>
            </w:pict>
          </mc:Fallback>
        </mc:AlternateContent>
      </w:r>
    </w:p>
    <w:p w14:paraId="495B854F" w14:textId="68B5AA3C" w:rsidR="00767956" w:rsidRDefault="00767956" w:rsidP="0037433D">
      <w:pPr>
        <w:pStyle w:val="Caption"/>
        <w:keepNext w:val="0"/>
      </w:pPr>
      <w:bookmarkStart w:id="13" w:name="_Ref218524436"/>
      <w:bookmarkStart w:id="14" w:name="_Toc233022876"/>
      <w:r>
        <w:t xml:space="preserve">Figure </w:t>
      </w:r>
      <w:r w:rsidR="000D5389">
        <w:fldChar w:fldCharType="begin"/>
      </w:r>
      <w:r w:rsidR="000D5389">
        <w:instrText xml:space="preserve"> SEQ Figure \* ARABIC </w:instrText>
      </w:r>
      <w:r w:rsidR="000D5389">
        <w:fldChar w:fldCharType="separate"/>
      </w:r>
      <w:r w:rsidR="00A41FEF">
        <w:rPr>
          <w:noProof/>
        </w:rPr>
        <w:t>1</w:t>
      </w:r>
      <w:r w:rsidR="000D5389">
        <w:fldChar w:fldCharType="end"/>
      </w:r>
      <w:bookmarkEnd w:id="13"/>
      <w:r>
        <w:tab/>
      </w:r>
      <w:r w:rsidRPr="00767956">
        <w:t xml:space="preserve">Overview of literature search process followed for </w:t>
      </w:r>
      <w:r w:rsidR="000B1880">
        <w:t>Vitamin B6 UL</w:t>
      </w:r>
      <w:bookmarkEnd w:id="14"/>
    </w:p>
    <w:p w14:paraId="0F181784" w14:textId="35CCEDD4" w:rsidR="00767956" w:rsidRDefault="00767956" w:rsidP="00767956">
      <w:pPr>
        <w:pStyle w:val="Heading2"/>
      </w:pPr>
      <w:bookmarkStart w:id="15" w:name="_Ref218524306"/>
      <w:bookmarkStart w:id="16" w:name="_Ref218524315"/>
      <w:bookmarkStart w:id="17" w:name="_Toc233022856"/>
      <w:r>
        <w:lastRenderedPageBreak/>
        <w:t>Targeted screening of existing health-based guidance</w:t>
      </w:r>
      <w:bookmarkEnd w:id="15"/>
      <w:bookmarkEnd w:id="16"/>
      <w:bookmarkEnd w:id="17"/>
    </w:p>
    <w:p w14:paraId="2A4ADE39" w14:textId="77777777" w:rsidR="00767956" w:rsidRDefault="00767956" w:rsidP="00601CCB">
      <w:pPr>
        <w:pStyle w:val="Heading5"/>
      </w:pPr>
      <w:r>
        <w:t>Literature search strategy</w:t>
      </w:r>
    </w:p>
    <w:p w14:paraId="280867AC" w14:textId="029C3FBF" w:rsidR="00767956" w:rsidRDefault="00767956" w:rsidP="00767956">
      <w:pPr>
        <w:pStyle w:val="BodyText"/>
      </w:pPr>
      <w:r>
        <w:t xml:space="preserve">The literature search strategy for existing health-based guidance documentation for </w:t>
      </w:r>
      <w:r w:rsidR="003B0242">
        <w:t>vitamin B6</w:t>
      </w:r>
      <w:r>
        <w:t xml:space="preserve"> is summarised in </w:t>
      </w:r>
      <w:r w:rsidR="000D5389" w:rsidRPr="000D5389">
        <w:rPr>
          <w:b/>
          <w:bCs/>
        </w:rPr>
        <w:fldChar w:fldCharType="begin"/>
      </w:r>
      <w:r w:rsidR="000D5389" w:rsidRPr="000D5389">
        <w:rPr>
          <w:b/>
          <w:bCs/>
        </w:rPr>
        <w:instrText xml:space="preserve"> REF _Ref219295015 \h </w:instrText>
      </w:r>
      <w:r w:rsidR="000D5389">
        <w:rPr>
          <w:b/>
          <w:bCs/>
        </w:rPr>
        <w:instrText xml:space="preserve"> \* MERGEFORMAT </w:instrText>
      </w:r>
      <w:r w:rsidR="000D5389" w:rsidRPr="000D5389">
        <w:rPr>
          <w:b/>
          <w:bCs/>
        </w:rPr>
      </w:r>
      <w:r w:rsidR="000D5389" w:rsidRPr="000D5389">
        <w:rPr>
          <w:b/>
          <w:bCs/>
        </w:rPr>
        <w:fldChar w:fldCharType="separate"/>
      </w:r>
      <w:r w:rsidR="00A41FEF" w:rsidRPr="00A41FEF">
        <w:rPr>
          <w:b/>
          <w:bCs/>
        </w:rPr>
        <w:t xml:space="preserve">Table </w:t>
      </w:r>
      <w:r w:rsidR="00A41FEF" w:rsidRPr="00A41FEF">
        <w:rPr>
          <w:b/>
          <w:bCs/>
          <w:noProof/>
        </w:rPr>
        <w:t>2</w:t>
      </w:r>
      <w:r w:rsidR="000D5389" w:rsidRPr="000D5389">
        <w:rPr>
          <w:b/>
          <w:bCs/>
        </w:rPr>
        <w:fldChar w:fldCharType="end"/>
      </w:r>
      <w:r w:rsidR="000D5389">
        <w:t xml:space="preserve"> </w:t>
      </w:r>
      <w:r>
        <w:t>below.</w:t>
      </w:r>
    </w:p>
    <w:p w14:paraId="5644E6CA" w14:textId="62392EE7" w:rsidR="00767956" w:rsidRDefault="000D5389" w:rsidP="000D5389">
      <w:pPr>
        <w:pStyle w:val="Caption"/>
      </w:pPr>
      <w:bookmarkStart w:id="18" w:name="_Ref219295015"/>
      <w:bookmarkStart w:id="19" w:name="_Toc233022869"/>
      <w:r>
        <w:t xml:space="preserve">Table </w:t>
      </w:r>
      <w:r w:rsidR="00D90030">
        <w:fldChar w:fldCharType="begin"/>
      </w:r>
      <w:r w:rsidR="00D90030">
        <w:instrText xml:space="preserve"> SEQ Table \* ARABIC </w:instrText>
      </w:r>
      <w:r w:rsidR="00D90030">
        <w:fldChar w:fldCharType="separate"/>
      </w:r>
      <w:r w:rsidR="00A41FEF">
        <w:rPr>
          <w:noProof/>
        </w:rPr>
        <w:t>2</w:t>
      </w:r>
      <w:r w:rsidR="00D90030">
        <w:fldChar w:fldCharType="end"/>
      </w:r>
      <w:bookmarkEnd w:id="18"/>
      <w:r w:rsidR="00767956">
        <w:tab/>
      </w:r>
      <w:r w:rsidR="00767956" w:rsidRPr="00767956">
        <w:t>Search strategy for Existing Guidance/Guidelines</w:t>
      </w:r>
      <w:bookmarkEnd w:id="19"/>
    </w:p>
    <w:tbl>
      <w:tblPr>
        <w:tblStyle w:val="SLROption2"/>
        <w:tblW w:w="9002" w:type="dxa"/>
        <w:tblLook w:val="04A0" w:firstRow="1" w:lastRow="0" w:firstColumn="1" w:lastColumn="0" w:noHBand="0" w:noVBand="1"/>
      </w:tblPr>
      <w:tblGrid>
        <w:gridCol w:w="1490"/>
        <w:gridCol w:w="7512"/>
      </w:tblGrid>
      <w:tr w:rsidR="00767956" w:rsidRPr="00767956" w14:paraId="63E4C6E9" w14:textId="77777777" w:rsidTr="0037433D">
        <w:trPr>
          <w:cnfStyle w:val="100000000000" w:firstRow="1" w:lastRow="0" w:firstColumn="0" w:lastColumn="0" w:oddVBand="0" w:evenVBand="0" w:oddHBand="0" w:evenHBand="0" w:firstRowFirstColumn="0" w:firstRowLastColumn="0" w:lastRowFirstColumn="0" w:lastRowLastColumn="0"/>
        </w:trPr>
        <w:tc>
          <w:tcPr>
            <w:tcW w:w="1490" w:type="dxa"/>
          </w:tcPr>
          <w:p w14:paraId="51F7EAB5" w14:textId="77777777" w:rsidR="00767956" w:rsidRPr="00767956" w:rsidRDefault="00767956" w:rsidP="00767956">
            <w:pPr>
              <w:pStyle w:val="TableHeading"/>
            </w:pPr>
            <w:r w:rsidRPr="00767956">
              <w:t>Parameter</w:t>
            </w:r>
          </w:p>
        </w:tc>
        <w:tc>
          <w:tcPr>
            <w:tcW w:w="7512" w:type="dxa"/>
          </w:tcPr>
          <w:p w14:paraId="2EF40EB3" w14:textId="77777777" w:rsidR="00767956" w:rsidRPr="00767956" w:rsidRDefault="00767956" w:rsidP="00767956">
            <w:pPr>
              <w:pStyle w:val="TableHeading"/>
            </w:pPr>
            <w:r w:rsidRPr="00767956">
              <w:t>Comments</w:t>
            </w:r>
          </w:p>
        </w:tc>
      </w:tr>
      <w:tr w:rsidR="00767956" w:rsidRPr="00767956" w14:paraId="392C25DE" w14:textId="77777777" w:rsidTr="0037433D">
        <w:tc>
          <w:tcPr>
            <w:tcW w:w="1490" w:type="dxa"/>
          </w:tcPr>
          <w:p w14:paraId="5AAFC956" w14:textId="77777777" w:rsidR="00767956" w:rsidRPr="00767956" w:rsidRDefault="00767956" w:rsidP="00767956">
            <w:pPr>
              <w:pStyle w:val="TableText"/>
            </w:pPr>
            <w:r w:rsidRPr="00767956">
              <w:t>Search terms</w:t>
            </w:r>
          </w:p>
        </w:tc>
        <w:tc>
          <w:tcPr>
            <w:tcW w:w="7512" w:type="dxa"/>
          </w:tcPr>
          <w:p w14:paraId="3C86FF46" w14:textId="77777777" w:rsidR="00B37D98" w:rsidRDefault="00B37D98" w:rsidP="00F84245">
            <w:pPr>
              <w:pStyle w:val="ListParagraph"/>
              <w:numPr>
                <w:ilvl w:val="0"/>
                <w:numId w:val="21"/>
              </w:numPr>
              <w:spacing w:after="60" w:line="240" w:lineRule="atLeast"/>
              <w:contextualSpacing w:val="0"/>
              <w:rPr>
                <w:rFonts w:cstheme="minorHAnsi"/>
              </w:rPr>
            </w:pPr>
            <w:r w:rsidRPr="00450F9B">
              <w:rPr>
                <w:rFonts w:cstheme="minorHAnsi"/>
              </w:rPr>
              <w:t>("Vitamin B 6"[MeSH] OR vitamin B6 OR pyridoxine OR pyridoxal OR pyridoxamine) AND ("Upper Limit"[MeSH] OR "Tolerable Upper Intake Level" OR UL OR guidance OR "Dietary Reference Values")</w:t>
            </w:r>
            <w:r w:rsidRPr="00450F9B" w:rsidDel="00450F9B">
              <w:rPr>
                <w:rFonts w:cstheme="minorHAnsi"/>
              </w:rPr>
              <w:t xml:space="preserve"> </w:t>
            </w:r>
          </w:p>
          <w:p w14:paraId="21FBE2F8" w14:textId="77777777" w:rsidR="00B37D98" w:rsidRDefault="00B37D98" w:rsidP="00F84245">
            <w:pPr>
              <w:pStyle w:val="ListParagraph"/>
              <w:numPr>
                <w:ilvl w:val="0"/>
                <w:numId w:val="21"/>
              </w:numPr>
              <w:spacing w:after="60" w:line="240" w:lineRule="atLeast"/>
              <w:contextualSpacing w:val="0"/>
              <w:rPr>
                <w:rFonts w:cstheme="minorHAnsi"/>
              </w:rPr>
            </w:pPr>
            <w:r w:rsidRPr="00450F9B">
              <w:rPr>
                <w:rFonts w:cstheme="minorHAnsi"/>
              </w:rPr>
              <w:t>("Vitamin B 6"[MeSH] OR vitamin B6 OR pyridoxine</w:t>
            </w:r>
            <w:r>
              <w:rPr>
                <w:rFonts w:cstheme="minorHAnsi"/>
              </w:rPr>
              <w:t xml:space="preserve"> OR pyridoxal</w:t>
            </w:r>
            <w:r w:rsidRPr="00450F9B">
              <w:rPr>
                <w:rFonts w:cstheme="minorHAnsi"/>
              </w:rPr>
              <w:t>) AND ("Peripheral Nervous System Diseases"[MeSH] OR peripheral neuropathy OR neurotoxicity)</w:t>
            </w:r>
          </w:p>
          <w:p w14:paraId="573F02F5" w14:textId="77777777" w:rsidR="00B37D98" w:rsidRDefault="00B37D98" w:rsidP="00F84245">
            <w:pPr>
              <w:pStyle w:val="ListParagraph"/>
              <w:numPr>
                <w:ilvl w:val="0"/>
                <w:numId w:val="21"/>
              </w:numPr>
              <w:spacing w:after="60" w:line="240" w:lineRule="atLeast"/>
              <w:contextualSpacing w:val="0"/>
              <w:rPr>
                <w:rFonts w:cstheme="minorHAnsi"/>
              </w:rPr>
            </w:pPr>
            <w:r w:rsidRPr="00E137D9">
              <w:rPr>
                <w:rFonts w:cstheme="minorHAnsi"/>
              </w:rPr>
              <w:t>(vitamin B6 OR pyridoxine OR pyridoxal) AND (EFSA OR TGA OR Health Canada OR FSANZ OR NHMRC OR "risk assessment" OR "guidance" OR "upper intake level")</w:t>
            </w:r>
          </w:p>
          <w:p w14:paraId="38F564E3" w14:textId="27615A0E" w:rsidR="00767956" w:rsidRPr="00767956" w:rsidRDefault="00B37D98" w:rsidP="00B37D98">
            <w:pPr>
              <w:spacing w:after="60" w:line="240" w:lineRule="atLeast"/>
            </w:pPr>
            <w:r w:rsidRPr="00D73069">
              <w:rPr>
                <w:rFonts w:cstheme="minorHAnsi"/>
              </w:rPr>
              <w:t>Th</w:t>
            </w:r>
            <w:r>
              <w:rPr>
                <w:rFonts w:cstheme="minorHAnsi"/>
              </w:rPr>
              <w:t xml:space="preserve">e </w:t>
            </w:r>
            <w:r w:rsidRPr="00D73069">
              <w:rPr>
                <w:rFonts w:cstheme="minorHAnsi"/>
              </w:rPr>
              <w:t xml:space="preserve">search terms above represent the core search strategy and will be adapted for each database (e.g. use of MeSH terms, truncation and field tags). They are intended to be reproducible search strategies, not just illustrative keywords. The terms may be refined based on the number and relevance of records retrieved. </w:t>
            </w:r>
            <w:r>
              <w:rPr>
                <w:rFonts w:cstheme="minorHAnsi"/>
              </w:rPr>
              <w:t>The proposed search terms are relatively broad and do not limit the search to specific population subgroups. Thus, a</w:t>
            </w:r>
            <w:r w:rsidRPr="00D73069">
              <w:rPr>
                <w:rFonts w:cstheme="minorHAnsi"/>
              </w:rPr>
              <w:t xml:space="preserve">dditional population-specific search terms (e.g. “Aboriginal”, “Torres Strait Islander”, “Indigenous”, “Māori”) </w:t>
            </w:r>
            <w:r>
              <w:rPr>
                <w:rFonts w:cstheme="minorHAnsi"/>
              </w:rPr>
              <w:t>are not considered warranted.</w:t>
            </w:r>
          </w:p>
        </w:tc>
      </w:tr>
      <w:tr w:rsidR="00767956" w:rsidRPr="00767956" w14:paraId="30FC8F00" w14:textId="77777777" w:rsidTr="0037433D">
        <w:tc>
          <w:tcPr>
            <w:tcW w:w="1490" w:type="dxa"/>
          </w:tcPr>
          <w:p w14:paraId="6DB58179" w14:textId="27D4C262" w:rsidR="00767956" w:rsidRPr="00767956" w:rsidRDefault="00767956" w:rsidP="00767956">
            <w:pPr>
              <w:pStyle w:val="TableText"/>
            </w:pPr>
            <w:r w:rsidRPr="00767956">
              <w:t>Databases</w:t>
            </w:r>
            <w:r>
              <w:t xml:space="preserve"> </w:t>
            </w:r>
            <w:r w:rsidRPr="00767956">
              <w:t>/</w:t>
            </w:r>
            <w:r>
              <w:t xml:space="preserve"> </w:t>
            </w:r>
            <w:r w:rsidRPr="00767956">
              <w:t>Agency websites</w:t>
            </w:r>
          </w:p>
        </w:tc>
        <w:tc>
          <w:tcPr>
            <w:tcW w:w="7512" w:type="dxa"/>
          </w:tcPr>
          <w:p w14:paraId="5CF4A8CC" w14:textId="343DC81B" w:rsidR="00767956" w:rsidRPr="00767956" w:rsidRDefault="00B37D98" w:rsidP="00077677">
            <w:pPr>
              <w:pStyle w:val="TableBullet"/>
              <w:numPr>
                <w:ilvl w:val="0"/>
                <w:numId w:val="0"/>
              </w:numPr>
            </w:pPr>
            <w:r w:rsidRPr="00B37D98">
              <w:t>Searches were conducted across the following sources: European Food Safety Authority (EFSA); NRV-related Australian and New Zealand sources including Food Standards Australia New Zealand (FSANZ), Therapeutic Goods Administration (TGA) and NHMRC; World Health Organization (WHO), including the Joint FAO/WHO Expert Committee on Food Additives (JECFA); Health Canada; United States Food and Drug Administration (US FDA); and other relevant international agencies and expert bodies identified during the review. Key publications provided by NHMRC and the Vitamin B6 Expert Working Group were also considered.</w:t>
            </w:r>
          </w:p>
        </w:tc>
      </w:tr>
      <w:tr w:rsidR="00767956" w:rsidRPr="00767956" w14:paraId="49C5715E" w14:textId="77777777" w:rsidTr="0037433D">
        <w:tc>
          <w:tcPr>
            <w:tcW w:w="1490" w:type="dxa"/>
          </w:tcPr>
          <w:p w14:paraId="6406B443" w14:textId="77777777" w:rsidR="00767956" w:rsidRPr="00767956" w:rsidRDefault="00767956" w:rsidP="00767956">
            <w:pPr>
              <w:pStyle w:val="TableText"/>
            </w:pPr>
            <w:r w:rsidRPr="00767956">
              <w:t>Publication Date</w:t>
            </w:r>
          </w:p>
        </w:tc>
        <w:tc>
          <w:tcPr>
            <w:tcW w:w="7512" w:type="dxa"/>
          </w:tcPr>
          <w:p w14:paraId="2197708C" w14:textId="0118F5E3" w:rsidR="000D5389" w:rsidRPr="00767956" w:rsidRDefault="00B37D98" w:rsidP="00601CCB">
            <w:pPr>
              <w:pStyle w:val="TableBullet"/>
              <w:numPr>
                <w:ilvl w:val="0"/>
                <w:numId w:val="0"/>
              </w:numPr>
            </w:pPr>
            <w:r w:rsidRPr="00B37D98">
              <w:t>No strict historical cut-off was applied to the search for existing guidance documents. Priority was given to current and recent assessments relevant to the UL review. Older documents were included where necessary to understand the basis of current guidance values or the evolution of the UL.</w:t>
            </w:r>
          </w:p>
        </w:tc>
      </w:tr>
      <w:tr w:rsidR="00767956" w:rsidRPr="00767956" w14:paraId="0754D6C9" w14:textId="77777777" w:rsidTr="0037433D">
        <w:tc>
          <w:tcPr>
            <w:tcW w:w="1490" w:type="dxa"/>
          </w:tcPr>
          <w:p w14:paraId="369AFA11" w14:textId="77777777" w:rsidR="00767956" w:rsidRPr="00767956" w:rsidRDefault="00767956" w:rsidP="00767956">
            <w:pPr>
              <w:pStyle w:val="TableText"/>
            </w:pPr>
            <w:r w:rsidRPr="00767956">
              <w:t>Language</w:t>
            </w:r>
          </w:p>
        </w:tc>
        <w:tc>
          <w:tcPr>
            <w:tcW w:w="7512" w:type="dxa"/>
          </w:tcPr>
          <w:p w14:paraId="72782C9F" w14:textId="0FECA2FC" w:rsidR="00767956" w:rsidRPr="00767956" w:rsidRDefault="00B37D98" w:rsidP="00767956">
            <w:pPr>
              <w:pStyle w:val="TableText"/>
            </w:pPr>
            <w:r w:rsidRPr="00B37D98">
              <w:t>English-language documents were prioritised. Guidance documents in languages other than English were considered where relevant and a translation was accessible or could be reasonably obtained.</w:t>
            </w:r>
          </w:p>
        </w:tc>
      </w:tr>
      <w:tr w:rsidR="00767956" w:rsidRPr="00767956" w14:paraId="429099A8" w14:textId="77777777" w:rsidTr="0037433D">
        <w:tc>
          <w:tcPr>
            <w:tcW w:w="1490" w:type="dxa"/>
          </w:tcPr>
          <w:p w14:paraId="5CC09CC8" w14:textId="77777777" w:rsidR="00767956" w:rsidRPr="00767956" w:rsidRDefault="00767956" w:rsidP="00767956">
            <w:pPr>
              <w:pStyle w:val="TableText"/>
            </w:pPr>
            <w:r w:rsidRPr="00767956">
              <w:t>Study Type</w:t>
            </w:r>
          </w:p>
        </w:tc>
        <w:tc>
          <w:tcPr>
            <w:tcW w:w="7512" w:type="dxa"/>
          </w:tcPr>
          <w:p w14:paraId="644B9499" w14:textId="25732DC5" w:rsidR="00767956" w:rsidRPr="00767956" w:rsidRDefault="00B37D98" w:rsidP="00767956">
            <w:pPr>
              <w:pStyle w:val="TableText"/>
            </w:pPr>
            <w:r w:rsidRPr="00B37D98">
              <w:t>Existing guidance and assessment documents relevant to the vitamin B6 UL developed by Australian and international agencies, including current guidance documents, near-publication or consultation drafts where informative, and publicly available superseded guidance where necessary to understand the basis of current values. Guidance documents were required to provide sufficient detail on the evidence base and derivation of health-based values.</w:t>
            </w:r>
          </w:p>
        </w:tc>
      </w:tr>
      <w:tr w:rsidR="00767956" w:rsidRPr="00767956" w14:paraId="3FE401FA" w14:textId="77777777" w:rsidTr="0037433D">
        <w:tc>
          <w:tcPr>
            <w:tcW w:w="1490" w:type="dxa"/>
          </w:tcPr>
          <w:p w14:paraId="4063A756" w14:textId="77777777" w:rsidR="00767956" w:rsidRPr="00767956" w:rsidRDefault="00767956" w:rsidP="00767956">
            <w:pPr>
              <w:pStyle w:val="TableText"/>
            </w:pPr>
            <w:r w:rsidRPr="00767956">
              <w:lastRenderedPageBreak/>
              <w:t>Inclusion and exclusion criteria</w:t>
            </w:r>
          </w:p>
        </w:tc>
        <w:tc>
          <w:tcPr>
            <w:tcW w:w="7512" w:type="dxa"/>
          </w:tcPr>
          <w:p w14:paraId="66FE2067" w14:textId="77777777" w:rsidR="00B37D98" w:rsidRDefault="00B37D98" w:rsidP="006B6CB9">
            <w:pPr>
              <w:pStyle w:val="TableBullet"/>
              <w:numPr>
                <w:ilvl w:val="0"/>
                <w:numId w:val="0"/>
              </w:numPr>
            </w:pPr>
            <w:r w:rsidRPr="00B37D98">
              <w:t xml:space="preserve">Included: publicly available guidance relevant to vitamin B6 exposure and health outcomes; documents providing transparency of methodology and sufficient detail on the derivation of health-based values; documents applicable to or informative for the Australian and New Zealand context. </w:t>
            </w:r>
          </w:p>
          <w:p w14:paraId="65607136" w14:textId="19F1A971" w:rsidR="00767956" w:rsidRPr="00767956" w:rsidRDefault="00B37D98" w:rsidP="006B6CB9">
            <w:pPr>
              <w:pStyle w:val="TableBullet"/>
              <w:numPr>
                <w:ilvl w:val="0"/>
                <w:numId w:val="0"/>
              </w:numPr>
            </w:pPr>
            <w:r w:rsidRPr="00B37D98">
              <w:t>Excluded: documents with insufficient methodological detail to allow assessment; guidance not related to excess vitamin B6 intake or health-based values; superseded guidance unless required to understand the basis of current values.</w:t>
            </w:r>
          </w:p>
        </w:tc>
      </w:tr>
      <w:tr w:rsidR="00767956" w:rsidRPr="00767956" w14:paraId="3D7FA990" w14:textId="77777777" w:rsidTr="0037433D">
        <w:tc>
          <w:tcPr>
            <w:tcW w:w="1490" w:type="dxa"/>
          </w:tcPr>
          <w:p w14:paraId="292CBA19" w14:textId="77777777" w:rsidR="00767956" w:rsidRPr="00767956" w:rsidRDefault="00767956" w:rsidP="00767956">
            <w:pPr>
              <w:pStyle w:val="TableText"/>
            </w:pPr>
            <w:r w:rsidRPr="00767956">
              <w:t xml:space="preserve">Validation methods used </w:t>
            </w:r>
          </w:p>
        </w:tc>
        <w:tc>
          <w:tcPr>
            <w:tcW w:w="7512" w:type="dxa"/>
          </w:tcPr>
          <w:p w14:paraId="05DE556B" w14:textId="66F062EF" w:rsidR="00767956" w:rsidRPr="00767956" w:rsidRDefault="00B37D98" w:rsidP="00767956">
            <w:pPr>
              <w:pStyle w:val="TableText"/>
            </w:pPr>
            <w:r w:rsidRPr="00B37D98">
              <w:t>Search results were checked against key known guidance documents (e.g., EFSA 2023 and relevant TGA documents) to verify that the search strategy captured all expected key references prior to full screening.</w:t>
            </w:r>
          </w:p>
        </w:tc>
      </w:tr>
      <w:tr w:rsidR="00767956" w:rsidRPr="00767956" w14:paraId="666132C6" w14:textId="77777777" w:rsidTr="0037433D">
        <w:tc>
          <w:tcPr>
            <w:tcW w:w="1490" w:type="dxa"/>
          </w:tcPr>
          <w:p w14:paraId="6598BBEC" w14:textId="77777777" w:rsidR="00767956" w:rsidRPr="00601CCB" w:rsidRDefault="00767956" w:rsidP="00767956">
            <w:pPr>
              <w:keepLines/>
              <w:spacing w:before="45" w:after="45"/>
              <w:rPr>
                <w:rFonts w:asciiTheme="minorHAnsi" w:eastAsia="Times New Roman" w:hAnsiTheme="minorHAnsi" w:cstheme="minorHAnsi"/>
                <w:color w:val="424242"/>
                <w:sz w:val="20"/>
                <w:szCs w:val="22"/>
              </w:rPr>
            </w:pPr>
            <w:r w:rsidRPr="00601CCB">
              <w:rPr>
                <w:rFonts w:asciiTheme="minorHAnsi" w:eastAsia="Times New Roman" w:hAnsiTheme="minorHAnsi" w:cstheme="minorHAnsi"/>
                <w:color w:val="424242"/>
                <w:sz w:val="20"/>
                <w:szCs w:val="22"/>
              </w:rPr>
              <w:t>Screening methods</w:t>
            </w:r>
          </w:p>
        </w:tc>
        <w:tc>
          <w:tcPr>
            <w:tcW w:w="7512" w:type="dxa"/>
          </w:tcPr>
          <w:p w14:paraId="46272271" w14:textId="1DA203EE" w:rsidR="00767956" w:rsidRPr="00767956" w:rsidRDefault="00B37D98" w:rsidP="009B4DA9">
            <w:pPr>
              <w:pStyle w:val="TableBullet"/>
              <w:numPr>
                <w:ilvl w:val="0"/>
                <w:numId w:val="0"/>
              </w:numPr>
            </w:pPr>
            <w:r w:rsidRPr="00B37D98">
              <w:t>Titles and source documents were screened by a single researcher (MM or SL) and verified by a content expert (TH or RC) against the inclusion and exclusion criteria outlined above. All screening decisions were recorded in Covidence. Discrepancies were resolved by consensus.</w:t>
            </w:r>
          </w:p>
        </w:tc>
      </w:tr>
      <w:tr w:rsidR="00767956" w:rsidRPr="00767956" w14:paraId="765DE110" w14:textId="77777777" w:rsidTr="0037433D">
        <w:tc>
          <w:tcPr>
            <w:tcW w:w="1490" w:type="dxa"/>
          </w:tcPr>
          <w:p w14:paraId="39E5BB15" w14:textId="77777777" w:rsidR="00767956" w:rsidRPr="00767956" w:rsidRDefault="00767956" w:rsidP="00767956">
            <w:pPr>
              <w:pStyle w:val="TableText"/>
            </w:pPr>
            <w:r w:rsidRPr="00767956">
              <w:t>Documentation of search</w:t>
            </w:r>
          </w:p>
        </w:tc>
        <w:tc>
          <w:tcPr>
            <w:tcW w:w="7512" w:type="dxa"/>
          </w:tcPr>
          <w:p w14:paraId="6673750A" w14:textId="4D8C0B52" w:rsidR="00767956" w:rsidRPr="00767956" w:rsidRDefault="00B37D98" w:rsidP="00767956">
            <w:pPr>
              <w:pStyle w:val="TableText"/>
              <w:rPr>
                <w:bCs/>
              </w:rPr>
            </w:pPr>
            <w:r w:rsidRPr="00B37D98">
              <w:rPr>
                <w:bCs/>
              </w:rPr>
              <w:t xml:space="preserve">All search results, screening decisions and exclusions with justifications were recorded in Covidence and are documented in this Technical Report. A list of excluded guidance documents with reasons for exclusion is provided in Appendix A. The overall search and selection process is presented as a PRISMA flow diagram in </w:t>
            </w:r>
            <w:r w:rsidR="00700BC1" w:rsidRPr="00700BC1">
              <w:rPr>
                <w:b/>
              </w:rPr>
              <w:fldChar w:fldCharType="begin"/>
            </w:r>
            <w:r w:rsidR="00700BC1" w:rsidRPr="00700BC1">
              <w:rPr>
                <w:b/>
              </w:rPr>
              <w:instrText xml:space="preserve"> REF _Ref218524436 \h </w:instrText>
            </w:r>
            <w:r w:rsidR="00700BC1">
              <w:rPr>
                <w:b/>
              </w:rPr>
              <w:instrText xml:space="preserve"> \* MERGEFORMAT </w:instrText>
            </w:r>
            <w:r w:rsidR="00700BC1" w:rsidRPr="00700BC1">
              <w:rPr>
                <w:b/>
              </w:rPr>
            </w:r>
            <w:r w:rsidR="00700BC1" w:rsidRPr="00700BC1">
              <w:rPr>
                <w:b/>
              </w:rPr>
              <w:fldChar w:fldCharType="separate"/>
            </w:r>
            <w:r w:rsidR="00A41FEF" w:rsidRPr="00A41FEF">
              <w:rPr>
                <w:b/>
              </w:rPr>
              <w:t xml:space="preserve">Figure </w:t>
            </w:r>
            <w:r w:rsidR="00A41FEF" w:rsidRPr="00A41FEF">
              <w:rPr>
                <w:b/>
                <w:noProof/>
              </w:rPr>
              <w:t>1</w:t>
            </w:r>
            <w:r w:rsidR="00700BC1" w:rsidRPr="00700BC1">
              <w:rPr>
                <w:b/>
              </w:rPr>
              <w:fldChar w:fldCharType="end"/>
            </w:r>
            <w:r w:rsidRPr="00B37D98">
              <w:rPr>
                <w:bCs/>
              </w:rPr>
              <w:t>.</w:t>
            </w:r>
          </w:p>
        </w:tc>
      </w:tr>
      <w:tr w:rsidR="00767956" w:rsidRPr="00767956" w14:paraId="58AD598C" w14:textId="77777777" w:rsidTr="0037433D">
        <w:tc>
          <w:tcPr>
            <w:tcW w:w="1490" w:type="dxa"/>
          </w:tcPr>
          <w:p w14:paraId="0A901A40" w14:textId="77777777" w:rsidR="00767956" w:rsidRPr="00767956" w:rsidRDefault="00767956" w:rsidP="00767956">
            <w:pPr>
              <w:pStyle w:val="TableText"/>
            </w:pPr>
            <w:r w:rsidRPr="00767956">
              <w:t>Retrieval of publications</w:t>
            </w:r>
          </w:p>
        </w:tc>
        <w:tc>
          <w:tcPr>
            <w:tcW w:w="7512" w:type="dxa"/>
          </w:tcPr>
          <w:p w14:paraId="554BD168" w14:textId="310945B8" w:rsidR="00767956" w:rsidRPr="00767956" w:rsidRDefault="00B37D98" w:rsidP="00767956">
            <w:pPr>
              <w:pStyle w:val="TableText"/>
            </w:pPr>
            <w:r w:rsidRPr="00B37D98">
              <w:t>Full-text documents were retrieved electronically via agency websites, subscription databases or open-access repositories. Records were collated and managed in Covidence. Copies of all included documents were stored in a secure project repository.</w:t>
            </w:r>
          </w:p>
        </w:tc>
      </w:tr>
    </w:tbl>
    <w:p w14:paraId="1CB38D06" w14:textId="77777777" w:rsidR="00767956" w:rsidRDefault="00767956" w:rsidP="00767956">
      <w:pPr>
        <w:pStyle w:val="Heading5"/>
      </w:pPr>
      <w:r>
        <w:t>Data Extraction and Quality Assessment</w:t>
      </w:r>
    </w:p>
    <w:p w14:paraId="023266D5" w14:textId="1BA908DC" w:rsidR="00304F3C" w:rsidRDefault="00637FBC" w:rsidP="00767956">
      <w:pPr>
        <w:pStyle w:val="BodyText"/>
      </w:pPr>
      <w:r w:rsidRPr="00637FBC">
        <w:t>For each relevant result for which the full text was sourced</w:t>
      </w:r>
      <w:r w:rsidR="00304F3C" w:rsidRPr="00304F3C">
        <w:t>:</w:t>
      </w:r>
    </w:p>
    <w:p w14:paraId="4F9A3F93" w14:textId="56773113" w:rsidR="00304F3C" w:rsidRDefault="00637FBC" w:rsidP="00F84245">
      <w:pPr>
        <w:pStyle w:val="BodyText"/>
        <w:numPr>
          <w:ilvl w:val="0"/>
          <w:numId w:val="12"/>
        </w:numPr>
      </w:pPr>
      <w:r w:rsidRPr="00637FBC">
        <w:t>The full text was reviewed by a content expert to confirm relevance to the research questions and to determine whether the document contained existing health-based guidance for vitamin B6, relevant toxicity or safety information, or supporting evidence pertaining to adverse health effects associated with excess vitamin B6 intake</w:t>
      </w:r>
      <w:r w:rsidR="00304F3C" w:rsidRPr="00304F3C">
        <w:t>.</w:t>
      </w:r>
    </w:p>
    <w:p w14:paraId="0BFCEF8C" w14:textId="3792DC23" w:rsidR="002740AC" w:rsidRDefault="00637FBC" w:rsidP="00F84245">
      <w:pPr>
        <w:pStyle w:val="BodyText"/>
        <w:numPr>
          <w:ilvl w:val="0"/>
          <w:numId w:val="12"/>
        </w:numPr>
      </w:pPr>
      <w:r w:rsidRPr="00637FBC">
        <w:t>Where existing health-based guidance was identified including tolerable upper intake levels or equivalent health-based guidance values for vitamin B6</w:t>
      </w:r>
      <w:r>
        <w:t>,</w:t>
      </w:r>
      <w:r w:rsidRPr="00637FBC">
        <w:t xml:space="preserve"> relevant data on the guidance value, derivation approach, critical endpoint, point of departure, uncertainty factors, sensitive subpopulation considerations, and applicability to the Australian and New Zealand context were extracted using a predefined data extraction framework</w:t>
      </w:r>
      <w:r w:rsidR="00AA4ED3">
        <w:t xml:space="preserve"> (</w:t>
      </w:r>
      <w:r w:rsidR="00AA4ED3" w:rsidRPr="00AA4ED3">
        <w:rPr>
          <w:b/>
          <w:bCs/>
        </w:rPr>
        <w:fldChar w:fldCharType="begin"/>
      </w:r>
      <w:r w:rsidR="00AA4ED3" w:rsidRPr="00AA4ED3">
        <w:rPr>
          <w:b/>
          <w:bCs/>
        </w:rPr>
        <w:instrText xml:space="preserve"> REF _Ref219295734 \h </w:instrText>
      </w:r>
      <w:r w:rsidR="00AA4ED3">
        <w:rPr>
          <w:b/>
          <w:bCs/>
        </w:rPr>
        <w:instrText xml:space="preserve"> \* MERGEFORMAT </w:instrText>
      </w:r>
      <w:r w:rsidR="00AA4ED3" w:rsidRPr="00AA4ED3">
        <w:rPr>
          <w:b/>
          <w:bCs/>
        </w:rPr>
      </w:r>
      <w:r w:rsidR="00AA4ED3" w:rsidRPr="00AA4ED3">
        <w:rPr>
          <w:b/>
          <w:bCs/>
        </w:rPr>
        <w:fldChar w:fldCharType="separate"/>
      </w:r>
      <w:r w:rsidR="00A41FEF" w:rsidRPr="00A41FEF">
        <w:rPr>
          <w:b/>
          <w:bCs/>
        </w:rPr>
        <w:t xml:space="preserve">Table </w:t>
      </w:r>
      <w:r w:rsidR="00A41FEF" w:rsidRPr="00A41FEF">
        <w:rPr>
          <w:b/>
          <w:bCs/>
          <w:noProof/>
        </w:rPr>
        <w:t>3</w:t>
      </w:r>
      <w:r w:rsidR="00AA4ED3" w:rsidRPr="00AA4ED3">
        <w:rPr>
          <w:b/>
          <w:bCs/>
        </w:rPr>
        <w:fldChar w:fldCharType="end"/>
      </w:r>
      <w:r w:rsidR="00AA4ED3">
        <w:t>)</w:t>
      </w:r>
      <w:r w:rsidRPr="00637FBC">
        <w:t xml:space="preserve">. Data extraction was undertaken by a single reviewer and subject to targeted verification by a content expert, particularly for key guidance documents and critical inputs to the UL derivation. The individual data extraction tables for existing guidance documents are provided in </w:t>
      </w:r>
      <w:r w:rsidRPr="00637FBC">
        <w:rPr>
          <w:b/>
          <w:bCs/>
        </w:rPr>
        <w:fldChar w:fldCharType="begin"/>
      </w:r>
      <w:r w:rsidRPr="00637FBC">
        <w:rPr>
          <w:b/>
          <w:bCs/>
        </w:rPr>
        <w:instrText xml:space="preserve"> REF _Ref231989560 \r \h </w:instrText>
      </w:r>
      <w:r>
        <w:rPr>
          <w:b/>
          <w:bCs/>
        </w:rPr>
        <w:instrText xml:space="preserve"> \* MERGEFORMAT </w:instrText>
      </w:r>
      <w:r w:rsidRPr="00637FBC">
        <w:rPr>
          <w:b/>
          <w:bCs/>
        </w:rPr>
      </w:r>
      <w:r w:rsidRPr="00637FBC">
        <w:rPr>
          <w:b/>
          <w:bCs/>
        </w:rPr>
        <w:fldChar w:fldCharType="separate"/>
      </w:r>
      <w:r w:rsidR="00A41FEF">
        <w:rPr>
          <w:b/>
          <w:bCs/>
        </w:rPr>
        <w:t>Appendix D</w:t>
      </w:r>
      <w:r w:rsidRPr="00637FBC">
        <w:rPr>
          <w:b/>
          <w:bCs/>
        </w:rPr>
        <w:fldChar w:fldCharType="end"/>
      </w:r>
      <w:r w:rsidR="002740AC" w:rsidRPr="002740AC">
        <w:t>.</w:t>
      </w:r>
    </w:p>
    <w:p w14:paraId="464E25E7" w14:textId="508449D7" w:rsidR="00894EE5" w:rsidRDefault="00637FBC" w:rsidP="00F84245">
      <w:pPr>
        <w:pStyle w:val="ListBullet"/>
        <w:numPr>
          <w:ilvl w:val="0"/>
          <w:numId w:val="12"/>
        </w:numPr>
      </w:pPr>
      <w:r w:rsidRPr="00637FBC">
        <w:t xml:space="preserve">For each identified health-based guidance document, methodological credibility and transparency were assessed using the Assessment Tool described in Appendix B of the Research Protocol. This assessment informed the extent to which findings from each guidance document including underlying evidence assessments where available could be relied upon in the review. Where a guidance document met the credibility criteria (i.e., satisfying at least 80% of "must have" and "should have" criteria), its findings and certainty assessments were used to inform the review directly. The completed credibility assessment tables for all included guidance documents are provided in </w:t>
      </w:r>
      <w:r w:rsidRPr="00637FBC">
        <w:rPr>
          <w:b/>
          <w:bCs/>
        </w:rPr>
        <w:fldChar w:fldCharType="begin"/>
      </w:r>
      <w:r w:rsidRPr="00637FBC">
        <w:rPr>
          <w:b/>
          <w:bCs/>
        </w:rPr>
        <w:instrText xml:space="preserve"> REF _Ref231989636 \r \h </w:instrText>
      </w:r>
      <w:r>
        <w:rPr>
          <w:b/>
          <w:bCs/>
        </w:rPr>
        <w:instrText xml:space="preserve"> \* MERGEFORMAT </w:instrText>
      </w:r>
      <w:r w:rsidRPr="00637FBC">
        <w:rPr>
          <w:b/>
          <w:bCs/>
        </w:rPr>
      </w:r>
      <w:r w:rsidRPr="00637FBC">
        <w:rPr>
          <w:b/>
          <w:bCs/>
        </w:rPr>
        <w:fldChar w:fldCharType="separate"/>
      </w:r>
      <w:r w:rsidR="00A41FEF">
        <w:rPr>
          <w:b/>
          <w:bCs/>
        </w:rPr>
        <w:t>Appendix C</w:t>
      </w:r>
      <w:r w:rsidRPr="00637FBC">
        <w:rPr>
          <w:b/>
          <w:bCs/>
        </w:rPr>
        <w:fldChar w:fldCharType="end"/>
      </w:r>
      <w:r w:rsidR="008E5355">
        <w:t>.</w:t>
      </w:r>
    </w:p>
    <w:p w14:paraId="0AD25249" w14:textId="4E8305DA" w:rsidR="00767956" w:rsidRDefault="000D5389" w:rsidP="000D5389">
      <w:pPr>
        <w:pStyle w:val="Caption"/>
      </w:pPr>
      <w:bookmarkStart w:id="20" w:name="_Ref219295734"/>
      <w:bookmarkStart w:id="21" w:name="_Toc233022870"/>
      <w:r>
        <w:lastRenderedPageBreak/>
        <w:t xml:space="preserve">Table </w:t>
      </w:r>
      <w:r w:rsidR="00D90030">
        <w:fldChar w:fldCharType="begin"/>
      </w:r>
      <w:r w:rsidR="00D90030">
        <w:instrText xml:space="preserve"> SEQ Table \* ARABIC </w:instrText>
      </w:r>
      <w:r w:rsidR="00D90030">
        <w:fldChar w:fldCharType="separate"/>
      </w:r>
      <w:r w:rsidR="00A41FEF">
        <w:rPr>
          <w:noProof/>
        </w:rPr>
        <w:t>3</w:t>
      </w:r>
      <w:r w:rsidR="00D90030">
        <w:fldChar w:fldCharType="end"/>
      </w:r>
      <w:bookmarkEnd w:id="20"/>
      <w:r w:rsidR="00767956">
        <w:tab/>
      </w:r>
      <w:r w:rsidR="00767956" w:rsidRPr="00767956">
        <w:t xml:space="preserve">Example of data extraction table format for existing health-based </w:t>
      </w:r>
      <w:r w:rsidR="0038466F">
        <w:t>key studies</w:t>
      </w:r>
      <w:bookmarkEnd w:id="21"/>
    </w:p>
    <w:p w14:paraId="2C462F1F" w14:textId="02169F30" w:rsidR="005451A3" w:rsidRDefault="00F40EA8" w:rsidP="00F40EA8">
      <w:pPr>
        <w:pStyle w:val="BodyText"/>
        <w:rPr>
          <w:b/>
          <w:bCs/>
        </w:rPr>
      </w:pPr>
      <w:bookmarkStart w:id="22" w:name="_Hlk219897500"/>
      <w:r>
        <w:rPr>
          <w:b/>
          <w:bCs/>
        </w:rPr>
        <w:t>Guidance</w:t>
      </w:r>
      <w:r w:rsidR="000D5389" w:rsidRPr="00601CCB">
        <w:rPr>
          <w:b/>
          <w:bCs/>
        </w:rPr>
        <w:t xml:space="preserve"> Reference: </w:t>
      </w:r>
      <w:r w:rsidR="000D5389" w:rsidRPr="00601CCB">
        <w:rPr>
          <w:b/>
          <w:bCs/>
          <w:i/>
          <w:iCs/>
        </w:rPr>
        <w:t>Insert full bibliographical reference for report</w:t>
      </w:r>
    </w:p>
    <w:p w14:paraId="614EA060" w14:textId="291F2E76" w:rsidR="00F40EA8" w:rsidRDefault="00F40EA8" w:rsidP="00F40EA8">
      <w:pPr>
        <w:pStyle w:val="BodyText"/>
        <w:rPr>
          <w:b/>
          <w:bCs/>
        </w:rPr>
      </w:pPr>
      <w:r>
        <w:rPr>
          <w:b/>
          <w:bCs/>
        </w:rPr>
        <w:t>General Information</w:t>
      </w:r>
    </w:p>
    <w:tbl>
      <w:tblPr>
        <w:tblStyle w:val="SLROption2"/>
        <w:tblW w:w="9067" w:type="dxa"/>
        <w:tblLook w:val="04A0" w:firstRow="1" w:lastRow="0" w:firstColumn="1" w:lastColumn="0" w:noHBand="0" w:noVBand="1"/>
      </w:tblPr>
      <w:tblGrid>
        <w:gridCol w:w="5665"/>
        <w:gridCol w:w="3402"/>
      </w:tblGrid>
      <w:tr w:rsidR="00017549" w:rsidRPr="000553AD" w14:paraId="0782816E" w14:textId="77777777" w:rsidTr="00017549">
        <w:trPr>
          <w:cnfStyle w:val="100000000000" w:firstRow="1" w:lastRow="0" w:firstColumn="0" w:lastColumn="0" w:oddVBand="0" w:evenVBand="0" w:oddHBand="0" w:evenHBand="0" w:firstRowFirstColumn="0" w:firstRowLastColumn="0" w:lastRowFirstColumn="0" w:lastRowLastColumn="0"/>
        </w:trPr>
        <w:tc>
          <w:tcPr>
            <w:tcW w:w="5665" w:type="dxa"/>
            <w:shd w:val="clear" w:color="auto" w:fill="3C533C" w:themeFill="accent1"/>
          </w:tcPr>
          <w:p w14:paraId="3199052F" w14:textId="77777777" w:rsidR="00017549" w:rsidRPr="000553AD" w:rsidRDefault="00017549" w:rsidP="00D97A0D">
            <w:pPr>
              <w:pStyle w:val="TableHeading"/>
            </w:pPr>
            <w:r>
              <w:t>Parameter</w:t>
            </w:r>
          </w:p>
        </w:tc>
        <w:tc>
          <w:tcPr>
            <w:tcW w:w="3402" w:type="dxa"/>
            <w:shd w:val="clear" w:color="auto" w:fill="3C533C" w:themeFill="accent1"/>
          </w:tcPr>
          <w:p w14:paraId="5668A4AE" w14:textId="77777777" w:rsidR="00017549" w:rsidRPr="000553AD" w:rsidRDefault="00017549" w:rsidP="00D97A0D">
            <w:pPr>
              <w:pStyle w:val="TableHeading"/>
            </w:pPr>
            <w:r w:rsidRPr="000553AD">
              <w:t xml:space="preserve">Findings </w:t>
            </w:r>
          </w:p>
        </w:tc>
      </w:tr>
      <w:tr w:rsidR="00017549" w:rsidRPr="00F51AC1" w14:paraId="7AC079DD" w14:textId="77777777" w:rsidTr="00017549">
        <w:tc>
          <w:tcPr>
            <w:tcW w:w="5665" w:type="dxa"/>
          </w:tcPr>
          <w:p w14:paraId="34AC00C0" w14:textId="77777777" w:rsidR="00017549" w:rsidRPr="00F51AC1" w:rsidRDefault="00017549" w:rsidP="00017549">
            <w:pPr>
              <w:pStyle w:val="TableText"/>
              <w:rPr>
                <w:highlight w:val="yellow"/>
              </w:rPr>
            </w:pPr>
            <w:r w:rsidRPr="00F51AC1">
              <w:t>Authors</w:t>
            </w:r>
          </w:p>
        </w:tc>
        <w:tc>
          <w:tcPr>
            <w:tcW w:w="3402" w:type="dxa"/>
          </w:tcPr>
          <w:p w14:paraId="45A58A89" w14:textId="48112878" w:rsidR="00017549" w:rsidRPr="00F51AC1" w:rsidRDefault="00017549" w:rsidP="00017549">
            <w:pPr>
              <w:pStyle w:val="TableText"/>
              <w:rPr>
                <w:highlight w:val="yellow"/>
              </w:rPr>
            </w:pPr>
            <w:r w:rsidRPr="00A9461F">
              <w:rPr>
                <w:i/>
                <w:iCs/>
              </w:rPr>
              <w:t>Intentionally blank</w:t>
            </w:r>
          </w:p>
        </w:tc>
      </w:tr>
      <w:tr w:rsidR="00017549" w:rsidRPr="00F51AC1" w14:paraId="3F94F34A" w14:textId="77777777" w:rsidTr="00017549">
        <w:tc>
          <w:tcPr>
            <w:tcW w:w="5665" w:type="dxa"/>
          </w:tcPr>
          <w:p w14:paraId="45101A28" w14:textId="77777777" w:rsidR="00017549" w:rsidRPr="00F51AC1" w:rsidRDefault="00017549" w:rsidP="00017549">
            <w:pPr>
              <w:pStyle w:val="TableText"/>
              <w:rPr>
                <w:highlight w:val="yellow"/>
              </w:rPr>
            </w:pPr>
            <w:r w:rsidRPr="00F51AC1">
              <w:t>Publication date</w:t>
            </w:r>
          </w:p>
        </w:tc>
        <w:tc>
          <w:tcPr>
            <w:tcW w:w="3402" w:type="dxa"/>
          </w:tcPr>
          <w:p w14:paraId="15C84893" w14:textId="554A7110" w:rsidR="00017549" w:rsidRPr="00F51AC1" w:rsidRDefault="00017549" w:rsidP="00017549">
            <w:pPr>
              <w:pStyle w:val="TableText"/>
              <w:rPr>
                <w:highlight w:val="yellow"/>
              </w:rPr>
            </w:pPr>
            <w:r w:rsidRPr="00A9461F">
              <w:rPr>
                <w:i/>
                <w:iCs/>
              </w:rPr>
              <w:t>Intentionally blank</w:t>
            </w:r>
          </w:p>
        </w:tc>
      </w:tr>
      <w:tr w:rsidR="00017549" w:rsidRPr="00F51AC1" w14:paraId="43110E67" w14:textId="77777777" w:rsidTr="00017549">
        <w:tc>
          <w:tcPr>
            <w:tcW w:w="5665" w:type="dxa"/>
          </w:tcPr>
          <w:p w14:paraId="50462716" w14:textId="77777777" w:rsidR="00017549" w:rsidRPr="00F51AC1" w:rsidRDefault="00017549" w:rsidP="00017549">
            <w:pPr>
              <w:pStyle w:val="TableText"/>
            </w:pPr>
            <w:r w:rsidRPr="003932B7">
              <w:t>Document/report title</w:t>
            </w:r>
          </w:p>
        </w:tc>
        <w:tc>
          <w:tcPr>
            <w:tcW w:w="3402" w:type="dxa"/>
          </w:tcPr>
          <w:p w14:paraId="2E566297" w14:textId="23E05B1D" w:rsidR="00017549" w:rsidRPr="003932B7" w:rsidRDefault="00017549" w:rsidP="00017549">
            <w:pPr>
              <w:pStyle w:val="TableText"/>
            </w:pPr>
            <w:r w:rsidRPr="00A9461F">
              <w:rPr>
                <w:i/>
                <w:iCs/>
              </w:rPr>
              <w:t>Intentionally blank</w:t>
            </w:r>
          </w:p>
        </w:tc>
      </w:tr>
      <w:tr w:rsidR="00017549" w:rsidRPr="00F51AC1" w14:paraId="4F59620C" w14:textId="77777777" w:rsidTr="00017549">
        <w:tc>
          <w:tcPr>
            <w:tcW w:w="5665" w:type="dxa"/>
          </w:tcPr>
          <w:p w14:paraId="00624D34" w14:textId="77777777" w:rsidR="00017549" w:rsidRPr="00F51AC1" w:rsidRDefault="00017549" w:rsidP="00017549">
            <w:pPr>
              <w:pStyle w:val="TableText"/>
            </w:pPr>
            <w:r w:rsidRPr="00F51AC1">
              <w:t xml:space="preserve">Literature search timeframe </w:t>
            </w:r>
          </w:p>
        </w:tc>
        <w:tc>
          <w:tcPr>
            <w:tcW w:w="3402" w:type="dxa"/>
          </w:tcPr>
          <w:p w14:paraId="563877D1" w14:textId="71143B61" w:rsidR="00017549" w:rsidRPr="00F51AC1" w:rsidRDefault="00017549" w:rsidP="00017549">
            <w:pPr>
              <w:pStyle w:val="TableText"/>
            </w:pPr>
            <w:r w:rsidRPr="00A9461F">
              <w:rPr>
                <w:i/>
                <w:iCs/>
              </w:rPr>
              <w:t>Intentionally blank</w:t>
            </w:r>
          </w:p>
        </w:tc>
      </w:tr>
      <w:tr w:rsidR="00017549" w:rsidRPr="00F51AC1" w14:paraId="03C90BAA" w14:textId="77777777" w:rsidTr="00017549">
        <w:tc>
          <w:tcPr>
            <w:tcW w:w="5665" w:type="dxa"/>
          </w:tcPr>
          <w:p w14:paraId="33133569" w14:textId="77777777" w:rsidR="00017549" w:rsidRPr="00F51AC1" w:rsidRDefault="00017549" w:rsidP="00017549">
            <w:pPr>
              <w:pStyle w:val="TableText"/>
            </w:pPr>
            <w:r w:rsidRPr="003932B7">
              <w:t>Literature search databases</w:t>
            </w:r>
          </w:p>
        </w:tc>
        <w:tc>
          <w:tcPr>
            <w:tcW w:w="3402" w:type="dxa"/>
          </w:tcPr>
          <w:p w14:paraId="02F4C8D3" w14:textId="3036DBE5" w:rsidR="00017549" w:rsidRPr="003932B7" w:rsidRDefault="00017549" w:rsidP="00017549">
            <w:pPr>
              <w:pStyle w:val="TableText"/>
            </w:pPr>
            <w:r w:rsidRPr="00A9461F">
              <w:rPr>
                <w:i/>
                <w:iCs/>
              </w:rPr>
              <w:t>Intentionally blank</w:t>
            </w:r>
          </w:p>
        </w:tc>
      </w:tr>
      <w:tr w:rsidR="00017549" w:rsidRPr="00F51AC1" w14:paraId="28EA51FB" w14:textId="77777777" w:rsidTr="00017549">
        <w:tc>
          <w:tcPr>
            <w:tcW w:w="5665" w:type="dxa"/>
          </w:tcPr>
          <w:p w14:paraId="52D13766" w14:textId="77777777" w:rsidR="00017549" w:rsidRPr="00F51AC1" w:rsidRDefault="00017549" w:rsidP="00017549">
            <w:pPr>
              <w:pStyle w:val="TableText"/>
            </w:pPr>
            <w:r w:rsidRPr="00F51AC1">
              <w:t>Publication type</w:t>
            </w:r>
          </w:p>
        </w:tc>
        <w:tc>
          <w:tcPr>
            <w:tcW w:w="3402" w:type="dxa"/>
          </w:tcPr>
          <w:p w14:paraId="3F472F31" w14:textId="439EAA25" w:rsidR="00017549" w:rsidRPr="00F51AC1" w:rsidRDefault="00017549" w:rsidP="00017549">
            <w:pPr>
              <w:pStyle w:val="TableText"/>
              <w:rPr>
                <w:highlight w:val="yellow"/>
              </w:rPr>
            </w:pPr>
            <w:r w:rsidRPr="00A9461F">
              <w:rPr>
                <w:i/>
                <w:iCs/>
              </w:rPr>
              <w:t>Intentionally blank</w:t>
            </w:r>
          </w:p>
        </w:tc>
      </w:tr>
      <w:tr w:rsidR="00017549" w:rsidRPr="00F51AC1" w14:paraId="369C76E6" w14:textId="77777777" w:rsidTr="00017549">
        <w:tc>
          <w:tcPr>
            <w:tcW w:w="5665" w:type="dxa"/>
          </w:tcPr>
          <w:p w14:paraId="4057C23B" w14:textId="77777777" w:rsidR="00017549" w:rsidRPr="00F51AC1" w:rsidRDefault="00017549" w:rsidP="00017549">
            <w:pPr>
              <w:pStyle w:val="TableText"/>
            </w:pPr>
            <w:r w:rsidRPr="00F51AC1">
              <w:t>Peer reviewed?</w:t>
            </w:r>
          </w:p>
        </w:tc>
        <w:tc>
          <w:tcPr>
            <w:tcW w:w="3402" w:type="dxa"/>
          </w:tcPr>
          <w:p w14:paraId="01C3262E" w14:textId="38F231FF" w:rsidR="00017549" w:rsidRPr="00F51AC1" w:rsidRDefault="00017549" w:rsidP="00017549">
            <w:pPr>
              <w:pStyle w:val="TableText"/>
              <w:rPr>
                <w:highlight w:val="yellow"/>
              </w:rPr>
            </w:pPr>
            <w:r w:rsidRPr="00A9461F">
              <w:rPr>
                <w:i/>
                <w:iCs/>
              </w:rPr>
              <w:t>Intentionally blank</w:t>
            </w:r>
          </w:p>
        </w:tc>
      </w:tr>
      <w:tr w:rsidR="00017549" w:rsidRPr="00F51AC1" w14:paraId="738D100C" w14:textId="77777777" w:rsidTr="00017549">
        <w:tc>
          <w:tcPr>
            <w:tcW w:w="5665" w:type="dxa"/>
          </w:tcPr>
          <w:p w14:paraId="2B8A1446" w14:textId="77777777" w:rsidR="00017549" w:rsidRPr="00F51AC1" w:rsidRDefault="00017549" w:rsidP="00017549">
            <w:pPr>
              <w:pStyle w:val="TableText"/>
            </w:pPr>
            <w:r w:rsidRPr="00F51AC1">
              <w:t>Country of origin</w:t>
            </w:r>
          </w:p>
        </w:tc>
        <w:tc>
          <w:tcPr>
            <w:tcW w:w="3402" w:type="dxa"/>
          </w:tcPr>
          <w:p w14:paraId="6B388D2E" w14:textId="3E74D456" w:rsidR="00017549" w:rsidRPr="00F51AC1" w:rsidRDefault="00017549" w:rsidP="00017549">
            <w:pPr>
              <w:pStyle w:val="TableText"/>
            </w:pPr>
            <w:r w:rsidRPr="00A9461F">
              <w:rPr>
                <w:i/>
                <w:iCs/>
              </w:rPr>
              <w:t>Intentionally blank</w:t>
            </w:r>
          </w:p>
        </w:tc>
      </w:tr>
      <w:tr w:rsidR="00017549" w:rsidRPr="00F51AC1" w14:paraId="71955F4F" w14:textId="77777777" w:rsidTr="00017549">
        <w:tc>
          <w:tcPr>
            <w:tcW w:w="5665" w:type="dxa"/>
          </w:tcPr>
          <w:p w14:paraId="05ADA3C2" w14:textId="77777777" w:rsidR="00017549" w:rsidRPr="00F51AC1" w:rsidRDefault="00017549" w:rsidP="00017549">
            <w:pPr>
              <w:pStyle w:val="TableText"/>
            </w:pPr>
            <w:r w:rsidRPr="00F51AC1">
              <w:t>Source of funding</w:t>
            </w:r>
          </w:p>
        </w:tc>
        <w:tc>
          <w:tcPr>
            <w:tcW w:w="3402" w:type="dxa"/>
          </w:tcPr>
          <w:p w14:paraId="717005A4" w14:textId="2302B2C6" w:rsidR="00017549" w:rsidRPr="00F51AC1" w:rsidRDefault="00017549" w:rsidP="00017549">
            <w:pPr>
              <w:pStyle w:val="TableText"/>
            </w:pPr>
            <w:r w:rsidRPr="00A9461F">
              <w:rPr>
                <w:i/>
                <w:iCs/>
              </w:rPr>
              <w:t>Intentionally blank</w:t>
            </w:r>
          </w:p>
        </w:tc>
      </w:tr>
      <w:tr w:rsidR="00017549" w:rsidRPr="00F51AC1" w14:paraId="2179485C" w14:textId="77777777" w:rsidTr="00017549">
        <w:tc>
          <w:tcPr>
            <w:tcW w:w="5665" w:type="dxa"/>
          </w:tcPr>
          <w:p w14:paraId="0A7647EC" w14:textId="77777777" w:rsidR="00017549" w:rsidRPr="00F51AC1" w:rsidRDefault="00017549" w:rsidP="00017549">
            <w:pPr>
              <w:pStyle w:val="TableText"/>
            </w:pPr>
            <w:r w:rsidRPr="00F51AC1">
              <w:t>Possible conflicts of interest</w:t>
            </w:r>
          </w:p>
        </w:tc>
        <w:tc>
          <w:tcPr>
            <w:tcW w:w="3402" w:type="dxa"/>
          </w:tcPr>
          <w:p w14:paraId="76B1E3B3" w14:textId="39910D01" w:rsidR="00017549" w:rsidRPr="00F51AC1" w:rsidRDefault="00017549" w:rsidP="00017549">
            <w:pPr>
              <w:pStyle w:val="TableText"/>
            </w:pPr>
            <w:r w:rsidRPr="00A9461F">
              <w:rPr>
                <w:i/>
                <w:iCs/>
              </w:rPr>
              <w:t>Intentionally blank</w:t>
            </w:r>
          </w:p>
        </w:tc>
      </w:tr>
      <w:tr w:rsidR="00017549" w:rsidRPr="00F51AC1" w14:paraId="3C43C577" w14:textId="77777777" w:rsidTr="00017549">
        <w:tc>
          <w:tcPr>
            <w:tcW w:w="5665" w:type="dxa"/>
          </w:tcPr>
          <w:p w14:paraId="44D9AE7D" w14:textId="77777777" w:rsidR="00017549" w:rsidRPr="00F51AC1" w:rsidRDefault="00017549" w:rsidP="00017549">
            <w:pPr>
              <w:pStyle w:val="TableText"/>
            </w:pPr>
            <w:r w:rsidRPr="003932B7">
              <w:t>Chemical/nutrient assessed</w:t>
            </w:r>
          </w:p>
        </w:tc>
        <w:tc>
          <w:tcPr>
            <w:tcW w:w="3402" w:type="dxa"/>
          </w:tcPr>
          <w:p w14:paraId="6E07CCAC" w14:textId="0CACA640" w:rsidR="00017549" w:rsidRPr="003932B7" w:rsidRDefault="00017549" w:rsidP="00017549">
            <w:pPr>
              <w:pStyle w:val="TableText"/>
            </w:pPr>
            <w:r w:rsidRPr="00A9461F">
              <w:rPr>
                <w:i/>
                <w:iCs/>
              </w:rPr>
              <w:t>Intentionally blank</w:t>
            </w:r>
          </w:p>
        </w:tc>
      </w:tr>
      <w:tr w:rsidR="00017549" w:rsidRPr="00F51AC1" w14:paraId="0BAE63DA" w14:textId="77777777" w:rsidTr="00017549">
        <w:tc>
          <w:tcPr>
            <w:tcW w:w="5665" w:type="dxa"/>
          </w:tcPr>
          <w:p w14:paraId="0EFB3E20" w14:textId="77777777" w:rsidR="00017549" w:rsidRPr="00F51AC1" w:rsidRDefault="00017549" w:rsidP="00017549">
            <w:pPr>
              <w:pStyle w:val="TableText"/>
            </w:pPr>
            <w:r w:rsidRPr="003932B7">
              <w:t>Regulatory context / purpose</w:t>
            </w:r>
          </w:p>
        </w:tc>
        <w:tc>
          <w:tcPr>
            <w:tcW w:w="3402" w:type="dxa"/>
          </w:tcPr>
          <w:p w14:paraId="578B0792" w14:textId="56729248" w:rsidR="00017549" w:rsidRPr="003932B7" w:rsidRDefault="00017549" w:rsidP="00017549">
            <w:pPr>
              <w:pStyle w:val="TableText"/>
            </w:pPr>
            <w:r w:rsidRPr="00A9461F">
              <w:rPr>
                <w:i/>
                <w:iCs/>
              </w:rPr>
              <w:t>Intentionally blank</w:t>
            </w:r>
          </w:p>
        </w:tc>
      </w:tr>
      <w:tr w:rsidR="00017549" w:rsidRPr="00F51AC1" w14:paraId="02DCB21B" w14:textId="77777777" w:rsidTr="00017549">
        <w:tc>
          <w:tcPr>
            <w:tcW w:w="5665" w:type="dxa"/>
          </w:tcPr>
          <w:p w14:paraId="3C3966AE" w14:textId="77777777" w:rsidR="00017549" w:rsidRPr="00F51AC1" w:rsidRDefault="00017549" w:rsidP="00017549">
            <w:pPr>
              <w:pStyle w:val="TableText"/>
            </w:pPr>
            <w:r w:rsidRPr="003932B7">
              <w:t>Previous guidance value superseded</w:t>
            </w:r>
          </w:p>
        </w:tc>
        <w:tc>
          <w:tcPr>
            <w:tcW w:w="3402" w:type="dxa"/>
          </w:tcPr>
          <w:p w14:paraId="0124FBCE" w14:textId="0462B45E" w:rsidR="00017549" w:rsidRPr="003932B7" w:rsidRDefault="00017549" w:rsidP="00017549">
            <w:pPr>
              <w:pStyle w:val="TableText"/>
            </w:pPr>
            <w:r w:rsidRPr="00A9461F">
              <w:rPr>
                <w:i/>
                <w:iCs/>
              </w:rPr>
              <w:t>Intentionally blank</w:t>
            </w:r>
          </w:p>
        </w:tc>
      </w:tr>
    </w:tbl>
    <w:p w14:paraId="490E9A02" w14:textId="77777777" w:rsidR="00F40EA8" w:rsidRDefault="00F40EA8" w:rsidP="00F40EA8">
      <w:pPr>
        <w:pStyle w:val="BodyText"/>
        <w:rPr>
          <w:b/>
          <w:bCs/>
        </w:rPr>
      </w:pPr>
      <w:r>
        <w:rPr>
          <w:b/>
          <w:bCs/>
        </w:rPr>
        <w:t>Health Considerations</w:t>
      </w:r>
    </w:p>
    <w:tbl>
      <w:tblPr>
        <w:tblStyle w:val="SLROption2"/>
        <w:tblW w:w="9067" w:type="dxa"/>
        <w:tblLook w:val="04A0" w:firstRow="1" w:lastRow="0" w:firstColumn="1" w:lastColumn="0" w:noHBand="0" w:noVBand="1"/>
      </w:tblPr>
      <w:tblGrid>
        <w:gridCol w:w="5665"/>
        <w:gridCol w:w="3402"/>
      </w:tblGrid>
      <w:tr w:rsidR="00017549" w:rsidRPr="000553AD" w14:paraId="27B80672" w14:textId="77777777" w:rsidTr="00017549">
        <w:trPr>
          <w:cnfStyle w:val="100000000000" w:firstRow="1" w:lastRow="0" w:firstColumn="0" w:lastColumn="0" w:oddVBand="0" w:evenVBand="0" w:oddHBand="0" w:evenHBand="0" w:firstRowFirstColumn="0" w:firstRowLastColumn="0" w:lastRowFirstColumn="0" w:lastRowLastColumn="0"/>
        </w:trPr>
        <w:tc>
          <w:tcPr>
            <w:tcW w:w="5665" w:type="dxa"/>
          </w:tcPr>
          <w:p w14:paraId="705E03F2" w14:textId="77777777" w:rsidR="00017549" w:rsidRPr="000553AD" w:rsidRDefault="00017549" w:rsidP="00D97A0D">
            <w:pPr>
              <w:pStyle w:val="TableHeading"/>
            </w:pPr>
            <w:r>
              <w:t>Parameter</w:t>
            </w:r>
          </w:p>
        </w:tc>
        <w:tc>
          <w:tcPr>
            <w:tcW w:w="3402" w:type="dxa"/>
          </w:tcPr>
          <w:p w14:paraId="61CA44A3" w14:textId="77777777" w:rsidR="00017549" w:rsidRPr="000553AD" w:rsidRDefault="00017549" w:rsidP="00D97A0D">
            <w:pPr>
              <w:pStyle w:val="TableHeading"/>
            </w:pPr>
            <w:r w:rsidRPr="000553AD">
              <w:rPr>
                <w:bCs/>
              </w:rPr>
              <w:t>Findings</w:t>
            </w:r>
          </w:p>
        </w:tc>
      </w:tr>
      <w:tr w:rsidR="00017549" w:rsidRPr="00F51AC1" w14:paraId="62C1B1B1" w14:textId="77777777" w:rsidTr="00017549">
        <w:tc>
          <w:tcPr>
            <w:tcW w:w="5665" w:type="dxa"/>
          </w:tcPr>
          <w:p w14:paraId="59DC0619" w14:textId="77777777" w:rsidR="00017549" w:rsidRPr="00F51AC1" w:rsidRDefault="00017549" w:rsidP="00017549">
            <w:pPr>
              <w:pStyle w:val="TableText"/>
            </w:pPr>
            <w:r w:rsidRPr="00F51AC1">
              <w:t>Exposure timeframe</w:t>
            </w:r>
          </w:p>
        </w:tc>
        <w:tc>
          <w:tcPr>
            <w:tcW w:w="3402" w:type="dxa"/>
          </w:tcPr>
          <w:p w14:paraId="68E2E03F" w14:textId="04D64FFF" w:rsidR="00017549" w:rsidRPr="00F51AC1" w:rsidRDefault="00017549" w:rsidP="00017549">
            <w:pPr>
              <w:pStyle w:val="TableText"/>
            </w:pPr>
            <w:r w:rsidRPr="00EA6442">
              <w:rPr>
                <w:i/>
                <w:iCs/>
              </w:rPr>
              <w:t>Intentionally blank</w:t>
            </w:r>
          </w:p>
        </w:tc>
      </w:tr>
      <w:tr w:rsidR="00017549" w:rsidRPr="00F51AC1" w14:paraId="335E0417" w14:textId="77777777" w:rsidTr="00017549">
        <w:tc>
          <w:tcPr>
            <w:tcW w:w="5665" w:type="dxa"/>
          </w:tcPr>
          <w:p w14:paraId="3BCAC737" w14:textId="77777777" w:rsidR="00017549" w:rsidRPr="00F51AC1" w:rsidRDefault="00017549" w:rsidP="00017549">
            <w:pPr>
              <w:pStyle w:val="TableText"/>
            </w:pPr>
            <w:r w:rsidRPr="003932B7">
              <w:t>Exposure route assessed</w:t>
            </w:r>
          </w:p>
        </w:tc>
        <w:tc>
          <w:tcPr>
            <w:tcW w:w="3402" w:type="dxa"/>
          </w:tcPr>
          <w:p w14:paraId="6D4962BE" w14:textId="2CC79429" w:rsidR="00017549" w:rsidRPr="00F51AC1" w:rsidRDefault="00017549" w:rsidP="00017549">
            <w:pPr>
              <w:pStyle w:val="TableText"/>
            </w:pPr>
            <w:r w:rsidRPr="00EA6442">
              <w:rPr>
                <w:i/>
                <w:iCs/>
              </w:rPr>
              <w:t>Intentionally blank</w:t>
            </w:r>
          </w:p>
        </w:tc>
      </w:tr>
      <w:tr w:rsidR="00017549" w:rsidRPr="00F51AC1" w14:paraId="3AE60CAA" w14:textId="77777777" w:rsidTr="00017549">
        <w:tc>
          <w:tcPr>
            <w:tcW w:w="5665" w:type="dxa"/>
          </w:tcPr>
          <w:p w14:paraId="38CFC3F1" w14:textId="77777777" w:rsidR="00017549" w:rsidRPr="00F51AC1" w:rsidRDefault="00017549" w:rsidP="00017549">
            <w:pPr>
              <w:pStyle w:val="TableText"/>
              <w:rPr>
                <w:highlight w:val="yellow"/>
              </w:rPr>
            </w:pPr>
            <w:r w:rsidRPr="00F51AC1">
              <w:t>Critical human health endpoint(s) – oral exposure</w:t>
            </w:r>
          </w:p>
        </w:tc>
        <w:tc>
          <w:tcPr>
            <w:tcW w:w="3402" w:type="dxa"/>
          </w:tcPr>
          <w:p w14:paraId="159CC95F" w14:textId="7F8BB2A8" w:rsidR="00017549" w:rsidRPr="00F51AC1" w:rsidRDefault="00017549" w:rsidP="00017549">
            <w:pPr>
              <w:pStyle w:val="TableBullet"/>
              <w:numPr>
                <w:ilvl w:val="0"/>
                <w:numId w:val="0"/>
              </w:numPr>
              <w:ind w:left="360" w:hanging="360"/>
              <w:rPr>
                <w:rFonts w:eastAsia="Calibri"/>
              </w:rPr>
            </w:pPr>
            <w:r w:rsidRPr="00EA6442">
              <w:rPr>
                <w:i/>
                <w:iCs/>
              </w:rPr>
              <w:t>Intentionally blank</w:t>
            </w:r>
          </w:p>
        </w:tc>
      </w:tr>
      <w:tr w:rsidR="00017549" w:rsidRPr="00F51AC1" w14:paraId="7ECAAC9D" w14:textId="77777777" w:rsidTr="00017549">
        <w:tc>
          <w:tcPr>
            <w:tcW w:w="5665" w:type="dxa"/>
          </w:tcPr>
          <w:p w14:paraId="2680B6B8" w14:textId="77777777" w:rsidR="00017549" w:rsidRPr="00F51AC1" w:rsidRDefault="00017549" w:rsidP="00017549">
            <w:pPr>
              <w:pStyle w:val="TableText"/>
              <w:rPr>
                <w:highlight w:val="yellow"/>
              </w:rPr>
            </w:pPr>
            <w:r w:rsidRPr="00F51AC1">
              <w:t>Justification provided by agency for critical endpoint</w:t>
            </w:r>
          </w:p>
        </w:tc>
        <w:tc>
          <w:tcPr>
            <w:tcW w:w="3402" w:type="dxa"/>
          </w:tcPr>
          <w:p w14:paraId="32EE65F8" w14:textId="2D51E3B6" w:rsidR="00017549" w:rsidRPr="00F51AC1" w:rsidRDefault="00017549" w:rsidP="00017549">
            <w:pPr>
              <w:pStyle w:val="TableText"/>
            </w:pPr>
            <w:r w:rsidRPr="00EA6442">
              <w:rPr>
                <w:i/>
                <w:iCs/>
              </w:rPr>
              <w:t>Intentionally blank</w:t>
            </w:r>
          </w:p>
        </w:tc>
      </w:tr>
      <w:tr w:rsidR="00017549" w:rsidRPr="00F51AC1" w14:paraId="146695A2" w14:textId="77777777" w:rsidTr="00017549">
        <w:tc>
          <w:tcPr>
            <w:tcW w:w="5665" w:type="dxa"/>
          </w:tcPr>
          <w:p w14:paraId="404CF4DA" w14:textId="77777777" w:rsidR="00017549" w:rsidRPr="00F51AC1" w:rsidRDefault="00017549" w:rsidP="00017549">
            <w:pPr>
              <w:pStyle w:val="TableText"/>
            </w:pPr>
            <w:r w:rsidRPr="003932B7">
              <w:t>Other adverse health effects considered (not selected as critical)</w:t>
            </w:r>
          </w:p>
        </w:tc>
        <w:tc>
          <w:tcPr>
            <w:tcW w:w="3402" w:type="dxa"/>
          </w:tcPr>
          <w:p w14:paraId="635A25BC" w14:textId="399984F9" w:rsidR="00017549" w:rsidRPr="003932B7" w:rsidRDefault="00017549" w:rsidP="00017549">
            <w:pPr>
              <w:pStyle w:val="TableText"/>
            </w:pPr>
            <w:r w:rsidRPr="00EA6442">
              <w:rPr>
                <w:i/>
                <w:iCs/>
              </w:rPr>
              <w:t>Intentionally blank</w:t>
            </w:r>
          </w:p>
        </w:tc>
      </w:tr>
      <w:tr w:rsidR="00017549" w:rsidRPr="00F51AC1" w14:paraId="5D6D69CF" w14:textId="77777777" w:rsidTr="00017549">
        <w:trPr>
          <w:trHeight w:val="356"/>
        </w:trPr>
        <w:tc>
          <w:tcPr>
            <w:tcW w:w="5665" w:type="dxa"/>
          </w:tcPr>
          <w:p w14:paraId="3E8736C0" w14:textId="3BF757D0" w:rsidR="00017549" w:rsidRPr="00017549" w:rsidRDefault="00017549" w:rsidP="00017549">
            <w:pPr>
              <w:pStyle w:val="TableText"/>
            </w:pPr>
            <w:r w:rsidRPr="00F51AC1">
              <w:t>Critical study(ies) underpinning point of departure</w:t>
            </w:r>
          </w:p>
        </w:tc>
        <w:tc>
          <w:tcPr>
            <w:tcW w:w="3402" w:type="dxa"/>
          </w:tcPr>
          <w:p w14:paraId="644C47DA" w14:textId="518F25B7" w:rsidR="00017549" w:rsidRPr="00F51AC1" w:rsidRDefault="00017549" w:rsidP="00017549">
            <w:pPr>
              <w:pStyle w:val="TableText"/>
            </w:pPr>
            <w:r w:rsidRPr="00EA6442">
              <w:rPr>
                <w:i/>
                <w:iCs/>
              </w:rPr>
              <w:t>Intentionally blank</w:t>
            </w:r>
          </w:p>
        </w:tc>
      </w:tr>
      <w:tr w:rsidR="00017549" w:rsidRPr="00F51AC1" w14:paraId="61CD9987" w14:textId="77777777" w:rsidTr="00017549">
        <w:tc>
          <w:tcPr>
            <w:tcW w:w="5665" w:type="dxa"/>
          </w:tcPr>
          <w:p w14:paraId="49810E74" w14:textId="77777777" w:rsidR="00017549" w:rsidRPr="00F51AC1" w:rsidRDefault="00017549" w:rsidP="00017549">
            <w:pPr>
              <w:pStyle w:val="TableText"/>
            </w:pPr>
            <w:r w:rsidRPr="00F51AC1">
              <w:t>Species for critical study(ies)</w:t>
            </w:r>
          </w:p>
        </w:tc>
        <w:tc>
          <w:tcPr>
            <w:tcW w:w="3402" w:type="dxa"/>
          </w:tcPr>
          <w:p w14:paraId="77145353" w14:textId="7BA6AE7A" w:rsidR="00017549" w:rsidRPr="00F51AC1" w:rsidRDefault="00017549" w:rsidP="00017549">
            <w:pPr>
              <w:pStyle w:val="TableText"/>
            </w:pPr>
            <w:r w:rsidRPr="00EA6442">
              <w:rPr>
                <w:i/>
                <w:iCs/>
              </w:rPr>
              <w:t>Intentionally blank</w:t>
            </w:r>
          </w:p>
        </w:tc>
      </w:tr>
      <w:tr w:rsidR="00017549" w:rsidRPr="00F51AC1" w14:paraId="41165E42" w14:textId="77777777" w:rsidTr="00017549">
        <w:tc>
          <w:tcPr>
            <w:tcW w:w="5665" w:type="dxa"/>
          </w:tcPr>
          <w:p w14:paraId="2787ABFB" w14:textId="77777777" w:rsidR="00017549" w:rsidRPr="00F51AC1" w:rsidRDefault="00017549" w:rsidP="00017549">
            <w:pPr>
              <w:pStyle w:val="TableText"/>
              <w:rPr>
                <w:highlight w:val="yellow"/>
              </w:rPr>
            </w:pPr>
            <w:r w:rsidRPr="00F51AC1">
              <w:t xml:space="preserve">Point of departure type </w:t>
            </w:r>
          </w:p>
        </w:tc>
        <w:tc>
          <w:tcPr>
            <w:tcW w:w="3402" w:type="dxa"/>
          </w:tcPr>
          <w:p w14:paraId="1ADD9128" w14:textId="448065B9" w:rsidR="00017549" w:rsidRPr="00F51AC1" w:rsidRDefault="00017549" w:rsidP="00017549">
            <w:pPr>
              <w:pStyle w:val="TableText"/>
              <w:rPr>
                <w:highlight w:val="yellow"/>
              </w:rPr>
            </w:pPr>
            <w:r w:rsidRPr="00EA6442">
              <w:rPr>
                <w:i/>
                <w:iCs/>
              </w:rPr>
              <w:t>Intentionally blank</w:t>
            </w:r>
          </w:p>
        </w:tc>
      </w:tr>
      <w:tr w:rsidR="00017549" w:rsidRPr="00F51AC1" w14:paraId="5B81849C" w14:textId="77777777" w:rsidTr="00017549">
        <w:tc>
          <w:tcPr>
            <w:tcW w:w="5665" w:type="dxa"/>
          </w:tcPr>
          <w:p w14:paraId="122AE2B2" w14:textId="77777777" w:rsidR="00017549" w:rsidRPr="00F51AC1" w:rsidRDefault="00017549" w:rsidP="00017549">
            <w:pPr>
              <w:pStyle w:val="TableText"/>
              <w:rPr>
                <w:highlight w:val="yellow"/>
              </w:rPr>
            </w:pPr>
            <w:r w:rsidRPr="00F51AC1">
              <w:t>Point of departure value (include units)</w:t>
            </w:r>
          </w:p>
        </w:tc>
        <w:tc>
          <w:tcPr>
            <w:tcW w:w="3402" w:type="dxa"/>
          </w:tcPr>
          <w:p w14:paraId="12477C8A" w14:textId="0CCB3729" w:rsidR="00017549" w:rsidRPr="00F51AC1" w:rsidRDefault="00017549" w:rsidP="00017549">
            <w:pPr>
              <w:pStyle w:val="TableText"/>
            </w:pPr>
            <w:r w:rsidRPr="00EA6442">
              <w:rPr>
                <w:i/>
                <w:iCs/>
              </w:rPr>
              <w:t>Intentionally blank</w:t>
            </w:r>
          </w:p>
        </w:tc>
      </w:tr>
      <w:tr w:rsidR="00017549" w:rsidRPr="00F51AC1" w14:paraId="596E6DE5" w14:textId="77777777" w:rsidTr="00017549">
        <w:tc>
          <w:tcPr>
            <w:tcW w:w="5665" w:type="dxa"/>
          </w:tcPr>
          <w:p w14:paraId="12C943A5" w14:textId="77777777" w:rsidR="00017549" w:rsidRPr="00F51AC1" w:rsidRDefault="00017549" w:rsidP="00017549">
            <w:pPr>
              <w:pStyle w:val="TableText"/>
            </w:pPr>
            <w:r w:rsidRPr="00F51AC1">
              <w:t>Uncertainty factor(s) &amp; rationale</w:t>
            </w:r>
          </w:p>
        </w:tc>
        <w:tc>
          <w:tcPr>
            <w:tcW w:w="3402" w:type="dxa"/>
          </w:tcPr>
          <w:p w14:paraId="4E34C4CB" w14:textId="6B0FE846" w:rsidR="00017549" w:rsidRPr="00F51AC1" w:rsidRDefault="00017549" w:rsidP="00017549">
            <w:pPr>
              <w:pStyle w:val="TableText"/>
            </w:pPr>
            <w:r w:rsidRPr="00EA6442">
              <w:rPr>
                <w:i/>
                <w:iCs/>
              </w:rPr>
              <w:t>Intentionally blank</w:t>
            </w:r>
          </w:p>
        </w:tc>
      </w:tr>
      <w:tr w:rsidR="00017549" w:rsidRPr="00F51AC1" w14:paraId="2073EBFA" w14:textId="77777777" w:rsidTr="00017549">
        <w:tc>
          <w:tcPr>
            <w:tcW w:w="5665" w:type="dxa"/>
          </w:tcPr>
          <w:p w14:paraId="7C7AD556" w14:textId="77777777" w:rsidR="00017549" w:rsidRPr="00F51AC1" w:rsidRDefault="00017549" w:rsidP="00017549">
            <w:pPr>
              <w:pStyle w:val="TableText"/>
            </w:pPr>
            <w:r w:rsidRPr="00F51AC1">
              <w:t>The derivation</w:t>
            </w:r>
            <w:r>
              <w:t xml:space="preserve"> (human)</w:t>
            </w:r>
          </w:p>
        </w:tc>
        <w:tc>
          <w:tcPr>
            <w:tcW w:w="3402" w:type="dxa"/>
          </w:tcPr>
          <w:p w14:paraId="0F573AB5" w14:textId="5C4EB11A" w:rsidR="00017549" w:rsidRPr="00F51AC1" w:rsidRDefault="00017549" w:rsidP="00017549">
            <w:pPr>
              <w:pStyle w:val="TableText"/>
            </w:pPr>
            <w:r w:rsidRPr="00EA6442">
              <w:rPr>
                <w:i/>
                <w:iCs/>
              </w:rPr>
              <w:t>Intentionally blank</w:t>
            </w:r>
          </w:p>
        </w:tc>
      </w:tr>
      <w:tr w:rsidR="00017549" w:rsidRPr="00F51AC1" w14:paraId="6198E813" w14:textId="77777777" w:rsidTr="00017549">
        <w:tc>
          <w:tcPr>
            <w:tcW w:w="5665" w:type="dxa"/>
          </w:tcPr>
          <w:p w14:paraId="1A308E78" w14:textId="77777777" w:rsidR="00017549" w:rsidRPr="00F51AC1" w:rsidRDefault="00017549" w:rsidP="00017549">
            <w:pPr>
              <w:pStyle w:val="TableText"/>
            </w:pPr>
            <w:r>
              <w:t>The derivation (animal)</w:t>
            </w:r>
          </w:p>
        </w:tc>
        <w:tc>
          <w:tcPr>
            <w:tcW w:w="3402" w:type="dxa"/>
          </w:tcPr>
          <w:p w14:paraId="5FFC0000" w14:textId="51ED0D08" w:rsidR="00017549" w:rsidRPr="003932B7" w:rsidRDefault="00017549" w:rsidP="00017549">
            <w:pPr>
              <w:pStyle w:val="TableText"/>
            </w:pPr>
            <w:r w:rsidRPr="00EA6442">
              <w:rPr>
                <w:i/>
                <w:iCs/>
              </w:rPr>
              <w:t>Intentionally blank</w:t>
            </w:r>
          </w:p>
        </w:tc>
      </w:tr>
      <w:tr w:rsidR="00017549" w:rsidRPr="00F51AC1" w14:paraId="3B31FB53" w14:textId="77777777" w:rsidTr="00017549">
        <w:tc>
          <w:tcPr>
            <w:tcW w:w="5665" w:type="dxa"/>
          </w:tcPr>
          <w:p w14:paraId="420C0635" w14:textId="77777777" w:rsidR="00017549" w:rsidRDefault="00017549" w:rsidP="00017549">
            <w:pPr>
              <w:pStyle w:val="TableText"/>
            </w:pPr>
            <w:r>
              <w:t>Guidance value type</w:t>
            </w:r>
          </w:p>
        </w:tc>
        <w:tc>
          <w:tcPr>
            <w:tcW w:w="3402" w:type="dxa"/>
          </w:tcPr>
          <w:p w14:paraId="6256E8E8" w14:textId="0E19DCE7" w:rsidR="00017549" w:rsidRPr="003932B7" w:rsidRDefault="00017549" w:rsidP="00017549">
            <w:pPr>
              <w:pStyle w:val="TableText"/>
            </w:pPr>
            <w:r w:rsidRPr="00EA6442">
              <w:rPr>
                <w:i/>
                <w:iCs/>
              </w:rPr>
              <w:t>Intentionally blank</w:t>
            </w:r>
          </w:p>
        </w:tc>
      </w:tr>
      <w:tr w:rsidR="00017549" w:rsidRPr="00F51AC1" w14:paraId="20AABA3B" w14:textId="77777777" w:rsidTr="00017549">
        <w:tc>
          <w:tcPr>
            <w:tcW w:w="5665" w:type="dxa"/>
          </w:tcPr>
          <w:p w14:paraId="07838057" w14:textId="77777777" w:rsidR="00017549" w:rsidRPr="00F51AC1" w:rsidRDefault="00017549" w:rsidP="00017549">
            <w:pPr>
              <w:pStyle w:val="TableText"/>
              <w:rPr>
                <w:highlight w:val="yellow"/>
              </w:rPr>
            </w:pPr>
            <w:r w:rsidRPr="00F51AC1">
              <w:t>Guidance value (include units)</w:t>
            </w:r>
          </w:p>
        </w:tc>
        <w:tc>
          <w:tcPr>
            <w:tcW w:w="3402" w:type="dxa"/>
          </w:tcPr>
          <w:p w14:paraId="16D5BC6F" w14:textId="113C3A1A" w:rsidR="00017549" w:rsidRPr="003932B7" w:rsidRDefault="00017549" w:rsidP="00017549">
            <w:pPr>
              <w:pStyle w:val="TableText"/>
              <w:rPr>
                <w:highlight w:val="yellow"/>
              </w:rPr>
            </w:pPr>
            <w:r w:rsidRPr="00EA6442">
              <w:rPr>
                <w:i/>
                <w:iCs/>
              </w:rPr>
              <w:t>Intentionally blank</w:t>
            </w:r>
          </w:p>
        </w:tc>
      </w:tr>
      <w:tr w:rsidR="00017549" w:rsidRPr="00F51AC1" w14:paraId="730FAEB4" w14:textId="77777777" w:rsidTr="00017549">
        <w:tc>
          <w:tcPr>
            <w:tcW w:w="5665" w:type="dxa"/>
          </w:tcPr>
          <w:p w14:paraId="50B71CFC" w14:textId="77777777" w:rsidR="00017549" w:rsidRPr="00F51AC1" w:rsidRDefault="00017549" w:rsidP="00017549">
            <w:pPr>
              <w:pStyle w:val="TableText"/>
              <w:rPr>
                <w:highlight w:val="yellow"/>
              </w:rPr>
            </w:pPr>
            <w:r w:rsidRPr="00F51AC1">
              <w:t>Mode of action for critical health endpoint</w:t>
            </w:r>
          </w:p>
        </w:tc>
        <w:tc>
          <w:tcPr>
            <w:tcW w:w="3402" w:type="dxa"/>
          </w:tcPr>
          <w:p w14:paraId="1BDFC831" w14:textId="4E8DA30E" w:rsidR="00017549" w:rsidRPr="00F51AC1" w:rsidRDefault="00017549" w:rsidP="00017549">
            <w:pPr>
              <w:pStyle w:val="TableText"/>
              <w:rPr>
                <w:highlight w:val="yellow"/>
              </w:rPr>
            </w:pPr>
            <w:r w:rsidRPr="00EA6442">
              <w:rPr>
                <w:i/>
                <w:iCs/>
              </w:rPr>
              <w:t>Intentionally blank</w:t>
            </w:r>
          </w:p>
        </w:tc>
      </w:tr>
      <w:tr w:rsidR="00017549" w:rsidRPr="00F51AC1" w14:paraId="27E3F77E" w14:textId="77777777" w:rsidTr="00017549">
        <w:tc>
          <w:tcPr>
            <w:tcW w:w="5665" w:type="dxa"/>
          </w:tcPr>
          <w:p w14:paraId="3BAE245B" w14:textId="77777777" w:rsidR="00017549" w:rsidRPr="00F51AC1" w:rsidRDefault="00017549" w:rsidP="00017549">
            <w:pPr>
              <w:pStyle w:val="TableText"/>
            </w:pPr>
            <w:r w:rsidRPr="00F51AC1">
              <w:t>Genotoxic oral carcinogen?</w:t>
            </w:r>
          </w:p>
        </w:tc>
        <w:tc>
          <w:tcPr>
            <w:tcW w:w="3402" w:type="dxa"/>
          </w:tcPr>
          <w:p w14:paraId="22B57F5E" w14:textId="2AB51EFD" w:rsidR="00017549" w:rsidRPr="00F51AC1" w:rsidRDefault="00017549" w:rsidP="00017549">
            <w:pPr>
              <w:pStyle w:val="TableText"/>
            </w:pPr>
            <w:r w:rsidRPr="00EA6442">
              <w:rPr>
                <w:i/>
                <w:iCs/>
              </w:rPr>
              <w:t>Intentionally blank</w:t>
            </w:r>
          </w:p>
        </w:tc>
      </w:tr>
      <w:tr w:rsidR="00017549" w:rsidRPr="00F51AC1" w14:paraId="14974847" w14:textId="77777777" w:rsidTr="00017549">
        <w:tc>
          <w:tcPr>
            <w:tcW w:w="5665" w:type="dxa"/>
          </w:tcPr>
          <w:p w14:paraId="6F9A550B" w14:textId="77777777" w:rsidR="00017549" w:rsidRPr="00F51AC1" w:rsidRDefault="00017549" w:rsidP="00017549">
            <w:pPr>
              <w:pStyle w:val="TableText"/>
            </w:pPr>
            <w:r w:rsidRPr="00F51AC1">
              <w:lastRenderedPageBreak/>
              <w:t>Identified sensitive sub-populations</w:t>
            </w:r>
          </w:p>
        </w:tc>
        <w:tc>
          <w:tcPr>
            <w:tcW w:w="3402" w:type="dxa"/>
          </w:tcPr>
          <w:p w14:paraId="0EBD70A6" w14:textId="01728DA8" w:rsidR="00017549" w:rsidRPr="00F51AC1" w:rsidRDefault="00017549" w:rsidP="00017549">
            <w:pPr>
              <w:pStyle w:val="TableText"/>
            </w:pPr>
            <w:r w:rsidRPr="00EA6442">
              <w:rPr>
                <w:i/>
                <w:iCs/>
              </w:rPr>
              <w:t>Intentionally blank</w:t>
            </w:r>
          </w:p>
        </w:tc>
      </w:tr>
      <w:tr w:rsidR="00017549" w:rsidRPr="00F51AC1" w14:paraId="6DD09AAB" w14:textId="77777777" w:rsidTr="00017549">
        <w:tc>
          <w:tcPr>
            <w:tcW w:w="5665" w:type="dxa"/>
          </w:tcPr>
          <w:p w14:paraId="0ABC9992" w14:textId="77777777" w:rsidR="00017549" w:rsidRPr="00F51AC1" w:rsidRDefault="00017549" w:rsidP="00017549">
            <w:pPr>
              <w:pStyle w:val="TableText"/>
            </w:pPr>
            <w:r w:rsidRPr="003932B7">
              <w:t>Dose–response characterisation</w:t>
            </w:r>
          </w:p>
        </w:tc>
        <w:tc>
          <w:tcPr>
            <w:tcW w:w="3402" w:type="dxa"/>
          </w:tcPr>
          <w:p w14:paraId="005C3E59" w14:textId="22B10CEC" w:rsidR="00017549" w:rsidRPr="003932B7" w:rsidRDefault="00017549" w:rsidP="00017549">
            <w:pPr>
              <w:pStyle w:val="TableText"/>
            </w:pPr>
            <w:r w:rsidRPr="00EA6442">
              <w:rPr>
                <w:i/>
                <w:iCs/>
              </w:rPr>
              <w:t>Intentionally blank</w:t>
            </w:r>
          </w:p>
        </w:tc>
      </w:tr>
      <w:tr w:rsidR="00017549" w:rsidRPr="00F51AC1" w14:paraId="079AF72A" w14:textId="77777777" w:rsidTr="00017549">
        <w:tc>
          <w:tcPr>
            <w:tcW w:w="5665" w:type="dxa"/>
          </w:tcPr>
          <w:p w14:paraId="76CA971E" w14:textId="77777777" w:rsidR="00017549" w:rsidRPr="003932B7" w:rsidRDefault="00017549" w:rsidP="00017549">
            <w:pPr>
              <w:pStyle w:val="TableText"/>
            </w:pPr>
            <w:r w:rsidRPr="003932B7">
              <w:t>Recommendations for future research</w:t>
            </w:r>
          </w:p>
        </w:tc>
        <w:tc>
          <w:tcPr>
            <w:tcW w:w="3402" w:type="dxa"/>
          </w:tcPr>
          <w:p w14:paraId="55145202" w14:textId="7D49779F" w:rsidR="00017549" w:rsidRPr="003932B7" w:rsidRDefault="00017549" w:rsidP="00017549">
            <w:pPr>
              <w:pStyle w:val="TableText"/>
            </w:pPr>
            <w:r w:rsidRPr="00EA6442">
              <w:rPr>
                <w:i/>
                <w:iCs/>
              </w:rPr>
              <w:t>Intentionally blank</w:t>
            </w:r>
          </w:p>
        </w:tc>
      </w:tr>
      <w:tr w:rsidR="00017549" w:rsidRPr="00F51AC1" w14:paraId="3DE3C847" w14:textId="77777777" w:rsidTr="00017549">
        <w:tc>
          <w:tcPr>
            <w:tcW w:w="5665" w:type="dxa"/>
          </w:tcPr>
          <w:p w14:paraId="5F08B0F7" w14:textId="77777777" w:rsidR="00017549" w:rsidRPr="00F51AC1" w:rsidRDefault="00017549" w:rsidP="00017549">
            <w:pPr>
              <w:pStyle w:val="TableText"/>
            </w:pPr>
            <w:r w:rsidRPr="00F51AC1">
              <w:t>Any non-health-based considerations?</w:t>
            </w:r>
          </w:p>
        </w:tc>
        <w:tc>
          <w:tcPr>
            <w:tcW w:w="3402" w:type="dxa"/>
          </w:tcPr>
          <w:p w14:paraId="6B79E219" w14:textId="067F1BD1" w:rsidR="00017549" w:rsidRPr="00F51AC1" w:rsidRDefault="00017549" w:rsidP="00017549">
            <w:pPr>
              <w:pStyle w:val="TableText"/>
            </w:pPr>
            <w:r w:rsidRPr="00EA6442">
              <w:rPr>
                <w:i/>
                <w:iCs/>
              </w:rPr>
              <w:t>Intentionally blank</w:t>
            </w:r>
          </w:p>
        </w:tc>
      </w:tr>
    </w:tbl>
    <w:bookmarkEnd w:id="22"/>
    <w:p w14:paraId="73EC5EFF" w14:textId="6DC6E46D" w:rsidR="00767956" w:rsidRDefault="00767956" w:rsidP="00767956">
      <w:pPr>
        <w:pStyle w:val="Heading5"/>
      </w:pPr>
      <w:r>
        <w:t>Data summary/synthesis</w:t>
      </w:r>
    </w:p>
    <w:p w14:paraId="3FA7ABC4" w14:textId="2EC52BA6" w:rsidR="00767956" w:rsidRDefault="005021AB" w:rsidP="00767956">
      <w:pPr>
        <w:pStyle w:val="BodyText"/>
      </w:pPr>
      <w:r w:rsidRPr="005021AB">
        <w:t>Extracted data from existing guidance documents have been presented in tabular format for each research question</w:t>
      </w:r>
      <w:r w:rsidR="00767956">
        <w:t xml:space="preserve">. </w:t>
      </w:r>
    </w:p>
    <w:p w14:paraId="2F952A1D" w14:textId="71C4E24D" w:rsidR="005021AB" w:rsidRDefault="005021AB" w:rsidP="00767956">
      <w:pPr>
        <w:pStyle w:val="BodyText"/>
      </w:pPr>
      <w:r w:rsidRPr="005021AB">
        <w:t xml:space="preserve">The methodological credibility of existing guidance was assessed using the criteria in Appendix B of the Research Protocol (completed assessment tables in </w:t>
      </w:r>
      <w:r w:rsidRPr="005021AB">
        <w:rPr>
          <w:b/>
          <w:bCs/>
        </w:rPr>
        <w:t>Appendix C</w:t>
      </w:r>
      <w:r w:rsidRPr="005021AB">
        <w:t>). Where guidance documents met at least 80% of "must have" and "should have" criteria, their findings and underlying evidence assessments were used to inform the review directly. Where limitations were identified, additional interrogation of key primary studies was undertaken as appropriate.</w:t>
      </w:r>
    </w:p>
    <w:p w14:paraId="1E755007" w14:textId="016899D9" w:rsidR="00767956" w:rsidRDefault="00767956" w:rsidP="00767956">
      <w:pPr>
        <w:pStyle w:val="Heading2"/>
      </w:pPr>
      <w:bookmarkStart w:id="23" w:name="_Toc233022857"/>
      <w:r>
        <w:t xml:space="preserve">Evidence </w:t>
      </w:r>
      <w:r w:rsidR="00421BA5">
        <w:t>Review</w:t>
      </w:r>
      <w:r>
        <w:t xml:space="preserve"> for recent studies</w:t>
      </w:r>
      <w:bookmarkEnd w:id="23"/>
      <w:r>
        <w:t xml:space="preserve"> </w:t>
      </w:r>
    </w:p>
    <w:p w14:paraId="158BDD82" w14:textId="77777777" w:rsidR="00767956" w:rsidRDefault="00767956" w:rsidP="00767956">
      <w:pPr>
        <w:pStyle w:val="Heading5"/>
      </w:pPr>
      <w:r>
        <w:t>Literature search strategy</w:t>
      </w:r>
    </w:p>
    <w:p w14:paraId="3DADD717" w14:textId="30758636" w:rsidR="00F54466" w:rsidRDefault="00F54466" w:rsidP="00767956">
      <w:pPr>
        <w:pStyle w:val="BodyText"/>
      </w:pPr>
      <w:r w:rsidRPr="00F54466">
        <w:t xml:space="preserve">An evidence scan of recent literature was undertaken to identify primary studies published since the most recent credible existing guidance review, with a focus on evidence that may warrant updating, qualifying or further interrogating the findings underpinning available guidance values for vitamin B6. The search focused on studies published from 2022 onwards, consistent with the cut-off applied in the Research Protocol and aligned with the evidence search underpinning the EFSA (2023) Scientific Opinion. </w:t>
      </w:r>
      <w:r w:rsidRPr="00B53418">
        <w:t>Earlier studies were included where identified through backward citation searching and considered pivotal to understanding the basis of existing guidance values.</w:t>
      </w:r>
      <w:r w:rsidRPr="00F54466">
        <w:t xml:space="preserve"> The aim of the evidence scan was to determine whether new evidence materially affects the conclusions of existing guidance or introduces considerations not addressed in prior assessments.</w:t>
      </w:r>
    </w:p>
    <w:p w14:paraId="15D7D007" w14:textId="4EC14036" w:rsidR="00767956" w:rsidRDefault="00767956" w:rsidP="00767956">
      <w:pPr>
        <w:pStyle w:val="BodyText"/>
      </w:pPr>
      <w:r>
        <w:t xml:space="preserve">The literature search strategy </w:t>
      </w:r>
      <w:r w:rsidR="00F54466" w:rsidRPr="00F54466">
        <w:t xml:space="preserve">for the evidence </w:t>
      </w:r>
      <w:r w:rsidR="00F54466">
        <w:t>review</w:t>
      </w:r>
      <w:r w:rsidR="00F54466" w:rsidRPr="00F54466">
        <w:t xml:space="preserve"> of recent primary studies is summarised in</w:t>
      </w:r>
      <w:r>
        <w:t xml:space="preserve"> </w:t>
      </w:r>
      <w:r w:rsidR="00EE1DFF" w:rsidRPr="00EE1DFF">
        <w:rPr>
          <w:b/>
          <w:bCs/>
        </w:rPr>
        <w:fldChar w:fldCharType="begin"/>
      </w:r>
      <w:r w:rsidR="00EE1DFF" w:rsidRPr="00EE1DFF">
        <w:rPr>
          <w:b/>
          <w:bCs/>
        </w:rPr>
        <w:instrText xml:space="preserve"> REF _Ref219296236 \h </w:instrText>
      </w:r>
      <w:r w:rsidR="00EE1DFF">
        <w:rPr>
          <w:b/>
          <w:bCs/>
        </w:rPr>
        <w:instrText xml:space="preserve"> \* MERGEFORMAT </w:instrText>
      </w:r>
      <w:r w:rsidR="00EE1DFF" w:rsidRPr="00EE1DFF">
        <w:rPr>
          <w:b/>
          <w:bCs/>
        </w:rPr>
      </w:r>
      <w:r w:rsidR="00EE1DFF" w:rsidRPr="00EE1DFF">
        <w:rPr>
          <w:b/>
          <w:bCs/>
        </w:rPr>
        <w:fldChar w:fldCharType="separate"/>
      </w:r>
      <w:r w:rsidR="00A41FEF" w:rsidRPr="00A41FEF">
        <w:rPr>
          <w:b/>
          <w:bCs/>
        </w:rPr>
        <w:t xml:space="preserve">Table </w:t>
      </w:r>
      <w:r w:rsidR="00A41FEF" w:rsidRPr="00A41FEF">
        <w:rPr>
          <w:b/>
          <w:bCs/>
          <w:noProof/>
        </w:rPr>
        <w:t>4</w:t>
      </w:r>
      <w:r w:rsidR="00EE1DFF" w:rsidRPr="00EE1DFF">
        <w:rPr>
          <w:b/>
          <w:bCs/>
        </w:rPr>
        <w:fldChar w:fldCharType="end"/>
      </w:r>
      <w:r w:rsidR="00EE1DFF">
        <w:t xml:space="preserve"> </w:t>
      </w:r>
      <w:r>
        <w:t>below.</w:t>
      </w:r>
    </w:p>
    <w:p w14:paraId="2D573C44" w14:textId="017B9205" w:rsidR="00767956" w:rsidRDefault="00EE1DFF" w:rsidP="00EE1DFF">
      <w:pPr>
        <w:pStyle w:val="Caption"/>
      </w:pPr>
      <w:bookmarkStart w:id="24" w:name="_Ref219296236"/>
      <w:bookmarkStart w:id="25" w:name="_Toc233022871"/>
      <w:r>
        <w:t xml:space="preserve">Table </w:t>
      </w:r>
      <w:r w:rsidR="00D90030">
        <w:fldChar w:fldCharType="begin"/>
      </w:r>
      <w:r w:rsidR="00D90030">
        <w:instrText xml:space="preserve"> SEQ Table \* ARABIC </w:instrText>
      </w:r>
      <w:r w:rsidR="00D90030">
        <w:fldChar w:fldCharType="separate"/>
      </w:r>
      <w:r w:rsidR="00A41FEF">
        <w:rPr>
          <w:noProof/>
        </w:rPr>
        <w:t>4</w:t>
      </w:r>
      <w:r w:rsidR="00D90030">
        <w:fldChar w:fldCharType="end"/>
      </w:r>
      <w:bookmarkEnd w:id="24"/>
      <w:r w:rsidR="00767956">
        <w:tab/>
      </w:r>
      <w:r w:rsidR="00767956" w:rsidRPr="00767956">
        <w:t xml:space="preserve">Search strategy for evidence </w:t>
      </w:r>
      <w:r w:rsidR="00BE1FFA">
        <w:t>review</w:t>
      </w:r>
      <w:r w:rsidR="00767956" w:rsidRPr="00767956">
        <w:t xml:space="preserve"> of recent health-based studies</w:t>
      </w:r>
      <w:bookmarkEnd w:id="25"/>
    </w:p>
    <w:tbl>
      <w:tblPr>
        <w:tblStyle w:val="SLROption2"/>
        <w:tblW w:w="9067" w:type="dxa"/>
        <w:tblLook w:val="04A0" w:firstRow="1" w:lastRow="0" w:firstColumn="1" w:lastColumn="0" w:noHBand="0" w:noVBand="1"/>
      </w:tblPr>
      <w:tblGrid>
        <w:gridCol w:w="2571"/>
        <w:gridCol w:w="6496"/>
      </w:tblGrid>
      <w:tr w:rsidR="00767956" w:rsidRPr="00767956" w14:paraId="404F546E" w14:textId="77777777" w:rsidTr="00767956">
        <w:trPr>
          <w:cnfStyle w:val="100000000000" w:firstRow="1" w:lastRow="0" w:firstColumn="0" w:lastColumn="0" w:oddVBand="0" w:evenVBand="0" w:oddHBand="0" w:evenHBand="0" w:firstRowFirstColumn="0" w:firstRowLastColumn="0" w:lastRowFirstColumn="0" w:lastRowLastColumn="0"/>
        </w:trPr>
        <w:tc>
          <w:tcPr>
            <w:tcW w:w="2571" w:type="dxa"/>
          </w:tcPr>
          <w:p w14:paraId="6779691E" w14:textId="77777777" w:rsidR="00767956" w:rsidRPr="00767956" w:rsidRDefault="00767956" w:rsidP="00767956">
            <w:pPr>
              <w:pStyle w:val="TableHeading"/>
            </w:pPr>
            <w:r w:rsidRPr="00767956">
              <w:t>Parameter</w:t>
            </w:r>
          </w:p>
        </w:tc>
        <w:tc>
          <w:tcPr>
            <w:tcW w:w="6496" w:type="dxa"/>
          </w:tcPr>
          <w:p w14:paraId="37C29EB5" w14:textId="77777777" w:rsidR="00767956" w:rsidRPr="00767956" w:rsidRDefault="00767956" w:rsidP="00767956">
            <w:pPr>
              <w:pStyle w:val="TableHeading"/>
            </w:pPr>
            <w:r w:rsidRPr="00767956">
              <w:t>Comments</w:t>
            </w:r>
          </w:p>
        </w:tc>
      </w:tr>
      <w:tr w:rsidR="00767956" w:rsidRPr="00767956" w14:paraId="4E646324" w14:textId="77777777" w:rsidTr="00767956">
        <w:tc>
          <w:tcPr>
            <w:tcW w:w="2571" w:type="dxa"/>
          </w:tcPr>
          <w:p w14:paraId="3E66CF29" w14:textId="77777777" w:rsidR="00767956" w:rsidRPr="00767956" w:rsidRDefault="00767956" w:rsidP="00767956">
            <w:pPr>
              <w:pStyle w:val="TableText"/>
            </w:pPr>
            <w:r w:rsidRPr="00767956">
              <w:t>Search terms</w:t>
            </w:r>
          </w:p>
        </w:tc>
        <w:tc>
          <w:tcPr>
            <w:tcW w:w="6496" w:type="dxa"/>
          </w:tcPr>
          <w:p w14:paraId="368818F6" w14:textId="77777777" w:rsidR="002837F4" w:rsidRPr="002837F4" w:rsidRDefault="002837F4" w:rsidP="00F84245">
            <w:pPr>
              <w:numPr>
                <w:ilvl w:val="0"/>
                <w:numId w:val="22"/>
              </w:numPr>
              <w:spacing w:after="60" w:line="240" w:lineRule="atLeast"/>
              <w:rPr>
                <w:rFonts w:eastAsia="SimHei" w:cs="Arial"/>
                <w:color w:val="000000"/>
                <w:szCs w:val="18"/>
                <w:lang w:eastAsia="en-AU"/>
              </w:rPr>
            </w:pPr>
            <w:r w:rsidRPr="002837F4">
              <w:rPr>
                <w:rFonts w:eastAsia="SimHei" w:cs="Arial"/>
                <w:color w:val="000000"/>
                <w:szCs w:val="18"/>
                <w:lang w:eastAsia="en-AU"/>
              </w:rPr>
              <w:t>("Vitamin B 6"[MeSH] OR pyridoxine OR pyridoxal OR pyridoxamine) AND (toxicity OR peripheral neuropathy OR neurotoxicity)</w:t>
            </w:r>
          </w:p>
          <w:p w14:paraId="1E326385" w14:textId="77777777" w:rsidR="002837F4" w:rsidRPr="002837F4" w:rsidRDefault="002837F4" w:rsidP="00F84245">
            <w:pPr>
              <w:numPr>
                <w:ilvl w:val="0"/>
                <w:numId w:val="22"/>
              </w:numPr>
              <w:spacing w:after="60" w:line="240" w:lineRule="atLeast"/>
              <w:rPr>
                <w:rFonts w:eastAsia="SimHei" w:cs="Arial"/>
                <w:color w:val="000000"/>
                <w:szCs w:val="18"/>
                <w:lang w:eastAsia="en-AU"/>
              </w:rPr>
            </w:pPr>
            <w:r w:rsidRPr="002837F4">
              <w:rPr>
                <w:rFonts w:eastAsia="SimHei" w:cs="Arial"/>
                <w:color w:val="000000"/>
                <w:szCs w:val="18"/>
                <w:lang w:eastAsia="en-AU"/>
              </w:rPr>
              <w:t>("Vitamin B 6"[MeSH] OR pyridoxine OR pyridoxal OR pyridoxamine) AND (supplement* OR fortified food* OR intake)</w:t>
            </w:r>
          </w:p>
          <w:p w14:paraId="0E20AA1B" w14:textId="77777777" w:rsidR="002837F4" w:rsidRPr="002837F4" w:rsidRDefault="002837F4" w:rsidP="00F84245">
            <w:pPr>
              <w:numPr>
                <w:ilvl w:val="0"/>
                <w:numId w:val="22"/>
              </w:numPr>
              <w:spacing w:after="60" w:line="240" w:lineRule="atLeast"/>
              <w:rPr>
                <w:rFonts w:eastAsia="SimHei" w:cs="Arial"/>
                <w:color w:val="000000"/>
                <w:szCs w:val="18"/>
                <w:lang w:eastAsia="en-AU"/>
              </w:rPr>
            </w:pPr>
            <w:r w:rsidRPr="002837F4">
              <w:rPr>
                <w:rFonts w:eastAsia="SimHei" w:cs="Arial"/>
                <w:color w:val="000000"/>
                <w:szCs w:val="18"/>
                <w:lang w:eastAsia="en-AU"/>
              </w:rPr>
              <w:t>("Vitamin B 6"[MeSH] OR pyridoxine OR pyridoxal OR pyridoxamine) AND (adverse event* OR pharmacovigilance OR safety report*)</w:t>
            </w:r>
          </w:p>
          <w:p w14:paraId="162A778C" w14:textId="77777777" w:rsidR="002837F4" w:rsidRPr="002837F4" w:rsidRDefault="002837F4" w:rsidP="00F84245">
            <w:pPr>
              <w:numPr>
                <w:ilvl w:val="0"/>
                <w:numId w:val="22"/>
              </w:numPr>
              <w:spacing w:after="60" w:line="240" w:lineRule="atLeast"/>
              <w:rPr>
                <w:rFonts w:eastAsia="SimHei" w:cs="Arial"/>
                <w:color w:val="000000"/>
                <w:szCs w:val="18"/>
                <w:lang w:eastAsia="en-AU"/>
              </w:rPr>
            </w:pPr>
            <w:r w:rsidRPr="002837F4">
              <w:rPr>
                <w:rFonts w:eastAsia="SimHei" w:cs="Arial"/>
                <w:color w:val="000000"/>
                <w:szCs w:val="18"/>
                <w:lang w:eastAsia="en-AU"/>
              </w:rPr>
              <w:t>("Vitamin B 6"[MeSH]) AND (Australia OR "New Zealand")</w:t>
            </w:r>
          </w:p>
          <w:p w14:paraId="12D34756" w14:textId="7638F000" w:rsidR="00767956" w:rsidRPr="00F54466" w:rsidRDefault="002837F4" w:rsidP="002837F4">
            <w:pPr>
              <w:spacing w:after="60" w:line="240" w:lineRule="atLeast"/>
              <w:rPr>
                <w:rFonts w:cstheme="minorHAnsi"/>
              </w:rPr>
            </w:pPr>
            <w:r w:rsidRPr="002837F4">
              <w:rPr>
                <w:rFonts w:eastAsia="SimHei" w:cs="Arial"/>
                <w:color w:val="000000"/>
                <w:szCs w:val="18"/>
                <w:lang w:eastAsia="en-AU"/>
              </w:rPr>
              <w:lastRenderedPageBreak/>
              <w:t>Search terms may be refined depending on database functionality and record yield.</w:t>
            </w:r>
            <w:r w:rsidRPr="002837F4">
              <w:rPr>
                <w:rFonts w:eastAsia="SimHei" w:cs="Times New Roman"/>
                <w:color w:val="000000"/>
                <w:szCs w:val="18"/>
                <w:lang w:eastAsia="en-AU"/>
              </w:rPr>
              <w:t xml:space="preserve"> </w:t>
            </w:r>
            <w:r w:rsidRPr="002837F4">
              <w:rPr>
                <w:rFonts w:eastAsia="SimHei" w:cs="Arial"/>
                <w:color w:val="000000"/>
                <w:szCs w:val="18"/>
                <w:lang w:eastAsia="en-AU"/>
              </w:rPr>
              <w:t xml:space="preserve">The search terms above represent the core search strategy and will be adapted for each database (e.g. use of MeSH terms, truncation and field tags). They are intended to be reproducible search strategies, not just illustrative keywords. The terms may be refined based on the number and relevance of records retrieved. The proposed search terms are relatively broad and do not limit the search to specific population subgroups. Thus, additional population-specific search terms (e.g. “Aboriginal”, “Torres Strait Islander”, “Indigenous”, “Māori”) are not considered warranted.  </w:t>
            </w:r>
          </w:p>
        </w:tc>
      </w:tr>
      <w:tr w:rsidR="00767956" w:rsidRPr="00767956" w14:paraId="548919ED" w14:textId="77777777" w:rsidTr="00767956">
        <w:tc>
          <w:tcPr>
            <w:tcW w:w="2571" w:type="dxa"/>
          </w:tcPr>
          <w:p w14:paraId="7C3C3F0E" w14:textId="77777777" w:rsidR="00767956" w:rsidRPr="00767956" w:rsidRDefault="00767956" w:rsidP="00767956">
            <w:pPr>
              <w:pStyle w:val="TableText"/>
            </w:pPr>
            <w:r w:rsidRPr="00767956">
              <w:lastRenderedPageBreak/>
              <w:t>Databases</w:t>
            </w:r>
          </w:p>
        </w:tc>
        <w:tc>
          <w:tcPr>
            <w:tcW w:w="6496" w:type="dxa"/>
          </w:tcPr>
          <w:p w14:paraId="33CCD80C" w14:textId="18D93BB9" w:rsidR="00767956" w:rsidRPr="00767956" w:rsidRDefault="002837F4" w:rsidP="0062585D">
            <w:pPr>
              <w:pStyle w:val="TableBullet"/>
              <w:numPr>
                <w:ilvl w:val="0"/>
                <w:numId w:val="0"/>
              </w:numPr>
            </w:pPr>
            <w:r w:rsidRPr="002837F4">
              <w:t>MEDLINE/PubMed/TOXLINE; EMBASE; Scopus; SciFinder; Web of Science. Additional sources included reference lists of included guidance documents and key articles (backward citation searching) and articles citing key references (forward citation searching), using</w:t>
            </w:r>
            <w:r>
              <w:t xml:space="preserve"> </w:t>
            </w:r>
            <w:r w:rsidRPr="002837F4">
              <w:t>Semantic Scholar where appropriate. Key publications provided by NHMRC and the Vitamin B6 Expert Working Group were also considered.</w:t>
            </w:r>
          </w:p>
        </w:tc>
      </w:tr>
      <w:tr w:rsidR="00767956" w:rsidRPr="00767956" w14:paraId="287DCF0A" w14:textId="77777777" w:rsidTr="00767956">
        <w:tc>
          <w:tcPr>
            <w:tcW w:w="2571" w:type="dxa"/>
          </w:tcPr>
          <w:p w14:paraId="2AB48393" w14:textId="77777777" w:rsidR="00767956" w:rsidRPr="00767956" w:rsidRDefault="00767956" w:rsidP="00767956">
            <w:pPr>
              <w:pStyle w:val="TableText"/>
            </w:pPr>
            <w:r w:rsidRPr="00767956">
              <w:t>Publication Date</w:t>
            </w:r>
          </w:p>
        </w:tc>
        <w:tc>
          <w:tcPr>
            <w:tcW w:w="6496" w:type="dxa"/>
          </w:tcPr>
          <w:p w14:paraId="6A285626" w14:textId="2320386F" w:rsidR="00767956" w:rsidRPr="00767956" w:rsidRDefault="002837F4" w:rsidP="00767956">
            <w:pPr>
              <w:pStyle w:val="TableText"/>
            </w:pPr>
            <w:r w:rsidRPr="002837F4">
              <w:t>Primary focus on studies published from 2022 onwards, consistent with the Research Protocol and the evidence search underpinning EFSA (2023). Earlier studies were included where identified as pivotal through backward citation searching or where required to provide context for interpretation of existing guidance.</w:t>
            </w:r>
          </w:p>
        </w:tc>
      </w:tr>
      <w:tr w:rsidR="00767956" w:rsidRPr="00767956" w14:paraId="42A0A27F" w14:textId="77777777" w:rsidTr="00767956">
        <w:tc>
          <w:tcPr>
            <w:tcW w:w="2571" w:type="dxa"/>
          </w:tcPr>
          <w:p w14:paraId="7D7C874C" w14:textId="77777777" w:rsidR="00767956" w:rsidRPr="00767956" w:rsidRDefault="00767956" w:rsidP="00767956">
            <w:pPr>
              <w:pStyle w:val="TableText"/>
            </w:pPr>
            <w:r w:rsidRPr="00767956">
              <w:t>Language</w:t>
            </w:r>
          </w:p>
        </w:tc>
        <w:tc>
          <w:tcPr>
            <w:tcW w:w="6496" w:type="dxa"/>
          </w:tcPr>
          <w:p w14:paraId="2D5F788E" w14:textId="4C3C7B1F" w:rsidR="00767956" w:rsidRPr="00767956" w:rsidRDefault="002837F4" w:rsidP="00767956">
            <w:pPr>
              <w:pStyle w:val="TableText"/>
            </w:pPr>
            <w:r w:rsidRPr="002837F4">
              <w:t>English-language publications were prioritised. Studies in other languages were not systematically sought; however, relevant sources identified incidentally were considered where a translation was accessible.</w:t>
            </w:r>
          </w:p>
        </w:tc>
      </w:tr>
      <w:tr w:rsidR="00767956" w:rsidRPr="00767956" w14:paraId="60051CEC" w14:textId="77777777" w:rsidTr="00767956">
        <w:tc>
          <w:tcPr>
            <w:tcW w:w="2571" w:type="dxa"/>
          </w:tcPr>
          <w:p w14:paraId="2786C3D8" w14:textId="77777777" w:rsidR="00767956" w:rsidRPr="00767956" w:rsidRDefault="00767956" w:rsidP="00767956">
            <w:pPr>
              <w:pStyle w:val="TableText"/>
            </w:pPr>
            <w:r w:rsidRPr="00767956">
              <w:t>Study Type</w:t>
            </w:r>
          </w:p>
        </w:tc>
        <w:tc>
          <w:tcPr>
            <w:tcW w:w="6496" w:type="dxa"/>
          </w:tcPr>
          <w:p w14:paraId="33CD24AF" w14:textId="179EF724" w:rsidR="00767956" w:rsidRPr="00767956" w:rsidRDefault="002837F4" w:rsidP="00767956">
            <w:pPr>
              <w:pStyle w:val="TableText"/>
            </w:pPr>
            <w:r w:rsidRPr="002837F4">
              <w:t>All study designs were considered where they met the eligibility criteria and were relevant to the research questions. Priority was given to quantitative human studies with clearly defined exposure and outcome measures. Animal studies were considered where human data were limited in quantity or quality, or where they provided relevant supporting evidence for biological plausibility and interpretation. Qualitative studies, abstracts and conference proceedings were not a primary focus but were considered where they provided relevant contextual information.</w:t>
            </w:r>
          </w:p>
        </w:tc>
      </w:tr>
      <w:tr w:rsidR="00767956" w:rsidRPr="00767956" w14:paraId="5F12EBF9" w14:textId="77777777" w:rsidTr="00767956">
        <w:tc>
          <w:tcPr>
            <w:tcW w:w="2571" w:type="dxa"/>
          </w:tcPr>
          <w:p w14:paraId="3F337149" w14:textId="77777777" w:rsidR="00767956" w:rsidRPr="00767956" w:rsidRDefault="00767956" w:rsidP="00767956">
            <w:pPr>
              <w:pStyle w:val="TableText"/>
            </w:pPr>
            <w:r w:rsidRPr="00767956">
              <w:t>Inclusion and exclusion criteria</w:t>
            </w:r>
          </w:p>
        </w:tc>
        <w:tc>
          <w:tcPr>
            <w:tcW w:w="6496" w:type="dxa"/>
          </w:tcPr>
          <w:p w14:paraId="65FBC0C8" w14:textId="77777777" w:rsidR="002837F4" w:rsidRDefault="002837F4" w:rsidP="0017563C">
            <w:pPr>
              <w:pStyle w:val="TableBullet"/>
              <w:numPr>
                <w:ilvl w:val="0"/>
                <w:numId w:val="0"/>
              </w:numPr>
            </w:pPr>
            <w:r w:rsidRPr="002837F4">
              <w:t xml:space="preserve">Included: peer-reviewed published or in-press studies; publicly available unpublished studies (e.g., government reports, grey literature) where relevant to the research questions; studies reporting on adverse health effects associated with excess vitamin B6 intake in humans or animals; studies with clearly defined exposure (dose, duration and source) and outcome measures. </w:t>
            </w:r>
          </w:p>
          <w:p w14:paraId="2732B33D" w14:textId="22CE78C4" w:rsidR="00767956" w:rsidRPr="00767956" w:rsidRDefault="002837F4" w:rsidP="0017563C">
            <w:pPr>
              <w:pStyle w:val="TableBullet"/>
              <w:numPr>
                <w:ilvl w:val="0"/>
                <w:numId w:val="0"/>
              </w:numPr>
            </w:pPr>
            <w:r w:rsidRPr="002837F4">
              <w:t>Excluded: studies not reporting on vitamin B6 exposure or relevant health outcomes; in vitro studies (cell-based studies); studies lacking sufficient methodological detail to allow assessment; duplicate records. Studies conducted in populations with pre-existing neuropathy or predisposing conditions were not excluded a priori but were assessed for indirectness during evidence appraisal.</w:t>
            </w:r>
          </w:p>
        </w:tc>
      </w:tr>
      <w:tr w:rsidR="00767956" w:rsidRPr="00767956" w14:paraId="5EE3B0F3" w14:textId="77777777" w:rsidTr="00767956">
        <w:tc>
          <w:tcPr>
            <w:tcW w:w="2571" w:type="dxa"/>
          </w:tcPr>
          <w:p w14:paraId="73F38DDD" w14:textId="77777777" w:rsidR="00767956" w:rsidRPr="00767956" w:rsidRDefault="00767956" w:rsidP="00767956">
            <w:pPr>
              <w:pStyle w:val="TableText"/>
            </w:pPr>
            <w:r w:rsidRPr="00767956">
              <w:t xml:space="preserve">Validation methods used </w:t>
            </w:r>
          </w:p>
        </w:tc>
        <w:tc>
          <w:tcPr>
            <w:tcW w:w="6496" w:type="dxa"/>
          </w:tcPr>
          <w:p w14:paraId="61965264" w14:textId="39927BC7" w:rsidR="00767956" w:rsidRPr="00767956" w:rsidRDefault="002837F4" w:rsidP="00767956">
            <w:pPr>
              <w:pStyle w:val="TableText"/>
            </w:pPr>
            <w:r w:rsidRPr="002837F4">
              <w:t>Search results were checked against key known publications and regulatory documents identified during the guidance review to verify capture of expected references prior to full screening.</w:t>
            </w:r>
          </w:p>
        </w:tc>
      </w:tr>
      <w:tr w:rsidR="00767956" w:rsidRPr="00767956" w14:paraId="28230FB8" w14:textId="77777777" w:rsidTr="00767956">
        <w:tc>
          <w:tcPr>
            <w:tcW w:w="2571" w:type="dxa"/>
          </w:tcPr>
          <w:p w14:paraId="60084653" w14:textId="77777777" w:rsidR="00767956" w:rsidRPr="00767956" w:rsidRDefault="00767956" w:rsidP="00767956">
            <w:pPr>
              <w:pStyle w:val="TableText"/>
            </w:pPr>
            <w:r w:rsidRPr="00767956">
              <w:lastRenderedPageBreak/>
              <w:t>Screening methods</w:t>
            </w:r>
          </w:p>
        </w:tc>
        <w:tc>
          <w:tcPr>
            <w:tcW w:w="6496" w:type="dxa"/>
          </w:tcPr>
          <w:p w14:paraId="62DF35E2" w14:textId="690B15E1" w:rsidR="00767956" w:rsidRPr="00767956" w:rsidRDefault="002837F4" w:rsidP="0017563C">
            <w:pPr>
              <w:pStyle w:val="TableBullet"/>
              <w:numPr>
                <w:ilvl w:val="0"/>
                <w:numId w:val="0"/>
              </w:numPr>
            </w:pPr>
            <w:r w:rsidRPr="002837F4">
              <w:t>Titles and abstracts were screened by a single researcher (MM or SL</w:t>
            </w:r>
            <w:r>
              <w:t xml:space="preserve"> or EC</w:t>
            </w:r>
            <w:r w:rsidRPr="002837F4">
              <w:t>) and verified by a content expert (TH or RC) against the inclusion and exclusion criteria. Full-text review was conducted for all records not excluded at title and abstract screening. All screening decisions were recorded in Covidence.</w:t>
            </w:r>
          </w:p>
        </w:tc>
      </w:tr>
      <w:tr w:rsidR="00767956" w:rsidRPr="00767956" w14:paraId="04AA42A1" w14:textId="77777777" w:rsidTr="00767956">
        <w:tc>
          <w:tcPr>
            <w:tcW w:w="2571" w:type="dxa"/>
          </w:tcPr>
          <w:p w14:paraId="641EDFE8" w14:textId="77777777" w:rsidR="00767956" w:rsidRPr="00767956" w:rsidRDefault="00767956" w:rsidP="00767956">
            <w:pPr>
              <w:pStyle w:val="TableText"/>
            </w:pPr>
            <w:r w:rsidRPr="00767956">
              <w:t>Documentation of search</w:t>
            </w:r>
          </w:p>
        </w:tc>
        <w:tc>
          <w:tcPr>
            <w:tcW w:w="6496" w:type="dxa"/>
          </w:tcPr>
          <w:p w14:paraId="569A9DF2" w14:textId="16A184DF" w:rsidR="00767956" w:rsidRPr="00767956" w:rsidRDefault="002837F4" w:rsidP="00767956">
            <w:pPr>
              <w:pStyle w:val="TableText"/>
              <w:rPr>
                <w:bCs/>
              </w:rPr>
            </w:pPr>
            <w:r w:rsidRPr="002837F4">
              <w:rPr>
                <w:bCs/>
              </w:rPr>
              <w:t xml:space="preserve">All search results, screening decisions and exclusions with justifications were recorded in Covidence and are documented in this Technical Report. A list of excluded studies with reasons for exclusion is provided in Appendix B. The overall search and selection process is presented as a PRISMA flow diagram in </w:t>
            </w:r>
            <w:r w:rsidRPr="002837F4">
              <w:rPr>
                <w:b/>
              </w:rPr>
              <w:t>Figure 1</w:t>
            </w:r>
            <w:r w:rsidRPr="002837F4">
              <w:rPr>
                <w:bCs/>
              </w:rPr>
              <w:t>.</w:t>
            </w:r>
          </w:p>
        </w:tc>
      </w:tr>
      <w:tr w:rsidR="00767956" w:rsidRPr="00767956" w14:paraId="23BE50CD" w14:textId="77777777" w:rsidTr="00767956">
        <w:tc>
          <w:tcPr>
            <w:tcW w:w="2571" w:type="dxa"/>
          </w:tcPr>
          <w:p w14:paraId="12CADBAE" w14:textId="77777777" w:rsidR="00767956" w:rsidRPr="00767956" w:rsidRDefault="00767956" w:rsidP="00767956">
            <w:pPr>
              <w:pStyle w:val="TableText"/>
            </w:pPr>
            <w:r w:rsidRPr="00767956">
              <w:t>Retrieval of publications</w:t>
            </w:r>
          </w:p>
        </w:tc>
        <w:tc>
          <w:tcPr>
            <w:tcW w:w="6496" w:type="dxa"/>
          </w:tcPr>
          <w:p w14:paraId="0B5A56BD" w14:textId="17B54509" w:rsidR="00767956" w:rsidRPr="00767956" w:rsidRDefault="002837F4" w:rsidP="00767956">
            <w:pPr>
              <w:pStyle w:val="TableText"/>
            </w:pPr>
            <w:r w:rsidRPr="002837F4">
              <w:t>Full-text articles were retrieved electronically via subscription databases or open-access repositories. Records were collated and managed in Covidence and stored in a secure project repository.</w:t>
            </w:r>
          </w:p>
        </w:tc>
      </w:tr>
    </w:tbl>
    <w:p w14:paraId="189ECE5A" w14:textId="77777777" w:rsidR="00767956" w:rsidRDefault="00767956" w:rsidP="00767956">
      <w:pPr>
        <w:pStyle w:val="Heading5"/>
      </w:pPr>
      <w:r>
        <w:t xml:space="preserve">Data Extraction </w:t>
      </w:r>
    </w:p>
    <w:p w14:paraId="6AE2DFAD" w14:textId="356480E6" w:rsidR="00DC2123" w:rsidRDefault="00DC2123" w:rsidP="00767956">
      <w:pPr>
        <w:pStyle w:val="BodyText"/>
      </w:pPr>
      <w:r w:rsidRPr="00DC2123">
        <w:t>For each relevant result for which the full text was sourced:</w:t>
      </w:r>
    </w:p>
    <w:p w14:paraId="208C11EA" w14:textId="55653D6F" w:rsidR="00DC2123" w:rsidRDefault="00DC2123" w:rsidP="00F84245">
      <w:pPr>
        <w:pStyle w:val="BodyText"/>
        <w:numPr>
          <w:ilvl w:val="0"/>
          <w:numId w:val="23"/>
        </w:numPr>
      </w:pPr>
      <w:r w:rsidRPr="00DC2123">
        <w:t>Where deemed relevant to the research questions and potentially providing information that could alter or qualify the findings of existing guidance assessments, relevant data were extracted using a predefined data extraction framework (</w:t>
      </w:r>
      <w:r w:rsidRPr="00DC2123">
        <w:rPr>
          <w:b/>
          <w:bCs/>
        </w:rPr>
        <w:fldChar w:fldCharType="begin"/>
      </w:r>
      <w:r w:rsidRPr="00DC2123">
        <w:rPr>
          <w:b/>
          <w:bCs/>
        </w:rPr>
        <w:instrText xml:space="preserve"> REF _Ref219296314 \h </w:instrText>
      </w:r>
      <w:r>
        <w:rPr>
          <w:b/>
          <w:bCs/>
        </w:rPr>
        <w:instrText xml:space="preserve"> \* MERGEFORMAT </w:instrText>
      </w:r>
      <w:r w:rsidRPr="00DC2123">
        <w:rPr>
          <w:b/>
          <w:bCs/>
        </w:rPr>
      </w:r>
      <w:r w:rsidRPr="00DC2123">
        <w:rPr>
          <w:b/>
          <w:bCs/>
        </w:rPr>
        <w:fldChar w:fldCharType="separate"/>
      </w:r>
      <w:r w:rsidR="00A41FEF" w:rsidRPr="00A41FEF">
        <w:rPr>
          <w:b/>
          <w:bCs/>
        </w:rPr>
        <w:t xml:space="preserve">Table </w:t>
      </w:r>
      <w:r w:rsidR="00A41FEF" w:rsidRPr="00A41FEF">
        <w:rPr>
          <w:b/>
          <w:bCs/>
          <w:noProof/>
        </w:rPr>
        <w:t>5</w:t>
      </w:r>
      <w:r w:rsidRPr="00DC2123">
        <w:rPr>
          <w:b/>
          <w:bCs/>
        </w:rPr>
        <w:fldChar w:fldCharType="end"/>
      </w:r>
      <w:r w:rsidRPr="00DC2123">
        <w:t>). The framework was designed primarily for epidemiological studies and was adapted as appropriate for animal studies and narrative or systematic reviews. The individual completed data extraction tables are provided in</w:t>
      </w:r>
      <w:r>
        <w:rPr>
          <w:b/>
          <w:bCs/>
        </w:rPr>
        <w:t xml:space="preserve"> </w:t>
      </w:r>
      <w:r>
        <w:rPr>
          <w:b/>
          <w:bCs/>
        </w:rPr>
        <w:fldChar w:fldCharType="begin"/>
      </w:r>
      <w:r>
        <w:rPr>
          <w:b/>
          <w:bCs/>
        </w:rPr>
        <w:instrText xml:space="preserve"> REF _Ref231994888 \r \h </w:instrText>
      </w:r>
      <w:r>
        <w:rPr>
          <w:b/>
          <w:bCs/>
        </w:rPr>
      </w:r>
      <w:r>
        <w:rPr>
          <w:b/>
          <w:bCs/>
        </w:rPr>
        <w:fldChar w:fldCharType="separate"/>
      </w:r>
      <w:r w:rsidR="00A41FEF">
        <w:rPr>
          <w:b/>
          <w:bCs/>
        </w:rPr>
        <w:t>Appendix E</w:t>
      </w:r>
      <w:r>
        <w:rPr>
          <w:b/>
          <w:bCs/>
        </w:rPr>
        <w:fldChar w:fldCharType="end"/>
      </w:r>
      <w:r w:rsidRPr="00DC2123">
        <w:t>.</w:t>
      </w:r>
    </w:p>
    <w:p w14:paraId="6B40B7C2" w14:textId="7AC89F8A" w:rsidR="00DC2123" w:rsidRDefault="00DC2123" w:rsidP="00F84245">
      <w:pPr>
        <w:pStyle w:val="BodyText"/>
        <w:numPr>
          <w:ilvl w:val="0"/>
          <w:numId w:val="23"/>
        </w:numPr>
      </w:pPr>
      <w:r w:rsidRPr="00DC2123">
        <w:t>Data extraction was performed by the SLR review team. The initial extraction was then quality-assessed by SLR reviewers to verify accuracy and consistency of the extracted data against the source documents. Targeted verification of key data fields</w:t>
      </w:r>
      <w:r>
        <w:t xml:space="preserve">, </w:t>
      </w:r>
      <w:r w:rsidRPr="00DC2123">
        <w:t>particularly those directly relevant to UL derivation, including exposure metrics, outcome definitions, dose–response information and main findings</w:t>
      </w:r>
      <w:r>
        <w:t>,</w:t>
      </w:r>
      <w:r w:rsidRPr="00DC2123">
        <w:t xml:space="preserve"> was undertaken by a content expert</w:t>
      </w:r>
      <w:r>
        <w:t>.</w:t>
      </w:r>
    </w:p>
    <w:p w14:paraId="6A52FDFC" w14:textId="21809BE6" w:rsidR="00DC2123" w:rsidRDefault="00DC2123" w:rsidP="00F84245">
      <w:pPr>
        <w:pStyle w:val="BodyText"/>
        <w:numPr>
          <w:ilvl w:val="0"/>
          <w:numId w:val="23"/>
        </w:numPr>
      </w:pPr>
      <w:r w:rsidRPr="00DC2123">
        <w:t xml:space="preserve">For primary studies considered directly relevant to the critical endpoint(s) underpinning the vitamin B6 UL, risk of bias was assessed using a modified OHAT risk-of-bias tool (NTP OHAT 2019). These assessments were conducted systematically and informed interpretation of individual study findings and the overall certainty of evidence assessment. The completed risk of bias assessment tables </w:t>
      </w:r>
      <w:r w:rsidR="00524265" w:rsidRPr="00DC2123">
        <w:t>is</w:t>
      </w:r>
      <w:r w:rsidRPr="00DC2123">
        <w:t xml:space="preserve"> provided in </w:t>
      </w:r>
      <w:r w:rsidR="00524265" w:rsidRPr="00524265">
        <w:rPr>
          <w:b/>
          <w:bCs/>
        </w:rPr>
        <w:fldChar w:fldCharType="begin"/>
      </w:r>
      <w:r w:rsidR="00524265" w:rsidRPr="00524265">
        <w:rPr>
          <w:b/>
          <w:bCs/>
        </w:rPr>
        <w:instrText xml:space="preserve"> REF _Ref236998608 \r \h  \* MERGEFORMAT </w:instrText>
      </w:r>
      <w:r w:rsidR="00524265" w:rsidRPr="00524265">
        <w:rPr>
          <w:b/>
          <w:bCs/>
        </w:rPr>
      </w:r>
      <w:r w:rsidR="00524265" w:rsidRPr="00524265">
        <w:rPr>
          <w:b/>
          <w:bCs/>
        </w:rPr>
        <w:fldChar w:fldCharType="separate"/>
      </w:r>
      <w:r w:rsidR="00A41FEF">
        <w:rPr>
          <w:b/>
          <w:bCs/>
        </w:rPr>
        <w:t>Appendix F</w:t>
      </w:r>
      <w:r w:rsidR="00524265" w:rsidRPr="00524265">
        <w:rPr>
          <w:b/>
          <w:bCs/>
        </w:rPr>
        <w:fldChar w:fldCharType="end"/>
      </w:r>
      <w:r w:rsidR="00524265">
        <w:rPr>
          <w:b/>
          <w:bCs/>
        </w:rPr>
        <w:t>.</w:t>
      </w:r>
    </w:p>
    <w:p w14:paraId="52975D5C" w14:textId="3B083A76" w:rsidR="00767956" w:rsidRDefault="00EE1DFF" w:rsidP="00EE1DFF">
      <w:pPr>
        <w:pStyle w:val="Caption"/>
      </w:pPr>
      <w:bookmarkStart w:id="26" w:name="_Ref219296314"/>
      <w:bookmarkStart w:id="27" w:name="_Toc233022872"/>
      <w:r>
        <w:t xml:space="preserve">Table </w:t>
      </w:r>
      <w:r w:rsidR="00D90030">
        <w:fldChar w:fldCharType="begin"/>
      </w:r>
      <w:r w:rsidR="00D90030">
        <w:instrText xml:space="preserve"> SEQ Table \* ARABIC </w:instrText>
      </w:r>
      <w:r w:rsidR="00D90030">
        <w:fldChar w:fldCharType="separate"/>
      </w:r>
      <w:r w:rsidR="00A41FEF">
        <w:rPr>
          <w:noProof/>
        </w:rPr>
        <w:t>5</w:t>
      </w:r>
      <w:r w:rsidR="00D90030">
        <w:fldChar w:fldCharType="end"/>
      </w:r>
      <w:bookmarkEnd w:id="26"/>
      <w:r>
        <w:t xml:space="preserve"> </w:t>
      </w:r>
      <w:r>
        <w:tab/>
      </w:r>
      <w:r w:rsidR="00767956" w:rsidRPr="00767956">
        <w:t xml:space="preserve">Example of data extraction table format for evidence </w:t>
      </w:r>
      <w:r w:rsidR="00DE52AF">
        <w:t>review</w:t>
      </w:r>
      <w:r w:rsidR="00767956" w:rsidRPr="00767956">
        <w:t xml:space="preserve"> of recent health-based studies</w:t>
      </w:r>
      <w:bookmarkEnd w:id="27"/>
    </w:p>
    <w:p w14:paraId="09AF7910" w14:textId="2E88370E" w:rsidR="00EE1DFF" w:rsidRPr="00EE1DFF" w:rsidRDefault="00EE1DFF" w:rsidP="00EE1DFF">
      <w:pPr>
        <w:pStyle w:val="BodyText"/>
        <w:rPr>
          <w:b/>
          <w:bCs/>
        </w:rPr>
      </w:pPr>
      <w:bookmarkStart w:id="28" w:name="_Hlk219897663"/>
      <w:r w:rsidRPr="00EE1DFF">
        <w:rPr>
          <w:b/>
          <w:bCs/>
        </w:rPr>
        <w:t xml:space="preserve">Publication Reference: </w:t>
      </w:r>
      <w:r w:rsidRPr="00EE1DFF">
        <w:rPr>
          <w:b/>
          <w:bCs/>
          <w:i/>
          <w:iCs/>
        </w:rPr>
        <w:t>Insert full bibliographical reference for report</w:t>
      </w:r>
    </w:p>
    <w:p w14:paraId="02FB4E07" w14:textId="0E0E1986" w:rsidR="00F40EA8" w:rsidRDefault="00DE52AF" w:rsidP="00F40EA8">
      <w:pPr>
        <w:pStyle w:val="BodyText"/>
        <w:rPr>
          <w:b/>
          <w:bCs/>
        </w:rPr>
      </w:pPr>
      <w:bookmarkStart w:id="29" w:name="_Hlk219897515"/>
      <w:r w:rsidRPr="00DE52AF">
        <w:rPr>
          <w:b/>
          <w:bCs/>
        </w:rPr>
        <w:t>Study identification and design</w:t>
      </w:r>
    </w:p>
    <w:tbl>
      <w:tblPr>
        <w:tblStyle w:val="SLROption1"/>
        <w:tblW w:w="5000" w:type="pct"/>
        <w:tblLook w:val="0000" w:firstRow="0" w:lastRow="0" w:firstColumn="0" w:lastColumn="0" w:noHBand="0" w:noVBand="0"/>
      </w:tblPr>
      <w:tblGrid>
        <w:gridCol w:w="5949"/>
        <w:gridCol w:w="3070"/>
      </w:tblGrid>
      <w:tr w:rsidR="00DE52AF" w:rsidRPr="00FF26BF" w14:paraId="1475E4DE" w14:textId="77777777" w:rsidTr="00DE52AF">
        <w:tc>
          <w:tcPr>
            <w:tcW w:w="3298" w:type="pct"/>
            <w:shd w:val="clear" w:color="auto" w:fill="3C533C"/>
          </w:tcPr>
          <w:p w14:paraId="6E2D70FA" w14:textId="77777777" w:rsidR="00DE52AF" w:rsidRPr="00FF26BF" w:rsidRDefault="00DE52AF" w:rsidP="00D97A0D">
            <w:pPr>
              <w:spacing w:after="0"/>
              <w:rPr>
                <w:rFonts w:cs="Arial"/>
                <w:sz w:val="20"/>
              </w:rPr>
            </w:pPr>
            <w:r w:rsidRPr="00FF26BF">
              <w:rPr>
                <w:rFonts w:eastAsia="Calibri" w:cs="Arial"/>
                <w:b/>
                <w:bCs/>
                <w:color w:val="FFFFFF"/>
                <w:sz w:val="20"/>
              </w:rPr>
              <w:t>Field</w:t>
            </w:r>
          </w:p>
        </w:tc>
        <w:tc>
          <w:tcPr>
            <w:tcW w:w="1702" w:type="pct"/>
            <w:shd w:val="clear" w:color="auto" w:fill="3C533C"/>
          </w:tcPr>
          <w:p w14:paraId="60541351" w14:textId="77777777" w:rsidR="00DE52AF" w:rsidRPr="00FF26BF" w:rsidRDefault="00DE52AF" w:rsidP="00D97A0D">
            <w:pPr>
              <w:spacing w:after="0"/>
              <w:rPr>
                <w:rFonts w:cs="Arial"/>
                <w:sz w:val="20"/>
              </w:rPr>
            </w:pPr>
            <w:r w:rsidRPr="00FF26BF">
              <w:rPr>
                <w:rFonts w:eastAsia="Calibri" w:cs="Arial"/>
                <w:b/>
                <w:bCs/>
                <w:color w:val="FFFFFF"/>
                <w:sz w:val="20"/>
              </w:rPr>
              <w:t>Extracted information</w:t>
            </w:r>
          </w:p>
        </w:tc>
      </w:tr>
      <w:tr w:rsidR="00DE52AF" w:rsidRPr="00FF26BF" w14:paraId="453E528D" w14:textId="77777777" w:rsidTr="00DE52AF">
        <w:tc>
          <w:tcPr>
            <w:tcW w:w="3298" w:type="pct"/>
          </w:tcPr>
          <w:p w14:paraId="09D9D558" w14:textId="77777777" w:rsidR="00DE52AF" w:rsidRPr="00DE52AF" w:rsidRDefault="00DE52AF" w:rsidP="00D97A0D">
            <w:pPr>
              <w:spacing w:after="0"/>
              <w:rPr>
                <w:rFonts w:cs="Arial"/>
                <w:sz w:val="20"/>
              </w:rPr>
            </w:pPr>
            <w:r w:rsidRPr="00DE52AF">
              <w:rPr>
                <w:rFonts w:eastAsia="Calibri" w:cs="Arial"/>
                <w:sz w:val="20"/>
              </w:rPr>
              <w:t>Citation</w:t>
            </w:r>
          </w:p>
        </w:tc>
        <w:tc>
          <w:tcPr>
            <w:tcW w:w="1702" w:type="pct"/>
          </w:tcPr>
          <w:p w14:paraId="04DA4965" w14:textId="13C75B3F" w:rsidR="00DE52AF" w:rsidRPr="00DE52AF" w:rsidRDefault="00DE52AF" w:rsidP="00D97A0D">
            <w:pPr>
              <w:spacing w:after="0"/>
              <w:rPr>
                <w:rFonts w:cs="Arial"/>
                <w:i/>
                <w:iCs/>
                <w:sz w:val="20"/>
              </w:rPr>
            </w:pPr>
            <w:r w:rsidRPr="00DE52AF">
              <w:rPr>
                <w:rFonts w:cs="Arial"/>
                <w:i/>
                <w:iCs/>
                <w:sz w:val="20"/>
              </w:rPr>
              <w:t>Intentionally blank</w:t>
            </w:r>
          </w:p>
        </w:tc>
      </w:tr>
      <w:tr w:rsidR="00DE52AF" w:rsidRPr="00FF26BF" w14:paraId="14C79421" w14:textId="77777777" w:rsidTr="00DE52AF">
        <w:tc>
          <w:tcPr>
            <w:tcW w:w="3298" w:type="pct"/>
          </w:tcPr>
          <w:p w14:paraId="02F1C12B" w14:textId="77777777" w:rsidR="00DE52AF" w:rsidRPr="00DE52AF" w:rsidRDefault="00DE52AF" w:rsidP="00DE52AF">
            <w:pPr>
              <w:spacing w:after="0"/>
              <w:rPr>
                <w:rFonts w:cs="Arial"/>
                <w:sz w:val="20"/>
              </w:rPr>
            </w:pPr>
            <w:r w:rsidRPr="00DE52AF">
              <w:rPr>
                <w:rFonts w:eastAsia="Calibri" w:cs="Arial"/>
                <w:sz w:val="20"/>
              </w:rPr>
              <w:t>Publication status</w:t>
            </w:r>
          </w:p>
        </w:tc>
        <w:tc>
          <w:tcPr>
            <w:tcW w:w="1702" w:type="pct"/>
          </w:tcPr>
          <w:p w14:paraId="0F8C4F36" w14:textId="05392A5A" w:rsidR="00DE52AF" w:rsidRPr="00FF26BF" w:rsidRDefault="00DE52AF" w:rsidP="00DE52AF">
            <w:pPr>
              <w:spacing w:after="0"/>
              <w:rPr>
                <w:rFonts w:cs="Arial"/>
                <w:sz w:val="20"/>
              </w:rPr>
            </w:pPr>
            <w:r w:rsidRPr="001F1A19">
              <w:rPr>
                <w:rFonts w:cs="Arial"/>
                <w:i/>
                <w:iCs/>
                <w:sz w:val="20"/>
              </w:rPr>
              <w:t>Intentionally blank</w:t>
            </w:r>
          </w:p>
        </w:tc>
      </w:tr>
      <w:tr w:rsidR="00DE52AF" w:rsidRPr="00FF26BF" w14:paraId="2E728A1E" w14:textId="77777777" w:rsidTr="00DE52AF">
        <w:tc>
          <w:tcPr>
            <w:tcW w:w="3298" w:type="pct"/>
          </w:tcPr>
          <w:p w14:paraId="478A615F" w14:textId="77777777" w:rsidR="00DE52AF" w:rsidRPr="00DE52AF" w:rsidRDefault="00DE52AF" w:rsidP="00DE52AF">
            <w:pPr>
              <w:spacing w:after="0"/>
              <w:rPr>
                <w:rFonts w:cs="Arial"/>
                <w:sz w:val="20"/>
              </w:rPr>
            </w:pPr>
            <w:r w:rsidRPr="00DE52AF">
              <w:rPr>
                <w:rFonts w:eastAsia="Calibri" w:cs="Arial"/>
                <w:sz w:val="20"/>
              </w:rPr>
              <w:t>Country / setting</w:t>
            </w:r>
          </w:p>
        </w:tc>
        <w:tc>
          <w:tcPr>
            <w:tcW w:w="1702" w:type="pct"/>
          </w:tcPr>
          <w:p w14:paraId="22C659DF" w14:textId="7D1A6D99" w:rsidR="00DE52AF" w:rsidRPr="00FF26BF" w:rsidRDefault="00DE52AF" w:rsidP="00DE52AF">
            <w:pPr>
              <w:spacing w:after="0"/>
              <w:rPr>
                <w:rFonts w:cs="Arial"/>
                <w:sz w:val="20"/>
              </w:rPr>
            </w:pPr>
            <w:r w:rsidRPr="001F1A19">
              <w:rPr>
                <w:rFonts w:cs="Arial"/>
                <w:i/>
                <w:iCs/>
                <w:sz w:val="20"/>
              </w:rPr>
              <w:t>Intentionally blank</w:t>
            </w:r>
          </w:p>
        </w:tc>
      </w:tr>
      <w:tr w:rsidR="00DE52AF" w:rsidRPr="00FF26BF" w14:paraId="18B0C25B" w14:textId="77777777" w:rsidTr="00DE52AF">
        <w:tc>
          <w:tcPr>
            <w:tcW w:w="3298" w:type="pct"/>
          </w:tcPr>
          <w:p w14:paraId="7B296D06" w14:textId="77777777" w:rsidR="00DE52AF" w:rsidRPr="00DE52AF" w:rsidRDefault="00DE52AF" w:rsidP="00DE52AF">
            <w:pPr>
              <w:spacing w:after="0"/>
              <w:rPr>
                <w:rFonts w:cs="Arial"/>
                <w:sz w:val="20"/>
              </w:rPr>
            </w:pPr>
            <w:r w:rsidRPr="00DE52AF">
              <w:rPr>
                <w:rFonts w:eastAsia="Calibri" w:cs="Arial"/>
                <w:sz w:val="20"/>
              </w:rPr>
              <w:t>Study design</w:t>
            </w:r>
          </w:p>
        </w:tc>
        <w:tc>
          <w:tcPr>
            <w:tcW w:w="1702" w:type="pct"/>
          </w:tcPr>
          <w:p w14:paraId="7F486DFF" w14:textId="79EB7B8B" w:rsidR="00DE52AF" w:rsidRPr="00FF26BF" w:rsidRDefault="00DE52AF" w:rsidP="00DE52AF">
            <w:pPr>
              <w:spacing w:after="0"/>
              <w:rPr>
                <w:rFonts w:cs="Arial"/>
                <w:sz w:val="20"/>
              </w:rPr>
            </w:pPr>
            <w:r w:rsidRPr="001F1A19">
              <w:rPr>
                <w:rFonts w:cs="Arial"/>
                <w:i/>
                <w:iCs/>
                <w:sz w:val="20"/>
              </w:rPr>
              <w:t>Intentionally blank</w:t>
            </w:r>
          </w:p>
        </w:tc>
      </w:tr>
      <w:tr w:rsidR="00DE52AF" w:rsidRPr="00FF26BF" w14:paraId="72D44830" w14:textId="77777777" w:rsidTr="00DE52AF">
        <w:tc>
          <w:tcPr>
            <w:tcW w:w="3298" w:type="pct"/>
          </w:tcPr>
          <w:p w14:paraId="501CD421" w14:textId="77777777" w:rsidR="00DE52AF" w:rsidRPr="00DE52AF" w:rsidRDefault="00DE52AF" w:rsidP="00DE52AF">
            <w:pPr>
              <w:spacing w:after="0"/>
              <w:rPr>
                <w:rFonts w:cs="Arial"/>
                <w:sz w:val="20"/>
              </w:rPr>
            </w:pPr>
            <w:r w:rsidRPr="00DE52AF">
              <w:rPr>
                <w:rFonts w:eastAsia="Calibri" w:cs="Arial"/>
                <w:sz w:val="20"/>
              </w:rPr>
              <w:t>Funding / conflicts of interest</w:t>
            </w:r>
          </w:p>
        </w:tc>
        <w:tc>
          <w:tcPr>
            <w:tcW w:w="1702" w:type="pct"/>
          </w:tcPr>
          <w:p w14:paraId="7D02E33B" w14:textId="59EF722A" w:rsidR="00DE52AF" w:rsidRPr="00FF26BF" w:rsidRDefault="00DE52AF" w:rsidP="00DE52AF">
            <w:pPr>
              <w:spacing w:after="0"/>
              <w:rPr>
                <w:rFonts w:cs="Arial"/>
                <w:sz w:val="20"/>
              </w:rPr>
            </w:pPr>
            <w:r w:rsidRPr="001F1A19">
              <w:rPr>
                <w:rFonts w:cs="Arial"/>
                <w:i/>
                <w:iCs/>
                <w:sz w:val="20"/>
              </w:rPr>
              <w:t>Intentionally blank</w:t>
            </w:r>
          </w:p>
        </w:tc>
      </w:tr>
    </w:tbl>
    <w:p w14:paraId="331BADDC" w14:textId="396EF411" w:rsidR="00DE52AF" w:rsidRDefault="00DE52AF" w:rsidP="00F40EA8">
      <w:pPr>
        <w:pStyle w:val="BodyText"/>
        <w:rPr>
          <w:b/>
          <w:bCs/>
        </w:rPr>
      </w:pPr>
      <w:r>
        <w:rPr>
          <w:b/>
          <w:bCs/>
        </w:rPr>
        <w:t>Population</w:t>
      </w:r>
    </w:p>
    <w:tbl>
      <w:tblPr>
        <w:tblStyle w:val="SLROption1"/>
        <w:tblW w:w="5000" w:type="pct"/>
        <w:tblLook w:val="0000" w:firstRow="0" w:lastRow="0" w:firstColumn="0" w:lastColumn="0" w:noHBand="0" w:noVBand="0"/>
      </w:tblPr>
      <w:tblGrid>
        <w:gridCol w:w="5949"/>
        <w:gridCol w:w="3070"/>
      </w:tblGrid>
      <w:tr w:rsidR="00DE52AF" w:rsidRPr="00FF26BF" w14:paraId="7F92E3EF" w14:textId="77777777" w:rsidTr="00DE52AF">
        <w:tc>
          <w:tcPr>
            <w:tcW w:w="3298" w:type="pct"/>
            <w:shd w:val="clear" w:color="auto" w:fill="3C533C"/>
          </w:tcPr>
          <w:p w14:paraId="3892805D" w14:textId="77777777" w:rsidR="00DE52AF" w:rsidRPr="00FF26BF" w:rsidRDefault="00DE52AF" w:rsidP="00D97A0D">
            <w:pPr>
              <w:spacing w:after="0"/>
              <w:rPr>
                <w:rFonts w:cs="Arial"/>
                <w:sz w:val="20"/>
              </w:rPr>
            </w:pPr>
            <w:r w:rsidRPr="00FF26BF">
              <w:rPr>
                <w:rFonts w:eastAsia="Calibri" w:cs="Arial"/>
                <w:b/>
                <w:bCs/>
                <w:color w:val="FFFFFF"/>
                <w:sz w:val="20"/>
              </w:rPr>
              <w:lastRenderedPageBreak/>
              <w:t>Field</w:t>
            </w:r>
          </w:p>
        </w:tc>
        <w:tc>
          <w:tcPr>
            <w:tcW w:w="1702" w:type="pct"/>
            <w:shd w:val="clear" w:color="auto" w:fill="3C533C"/>
          </w:tcPr>
          <w:p w14:paraId="67533E88" w14:textId="77777777" w:rsidR="00DE52AF" w:rsidRPr="00FF26BF" w:rsidRDefault="00DE52AF" w:rsidP="00D97A0D">
            <w:pPr>
              <w:spacing w:after="0"/>
              <w:rPr>
                <w:rFonts w:cs="Arial"/>
                <w:sz w:val="20"/>
              </w:rPr>
            </w:pPr>
            <w:r w:rsidRPr="00FF26BF">
              <w:rPr>
                <w:rFonts w:eastAsia="Calibri" w:cs="Arial"/>
                <w:b/>
                <w:bCs/>
                <w:color w:val="FFFFFF"/>
                <w:sz w:val="20"/>
              </w:rPr>
              <w:t>Extracted information</w:t>
            </w:r>
          </w:p>
        </w:tc>
      </w:tr>
      <w:tr w:rsidR="00DE52AF" w:rsidRPr="00FF26BF" w14:paraId="2CF92795" w14:textId="77777777" w:rsidTr="00DE52AF">
        <w:tc>
          <w:tcPr>
            <w:tcW w:w="3298" w:type="pct"/>
          </w:tcPr>
          <w:p w14:paraId="413F43AE" w14:textId="77777777" w:rsidR="00DE52AF" w:rsidRPr="00DE52AF" w:rsidRDefault="00DE52AF" w:rsidP="00DE52AF">
            <w:pPr>
              <w:spacing w:after="0"/>
              <w:rPr>
                <w:rFonts w:cs="Arial"/>
                <w:sz w:val="20"/>
              </w:rPr>
            </w:pPr>
            <w:r w:rsidRPr="00DE52AF">
              <w:rPr>
                <w:rFonts w:eastAsia="Calibri" w:cs="Arial"/>
                <w:sz w:val="20"/>
              </w:rPr>
              <w:t>Sample size</w:t>
            </w:r>
          </w:p>
        </w:tc>
        <w:tc>
          <w:tcPr>
            <w:tcW w:w="1702" w:type="pct"/>
          </w:tcPr>
          <w:p w14:paraId="33144DCB" w14:textId="4CF3BC2A" w:rsidR="00DE52AF" w:rsidRPr="00FF26BF" w:rsidRDefault="00DE52AF" w:rsidP="00DE52AF">
            <w:pPr>
              <w:spacing w:after="0"/>
              <w:rPr>
                <w:rFonts w:cs="Arial"/>
                <w:sz w:val="20"/>
              </w:rPr>
            </w:pPr>
            <w:r w:rsidRPr="009C4336">
              <w:rPr>
                <w:rFonts w:cs="Arial"/>
                <w:i/>
                <w:iCs/>
                <w:sz w:val="20"/>
              </w:rPr>
              <w:t>Intentionally blank</w:t>
            </w:r>
          </w:p>
        </w:tc>
      </w:tr>
      <w:tr w:rsidR="00DE52AF" w:rsidRPr="00FF26BF" w14:paraId="0BA835E2" w14:textId="77777777" w:rsidTr="00DE52AF">
        <w:tc>
          <w:tcPr>
            <w:tcW w:w="3298" w:type="pct"/>
          </w:tcPr>
          <w:p w14:paraId="6D7059DD" w14:textId="77777777" w:rsidR="00DE52AF" w:rsidRPr="00DE52AF" w:rsidRDefault="00DE52AF" w:rsidP="00DE52AF">
            <w:pPr>
              <w:spacing w:after="0"/>
              <w:rPr>
                <w:rFonts w:cs="Arial"/>
                <w:sz w:val="20"/>
              </w:rPr>
            </w:pPr>
            <w:r w:rsidRPr="00DE52AF">
              <w:rPr>
                <w:rFonts w:eastAsia="Calibri" w:cs="Arial"/>
                <w:sz w:val="20"/>
              </w:rPr>
              <w:t>Patient characteristics</w:t>
            </w:r>
          </w:p>
        </w:tc>
        <w:tc>
          <w:tcPr>
            <w:tcW w:w="1702" w:type="pct"/>
          </w:tcPr>
          <w:p w14:paraId="33EFA560" w14:textId="3D8674B2" w:rsidR="00DE52AF" w:rsidRPr="00FF26BF" w:rsidRDefault="00DE52AF" w:rsidP="00DE52AF">
            <w:pPr>
              <w:spacing w:before="120" w:after="0"/>
              <w:rPr>
                <w:rFonts w:cs="Arial"/>
                <w:sz w:val="20"/>
              </w:rPr>
            </w:pPr>
            <w:r w:rsidRPr="009C4336">
              <w:rPr>
                <w:rFonts w:cs="Arial"/>
                <w:i/>
                <w:iCs/>
                <w:sz w:val="20"/>
              </w:rPr>
              <w:t>Intentionally blank</w:t>
            </w:r>
          </w:p>
        </w:tc>
      </w:tr>
      <w:tr w:rsidR="00DE52AF" w:rsidRPr="00FF26BF" w14:paraId="1D803E47" w14:textId="77777777" w:rsidTr="00DE52AF">
        <w:tc>
          <w:tcPr>
            <w:tcW w:w="3298" w:type="pct"/>
          </w:tcPr>
          <w:p w14:paraId="4F27E90E" w14:textId="77777777" w:rsidR="00DE52AF" w:rsidRPr="00DE52AF" w:rsidRDefault="00DE52AF" w:rsidP="00DE52AF">
            <w:pPr>
              <w:spacing w:after="0"/>
              <w:rPr>
                <w:rFonts w:cs="Arial"/>
                <w:sz w:val="20"/>
              </w:rPr>
            </w:pPr>
            <w:r w:rsidRPr="00DE52AF">
              <w:rPr>
                <w:rFonts w:eastAsia="Calibri" w:cs="Arial"/>
                <w:sz w:val="20"/>
              </w:rPr>
              <w:t>Inclusion/exclusion of alternative causes</w:t>
            </w:r>
          </w:p>
        </w:tc>
        <w:tc>
          <w:tcPr>
            <w:tcW w:w="1702" w:type="pct"/>
          </w:tcPr>
          <w:p w14:paraId="4924A2A4" w14:textId="6A37978B" w:rsidR="00DE52AF" w:rsidRPr="00FF26BF" w:rsidRDefault="00DE52AF" w:rsidP="00DE52AF">
            <w:pPr>
              <w:spacing w:after="0"/>
              <w:rPr>
                <w:rFonts w:cs="Arial"/>
                <w:sz w:val="20"/>
              </w:rPr>
            </w:pPr>
            <w:r w:rsidRPr="009C4336">
              <w:rPr>
                <w:rFonts w:cs="Arial"/>
                <w:i/>
                <w:iCs/>
                <w:sz w:val="20"/>
              </w:rPr>
              <w:t>Intentionally blank</w:t>
            </w:r>
          </w:p>
        </w:tc>
      </w:tr>
    </w:tbl>
    <w:p w14:paraId="7040F565" w14:textId="37F2E8D3" w:rsidR="00DE52AF" w:rsidRDefault="00DE52AF" w:rsidP="00F40EA8">
      <w:pPr>
        <w:pStyle w:val="BodyText"/>
        <w:rPr>
          <w:b/>
          <w:bCs/>
        </w:rPr>
      </w:pPr>
      <w:r>
        <w:rPr>
          <w:b/>
          <w:bCs/>
        </w:rPr>
        <w:t>Exposure</w:t>
      </w:r>
    </w:p>
    <w:tbl>
      <w:tblPr>
        <w:tblStyle w:val="SLROption1"/>
        <w:tblW w:w="5000" w:type="pct"/>
        <w:tblLook w:val="0000" w:firstRow="0" w:lastRow="0" w:firstColumn="0" w:lastColumn="0" w:noHBand="0" w:noVBand="0"/>
      </w:tblPr>
      <w:tblGrid>
        <w:gridCol w:w="5949"/>
        <w:gridCol w:w="3070"/>
      </w:tblGrid>
      <w:tr w:rsidR="00DE52AF" w:rsidRPr="00FF26BF" w14:paraId="4AFE26E3" w14:textId="77777777" w:rsidTr="00DE52AF">
        <w:trPr>
          <w:cantSplit/>
          <w:tblHeader/>
        </w:trPr>
        <w:tc>
          <w:tcPr>
            <w:tcW w:w="3298" w:type="pct"/>
            <w:shd w:val="clear" w:color="auto" w:fill="3C533C"/>
          </w:tcPr>
          <w:p w14:paraId="650EDFBD" w14:textId="77777777" w:rsidR="00DE52AF" w:rsidRPr="00FF26BF" w:rsidRDefault="00DE52AF" w:rsidP="00D97A0D">
            <w:pPr>
              <w:spacing w:after="0"/>
              <w:rPr>
                <w:rFonts w:cs="Arial"/>
                <w:sz w:val="20"/>
              </w:rPr>
            </w:pPr>
            <w:r w:rsidRPr="00FF26BF">
              <w:rPr>
                <w:rFonts w:eastAsia="Calibri" w:cs="Arial"/>
                <w:b/>
                <w:bCs/>
                <w:color w:val="FFFFFF"/>
                <w:sz w:val="20"/>
              </w:rPr>
              <w:t>Field</w:t>
            </w:r>
          </w:p>
        </w:tc>
        <w:tc>
          <w:tcPr>
            <w:tcW w:w="1702" w:type="pct"/>
            <w:shd w:val="clear" w:color="auto" w:fill="3C533C"/>
          </w:tcPr>
          <w:p w14:paraId="06AA369F" w14:textId="77777777" w:rsidR="00DE52AF" w:rsidRPr="00FF26BF" w:rsidRDefault="00DE52AF" w:rsidP="00D97A0D">
            <w:pPr>
              <w:spacing w:after="0"/>
              <w:rPr>
                <w:rFonts w:cs="Arial"/>
                <w:sz w:val="20"/>
              </w:rPr>
            </w:pPr>
            <w:r w:rsidRPr="00FF26BF">
              <w:rPr>
                <w:rFonts w:eastAsia="Calibri" w:cs="Arial"/>
                <w:b/>
                <w:bCs/>
                <w:color w:val="FFFFFF"/>
                <w:sz w:val="20"/>
              </w:rPr>
              <w:t>Extracted information</w:t>
            </w:r>
          </w:p>
        </w:tc>
      </w:tr>
      <w:tr w:rsidR="00DE52AF" w:rsidRPr="00FF26BF" w14:paraId="30118241" w14:textId="77777777" w:rsidTr="00DE52AF">
        <w:tc>
          <w:tcPr>
            <w:tcW w:w="3298" w:type="pct"/>
          </w:tcPr>
          <w:p w14:paraId="1326A3FD" w14:textId="77777777" w:rsidR="00DE52AF" w:rsidRPr="00DE52AF" w:rsidRDefault="00DE52AF" w:rsidP="00DE52AF">
            <w:pPr>
              <w:spacing w:after="0"/>
              <w:rPr>
                <w:rFonts w:cs="Arial"/>
                <w:sz w:val="20"/>
              </w:rPr>
            </w:pPr>
            <w:r w:rsidRPr="00DE52AF">
              <w:rPr>
                <w:rFonts w:eastAsia="Calibri" w:cs="Arial"/>
                <w:sz w:val="20"/>
              </w:rPr>
              <w:t>Exposure characterisation – source</w:t>
            </w:r>
          </w:p>
        </w:tc>
        <w:tc>
          <w:tcPr>
            <w:tcW w:w="1702" w:type="pct"/>
          </w:tcPr>
          <w:p w14:paraId="4C6DEC5D" w14:textId="2712E73E" w:rsidR="00DE52AF" w:rsidRPr="00FF26BF" w:rsidRDefault="00DE52AF" w:rsidP="00DE52AF">
            <w:pPr>
              <w:spacing w:after="0"/>
              <w:rPr>
                <w:rFonts w:cs="Arial"/>
                <w:sz w:val="20"/>
              </w:rPr>
            </w:pPr>
            <w:r w:rsidRPr="009B7E55">
              <w:rPr>
                <w:rFonts w:cs="Arial"/>
                <w:i/>
                <w:iCs/>
                <w:sz w:val="20"/>
              </w:rPr>
              <w:t>Intentionally blank</w:t>
            </w:r>
          </w:p>
        </w:tc>
      </w:tr>
      <w:tr w:rsidR="00DE52AF" w:rsidRPr="00FF26BF" w14:paraId="747F4735" w14:textId="77777777" w:rsidTr="00DE52AF">
        <w:tc>
          <w:tcPr>
            <w:tcW w:w="3298" w:type="pct"/>
          </w:tcPr>
          <w:p w14:paraId="2ABEC29E" w14:textId="77777777" w:rsidR="00DE52AF" w:rsidRPr="00DE52AF" w:rsidRDefault="00DE52AF" w:rsidP="00DE52AF">
            <w:pPr>
              <w:spacing w:after="0"/>
              <w:rPr>
                <w:rFonts w:cs="Arial"/>
                <w:sz w:val="20"/>
              </w:rPr>
            </w:pPr>
            <w:r w:rsidRPr="00DE52AF">
              <w:rPr>
                <w:rFonts w:eastAsia="Calibri" w:cs="Arial"/>
                <w:sz w:val="20"/>
              </w:rPr>
              <w:t>Exposure characterisation – dose</w:t>
            </w:r>
          </w:p>
        </w:tc>
        <w:tc>
          <w:tcPr>
            <w:tcW w:w="1702" w:type="pct"/>
          </w:tcPr>
          <w:p w14:paraId="451FEACB" w14:textId="1B3E09E5" w:rsidR="00DE52AF" w:rsidRPr="00FF26BF" w:rsidRDefault="00DE52AF" w:rsidP="00DE52AF">
            <w:pPr>
              <w:spacing w:before="120" w:after="0"/>
              <w:rPr>
                <w:rFonts w:cs="Arial"/>
                <w:sz w:val="20"/>
              </w:rPr>
            </w:pPr>
            <w:r w:rsidRPr="009B7E55">
              <w:rPr>
                <w:rFonts w:cs="Arial"/>
                <w:i/>
                <w:iCs/>
                <w:sz w:val="20"/>
              </w:rPr>
              <w:t>Intentionally blank</w:t>
            </w:r>
          </w:p>
        </w:tc>
      </w:tr>
      <w:tr w:rsidR="00DE52AF" w:rsidRPr="00FF26BF" w14:paraId="04BE2064" w14:textId="77777777" w:rsidTr="00DE52AF">
        <w:tc>
          <w:tcPr>
            <w:tcW w:w="3298" w:type="pct"/>
          </w:tcPr>
          <w:p w14:paraId="51DBB7CF" w14:textId="77777777" w:rsidR="00DE52AF" w:rsidRPr="00DE52AF" w:rsidRDefault="00DE52AF" w:rsidP="00DE52AF">
            <w:pPr>
              <w:spacing w:after="0"/>
              <w:rPr>
                <w:rFonts w:cs="Arial"/>
                <w:sz w:val="20"/>
              </w:rPr>
            </w:pPr>
            <w:r w:rsidRPr="00DE52AF">
              <w:rPr>
                <w:rFonts w:eastAsia="Calibri" w:cs="Arial"/>
                <w:sz w:val="20"/>
              </w:rPr>
              <w:t>Biomarker of exposure</w:t>
            </w:r>
          </w:p>
        </w:tc>
        <w:tc>
          <w:tcPr>
            <w:tcW w:w="1702" w:type="pct"/>
          </w:tcPr>
          <w:p w14:paraId="75276E44" w14:textId="360E5DE6" w:rsidR="00DE52AF" w:rsidRPr="00FF26BF" w:rsidRDefault="00DE52AF" w:rsidP="00DE52AF">
            <w:pPr>
              <w:spacing w:after="0"/>
              <w:rPr>
                <w:rFonts w:cs="Arial"/>
                <w:sz w:val="20"/>
              </w:rPr>
            </w:pPr>
            <w:r w:rsidRPr="009B7E55">
              <w:rPr>
                <w:rFonts w:cs="Arial"/>
                <w:i/>
                <w:iCs/>
                <w:sz w:val="20"/>
              </w:rPr>
              <w:t>Intentionally blank</w:t>
            </w:r>
          </w:p>
        </w:tc>
      </w:tr>
      <w:tr w:rsidR="00DE52AF" w:rsidRPr="00FF26BF" w14:paraId="4E91FC7D" w14:textId="77777777" w:rsidTr="00DE52AF">
        <w:tc>
          <w:tcPr>
            <w:tcW w:w="3298" w:type="pct"/>
          </w:tcPr>
          <w:p w14:paraId="0CED4F35" w14:textId="77777777" w:rsidR="00DE52AF" w:rsidRPr="00DE52AF" w:rsidRDefault="00DE52AF" w:rsidP="00DE52AF">
            <w:pPr>
              <w:spacing w:after="0"/>
              <w:rPr>
                <w:rFonts w:cs="Arial"/>
                <w:sz w:val="20"/>
              </w:rPr>
            </w:pPr>
            <w:r w:rsidRPr="00DE52AF">
              <w:rPr>
                <w:rFonts w:eastAsia="Calibri" w:cs="Arial"/>
                <w:sz w:val="20"/>
              </w:rPr>
              <w:t>Duration of exposure</w:t>
            </w:r>
          </w:p>
        </w:tc>
        <w:tc>
          <w:tcPr>
            <w:tcW w:w="1702" w:type="pct"/>
          </w:tcPr>
          <w:p w14:paraId="0704648C" w14:textId="603513E0" w:rsidR="00DE52AF" w:rsidRPr="00FF26BF" w:rsidRDefault="00DE52AF" w:rsidP="00DE52AF">
            <w:pPr>
              <w:spacing w:after="0"/>
              <w:rPr>
                <w:rFonts w:cs="Arial"/>
                <w:sz w:val="20"/>
              </w:rPr>
            </w:pPr>
            <w:r w:rsidRPr="009B7E55">
              <w:rPr>
                <w:rFonts w:cs="Arial"/>
                <w:i/>
                <w:iCs/>
                <w:sz w:val="20"/>
              </w:rPr>
              <w:t>Intentionally blank</w:t>
            </w:r>
          </w:p>
        </w:tc>
      </w:tr>
    </w:tbl>
    <w:p w14:paraId="5B168F59" w14:textId="77777777" w:rsidR="00DE52AF" w:rsidRPr="00FF26BF" w:rsidRDefault="00DE52AF" w:rsidP="00DE52AF">
      <w:pPr>
        <w:rPr>
          <w:rFonts w:eastAsia="Times New Roman" w:cs="Times New Roman"/>
          <w:b/>
          <w:bCs/>
        </w:rPr>
      </w:pPr>
      <w:r w:rsidRPr="00FF26BF">
        <w:rPr>
          <w:rFonts w:eastAsia="Times New Roman" w:cs="Times New Roman"/>
          <w:b/>
          <w:bCs/>
        </w:rPr>
        <w:t>Outcomes</w:t>
      </w:r>
    </w:p>
    <w:tbl>
      <w:tblPr>
        <w:tblStyle w:val="SLROption1"/>
        <w:tblW w:w="5000" w:type="pct"/>
        <w:tblLook w:val="0000" w:firstRow="0" w:lastRow="0" w:firstColumn="0" w:lastColumn="0" w:noHBand="0" w:noVBand="0"/>
      </w:tblPr>
      <w:tblGrid>
        <w:gridCol w:w="5949"/>
        <w:gridCol w:w="3070"/>
      </w:tblGrid>
      <w:tr w:rsidR="00DE52AF" w:rsidRPr="00FF26BF" w14:paraId="7C17DBF3" w14:textId="77777777" w:rsidTr="00DE52AF">
        <w:tc>
          <w:tcPr>
            <w:tcW w:w="3298" w:type="pct"/>
            <w:shd w:val="clear" w:color="auto" w:fill="3C533C"/>
          </w:tcPr>
          <w:p w14:paraId="0B862220" w14:textId="77777777" w:rsidR="00DE52AF" w:rsidRPr="00FF26BF" w:rsidRDefault="00DE52AF" w:rsidP="00D97A0D">
            <w:pPr>
              <w:spacing w:after="0"/>
              <w:rPr>
                <w:rFonts w:cs="Arial"/>
                <w:sz w:val="20"/>
              </w:rPr>
            </w:pPr>
            <w:r w:rsidRPr="00FF26BF">
              <w:rPr>
                <w:rFonts w:eastAsia="Calibri" w:cs="Arial"/>
                <w:b/>
                <w:bCs/>
                <w:color w:val="FFFFFF"/>
                <w:sz w:val="20"/>
              </w:rPr>
              <w:t>Field</w:t>
            </w:r>
          </w:p>
        </w:tc>
        <w:tc>
          <w:tcPr>
            <w:tcW w:w="1702" w:type="pct"/>
            <w:shd w:val="clear" w:color="auto" w:fill="3C533C"/>
          </w:tcPr>
          <w:p w14:paraId="33D7E278" w14:textId="77777777" w:rsidR="00DE52AF" w:rsidRPr="00FF26BF" w:rsidRDefault="00DE52AF" w:rsidP="00D97A0D">
            <w:pPr>
              <w:spacing w:after="0"/>
              <w:rPr>
                <w:rFonts w:cs="Arial"/>
                <w:sz w:val="20"/>
              </w:rPr>
            </w:pPr>
            <w:r w:rsidRPr="00FF26BF">
              <w:rPr>
                <w:rFonts w:eastAsia="Calibri" w:cs="Arial"/>
                <w:b/>
                <w:bCs/>
                <w:color w:val="FFFFFF"/>
                <w:sz w:val="20"/>
              </w:rPr>
              <w:t>Extracted information</w:t>
            </w:r>
          </w:p>
        </w:tc>
      </w:tr>
      <w:tr w:rsidR="00DE52AF" w:rsidRPr="00FF26BF" w14:paraId="28B4EBCB" w14:textId="77777777" w:rsidTr="00DE52AF">
        <w:tc>
          <w:tcPr>
            <w:tcW w:w="3298" w:type="pct"/>
          </w:tcPr>
          <w:p w14:paraId="3A5DE89F" w14:textId="77777777" w:rsidR="00DE52AF" w:rsidRPr="00DE52AF" w:rsidRDefault="00DE52AF" w:rsidP="00DE52AF">
            <w:pPr>
              <w:spacing w:after="0"/>
              <w:rPr>
                <w:rFonts w:cs="Arial"/>
                <w:sz w:val="20"/>
              </w:rPr>
            </w:pPr>
            <w:r w:rsidRPr="00DE52AF">
              <w:rPr>
                <w:rFonts w:eastAsia="Calibri" w:cs="Arial"/>
                <w:sz w:val="20"/>
              </w:rPr>
              <w:t>Primary outcome</w:t>
            </w:r>
          </w:p>
        </w:tc>
        <w:tc>
          <w:tcPr>
            <w:tcW w:w="1702" w:type="pct"/>
          </w:tcPr>
          <w:p w14:paraId="3FB1F29B" w14:textId="4A1D42F2" w:rsidR="00DE52AF" w:rsidRPr="00FF26BF" w:rsidRDefault="00DE52AF" w:rsidP="00DE52AF">
            <w:pPr>
              <w:spacing w:after="0"/>
              <w:rPr>
                <w:rFonts w:cs="Arial"/>
                <w:sz w:val="20"/>
              </w:rPr>
            </w:pPr>
            <w:r w:rsidRPr="00B00BD6">
              <w:rPr>
                <w:rFonts w:cs="Arial"/>
                <w:i/>
                <w:iCs/>
                <w:sz w:val="20"/>
              </w:rPr>
              <w:t>Intentionally blank</w:t>
            </w:r>
          </w:p>
        </w:tc>
      </w:tr>
      <w:tr w:rsidR="00DE52AF" w:rsidRPr="00FF26BF" w14:paraId="3E2AF851" w14:textId="77777777" w:rsidTr="00DE52AF">
        <w:tc>
          <w:tcPr>
            <w:tcW w:w="3298" w:type="pct"/>
          </w:tcPr>
          <w:p w14:paraId="3FC68929" w14:textId="77777777" w:rsidR="00DE52AF" w:rsidRPr="00DE52AF" w:rsidRDefault="00DE52AF" w:rsidP="00DE52AF">
            <w:pPr>
              <w:spacing w:after="0"/>
              <w:rPr>
                <w:rFonts w:cs="Arial"/>
                <w:sz w:val="20"/>
              </w:rPr>
            </w:pPr>
            <w:r w:rsidRPr="00DE52AF">
              <w:rPr>
                <w:rFonts w:eastAsia="Calibri" w:cs="Arial"/>
                <w:sz w:val="20"/>
              </w:rPr>
              <w:t>Outcome assessment – clinical examination</w:t>
            </w:r>
          </w:p>
        </w:tc>
        <w:tc>
          <w:tcPr>
            <w:tcW w:w="1702" w:type="pct"/>
          </w:tcPr>
          <w:p w14:paraId="218D20AB" w14:textId="5F9E161A" w:rsidR="00DE52AF" w:rsidRPr="00FF26BF" w:rsidRDefault="00DE52AF" w:rsidP="00DE52AF">
            <w:pPr>
              <w:spacing w:before="120" w:after="0"/>
              <w:rPr>
                <w:rFonts w:cs="Arial"/>
                <w:sz w:val="20"/>
              </w:rPr>
            </w:pPr>
            <w:r w:rsidRPr="00B00BD6">
              <w:rPr>
                <w:rFonts w:cs="Arial"/>
                <w:i/>
                <w:iCs/>
                <w:sz w:val="20"/>
              </w:rPr>
              <w:t>Intentionally blank</w:t>
            </w:r>
          </w:p>
        </w:tc>
      </w:tr>
      <w:tr w:rsidR="00DE52AF" w:rsidRPr="00FF26BF" w14:paraId="5E36425C" w14:textId="77777777" w:rsidTr="00DE52AF">
        <w:tc>
          <w:tcPr>
            <w:tcW w:w="3298" w:type="pct"/>
          </w:tcPr>
          <w:p w14:paraId="11851E1C" w14:textId="77777777" w:rsidR="00DE52AF" w:rsidRPr="00DE52AF" w:rsidRDefault="00DE52AF" w:rsidP="00DE52AF">
            <w:pPr>
              <w:spacing w:after="0"/>
              <w:rPr>
                <w:rFonts w:cs="Arial"/>
                <w:sz w:val="20"/>
              </w:rPr>
            </w:pPr>
            <w:r w:rsidRPr="00DE52AF">
              <w:rPr>
                <w:rFonts w:eastAsia="Calibri" w:cs="Arial"/>
                <w:sz w:val="20"/>
              </w:rPr>
              <w:t>Outcome assessment – objective testing</w:t>
            </w:r>
          </w:p>
        </w:tc>
        <w:tc>
          <w:tcPr>
            <w:tcW w:w="1702" w:type="pct"/>
          </w:tcPr>
          <w:p w14:paraId="3AE0D41D" w14:textId="4EC2DBA1" w:rsidR="00DE52AF" w:rsidRPr="00FF26BF" w:rsidRDefault="00DE52AF" w:rsidP="00DE52AF">
            <w:pPr>
              <w:spacing w:after="0"/>
              <w:rPr>
                <w:rFonts w:cs="Arial"/>
                <w:sz w:val="20"/>
              </w:rPr>
            </w:pPr>
            <w:r w:rsidRPr="00B00BD6">
              <w:rPr>
                <w:rFonts w:cs="Arial"/>
                <w:i/>
                <w:iCs/>
                <w:sz w:val="20"/>
              </w:rPr>
              <w:t>Intentionally blank</w:t>
            </w:r>
          </w:p>
        </w:tc>
      </w:tr>
      <w:tr w:rsidR="00DE52AF" w:rsidRPr="00FF26BF" w14:paraId="68896BEA" w14:textId="77777777" w:rsidTr="00DE52AF">
        <w:tc>
          <w:tcPr>
            <w:tcW w:w="3298" w:type="pct"/>
          </w:tcPr>
          <w:p w14:paraId="629CBDDA" w14:textId="77777777" w:rsidR="00DE52AF" w:rsidRPr="00DE52AF" w:rsidRDefault="00DE52AF" w:rsidP="00DE52AF">
            <w:pPr>
              <w:spacing w:after="0"/>
              <w:rPr>
                <w:rFonts w:cs="Arial"/>
                <w:sz w:val="20"/>
              </w:rPr>
            </w:pPr>
            <w:r w:rsidRPr="00DE52AF">
              <w:rPr>
                <w:rFonts w:eastAsia="Calibri" w:cs="Arial"/>
                <w:sz w:val="20"/>
              </w:rPr>
              <w:t>Outcome assessment – tools used</w:t>
            </w:r>
          </w:p>
        </w:tc>
        <w:tc>
          <w:tcPr>
            <w:tcW w:w="1702" w:type="pct"/>
          </w:tcPr>
          <w:p w14:paraId="322C4CC2" w14:textId="247096D1" w:rsidR="00DE52AF" w:rsidRPr="00FF26BF" w:rsidRDefault="00DE52AF" w:rsidP="00DE52AF">
            <w:pPr>
              <w:spacing w:after="0"/>
              <w:rPr>
                <w:rFonts w:cs="Arial"/>
                <w:sz w:val="20"/>
              </w:rPr>
            </w:pPr>
            <w:r w:rsidRPr="00B00BD6">
              <w:rPr>
                <w:rFonts w:cs="Arial"/>
                <w:i/>
                <w:iCs/>
                <w:sz w:val="20"/>
              </w:rPr>
              <w:t>Intentionally blank</w:t>
            </w:r>
          </w:p>
        </w:tc>
      </w:tr>
      <w:tr w:rsidR="00DE52AF" w:rsidRPr="00FF26BF" w14:paraId="1824707C" w14:textId="77777777" w:rsidTr="00DE52AF">
        <w:tc>
          <w:tcPr>
            <w:tcW w:w="3298" w:type="pct"/>
          </w:tcPr>
          <w:p w14:paraId="7AFDEE1C" w14:textId="77777777" w:rsidR="00DE52AF" w:rsidRPr="00DE52AF" w:rsidRDefault="00DE52AF" w:rsidP="00DE52AF">
            <w:pPr>
              <w:spacing w:after="0"/>
              <w:rPr>
                <w:rFonts w:cs="Arial"/>
                <w:sz w:val="20"/>
              </w:rPr>
            </w:pPr>
            <w:r w:rsidRPr="00DE52AF">
              <w:rPr>
                <w:rFonts w:eastAsia="Calibri" w:cs="Arial"/>
                <w:sz w:val="20"/>
              </w:rPr>
              <w:t>Response to withdrawal</w:t>
            </w:r>
          </w:p>
        </w:tc>
        <w:tc>
          <w:tcPr>
            <w:tcW w:w="1702" w:type="pct"/>
          </w:tcPr>
          <w:p w14:paraId="7AA49CE8" w14:textId="0E5695EA" w:rsidR="00DE52AF" w:rsidRPr="00FF26BF" w:rsidRDefault="00DE52AF" w:rsidP="00DE52AF">
            <w:pPr>
              <w:spacing w:after="0"/>
              <w:rPr>
                <w:rFonts w:cs="Arial"/>
                <w:sz w:val="20"/>
              </w:rPr>
            </w:pPr>
            <w:r w:rsidRPr="00B00BD6">
              <w:rPr>
                <w:rFonts w:cs="Arial"/>
                <w:i/>
                <w:iCs/>
                <w:sz w:val="20"/>
              </w:rPr>
              <w:t>Intentionally blank</w:t>
            </w:r>
          </w:p>
        </w:tc>
      </w:tr>
    </w:tbl>
    <w:p w14:paraId="48FC16CB" w14:textId="77777777" w:rsidR="00DE52AF" w:rsidRPr="00FF26BF" w:rsidRDefault="00DE52AF" w:rsidP="00DE52AF">
      <w:pPr>
        <w:rPr>
          <w:rFonts w:eastAsia="Times New Roman" w:cs="Times New Roman"/>
          <w:b/>
          <w:bCs/>
        </w:rPr>
      </w:pPr>
      <w:r w:rsidRPr="00FF26BF">
        <w:rPr>
          <w:rFonts w:eastAsia="Times New Roman" w:cs="Times New Roman"/>
          <w:b/>
          <w:bCs/>
        </w:rPr>
        <w:t>Results and Conclusions</w:t>
      </w:r>
    </w:p>
    <w:tbl>
      <w:tblPr>
        <w:tblStyle w:val="SLROption1"/>
        <w:tblW w:w="5000" w:type="pct"/>
        <w:tblLook w:val="0000" w:firstRow="0" w:lastRow="0" w:firstColumn="0" w:lastColumn="0" w:noHBand="0" w:noVBand="0"/>
      </w:tblPr>
      <w:tblGrid>
        <w:gridCol w:w="5949"/>
        <w:gridCol w:w="3070"/>
      </w:tblGrid>
      <w:tr w:rsidR="00DE52AF" w:rsidRPr="00FF26BF" w14:paraId="70225822" w14:textId="77777777" w:rsidTr="00DE52AF">
        <w:trPr>
          <w:cantSplit/>
          <w:tblHeader/>
        </w:trPr>
        <w:tc>
          <w:tcPr>
            <w:tcW w:w="3298" w:type="pct"/>
            <w:shd w:val="clear" w:color="auto" w:fill="3C533C"/>
          </w:tcPr>
          <w:p w14:paraId="0A034A1C" w14:textId="77777777" w:rsidR="00DE52AF" w:rsidRPr="00FF26BF" w:rsidRDefault="00DE52AF" w:rsidP="00D97A0D">
            <w:pPr>
              <w:spacing w:after="0"/>
              <w:rPr>
                <w:rFonts w:cs="Arial"/>
                <w:sz w:val="20"/>
              </w:rPr>
            </w:pPr>
            <w:r w:rsidRPr="00FF26BF">
              <w:rPr>
                <w:rFonts w:eastAsia="Calibri" w:cs="Arial"/>
                <w:b/>
                <w:bCs/>
                <w:color w:val="FFFFFF"/>
                <w:sz w:val="20"/>
              </w:rPr>
              <w:t>Field</w:t>
            </w:r>
          </w:p>
        </w:tc>
        <w:tc>
          <w:tcPr>
            <w:tcW w:w="1702" w:type="pct"/>
            <w:shd w:val="clear" w:color="auto" w:fill="3C533C"/>
          </w:tcPr>
          <w:p w14:paraId="3B3EB7EA" w14:textId="77777777" w:rsidR="00DE52AF" w:rsidRPr="00FF26BF" w:rsidRDefault="00DE52AF" w:rsidP="00D97A0D">
            <w:pPr>
              <w:spacing w:after="0"/>
              <w:rPr>
                <w:rFonts w:cs="Arial"/>
                <w:sz w:val="20"/>
              </w:rPr>
            </w:pPr>
            <w:r w:rsidRPr="00FF26BF">
              <w:rPr>
                <w:rFonts w:eastAsia="Calibri" w:cs="Arial"/>
                <w:b/>
                <w:bCs/>
                <w:color w:val="FFFFFF"/>
                <w:sz w:val="20"/>
              </w:rPr>
              <w:t>Extracted information</w:t>
            </w:r>
          </w:p>
        </w:tc>
      </w:tr>
      <w:tr w:rsidR="00DE52AF" w:rsidRPr="00FF26BF" w14:paraId="72F6811C" w14:textId="77777777" w:rsidTr="00DE52AF">
        <w:trPr>
          <w:cantSplit/>
        </w:trPr>
        <w:tc>
          <w:tcPr>
            <w:tcW w:w="3298" w:type="pct"/>
          </w:tcPr>
          <w:p w14:paraId="709BFF2B" w14:textId="77777777" w:rsidR="00DE52AF" w:rsidRPr="00DE52AF" w:rsidRDefault="00DE52AF" w:rsidP="00DE52AF">
            <w:pPr>
              <w:spacing w:after="0"/>
              <w:rPr>
                <w:rFonts w:cs="Arial"/>
                <w:sz w:val="20"/>
              </w:rPr>
            </w:pPr>
            <w:r w:rsidRPr="00DE52AF">
              <w:rPr>
                <w:rFonts w:eastAsia="Calibri" w:cs="Arial"/>
                <w:sz w:val="20"/>
              </w:rPr>
              <w:t>Main results</w:t>
            </w:r>
          </w:p>
        </w:tc>
        <w:tc>
          <w:tcPr>
            <w:tcW w:w="1702" w:type="pct"/>
          </w:tcPr>
          <w:p w14:paraId="34531918" w14:textId="0C265CA1" w:rsidR="00DE52AF" w:rsidRPr="00FF26BF" w:rsidRDefault="00DE52AF" w:rsidP="00DE52AF">
            <w:pPr>
              <w:spacing w:before="120" w:after="0"/>
              <w:rPr>
                <w:rFonts w:cs="Arial"/>
                <w:sz w:val="20"/>
              </w:rPr>
            </w:pPr>
            <w:r w:rsidRPr="00B614EF">
              <w:rPr>
                <w:rFonts w:cs="Arial"/>
                <w:i/>
                <w:iCs/>
                <w:sz w:val="20"/>
              </w:rPr>
              <w:t>Intentionally blank</w:t>
            </w:r>
          </w:p>
        </w:tc>
      </w:tr>
      <w:tr w:rsidR="00DE52AF" w:rsidRPr="00FF26BF" w14:paraId="021FA809" w14:textId="77777777" w:rsidTr="00DE52AF">
        <w:trPr>
          <w:cantSplit/>
        </w:trPr>
        <w:tc>
          <w:tcPr>
            <w:tcW w:w="3298" w:type="pct"/>
          </w:tcPr>
          <w:p w14:paraId="75C415BD" w14:textId="77777777" w:rsidR="00DE52AF" w:rsidRPr="00DE52AF" w:rsidRDefault="00DE52AF" w:rsidP="00DE52AF">
            <w:pPr>
              <w:spacing w:after="0"/>
              <w:rPr>
                <w:rFonts w:cs="Arial"/>
                <w:sz w:val="20"/>
              </w:rPr>
            </w:pPr>
            <w:r w:rsidRPr="00DE52AF">
              <w:rPr>
                <w:rFonts w:eastAsia="Calibri" w:cs="Arial"/>
                <w:sz w:val="20"/>
              </w:rPr>
              <w:t>Authors' conclusions</w:t>
            </w:r>
          </w:p>
        </w:tc>
        <w:tc>
          <w:tcPr>
            <w:tcW w:w="1702" w:type="pct"/>
          </w:tcPr>
          <w:p w14:paraId="7E82FC8D" w14:textId="36BC3AF2" w:rsidR="00DE52AF" w:rsidRPr="00FF26BF" w:rsidRDefault="00DE52AF" w:rsidP="00DE52AF">
            <w:pPr>
              <w:spacing w:after="0"/>
              <w:rPr>
                <w:rFonts w:cs="Arial"/>
                <w:sz w:val="20"/>
              </w:rPr>
            </w:pPr>
            <w:r w:rsidRPr="00B614EF">
              <w:rPr>
                <w:rFonts w:cs="Arial"/>
                <w:i/>
                <w:iCs/>
                <w:sz w:val="20"/>
              </w:rPr>
              <w:t>Intentionally blank</w:t>
            </w:r>
          </w:p>
        </w:tc>
      </w:tr>
      <w:tr w:rsidR="00DE52AF" w:rsidRPr="00FF26BF" w14:paraId="0D709175" w14:textId="77777777" w:rsidTr="00DE52AF">
        <w:trPr>
          <w:cantSplit/>
        </w:trPr>
        <w:tc>
          <w:tcPr>
            <w:tcW w:w="3298" w:type="pct"/>
          </w:tcPr>
          <w:p w14:paraId="137E09A9" w14:textId="77777777" w:rsidR="00DE52AF" w:rsidRPr="00DE52AF" w:rsidRDefault="00DE52AF" w:rsidP="00DE52AF">
            <w:pPr>
              <w:spacing w:after="0"/>
              <w:rPr>
                <w:rFonts w:cs="Arial"/>
                <w:sz w:val="20"/>
              </w:rPr>
            </w:pPr>
            <w:r w:rsidRPr="00DE52AF">
              <w:rPr>
                <w:rFonts w:eastAsia="Calibri" w:cs="Arial"/>
                <w:sz w:val="20"/>
              </w:rPr>
              <w:t>Authors' acknowledged limitations</w:t>
            </w:r>
          </w:p>
        </w:tc>
        <w:tc>
          <w:tcPr>
            <w:tcW w:w="1702" w:type="pct"/>
          </w:tcPr>
          <w:p w14:paraId="6099F59E" w14:textId="6E2E2111" w:rsidR="00DE52AF" w:rsidRPr="00FF26BF" w:rsidRDefault="00DE52AF" w:rsidP="00DE52AF">
            <w:pPr>
              <w:spacing w:before="120" w:after="0"/>
              <w:rPr>
                <w:rFonts w:cs="Arial"/>
                <w:sz w:val="20"/>
              </w:rPr>
            </w:pPr>
            <w:r w:rsidRPr="00B614EF">
              <w:rPr>
                <w:rFonts w:cs="Arial"/>
                <w:i/>
                <w:iCs/>
                <w:sz w:val="20"/>
              </w:rPr>
              <w:t>Intentionally blank</w:t>
            </w:r>
          </w:p>
        </w:tc>
      </w:tr>
    </w:tbl>
    <w:p w14:paraId="3288EDED" w14:textId="77777777" w:rsidR="00DE52AF" w:rsidRPr="00FF26BF" w:rsidRDefault="00DE52AF" w:rsidP="00DE52AF">
      <w:pPr>
        <w:rPr>
          <w:rFonts w:eastAsia="Times New Roman" w:cs="Times New Roman"/>
          <w:b/>
          <w:bCs/>
        </w:rPr>
      </w:pPr>
      <w:r w:rsidRPr="00FF26BF">
        <w:rPr>
          <w:rFonts w:eastAsia="Times New Roman" w:cs="Times New Roman"/>
          <w:b/>
          <w:bCs/>
        </w:rPr>
        <w:t>Contextual information for the AU/NZ UL review</w:t>
      </w:r>
    </w:p>
    <w:tbl>
      <w:tblPr>
        <w:tblStyle w:val="SLROption1"/>
        <w:tblW w:w="5000" w:type="pct"/>
        <w:tblLook w:val="0000" w:firstRow="0" w:lastRow="0" w:firstColumn="0" w:lastColumn="0" w:noHBand="0" w:noVBand="0"/>
      </w:tblPr>
      <w:tblGrid>
        <w:gridCol w:w="5949"/>
        <w:gridCol w:w="3070"/>
      </w:tblGrid>
      <w:tr w:rsidR="00DE52AF" w:rsidRPr="00FF26BF" w14:paraId="6D6B8DE2" w14:textId="77777777" w:rsidTr="00DE52AF">
        <w:tc>
          <w:tcPr>
            <w:tcW w:w="3298" w:type="pct"/>
          </w:tcPr>
          <w:p w14:paraId="4A1C6E52" w14:textId="77777777" w:rsidR="00DE52AF" w:rsidRPr="00DE52AF" w:rsidRDefault="00DE52AF" w:rsidP="00D97A0D">
            <w:pPr>
              <w:spacing w:after="0"/>
              <w:rPr>
                <w:rFonts w:cs="Arial"/>
                <w:sz w:val="20"/>
              </w:rPr>
            </w:pPr>
            <w:r w:rsidRPr="00DE52AF">
              <w:rPr>
                <w:rFonts w:eastAsia="Calibri" w:cs="Arial"/>
                <w:sz w:val="20"/>
              </w:rPr>
              <w:t>Generalisability to AU/NZ</w:t>
            </w:r>
          </w:p>
        </w:tc>
        <w:tc>
          <w:tcPr>
            <w:tcW w:w="1702" w:type="pct"/>
          </w:tcPr>
          <w:p w14:paraId="3FC115BB" w14:textId="6DEB6BB9" w:rsidR="00DE52AF" w:rsidRPr="00FF26BF" w:rsidRDefault="00DE52AF" w:rsidP="00D97A0D">
            <w:pPr>
              <w:spacing w:after="0"/>
              <w:rPr>
                <w:rFonts w:cs="Arial"/>
                <w:sz w:val="20"/>
              </w:rPr>
            </w:pPr>
            <w:r w:rsidRPr="00B00BD6">
              <w:rPr>
                <w:rFonts w:cs="Arial"/>
                <w:i/>
                <w:iCs/>
                <w:sz w:val="20"/>
              </w:rPr>
              <w:t>Intentionally blank</w:t>
            </w:r>
          </w:p>
        </w:tc>
      </w:tr>
    </w:tbl>
    <w:bookmarkEnd w:id="28"/>
    <w:bookmarkEnd w:id="29"/>
    <w:p w14:paraId="06FD0963" w14:textId="534A4C07" w:rsidR="00767956" w:rsidRDefault="00767956" w:rsidP="00767956">
      <w:pPr>
        <w:pStyle w:val="Heading5"/>
      </w:pPr>
      <w:r>
        <w:t>Data summary/synthesis</w:t>
      </w:r>
    </w:p>
    <w:p w14:paraId="030EB14E" w14:textId="0791DF24" w:rsidR="00846251" w:rsidRDefault="00846251" w:rsidP="00846251">
      <w:pPr>
        <w:pStyle w:val="BodyText"/>
      </w:pPr>
      <w:r>
        <w:t>Data summary and synthesis for the evidence limited was limited to those studies and findings with the potential to influence the overall conclusions of existing health-based guidance relevant to the vitamin B6 UL that is, evidence directly pertaining to the health-based research questions, particularly adverse neurological effects and other critical endpoints associated with excess vitamin B6 intake. Relevant data were summarised in tabular format by research question where applicable.</w:t>
      </w:r>
    </w:p>
    <w:p w14:paraId="65B49E01" w14:textId="645F6F85" w:rsidR="00846251" w:rsidRDefault="00846251" w:rsidP="00846251">
      <w:pPr>
        <w:pStyle w:val="BodyText"/>
      </w:pPr>
      <w:r>
        <w:t>Studies identified through the evidence review were used to inform interpretation of the available evidence and to determine whether any new findings may affect the assessment of existing guidance or introduce considerations not addressed in prior evaluations. Following data extraction, risk of bias assessment was undertaken for selected studies considered directly relevant to UL derivation, consistent with the agreed scope of the review and using a modified OHAT risk-of-bias tool (NTP OHAT 2019). The completed risk of bias assessment tables for individual studies is provided in</w:t>
      </w:r>
      <w:r w:rsidR="00524265">
        <w:rPr>
          <w:b/>
          <w:bCs/>
        </w:rPr>
        <w:t xml:space="preserve"> </w:t>
      </w:r>
      <w:r w:rsidR="00524265">
        <w:rPr>
          <w:b/>
          <w:bCs/>
        </w:rPr>
        <w:fldChar w:fldCharType="begin"/>
      </w:r>
      <w:r w:rsidR="00524265">
        <w:rPr>
          <w:b/>
          <w:bCs/>
        </w:rPr>
        <w:instrText xml:space="preserve"> REF _Ref236998913 \r \h </w:instrText>
      </w:r>
      <w:r w:rsidR="00524265">
        <w:rPr>
          <w:b/>
          <w:bCs/>
        </w:rPr>
      </w:r>
      <w:r w:rsidR="00524265">
        <w:rPr>
          <w:b/>
          <w:bCs/>
        </w:rPr>
        <w:fldChar w:fldCharType="separate"/>
      </w:r>
      <w:r w:rsidR="00A41FEF">
        <w:rPr>
          <w:b/>
          <w:bCs/>
        </w:rPr>
        <w:t>Appendix F</w:t>
      </w:r>
      <w:r w:rsidR="00524265">
        <w:rPr>
          <w:b/>
          <w:bCs/>
        </w:rPr>
        <w:fldChar w:fldCharType="end"/>
      </w:r>
      <w:r>
        <w:t>.</w:t>
      </w:r>
    </w:p>
    <w:p w14:paraId="69941051" w14:textId="6BB17AFD" w:rsidR="00846251" w:rsidRDefault="00846251" w:rsidP="00767956">
      <w:pPr>
        <w:pStyle w:val="BodyText"/>
      </w:pPr>
      <w:r>
        <w:t xml:space="preserve">The overall confidence in the body of evidence for each relevant health outcome was assessed using a GRADE-informed approach, taking into account risk of bias findings, consistency of results across studies, directness and applicability to the Australian and New Zealand population, precision of effect estimates, and potential for publication bias, together </w:t>
      </w:r>
      <w:r>
        <w:lastRenderedPageBreak/>
        <w:t xml:space="preserve">with relevant upgrading factors such as dose–response relationships and magnitude of effect. These assessments, presented by health outcome category and study type (human and animal), are summarised in </w:t>
      </w:r>
      <w:r w:rsidR="00524265" w:rsidRPr="00524265">
        <w:rPr>
          <w:b/>
          <w:bCs/>
        </w:rPr>
        <w:fldChar w:fldCharType="begin"/>
      </w:r>
      <w:r w:rsidR="00524265" w:rsidRPr="00524265">
        <w:rPr>
          <w:b/>
          <w:bCs/>
        </w:rPr>
        <w:instrText xml:space="preserve"> REF _Ref236998812 \r \h </w:instrText>
      </w:r>
      <w:r w:rsidR="00524265">
        <w:rPr>
          <w:b/>
          <w:bCs/>
        </w:rPr>
        <w:instrText xml:space="preserve"> \* MERGEFORMAT </w:instrText>
      </w:r>
      <w:r w:rsidR="00524265" w:rsidRPr="00524265">
        <w:rPr>
          <w:b/>
          <w:bCs/>
        </w:rPr>
      </w:r>
      <w:r w:rsidR="00524265" w:rsidRPr="00524265">
        <w:rPr>
          <w:b/>
          <w:bCs/>
        </w:rPr>
        <w:fldChar w:fldCharType="separate"/>
      </w:r>
      <w:r w:rsidR="00A41FEF">
        <w:rPr>
          <w:b/>
          <w:bCs/>
        </w:rPr>
        <w:t>Appendix F</w:t>
      </w:r>
      <w:r w:rsidR="00524265" w:rsidRPr="00524265">
        <w:rPr>
          <w:b/>
          <w:bCs/>
        </w:rPr>
        <w:fldChar w:fldCharType="end"/>
      </w:r>
      <w:r w:rsidR="00524265">
        <w:rPr>
          <w:b/>
          <w:bCs/>
        </w:rPr>
        <w:t xml:space="preserve"> </w:t>
      </w:r>
      <w:r>
        <w:t>alongside the individual risk of bias tables.</w:t>
      </w:r>
    </w:p>
    <w:p w14:paraId="0D301D73" w14:textId="60AD16F4" w:rsidR="00767956" w:rsidRDefault="00306EFF" w:rsidP="00E45AB2">
      <w:pPr>
        <w:pStyle w:val="BodyText"/>
      </w:pPr>
      <w:r>
        <w:fldChar w:fldCharType="begin"/>
      </w:r>
      <w:r>
        <w:instrText xml:space="preserve"> REF _Ref230787378 \h </w:instrText>
      </w:r>
      <w:r>
        <w:fldChar w:fldCharType="separate"/>
      </w:r>
      <w:r w:rsidR="00A41FEF" w:rsidRPr="00E45AB2">
        <w:rPr>
          <w:b/>
          <w:bCs/>
        </w:rPr>
        <w:t xml:space="preserve">Table </w:t>
      </w:r>
      <w:r w:rsidR="00A41FEF">
        <w:rPr>
          <w:b/>
          <w:bCs/>
          <w:noProof/>
        </w:rPr>
        <w:t>6</w:t>
      </w:r>
      <w:r>
        <w:fldChar w:fldCharType="end"/>
      </w:r>
      <w:r w:rsidR="00E45AB2" w:rsidRPr="00E45AB2">
        <w:t xml:space="preserve"> </w:t>
      </w:r>
      <w:r w:rsidR="00E45AB2">
        <w:t>provides</w:t>
      </w:r>
      <w:r w:rsidR="00E45AB2" w:rsidRPr="00E45AB2">
        <w:t xml:space="preserve"> example risk of bias assessment tables for each assessed study, showing the domain-level judgements applied to individual pieces of evidence. In addition, the overall confidence in the body of evidence for each relevant health outcome will be presented in</w:t>
      </w:r>
      <w:r w:rsidR="00524265">
        <w:t xml:space="preserve"> </w:t>
      </w:r>
      <w:r w:rsidR="00524265" w:rsidRPr="00524265">
        <w:rPr>
          <w:b/>
          <w:bCs/>
        </w:rPr>
        <w:fldChar w:fldCharType="begin"/>
      </w:r>
      <w:r w:rsidR="00524265" w:rsidRPr="00524265">
        <w:rPr>
          <w:b/>
          <w:bCs/>
        </w:rPr>
        <w:instrText xml:space="preserve"> REF _Ref236998812 \r \h </w:instrText>
      </w:r>
      <w:r w:rsidR="00524265">
        <w:rPr>
          <w:b/>
          <w:bCs/>
        </w:rPr>
        <w:instrText xml:space="preserve"> \* MERGEFORMAT </w:instrText>
      </w:r>
      <w:r w:rsidR="00524265" w:rsidRPr="00524265">
        <w:rPr>
          <w:b/>
          <w:bCs/>
        </w:rPr>
      </w:r>
      <w:r w:rsidR="00524265" w:rsidRPr="00524265">
        <w:rPr>
          <w:b/>
          <w:bCs/>
        </w:rPr>
        <w:fldChar w:fldCharType="separate"/>
      </w:r>
      <w:r w:rsidR="00A41FEF">
        <w:rPr>
          <w:b/>
          <w:bCs/>
        </w:rPr>
        <w:t>Appendix F</w:t>
      </w:r>
      <w:r w:rsidR="00524265" w:rsidRPr="00524265">
        <w:rPr>
          <w:b/>
          <w:bCs/>
        </w:rPr>
        <w:fldChar w:fldCharType="end"/>
      </w:r>
      <w:r w:rsidR="00E45AB2" w:rsidRPr="00E45AB2">
        <w:t>, taking into account the risk of bias findings, consistency, directness, precision and other relevant considerations.</w:t>
      </w:r>
      <w:r w:rsidR="00767956">
        <w:t xml:space="preserve"> </w:t>
      </w:r>
    </w:p>
    <w:p w14:paraId="7A28A443" w14:textId="618410BA" w:rsidR="00E45AB2" w:rsidRDefault="00E45AB2" w:rsidP="00E45AB2">
      <w:pPr>
        <w:pStyle w:val="BodyText"/>
        <w:rPr>
          <w:b/>
          <w:bCs/>
        </w:rPr>
      </w:pPr>
      <w:bookmarkStart w:id="30" w:name="_Ref230787378"/>
      <w:bookmarkStart w:id="31" w:name="_Toc233022873"/>
      <w:r w:rsidRPr="00E45AB2">
        <w:rPr>
          <w:b/>
          <w:bCs/>
        </w:rPr>
        <w:t xml:space="preserve">Table </w:t>
      </w:r>
      <w:r w:rsidRPr="00E45AB2">
        <w:rPr>
          <w:b/>
          <w:bCs/>
        </w:rPr>
        <w:fldChar w:fldCharType="begin"/>
      </w:r>
      <w:r w:rsidRPr="00E45AB2">
        <w:rPr>
          <w:b/>
          <w:bCs/>
        </w:rPr>
        <w:instrText xml:space="preserve"> SEQ Table \* ARABIC </w:instrText>
      </w:r>
      <w:r w:rsidRPr="00E45AB2">
        <w:rPr>
          <w:b/>
          <w:bCs/>
        </w:rPr>
        <w:fldChar w:fldCharType="separate"/>
      </w:r>
      <w:r w:rsidR="00A41FEF">
        <w:rPr>
          <w:b/>
          <w:bCs/>
          <w:noProof/>
        </w:rPr>
        <w:t>6</w:t>
      </w:r>
      <w:r w:rsidRPr="00E45AB2">
        <w:rPr>
          <w:b/>
          <w:bCs/>
        </w:rPr>
        <w:fldChar w:fldCharType="end"/>
      </w:r>
      <w:bookmarkEnd w:id="30"/>
      <w:r w:rsidRPr="00E45AB2">
        <w:rPr>
          <w:b/>
          <w:bCs/>
        </w:rPr>
        <w:t xml:space="preserve"> </w:t>
      </w:r>
      <w:r w:rsidRPr="00E45AB2">
        <w:rPr>
          <w:b/>
          <w:bCs/>
        </w:rPr>
        <w:tab/>
        <w:t xml:space="preserve">Example of </w:t>
      </w:r>
      <w:r>
        <w:rPr>
          <w:b/>
          <w:bCs/>
        </w:rPr>
        <w:t>risk of bias assessment for individual new study from evidence scan</w:t>
      </w:r>
      <w:bookmarkEnd w:id="31"/>
    </w:p>
    <w:p w14:paraId="163EDFD8" w14:textId="1D750B5A" w:rsidR="00E45AB2" w:rsidRPr="00306EFF" w:rsidRDefault="00E45AB2" w:rsidP="00306EFF">
      <w:pPr>
        <w:rPr>
          <w:rFonts w:eastAsia="Calibri" w:cs="Arial"/>
          <w:szCs w:val="22"/>
        </w:rPr>
      </w:pPr>
      <w:r w:rsidRPr="00E45AB2">
        <w:rPr>
          <w:rFonts w:eastAsia="Calibri" w:cs="Arial"/>
          <w:szCs w:val="22"/>
        </w:rPr>
        <w:t xml:space="preserve">Rating key: </w:t>
      </w:r>
      <w:r w:rsidRPr="00E45AB2">
        <w:rPr>
          <w:rFonts w:eastAsia="Calibri" w:cs="Arial"/>
          <w:szCs w:val="22"/>
          <w:shd w:val="clear" w:color="auto" w:fill="00B050"/>
        </w:rPr>
        <w:t>++</w:t>
      </w:r>
      <w:r w:rsidRPr="00E45AB2">
        <w:rPr>
          <w:rFonts w:eastAsia="Calibri" w:cs="Arial"/>
          <w:szCs w:val="22"/>
        </w:rPr>
        <w:t xml:space="preserve"> = definitely low RoB; </w:t>
      </w:r>
      <w:r w:rsidRPr="00E45AB2">
        <w:rPr>
          <w:rFonts w:eastAsia="Calibri" w:cs="Arial"/>
          <w:szCs w:val="22"/>
          <w:shd w:val="clear" w:color="auto" w:fill="92D050"/>
        </w:rPr>
        <w:t>+</w:t>
      </w:r>
      <w:r w:rsidRPr="00E45AB2">
        <w:rPr>
          <w:rFonts w:eastAsia="Calibri" w:cs="Arial"/>
          <w:szCs w:val="22"/>
        </w:rPr>
        <w:t xml:space="preserve"> = probably low RoB; </w:t>
      </w:r>
      <w:r w:rsidRPr="00E45AB2">
        <w:rPr>
          <w:rFonts w:eastAsia="Calibri" w:cs="Arial"/>
          <w:szCs w:val="22"/>
          <w:shd w:val="clear" w:color="auto" w:fill="FFC1C1"/>
        </w:rPr>
        <w:t>NR</w:t>
      </w:r>
      <w:r w:rsidRPr="00E45AB2">
        <w:rPr>
          <w:rFonts w:eastAsia="Calibri" w:cs="Arial"/>
          <w:szCs w:val="22"/>
        </w:rPr>
        <w:t xml:space="preserve"> = not reported; </w:t>
      </w:r>
      <w:r w:rsidRPr="00E45AB2">
        <w:rPr>
          <w:rFonts w:eastAsia="Calibri" w:cs="Arial"/>
          <w:szCs w:val="22"/>
          <w:shd w:val="clear" w:color="auto" w:fill="FFC1C1"/>
        </w:rPr>
        <w:t>−</w:t>
      </w:r>
      <w:r w:rsidRPr="00E45AB2">
        <w:rPr>
          <w:rFonts w:eastAsia="Calibri" w:cs="Arial"/>
          <w:szCs w:val="22"/>
        </w:rPr>
        <w:t xml:space="preserve"> = probably high RoB; </w:t>
      </w:r>
      <w:r w:rsidRPr="00E45AB2">
        <w:rPr>
          <w:rFonts w:eastAsia="Calibri" w:cs="Arial"/>
          <w:szCs w:val="22"/>
          <w:shd w:val="clear" w:color="auto" w:fill="FF2F2F"/>
        </w:rPr>
        <w:t>−−</w:t>
      </w:r>
      <w:r w:rsidRPr="00E45AB2">
        <w:rPr>
          <w:rFonts w:eastAsia="Calibri" w:cs="Arial"/>
          <w:szCs w:val="22"/>
        </w:rPr>
        <w:t xml:space="preserve"> = definitely high RoB; </w:t>
      </w:r>
      <w:r w:rsidRPr="00E45AB2">
        <w:rPr>
          <w:rFonts w:eastAsia="Calibri" w:cs="Arial"/>
          <w:szCs w:val="22"/>
          <w:highlight w:val="lightGray"/>
        </w:rPr>
        <w:t>NA</w:t>
      </w:r>
      <w:r w:rsidRPr="00E45AB2">
        <w:rPr>
          <w:rFonts w:eastAsia="Calibri" w:cs="Arial"/>
          <w:szCs w:val="22"/>
        </w:rPr>
        <w:t xml:space="preserve"> = not applicable to this study design </w:t>
      </w:r>
    </w:p>
    <w:tbl>
      <w:tblPr>
        <w:tblStyle w:val="SLROption1"/>
        <w:tblW w:w="5000" w:type="pct"/>
        <w:tblLook w:val="01E0" w:firstRow="1" w:lastRow="1" w:firstColumn="1" w:lastColumn="1" w:noHBand="0" w:noVBand="0"/>
      </w:tblPr>
      <w:tblGrid>
        <w:gridCol w:w="3934"/>
        <w:gridCol w:w="1319"/>
        <w:gridCol w:w="3766"/>
      </w:tblGrid>
      <w:tr w:rsidR="00336C85" w:rsidRPr="00336C85" w14:paraId="7314DA93" w14:textId="77777777" w:rsidTr="00336C85">
        <w:trPr>
          <w:cnfStyle w:val="100000000000" w:firstRow="1" w:lastRow="0" w:firstColumn="0" w:lastColumn="0" w:oddVBand="0" w:evenVBand="0" w:oddHBand="0" w:evenHBand="0" w:firstRowFirstColumn="0" w:firstRowLastColumn="0" w:lastRowFirstColumn="0" w:lastRowLastColumn="0"/>
        </w:trPr>
        <w:tc>
          <w:tcPr>
            <w:tcW w:w="2181" w:type="pct"/>
            <w:tcBorders>
              <w:bottom w:val="single" w:sz="4" w:space="0" w:color="FFFFFF" w:themeColor="background1"/>
              <w:right w:val="single" w:sz="4" w:space="0" w:color="FFFFFF" w:themeColor="background1"/>
            </w:tcBorders>
            <w:shd w:val="clear" w:color="auto" w:fill="3C533C" w:themeFill="text2"/>
          </w:tcPr>
          <w:p w14:paraId="051E1D1E" w14:textId="77777777" w:rsidR="00336C85" w:rsidRPr="00336C85" w:rsidRDefault="00336C85" w:rsidP="00336C85">
            <w:pPr>
              <w:keepNext/>
              <w:jc w:val="left"/>
              <w:rPr>
                <w:rFonts w:eastAsia="Calibri"/>
                <w:b/>
                <w:color w:val="FFFFFF" w:themeColor="background1"/>
                <w:sz w:val="20"/>
              </w:rPr>
            </w:pPr>
            <w:r w:rsidRPr="00336C85">
              <w:rPr>
                <w:rFonts w:eastAsia="Calibri"/>
                <w:b/>
                <w:color w:val="FFFFFF" w:themeColor="background1"/>
                <w:sz w:val="20"/>
              </w:rPr>
              <w:t>Study Type:</w:t>
            </w:r>
          </w:p>
        </w:tc>
        <w:tc>
          <w:tcPr>
            <w:tcW w:w="731" w:type="pct"/>
            <w:tcBorders>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6F4FAB7D" w14:textId="7AE075BE" w:rsidR="00336C85" w:rsidRPr="00336C85" w:rsidRDefault="00336C85" w:rsidP="00336C85">
            <w:pPr>
              <w:keepNext/>
              <w:jc w:val="left"/>
              <w:rPr>
                <w:rFonts w:eastAsia="Calibri"/>
                <w:bCs/>
                <w:color w:val="FFFFFF" w:themeColor="background1"/>
                <w:sz w:val="20"/>
              </w:rPr>
            </w:pPr>
            <w:r w:rsidRPr="00336C85">
              <w:rPr>
                <w:i/>
                <w:iCs/>
                <w:color w:val="FFFFFF" w:themeColor="background1"/>
                <w:sz w:val="20"/>
              </w:rPr>
              <w:t>Intentionally blank</w:t>
            </w:r>
          </w:p>
        </w:tc>
        <w:tc>
          <w:tcPr>
            <w:tcW w:w="2088" w:type="pct"/>
            <w:tcBorders>
              <w:left w:val="single" w:sz="4" w:space="0" w:color="FFFFFF" w:themeColor="background1"/>
              <w:bottom w:val="single" w:sz="4" w:space="0" w:color="FFFFFF" w:themeColor="background1"/>
            </w:tcBorders>
            <w:shd w:val="clear" w:color="auto" w:fill="3C533C" w:themeFill="text2"/>
          </w:tcPr>
          <w:p w14:paraId="5E72BEF6" w14:textId="290D8C76" w:rsidR="00336C85" w:rsidRPr="00336C85" w:rsidRDefault="00336C85" w:rsidP="00336C85">
            <w:pPr>
              <w:keepNext/>
              <w:jc w:val="left"/>
              <w:rPr>
                <w:rFonts w:eastAsia="Calibri"/>
                <w:bCs/>
                <w:color w:val="FFFFFF" w:themeColor="background1"/>
                <w:sz w:val="20"/>
              </w:rPr>
            </w:pPr>
            <w:r w:rsidRPr="00336C85">
              <w:rPr>
                <w:i/>
                <w:iCs/>
                <w:color w:val="FFFFFF" w:themeColor="background1"/>
                <w:sz w:val="20"/>
              </w:rPr>
              <w:t>Intentionally blank</w:t>
            </w:r>
          </w:p>
        </w:tc>
      </w:tr>
      <w:tr w:rsidR="00336C85" w:rsidRPr="00336C85" w14:paraId="2859CD66" w14:textId="77777777" w:rsidTr="00336C85">
        <w:tc>
          <w:tcPr>
            <w:tcW w:w="2181" w:type="pct"/>
            <w:tcBorders>
              <w:top w:val="single" w:sz="4" w:space="0" w:color="FFFFFF" w:themeColor="background1"/>
              <w:bottom w:val="single" w:sz="4" w:space="0" w:color="FFFFFF" w:themeColor="background1"/>
              <w:right w:val="single" w:sz="4" w:space="0" w:color="FFFFFF" w:themeColor="background1"/>
            </w:tcBorders>
            <w:shd w:val="clear" w:color="auto" w:fill="3C533C" w:themeFill="text2"/>
          </w:tcPr>
          <w:p w14:paraId="0212393C" w14:textId="77777777" w:rsidR="00336C85" w:rsidRPr="00336C85" w:rsidRDefault="00336C85" w:rsidP="00336C85">
            <w:pPr>
              <w:keepNext/>
              <w:rPr>
                <w:rFonts w:eastAsia="Calibri"/>
                <w:b/>
                <w:color w:val="FFFFFF" w:themeColor="background1"/>
                <w:sz w:val="20"/>
              </w:rPr>
            </w:pPr>
            <w:r w:rsidRPr="00336C85">
              <w:rPr>
                <w:rFonts w:eastAsia="Calibri"/>
                <w:b/>
                <w:color w:val="FFFFFF" w:themeColor="background1"/>
                <w:sz w:val="20"/>
              </w:rPr>
              <w:t>Study ID:</w:t>
            </w:r>
          </w:p>
        </w:tc>
        <w:tc>
          <w:tcPr>
            <w:tcW w:w="7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102A61C8" w14:textId="1011E58C" w:rsidR="00336C85" w:rsidRPr="00336C85" w:rsidRDefault="00336C85" w:rsidP="00336C85">
            <w:pPr>
              <w:keepNext/>
              <w:rPr>
                <w:rFonts w:eastAsia="Calibri"/>
                <w:bCs/>
                <w:color w:val="FFFFFF" w:themeColor="background1"/>
                <w:sz w:val="20"/>
              </w:rPr>
            </w:pPr>
            <w:r w:rsidRPr="00336C85">
              <w:rPr>
                <w:i/>
                <w:iCs/>
                <w:color w:val="FFFFFF" w:themeColor="background1"/>
                <w:sz w:val="20"/>
              </w:rPr>
              <w:t>Intentionally blank</w:t>
            </w:r>
          </w:p>
        </w:tc>
        <w:tc>
          <w:tcPr>
            <w:tcW w:w="2088" w:type="pct"/>
            <w:tcBorders>
              <w:top w:val="single" w:sz="4" w:space="0" w:color="FFFFFF" w:themeColor="background1"/>
              <w:left w:val="single" w:sz="4" w:space="0" w:color="FFFFFF" w:themeColor="background1"/>
              <w:bottom w:val="single" w:sz="4" w:space="0" w:color="FFFFFF" w:themeColor="background1"/>
            </w:tcBorders>
            <w:shd w:val="clear" w:color="auto" w:fill="3C533C" w:themeFill="text2"/>
          </w:tcPr>
          <w:p w14:paraId="44F5E4DD" w14:textId="07D260AA" w:rsidR="00336C85" w:rsidRPr="00336C85" w:rsidRDefault="00336C85" w:rsidP="00336C85">
            <w:pPr>
              <w:keepNext/>
              <w:rPr>
                <w:rFonts w:eastAsia="Calibri"/>
                <w:bCs/>
                <w:color w:val="FFFFFF" w:themeColor="background1"/>
                <w:sz w:val="20"/>
              </w:rPr>
            </w:pPr>
            <w:r w:rsidRPr="00336C85">
              <w:rPr>
                <w:i/>
                <w:iCs/>
                <w:color w:val="FFFFFF" w:themeColor="background1"/>
                <w:sz w:val="20"/>
              </w:rPr>
              <w:t>Intentionally blank</w:t>
            </w:r>
          </w:p>
        </w:tc>
      </w:tr>
      <w:tr w:rsidR="00336C85" w:rsidRPr="00336C85" w14:paraId="37732219" w14:textId="77777777" w:rsidTr="00336C85">
        <w:tc>
          <w:tcPr>
            <w:tcW w:w="2181" w:type="pct"/>
            <w:tcBorders>
              <w:top w:val="single" w:sz="4" w:space="0" w:color="FFFFFF" w:themeColor="background1"/>
              <w:bottom w:val="single" w:sz="4" w:space="0" w:color="FFFFFF" w:themeColor="background1"/>
              <w:right w:val="single" w:sz="4" w:space="0" w:color="FFFFFF" w:themeColor="background1"/>
            </w:tcBorders>
            <w:shd w:val="clear" w:color="auto" w:fill="3C533C" w:themeFill="text2"/>
          </w:tcPr>
          <w:p w14:paraId="1829971A" w14:textId="77777777" w:rsidR="00336C85" w:rsidRPr="00336C85" w:rsidRDefault="00336C85" w:rsidP="00336C85">
            <w:pPr>
              <w:keepNext/>
              <w:rPr>
                <w:rFonts w:eastAsia="Calibri"/>
                <w:b/>
                <w:color w:val="FFFFFF" w:themeColor="background1"/>
                <w:sz w:val="20"/>
              </w:rPr>
            </w:pPr>
            <w:r w:rsidRPr="00336C85">
              <w:rPr>
                <w:rFonts w:eastAsia="Calibri"/>
                <w:b/>
                <w:color w:val="FFFFFF" w:themeColor="background1"/>
                <w:sz w:val="20"/>
              </w:rPr>
              <w:t>Health Outcome:</w:t>
            </w:r>
          </w:p>
        </w:tc>
        <w:tc>
          <w:tcPr>
            <w:tcW w:w="7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0E967A25" w14:textId="199FF884" w:rsidR="00336C85" w:rsidRPr="00336C85" w:rsidRDefault="00336C85" w:rsidP="00336C85">
            <w:pPr>
              <w:keepNext/>
              <w:rPr>
                <w:rFonts w:eastAsia="Calibri"/>
                <w:bCs/>
                <w:color w:val="FFFFFF" w:themeColor="background1"/>
                <w:sz w:val="20"/>
              </w:rPr>
            </w:pPr>
            <w:r w:rsidRPr="00336C85">
              <w:rPr>
                <w:i/>
                <w:iCs/>
                <w:color w:val="FFFFFF" w:themeColor="background1"/>
                <w:sz w:val="20"/>
              </w:rPr>
              <w:t>Intentionally blank</w:t>
            </w:r>
          </w:p>
        </w:tc>
        <w:tc>
          <w:tcPr>
            <w:tcW w:w="2088" w:type="pct"/>
            <w:tcBorders>
              <w:top w:val="single" w:sz="4" w:space="0" w:color="FFFFFF" w:themeColor="background1"/>
              <w:left w:val="single" w:sz="4" w:space="0" w:color="FFFFFF" w:themeColor="background1"/>
              <w:bottom w:val="single" w:sz="4" w:space="0" w:color="FFFFFF" w:themeColor="background1"/>
            </w:tcBorders>
            <w:shd w:val="clear" w:color="auto" w:fill="3C533C" w:themeFill="text2"/>
          </w:tcPr>
          <w:p w14:paraId="3DD88BAC" w14:textId="2CD30C69" w:rsidR="00336C85" w:rsidRPr="00336C85" w:rsidRDefault="00336C85" w:rsidP="00336C85">
            <w:pPr>
              <w:keepNext/>
              <w:rPr>
                <w:rFonts w:eastAsia="Calibri"/>
                <w:bCs/>
                <w:color w:val="FFFFFF" w:themeColor="background1"/>
                <w:sz w:val="20"/>
              </w:rPr>
            </w:pPr>
            <w:r w:rsidRPr="00336C85">
              <w:rPr>
                <w:i/>
                <w:iCs/>
                <w:color w:val="FFFFFF" w:themeColor="background1"/>
                <w:sz w:val="20"/>
              </w:rPr>
              <w:t>Intentionally blank</w:t>
            </w:r>
          </w:p>
        </w:tc>
      </w:tr>
      <w:tr w:rsidR="00E45AB2" w:rsidRPr="00336C85" w14:paraId="080A671E" w14:textId="77777777" w:rsidTr="00336C85">
        <w:tc>
          <w:tcPr>
            <w:tcW w:w="2181" w:type="pct"/>
            <w:tcBorders>
              <w:top w:val="single" w:sz="4" w:space="0" w:color="FFFFFF" w:themeColor="background1"/>
              <w:right w:val="single" w:sz="4" w:space="0" w:color="FFFFFF" w:themeColor="background1"/>
            </w:tcBorders>
            <w:shd w:val="clear" w:color="auto" w:fill="3C533C" w:themeFill="text2"/>
          </w:tcPr>
          <w:p w14:paraId="56EFE00A" w14:textId="77777777" w:rsidR="00E45AB2" w:rsidRPr="00336C85" w:rsidRDefault="00E45AB2" w:rsidP="00E45AB2">
            <w:pPr>
              <w:keepNext/>
              <w:rPr>
                <w:rFonts w:eastAsia="Calibri"/>
                <w:b/>
                <w:color w:val="FFFFFF" w:themeColor="background1"/>
                <w:sz w:val="20"/>
              </w:rPr>
            </w:pPr>
            <w:r w:rsidRPr="00336C85">
              <w:rPr>
                <w:rFonts w:eastAsia="Calibri"/>
                <w:b/>
                <w:color w:val="FFFFFF" w:themeColor="background1"/>
                <w:sz w:val="20"/>
              </w:rPr>
              <w:t>Bias Domain</w:t>
            </w:r>
          </w:p>
        </w:tc>
        <w:tc>
          <w:tcPr>
            <w:tcW w:w="731" w:type="pct"/>
            <w:tcBorders>
              <w:top w:val="single" w:sz="4" w:space="0" w:color="FFFFFF" w:themeColor="background1"/>
              <w:left w:val="single" w:sz="4" w:space="0" w:color="FFFFFF" w:themeColor="background1"/>
              <w:right w:val="single" w:sz="4" w:space="0" w:color="FFFFFF" w:themeColor="background1"/>
            </w:tcBorders>
            <w:shd w:val="clear" w:color="auto" w:fill="3C533C" w:themeFill="text2"/>
          </w:tcPr>
          <w:p w14:paraId="4B72B9FF" w14:textId="77777777" w:rsidR="00E45AB2" w:rsidRPr="00336C85" w:rsidRDefault="00E45AB2" w:rsidP="00E45AB2">
            <w:pPr>
              <w:keepNext/>
              <w:rPr>
                <w:rFonts w:eastAsia="Calibri"/>
                <w:b/>
                <w:color w:val="FFFFFF" w:themeColor="background1"/>
                <w:sz w:val="20"/>
              </w:rPr>
            </w:pPr>
            <w:r w:rsidRPr="00336C85">
              <w:rPr>
                <w:rFonts w:eastAsia="Calibri"/>
                <w:b/>
                <w:color w:val="FFFFFF" w:themeColor="background1"/>
                <w:sz w:val="20"/>
              </w:rPr>
              <w:t>Rate</w:t>
            </w:r>
          </w:p>
        </w:tc>
        <w:tc>
          <w:tcPr>
            <w:tcW w:w="2088" w:type="pct"/>
            <w:tcBorders>
              <w:top w:val="single" w:sz="4" w:space="0" w:color="FFFFFF" w:themeColor="background1"/>
              <w:left w:val="single" w:sz="4" w:space="0" w:color="FFFFFF" w:themeColor="background1"/>
            </w:tcBorders>
            <w:shd w:val="clear" w:color="auto" w:fill="3C533C" w:themeFill="text2"/>
          </w:tcPr>
          <w:p w14:paraId="0B5647BA" w14:textId="77777777" w:rsidR="00E45AB2" w:rsidRPr="00336C85" w:rsidRDefault="00E45AB2" w:rsidP="00E45AB2">
            <w:pPr>
              <w:keepNext/>
              <w:rPr>
                <w:rFonts w:eastAsia="Calibri"/>
                <w:b/>
                <w:color w:val="FFFFFF" w:themeColor="background1"/>
                <w:sz w:val="20"/>
              </w:rPr>
            </w:pPr>
            <w:r w:rsidRPr="00336C85">
              <w:rPr>
                <w:rFonts w:eastAsia="Calibri"/>
                <w:b/>
                <w:color w:val="FFFFFF" w:themeColor="background1"/>
                <w:sz w:val="20"/>
              </w:rPr>
              <w:t>Comments</w:t>
            </w:r>
          </w:p>
        </w:tc>
      </w:tr>
      <w:tr w:rsidR="00336C85" w:rsidRPr="00336C85" w14:paraId="6627B624" w14:textId="77777777" w:rsidTr="00336C85">
        <w:trPr>
          <w:trHeight w:val="53"/>
        </w:trPr>
        <w:tc>
          <w:tcPr>
            <w:tcW w:w="2181" w:type="pct"/>
          </w:tcPr>
          <w:p w14:paraId="12229463" w14:textId="77777777" w:rsidR="00336C85" w:rsidRPr="00336C85" w:rsidRDefault="00336C85" w:rsidP="00336C85">
            <w:pPr>
              <w:rPr>
                <w:b/>
                <w:bCs/>
                <w:sz w:val="20"/>
              </w:rPr>
            </w:pPr>
            <w:r w:rsidRPr="00336C85">
              <w:rPr>
                <w:b/>
                <w:bCs/>
                <w:sz w:val="20"/>
              </w:rPr>
              <w:t>Selection</w:t>
            </w:r>
          </w:p>
        </w:tc>
        <w:tc>
          <w:tcPr>
            <w:tcW w:w="731" w:type="pct"/>
          </w:tcPr>
          <w:p w14:paraId="53A34D11" w14:textId="15BE5349" w:rsidR="00336C85" w:rsidRPr="00336C85" w:rsidRDefault="00336C85" w:rsidP="00336C85">
            <w:pPr>
              <w:rPr>
                <w:sz w:val="20"/>
              </w:rPr>
            </w:pPr>
            <w:r w:rsidRPr="00336C85">
              <w:rPr>
                <w:i/>
                <w:iCs/>
                <w:sz w:val="20"/>
              </w:rPr>
              <w:t>Intentionally blank</w:t>
            </w:r>
          </w:p>
        </w:tc>
        <w:tc>
          <w:tcPr>
            <w:tcW w:w="2088" w:type="pct"/>
          </w:tcPr>
          <w:p w14:paraId="3AD05A5F" w14:textId="19B37AD8" w:rsidR="00336C85" w:rsidRPr="00336C85" w:rsidRDefault="00336C85" w:rsidP="00336C85">
            <w:pPr>
              <w:rPr>
                <w:sz w:val="20"/>
              </w:rPr>
            </w:pPr>
            <w:r w:rsidRPr="00336C85">
              <w:rPr>
                <w:i/>
                <w:iCs/>
                <w:sz w:val="20"/>
              </w:rPr>
              <w:t>Intentionally blank</w:t>
            </w:r>
          </w:p>
        </w:tc>
      </w:tr>
      <w:tr w:rsidR="00336C85" w:rsidRPr="00336C85" w14:paraId="65FEA795" w14:textId="77777777" w:rsidTr="00336C85">
        <w:trPr>
          <w:trHeight w:val="52"/>
        </w:trPr>
        <w:tc>
          <w:tcPr>
            <w:tcW w:w="2181" w:type="pct"/>
          </w:tcPr>
          <w:p w14:paraId="1C8375CC" w14:textId="77777777" w:rsidR="00336C85" w:rsidRPr="00336C85" w:rsidRDefault="00336C85" w:rsidP="00336C85">
            <w:pPr>
              <w:rPr>
                <w:sz w:val="20"/>
              </w:rPr>
            </w:pPr>
            <w:r w:rsidRPr="00336C85">
              <w:rPr>
                <w:sz w:val="20"/>
              </w:rPr>
              <w:t>Was administered dose or exposure level adequately randomized?</w:t>
            </w:r>
          </w:p>
        </w:tc>
        <w:tc>
          <w:tcPr>
            <w:tcW w:w="731" w:type="pct"/>
          </w:tcPr>
          <w:p w14:paraId="7A4ACA1A" w14:textId="418DDC01" w:rsidR="00336C85" w:rsidRPr="00336C85" w:rsidRDefault="00336C85" w:rsidP="00336C85">
            <w:pPr>
              <w:rPr>
                <w:sz w:val="20"/>
              </w:rPr>
            </w:pPr>
            <w:r w:rsidRPr="00336C85">
              <w:rPr>
                <w:i/>
                <w:iCs/>
                <w:sz w:val="20"/>
              </w:rPr>
              <w:t>Intentionally blank</w:t>
            </w:r>
          </w:p>
        </w:tc>
        <w:tc>
          <w:tcPr>
            <w:tcW w:w="2088" w:type="pct"/>
          </w:tcPr>
          <w:p w14:paraId="22385416" w14:textId="157C6E36" w:rsidR="00336C85" w:rsidRPr="00336C85" w:rsidRDefault="00336C85" w:rsidP="00336C85">
            <w:pPr>
              <w:rPr>
                <w:sz w:val="20"/>
              </w:rPr>
            </w:pPr>
            <w:r w:rsidRPr="00336C85">
              <w:rPr>
                <w:i/>
                <w:iCs/>
                <w:sz w:val="20"/>
              </w:rPr>
              <w:t>Intentionally blank</w:t>
            </w:r>
          </w:p>
        </w:tc>
      </w:tr>
      <w:tr w:rsidR="00336C85" w:rsidRPr="00336C85" w14:paraId="31DB4B65" w14:textId="77777777" w:rsidTr="00336C85">
        <w:trPr>
          <w:trHeight w:val="52"/>
        </w:trPr>
        <w:tc>
          <w:tcPr>
            <w:tcW w:w="2181" w:type="pct"/>
          </w:tcPr>
          <w:p w14:paraId="756FE5ED" w14:textId="77777777" w:rsidR="00336C85" w:rsidRPr="00336C85" w:rsidRDefault="00336C85" w:rsidP="00336C85">
            <w:pPr>
              <w:rPr>
                <w:sz w:val="20"/>
              </w:rPr>
            </w:pPr>
            <w:r w:rsidRPr="00336C85">
              <w:rPr>
                <w:sz w:val="20"/>
              </w:rPr>
              <w:t>Was allocation to study groups adequately concealed?</w:t>
            </w:r>
          </w:p>
        </w:tc>
        <w:tc>
          <w:tcPr>
            <w:tcW w:w="731" w:type="pct"/>
          </w:tcPr>
          <w:p w14:paraId="60D4BD64" w14:textId="7A3DECF3" w:rsidR="00336C85" w:rsidRPr="00336C85" w:rsidRDefault="00336C85" w:rsidP="00336C85">
            <w:pPr>
              <w:rPr>
                <w:sz w:val="20"/>
              </w:rPr>
            </w:pPr>
            <w:r w:rsidRPr="00336C85">
              <w:rPr>
                <w:i/>
                <w:iCs/>
                <w:sz w:val="20"/>
              </w:rPr>
              <w:t>Intentionally blank</w:t>
            </w:r>
          </w:p>
        </w:tc>
        <w:tc>
          <w:tcPr>
            <w:tcW w:w="2088" w:type="pct"/>
          </w:tcPr>
          <w:p w14:paraId="5C728EC0" w14:textId="619CDADE" w:rsidR="00336C85" w:rsidRPr="00336C85" w:rsidRDefault="00336C85" w:rsidP="00336C85">
            <w:pPr>
              <w:rPr>
                <w:sz w:val="20"/>
              </w:rPr>
            </w:pPr>
            <w:r w:rsidRPr="00336C85">
              <w:rPr>
                <w:i/>
                <w:iCs/>
                <w:sz w:val="20"/>
              </w:rPr>
              <w:t>Intentionally blank</w:t>
            </w:r>
          </w:p>
        </w:tc>
      </w:tr>
      <w:tr w:rsidR="00336C85" w:rsidRPr="00336C85" w14:paraId="360FA05B" w14:textId="77777777" w:rsidTr="00336C85">
        <w:trPr>
          <w:trHeight w:val="52"/>
        </w:trPr>
        <w:tc>
          <w:tcPr>
            <w:tcW w:w="2181" w:type="pct"/>
          </w:tcPr>
          <w:p w14:paraId="44E82DE5" w14:textId="77777777" w:rsidR="00336C85" w:rsidRPr="00336C85" w:rsidRDefault="00336C85" w:rsidP="00336C85">
            <w:pPr>
              <w:rPr>
                <w:sz w:val="20"/>
              </w:rPr>
            </w:pPr>
            <w:r w:rsidRPr="00336C85">
              <w:rPr>
                <w:sz w:val="20"/>
              </w:rPr>
              <w:t>Were the comparison groups appropriate?</w:t>
            </w:r>
          </w:p>
        </w:tc>
        <w:tc>
          <w:tcPr>
            <w:tcW w:w="731" w:type="pct"/>
          </w:tcPr>
          <w:p w14:paraId="1A35799E" w14:textId="34B81745" w:rsidR="00336C85" w:rsidRPr="00336C85" w:rsidRDefault="00336C85" w:rsidP="00336C85">
            <w:pPr>
              <w:rPr>
                <w:sz w:val="20"/>
              </w:rPr>
            </w:pPr>
            <w:r w:rsidRPr="00336C85">
              <w:rPr>
                <w:i/>
                <w:iCs/>
                <w:sz w:val="20"/>
              </w:rPr>
              <w:t>Intentionally blank</w:t>
            </w:r>
          </w:p>
        </w:tc>
        <w:tc>
          <w:tcPr>
            <w:tcW w:w="2088" w:type="pct"/>
          </w:tcPr>
          <w:p w14:paraId="10876A8F" w14:textId="59855AE7" w:rsidR="00336C85" w:rsidRPr="00336C85" w:rsidRDefault="00336C85" w:rsidP="00336C85">
            <w:pPr>
              <w:rPr>
                <w:sz w:val="20"/>
              </w:rPr>
            </w:pPr>
            <w:r w:rsidRPr="00336C85">
              <w:rPr>
                <w:i/>
                <w:iCs/>
                <w:sz w:val="20"/>
              </w:rPr>
              <w:t>Intentionally blank</w:t>
            </w:r>
          </w:p>
        </w:tc>
      </w:tr>
      <w:tr w:rsidR="00336C85" w:rsidRPr="00336C85" w14:paraId="5A37178E" w14:textId="77777777" w:rsidTr="00336C85">
        <w:trPr>
          <w:trHeight w:val="79"/>
        </w:trPr>
        <w:tc>
          <w:tcPr>
            <w:tcW w:w="2181" w:type="pct"/>
          </w:tcPr>
          <w:p w14:paraId="10878393" w14:textId="77777777" w:rsidR="00336C85" w:rsidRPr="00336C85" w:rsidRDefault="00336C85" w:rsidP="00336C85">
            <w:pPr>
              <w:rPr>
                <w:b/>
                <w:bCs/>
                <w:sz w:val="20"/>
              </w:rPr>
            </w:pPr>
            <w:r w:rsidRPr="00336C85">
              <w:rPr>
                <w:b/>
                <w:bCs/>
                <w:sz w:val="20"/>
              </w:rPr>
              <w:t>Confounding – KEY DOMAIN</w:t>
            </w:r>
          </w:p>
        </w:tc>
        <w:tc>
          <w:tcPr>
            <w:tcW w:w="731" w:type="pct"/>
          </w:tcPr>
          <w:p w14:paraId="39CF60F0" w14:textId="1561889D" w:rsidR="00336C85" w:rsidRPr="00336C85" w:rsidRDefault="00336C85" w:rsidP="00336C85">
            <w:pPr>
              <w:rPr>
                <w:sz w:val="20"/>
              </w:rPr>
            </w:pPr>
            <w:r w:rsidRPr="00336C85">
              <w:rPr>
                <w:i/>
                <w:iCs/>
                <w:sz w:val="20"/>
              </w:rPr>
              <w:t>Intentionally blank</w:t>
            </w:r>
          </w:p>
        </w:tc>
        <w:tc>
          <w:tcPr>
            <w:tcW w:w="2088" w:type="pct"/>
          </w:tcPr>
          <w:p w14:paraId="63C6BC6A" w14:textId="6BFD2B1A" w:rsidR="00336C85" w:rsidRPr="00336C85" w:rsidRDefault="00336C85" w:rsidP="00336C85">
            <w:pPr>
              <w:rPr>
                <w:sz w:val="20"/>
              </w:rPr>
            </w:pPr>
            <w:r w:rsidRPr="00336C85">
              <w:rPr>
                <w:i/>
                <w:iCs/>
                <w:sz w:val="20"/>
              </w:rPr>
              <w:t>Intentionally blank</w:t>
            </w:r>
          </w:p>
        </w:tc>
      </w:tr>
      <w:tr w:rsidR="00336C85" w:rsidRPr="00336C85" w14:paraId="3CC8B644" w14:textId="77777777" w:rsidTr="00336C85">
        <w:trPr>
          <w:trHeight w:val="78"/>
        </w:trPr>
        <w:tc>
          <w:tcPr>
            <w:tcW w:w="2181" w:type="pct"/>
          </w:tcPr>
          <w:p w14:paraId="0E8F95C1" w14:textId="77777777" w:rsidR="00336C85" w:rsidRPr="00336C85" w:rsidRDefault="00336C85" w:rsidP="00336C85">
            <w:pPr>
              <w:rPr>
                <w:sz w:val="20"/>
              </w:rPr>
            </w:pPr>
            <w:r w:rsidRPr="00336C85">
              <w:rPr>
                <w:sz w:val="20"/>
              </w:rPr>
              <w:t>Does the study design or analysis account for important confounding and modifying variables?</w:t>
            </w:r>
          </w:p>
        </w:tc>
        <w:tc>
          <w:tcPr>
            <w:tcW w:w="731" w:type="pct"/>
          </w:tcPr>
          <w:p w14:paraId="3570C78F" w14:textId="59C29AA4" w:rsidR="00336C85" w:rsidRPr="00336C85" w:rsidRDefault="00336C85" w:rsidP="00336C85">
            <w:pPr>
              <w:rPr>
                <w:sz w:val="20"/>
              </w:rPr>
            </w:pPr>
            <w:r w:rsidRPr="00336C85">
              <w:rPr>
                <w:i/>
                <w:iCs/>
                <w:sz w:val="20"/>
              </w:rPr>
              <w:t>Intentionally blank</w:t>
            </w:r>
          </w:p>
        </w:tc>
        <w:tc>
          <w:tcPr>
            <w:tcW w:w="2088" w:type="pct"/>
          </w:tcPr>
          <w:p w14:paraId="42A48680" w14:textId="6A6B86D1" w:rsidR="00336C85" w:rsidRPr="00336C85" w:rsidRDefault="00336C85" w:rsidP="00336C85">
            <w:pPr>
              <w:rPr>
                <w:sz w:val="20"/>
              </w:rPr>
            </w:pPr>
            <w:r w:rsidRPr="00336C85">
              <w:rPr>
                <w:i/>
                <w:iCs/>
                <w:sz w:val="20"/>
              </w:rPr>
              <w:t>Intentionally blank</w:t>
            </w:r>
          </w:p>
        </w:tc>
      </w:tr>
      <w:tr w:rsidR="00336C85" w:rsidRPr="00336C85" w14:paraId="194D555C" w14:textId="77777777" w:rsidTr="00336C85">
        <w:trPr>
          <w:trHeight w:val="78"/>
        </w:trPr>
        <w:tc>
          <w:tcPr>
            <w:tcW w:w="2181" w:type="pct"/>
          </w:tcPr>
          <w:p w14:paraId="7B051967" w14:textId="77777777" w:rsidR="00336C85" w:rsidRPr="00336C85" w:rsidRDefault="00336C85" w:rsidP="00336C85">
            <w:pPr>
              <w:rPr>
                <w:sz w:val="20"/>
              </w:rPr>
            </w:pPr>
            <w:r w:rsidRPr="00336C85">
              <w:rPr>
                <w:sz w:val="20"/>
              </w:rPr>
              <w:t>Did researchers adjust or control for other exposures that are anticipated to bias results?</w:t>
            </w:r>
          </w:p>
        </w:tc>
        <w:tc>
          <w:tcPr>
            <w:tcW w:w="731" w:type="pct"/>
          </w:tcPr>
          <w:p w14:paraId="0DAC884C" w14:textId="41C07935" w:rsidR="00336C85" w:rsidRPr="00336C85" w:rsidRDefault="00336C85" w:rsidP="00336C85">
            <w:pPr>
              <w:rPr>
                <w:sz w:val="20"/>
              </w:rPr>
            </w:pPr>
            <w:r w:rsidRPr="00336C85">
              <w:rPr>
                <w:i/>
                <w:iCs/>
                <w:sz w:val="20"/>
              </w:rPr>
              <w:t>Intentionally blank</w:t>
            </w:r>
          </w:p>
        </w:tc>
        <w:tc>
          <w:tcPr>
            <w:tcW w:w="2088" w:type="pct"/>
          </w:tcPr>
          <w:p w14:paraId="2EF57319" w14:textId="031ECBD5" w:rsidR="00336C85" w:rsidRPr="00336C85" w:rsidRDefault="00336C85" w:rsidP="00336C85">
            <w:pPr>
              <w:rPr>
                <w:sz w:val="20"/>
              </w:rPr>
            </w:pPr>
            <w:r w:rsidRPr="00336C85">
              <w:rPr>
                <w:i/>
                <w:iCs/>
                <w:sz w:val="20"/>
              </w:rPr>
              <w:t>Intentionally blank</w:t>
            </w:r>
          </w:p>
        </w:tc>
      </w:tr>
      <w:tr w:rsidR="00336C85" w:rsidRPr="00336C85" w14:paraId="5700F357" w14:textId="77777777" w:rsidTr="00336C85">
        <w:trPr>
          <w:trHeight w:val="53"/>
        </w:trPr>
        <w:tc>
          <w:tcPr>
            <w:tcW w:w="2181" w:type="pct"/>
          </w:tcPr>
          <w:p w14:paraId="46D064A4" w14:textId="77777777" w:rsidR="00336C85" w:rsidRPr="00336C85" w:rsidRDefault="00336C85" w:rsidP="00336C85">
            <w:pPr>
              <w:rPr>
                <w:b/>
                <w:bCs/>
                <w:sz w:val="20"/>
              </w:rPr>
            </w:pPr>
            <w:r w:rsidRPr="00336C85">
              <w:rPr>
                <w:b/>
                <w:bCs/>
                <w:sz w:val="20"/>
              </w:rPr>
              <w:t>Performance</w:t>
            </w:r>
          </w:p>
        </w:tc>
        <w:tc>
          <w:tcPr>
            <w:tcW w:w="731" w:type="pct"/>
          </w:tcPr>
          <w:p w14:paraId="43B1C696" w14:textId="0FF6BED3" w:rsidR="00336C85" w:rsidRPr="00336C85" w:rsidRDefault="00336C85" w:rsidP="00336C85">
            <w:pPr>
              <w:rPr>
                <w:sz w:val="20"/>
              </w:rPr>
            </w:pPr>
            <w:r w:rsidRPr="00336C85">
              <w:rPr>
                <w:i/>
                <w:iCs/>
                <w:sz w:val="20"/>
              </w:rPr>
              <w:t>Intentionally blank</w:t>
            </w:r>
          </w:p>
        </w:tc>
        <w:tc>
          <w:tcPr>
            <w:tcW w:w="2088" w:type="pct"/>
          </w:tcPr>
          <w:p w14:paraId="161C4E9F" w14:textId="4F7E4CD8" w:rsidR="00336C85" w:rsidRPr="00336C85" w:rsidRDefault="00336C85" w:rsidP="00336C85">
            <w:pPr>
              <w:rPr>
                <w:sz w:val="20"/>
              </w:rPr>
            </w:pPr>
            <w:r w:rsidRPr="00336C85">
              <w:rPr>
                <w:i/>
                <w:iCs/>
                <w:sz w:val="20"/>
              </w:rPr>
              <w:t>Intentionally blank</w:t>
            </w:r>
          </w:p>
        </w:tc>
      </w:tr>
      <w:tr w:rsidR="00336C85" w:rsidRPr="00336C85" w14:paraId="2284A65B" w14:textId="77777777" w:rsidTr="00336C85">
        <w:trPr>
          <w:trHeight w:val="52"/>
        </w:trPr>
        <w:tc>
          <w:tcPr>
            <w:tcW w:w="2181" w:type="pct"/>
          </w:tcPr>
          <w:p w14:paraId="5A8438AE" w14:textId="77777777" w:rsidR="00336C85" w:rsidRPr="00336C85" w:rsidRDefault="00336C85" w:rsidP="00336C85">
            <w:pPr>
              <w:rPr>
                <w:sz w:val="20"/>
              </w:rPr>
            </w:pPr>
            <w:r w:rsidRPr="00336C85">
              <w:rPr>
                <w:rFonts w:eastAsia="Calibri" w:cs="Arial"/>
                <w:sz w:val="20"/>
                <w:lang w:val="en-GB"/>
              </w:rPr>
              <w:t>Were experimental conditions identical across study groups?</w:t>
            </w:r>
          </w:p>
        </w:tc>
        <w:tc>
          <w:tcPr>
            <w:tcW w:w="731" w:type="pct"/>
          </w:tcPr>
          <w:p w14:paraId="1D7F5084" w14:textId="08034C98" w:rsidR="00336C85" w:rsidRPr="00336C85" w:rsidRDefault="00336C85" w:rsidP="00336C85">
            <w:pPr>
              <w:rPr>
                <w:sz w:val="20"/>
              </w:rPr>
            </w:pPr>
            <w:r w:rsidRPr="00336C85">
              <w:rPr>
                <w:i/>
                <w:iCs/>
                <w:sz w:val="20"/>
              </w:rPr>
              <w:t>Intentionally blank</w:t>
            </w:r>
          </w:p>
        </w:tc>
        <w:tc>
          <w:tcPr>
            <w:tcW w:w="2088" w:type="pct"/>
          </w:tcPr>
          <w:p w14:paraId="3840A19C" w14:textId="3B56E997" w:rsidR="00336C85" w:rsidRPr="00336C85" w:rsidRDefault="00336C85" w:rsidP="00336C85">
            <w:pPr>
              <w:rPr>
                <w:sz w:val="20"/>
              </w:rPr>
            </w:pPr>
            <w:r w:rsidRPr="00336C85">
              <w:rPr>
                <w:i/>
                <w:iCs/>
                <w:sz w:val="20"/>
              </w:rPr>
              <w:t>Intentionally blank</w:t>
            </w:r>
          </w:p>
        </w:tc>
      </w:tr>
      <w:tr w:rsidR="00336C85" w:rsidRPr="00336C85" w14:paraId="40832E26" w14:textId="77777777" w:rsidTr="00336C85">
        <w:trPr>
          <w:trHeight w:val="52"/>
        </w:trPr>
        <w:tc>
          <w:tcPr>
            <w:tcW w:w="2181" w:type="pct"/>
          </w:tcPr>
          <w:p w14:paraId="55EEABE0" w14:textId="77777777" w:rsidR="00336C85" w:rsidRPr="00336C85" w:rsidRDefault="00336C85" w:rsidP="00336C85">
            <w:pPr>
              <w:rPr>
                <w:sz w:val="20"/>
              </w:rPr>
            </w:pPr>
            <w:r w:rsidRPr="00336C85">
              <w:rPr>
                <w:rFonts w:eastAsia="Calibri" w:cs="Arial"/>
                <w:sz w:val="20"/>
                <w:lang w:val="en-GB"/>
              </w:rPr>
              <w:t>Did deviations from the study protocol have an impact on the results?</w:t>
            </w:r>
          </w:p>
        </w:tc>
        <w:tc>
          <w:tcPr>
            <w:tcW w:w="731" w:type="pct"/>
          </w:tcPr>
          <w:p w14:paraId="4044A0C5" w14:textId="019E0F95" w:rsidR="00336C85" w:rsidRPr="00336C85" w:rsidRDefault="00336C85" w:rsidP="00336C85">
            <w:pPr>
              <w:rPr>
                <w:sz w:val="20"/>
              </w:rPr>
            </w:pPr>
            <w:r w:rsidRPr="00336C85">
              <w:rPr>
                <w:i/>
                <w:iCs/>
                <w:sz w:val="20"/>
              </w:rPr>
              <w:t>Intentionally blank</w:t>
            </w:r>
          </w:p>
        </w:tc>
        <w:tc>
          <w:tcPr>
            <w:tcW w:w="2088" w:type="pct"/>
          </w:tcPr>
          <w:p w14:paraId="23D86ABA" w14:textId="104C1EA6" w:rsidR="00336C85" w:rsidRPr="00336C85" w:rsidRDefault="00336C85" w:rsidP="00336C85">
            <w:pPr>
              <w:rPr>
                <w:sz w:val="20"/>
              </w:rPr>
            </w:pPr>
            <w:r w:rsidRPr="00336C85">
              <w:rPr>
                <w:i/>
                <w:iCs/>
                <w:sz w:val="20"/>
              </w:rPr>
              <w:t>Intentionally blank</w:t>
            </w:r>
          </w:p>
        </w:tc>
      </w:tr>
      <w:tr w:rsidR="00336C85" w:rsidRPr="00336C85" w14:paraId="7CCA261B" w14:textId="77777777" w:rsidTr="00336C85">
        <w:trPr>
          <w:trHeight w:val="52"/>
        </w:trPr>
        <w:tc>
          <w:tcPr>
            <w:tcW w:w="2181" w:type="pct"/>
          </w:tcPr>
          <w:p w14:paraId="038E33B6" w14:textId="77777777" w:rsidR="00336C85" w:rsidRPr="00336C85" w:rsidRDefault="00336C85" w:rsidP="00336C85">
            <w:pPr>
              <w:rPr>
                <w:rFonts w:eastAsia="Calibri" w:cs="Arial"/>
                <w:sz w:val="20"/>
                <w:lang w:val="en-GB"/>
              </w:rPr>
            </w:pPr>
            <w:r w:rsidRPr="00336C85">
              <w:rPr>
                <w:rFonts w:eastAsia="Calibri" w:cs="Arial"/>
                <w:sz w:val="20"/>
                <w:lang w:val="en-GB"/>
              </w:rPr>
              <w:t>Were the research personnel and human subjects blinded to the study group during the study?</w:t>
            </w:r>
          </w:p>
        </w:tc>
        <w:tc>
          <w:tcPr>
            <w:tcW w:w="731" w:type="pct"/>
          </w:tcPr>
          <w:p w14:paraId="016280AC" w14:textId="27C868A0" w:rsidR="00336C85" w:rsidRPr="00336C85" w:rsidRDefault="00336C85" w:rsidP="00336C85">
            <w:pPr>
              <w:rPr>
                <w:sz w:val="20"/>
              </w:rPr>
            </w:pPr>
            <w:r w:rsidRPr="00336C85">
              <w:rPr>
                <w:i/>
                <w:iCs/>
                <w:sz w:val="20"/>
              </w:rPr>
              <w:t>Intentionally blank</w:t>
            </w:r>
          </w:p>
        </w:tc>
        <w:tc>
          <w:tcPr>
            <w:tcW w:w="2088" w:type="pct"/>
          </w:tcPr>
          <w:p w14:paraId="3AEEF8C3" w14:textId="53408325" w:rsidR="00336C85" w:rsidRPr="00336C85" w:rsidRDefault="00336C85" w:rsidP="00336C85">
            <w:pPr>
              <w:rPr>
                <w:sz w:val="20"/>
              </w:rPr>
            </w:pPr>
            <w:r w:rsidRPr="00336C85">
              <w:rPr>
                <w:i/>
                <w:iCs/>
                <w:sz w:val="20"/>
              </w:rPr>
              <w:t>Intentionally blank</w:t>
            </w:r>
          </w:p>
        </w:tc>
      </w:tr>
      <w:tr w:rsidR="00336C85" w:rsidRPr="00336C85" w14:paraId="162579EC" w14:textId="77777777" w:rsidTr="00336C85">
        <w:tc>
          <w:tcPr>
            <w:tcW w:w="2181" w:type="pct"/>
          </w:tcPr>
          <w:p w14:paraId="7224DA3C" w14:textId="77777777" w:rsidR="00336C85" w:rsidRPr="00336C85" w:rsidRDefault="00336C85" w:rsidP="00336C85">
            <w:pPr>
              <w:rPr>
                <w:sz w:val="20"/>
              </w:rPr>
            </w:pPr>
            <w:r w:rsidRPr="00336C85">
              <w:rPr>
                <w:rFonts w:eastAsia="Calibri" w:cs="Arial"/>
                <w:b/>
                <w:bCs/>
                <w:sz w:val="20"/>
                <w:lang w:val="en-GB"/>
              </w:rPr>
              <w:t xml:space="preserve">Attrition / Exclusion </w:t>
            </w:r>
          </w:p>
        </w:tc>
        <w:tc>
          <w:tcPr>
            <w:tcW w:w="731" w:type="pct"/>
          </w:tcPr>
          <w:p w14:paraId="0AD51687" w14:textId="4E627D05" w:rsidR="00336C85" w:rsidRPr="00336C85" w:rsidRDefault="00336C85" w:rsidP="00336C85">
            <w:pPr>
              <w:rPr>
                <w:sz w:val="20"/>
              </w:rPr>
            </w:pPr>
            <w:r w:rsidRPr="00336C85">
              <w:rPr>
                <w:i/>
                <w:iCs/>
                <w:sz w:val="20"/>
              </w:rPr>
              <w:t>Intentionally blank</w:t>
            </w:r>
          </w:p>
        </w:tc>
        <w:tc>
          <w:tcPr>
            <w:tcW w:w="2088" w:type="pct"/>
          </w:tcPr>
          <w:p w14:paraId="2BCDEDB8" w14:textId="6CF40F29" w:rsidR="00336C85" w:rsidRPr="00336C85" w:rsidRDefault="00336C85" w:rsidP="00336C85">
            <w:pPr>
              <w:rPr>
                <w:sz w:val="20"/>
              </w:rPr>
            </w:pPr>
            <w:r w:rsidRPr="00336C85">
              <w:rPr>
                <w:i/>
                <w:iCs/>
                <w:sz w:val="20"/>
              </w:rPr>
              <w:t>Intentionally blank</w:t>
            </w:r>
          </w:p>
        </w:tc>
      </w:tr>
      <w:tr w:rsidR="00336C85" w:rsidRPr="00336C85" w14:paraId="327BC6B6" w14:textId="77777777" w:rsidTr="00336C85">
        <w:tc>
          <w:tcPr>
            <w:tcW w:w="2181" w:type="pct"/>
          </w:tcPr>
          <w:p w14:paraId="36C3108D" w14:textId="77777777" w:rsidR="00336C85" w:rsidRPr="00336C85" w:rsidRDefault="00336C85" w:rsidP="00336C85">
            <w:pPr>
              <w:rPr>
                <w:rFonts w:eastAsia="Calibri" w:cs="Arial"/>
                <w:b/>
                <w:bCs/>
                <w:sz w:val="20"/>
                <w:lang w:val="en-GB"/>
              </w:rPr>
            </w:pPr>
            <w:r w:rsidRPr="00336C85">
              <w:rPr>
                <w:rFonts w:eastAsia="Calibri" w:cs="Arial"/>
                <w:sz w:val="20"/>
                <w:lang w:val="en-GB"/>
              </w:rPr>
              <w:lastRenderedPageBreak/>
              <w:t>Were outcome data incomplete because of attrition or exclusion from analysis?</w:t>
            </w:r>
          </w:p>
        </w:tc>
        <w:tc>
          <w:tcPr>
            <w:tcW w:w="731" w:type="pct"/>
          </w:tcPr>
          <w:p w14:paraId="745EC570" w14:textId="33630551" w:rsidR="00336C85" w:rsidRPr="00336C85" w:rsidRDefault="00336C85" w:rsidP="00336C85">
            <w:pPr>
              <w:rPr>
                <w:sz w:val="20"/>
              </w:rPr>
            </w:pPr>
            <w:r w:rsidRPr="00336C85">
              <w:rPr>
                <w:i/>
                <w:iCs/>
                <w:sz w:val="20"/>
              </w:rPr>
              <w:t>Intentionally blank</w:t>
            </w:r>
          </w:p>
        </w:tc>
        <w:tc>
          <w:tcPr>
            <w:tcW w:w="2088" w:type="pct"/>
          </w:tcPr>
          <w:p w14:paraId="72C9602E" w14:textId="69F6873C" w:rsidR="00336C85" w:rsidRPr="00336C85" w:rsidRDefault="00336C85" w:rsidP="00336C85">
            <w:pPr>
              <w:rPr>
                <w:sz w:val="20"/>
              </w:rPr>
            </w:pPr>
            <w:r w:rsidRPr="00336C85">
              <w:rPr>
                <w:i/>
                <w:iCs/>
                <w:sz w:val="20"/>
              </w:rPr>
              <w:t>Intentionally blank</w:t>
            </w:r>
          </w:p>
        </w:tc>
      </w:tr>
      <w:tr w:rsidR="00336C85" w:rsidRPr="00336C85" w14:paraId="483AB8CC" w14:textId="77777777" w:rsidTr="00336C85">
        <w:trPr>
          <w:trHeight w:val="81"/>
        </w:trPr>
        <w:tc>
          <w:tcPr>
            <w:tcW w:w="2181" w:type="pct"/>
          </w:tcPr>
          <w:p w14:paraId="518313A6" w14:textId="77777777" w:rsidR="00336C85" w:rsidRPr="00336C85" w:rsidRDefault="00336C85" w:rsidP="00336C85">
            <w:pPr>
              <w:rPr>
                <w:sz w:val="20"/>
              </w:rPr>
            </w:pPr>
            <w:r w:rsidRPr="00336C85">
              <w:rPr>
                <w:rFonts w:ascii="Aptos" w:eastAsia="Calibri" w:hAnsi="Aptos" w:cs="Arial"/>
                <w:b/>
                <w:bCs/>
                <w:kern w:val="2"/>
                <w:sz w:val="20"/>
                <w:lang w:eastAsia="en-US"/>
                <w14:ligatures w14:val="standardContextual"/>
              </w:rPr>
              <w:t>Detection bias – KEY DOMAIN</w:t>
            </w:r>
          </w:p>
        </w:tc>
        <w:tc>
          <w:tcPr>
            <w:tcW w:w="731" w:type="pct"/>
          </w:tcPr>
          <w:p w14:paraId="2C95B7D9" w14:textId="78CFC425" w:rsidR="00336C85" w:rsidRPr="00336C85" w:rsidRDefault="00336C85" w:rsidP="00336C85">
            <w:pPr>
              <w:rPr>
                <w:sz w:val="20"/>
              </w:rPr>
            </w:pPr>
            <w:r w:rsidRPr="00336C85">
              <w:rPr>
                <w:i/>
                <w:iCs/>
                <w:sz w:val="20"/>
              </w:rPr>
              <w:t>Intentionally blank</w:t>
            </w:r>
          </w:p>
        </w:tc>
        <w:tc>
          <w:tcPr>
            <w:tcW w:w="2088" w:type="pct"/>
          </w:tcPr>
          <w:p w14:paraId="06BAD2EE" w14:textId="31AF0601" w:rsidR="00336C85" w:rsidRPr="00336C85" w:rsidRDefault="00336C85" w:rsidP="00336C85">
            <w:pPr>
              <w:rPr>
                <w:sz w:val="20"/>
              </w:rPr>
            </w:pPr>
            <w:r w:rsidRPr="00336C85">
              <w:rPr>
                <w:i/>
                <w:iCs/>
                <w:sz w:val="20"/>
              </w:rPr>
              <w:t>Intentionally blank</w:t>
            </w:r>
          </w:p>
        </w:tc>
      </w:tr>
      <w:tr w:rsidR="00336C85" w:rsidRPr="00336C85" w14:paraId="7B2643A8" w14:textId="77777777" w:rsidTr="00336C85">
        <w:trPr>
          <w:trHeight w:val="80"/>
        </w:trPr>
        <w:tc>
          <w:tcPr>
            <w:tcW w:w="2181" w:type="pct"/>
          </w:tcPr>
          <w:p w14:paraId="0FD036C4" w14:textId="77777777" w:rsidR="00336C85" w:rsidRPr="00336C85" w:rsidRDefault="00336C85" w:rsidP="00336C85">
            <w:pPr>
              <w:rPr>
                <w:rFonts w:ascii="Aptos" w:eastAsia="Calibri" w:hAnsi="Aptos" w:cs="Arial"/>
                <w:b/>
                <w:bCs/>
                <w:kern w:val="2"/>
                <w:sz w:val="20"/>
                <w14:ligatures w14:val="standardContextual"/>
              </w:rPr>
            </w:pPr>
            <w:r w:rsidRPr="00336C85">
              <w:rPr>
                <w:rFonts w:eastAsia="Calibri" w:cs="Arial"/>
                <w:sz w:val="20"/>
                <w:lang w:val="en-GB"/>
              </w:rPr>
              <w:t>Were the outcome assessors blinded to study group or exposure level?</w:t>
            </w:r>
          </w:p>
        </w:tc>
        <w:tc>
          <w:tcPr>
            <w:tcW w:w="731" w:type="pct"/>
          </w:tcPr>
          <w:p w14:paraId="41D1A9B6" w14:textId="55A4C9D5" w:rsidR="00336C85" w:rsidRPr="00336C85" w:rsidRDefault="00336C85" w:rsidP="00336C85">
            <w:pPr>
              <w:rPr>
                <w:sz w:val="20"/>
              </w:rPr>
            </w:pPr>
            <w:r w:rsidRPr="00336C85">
              <w:rPr>
                <w:i/>
                <w:iCs/>
                <w:sz w:val="20"/>
              </w:rPr>
              <w:t>Intentionally blank</w:t>
            </w:r>
          </w:p>
        </w:tc>
        <w:tc>
          <w:tcPr>
            <w:tcW w:w="2088" w:type="pct"/>
          </w:tcPr>
          <w:p w14:paraId="236880EA" w14:textId="22861BD9" w:rsidR="00336C85" w:rsidRPr="00336C85" w:rsidRDefault="00336C85" w:rsidP="00336C85">
            <w:pPr>
              <w:rPr>
                <w:sz w:val="20"/>
              </w:rPr>
            </w:pPr>
            <w:r w:rsidRPr="00336C85">
              <w:rPr>
                <w:i/>
                <w:iCs/>
                <w:sz w:val="20"/>
              </w:rPr>
              <w:t>Intentionally blank</w:t>
            </w:r>
          </w:p>
        </w:tc>
      </w:tr>
      <w:tr w:rsidR="00336C85" w:rsidRPr="00336C85" w14:paraId="22FD44C4" w14:textId="77777777" w:rsidTr="00336C85">
        <w:trPr>
          <w:trHeight w:val="80"/>
        </w:trPr>
        <w:tc>
          <w:tcPr>
            <w:tcW w:w="2181" w:type="pct"/>
          </w:tcPr>
          <w:p w14:paraId="05FE7C25" w14:textId="77777777" w:rsidR="00336C85" w:rsidRPr="00336C85" w:rsidRDefault="00336C85" w:rsidP="00336C85">
            <w:pPr>
              <w:rPr>
                <w:rFonts w:ascii="Aptos" w:eastAsia="Calibri" w:hAnsi="Aptos" w:cs="Arial"/>
                <w:b/>
                <w:bCs/>
                <w:kern w:val="2"/>
                <w:sz w:val="20"/>
                <w14:ligatures w14:val="standardContextual"/>
              </w:rPr>
            </w:pPr>
            <w:r w:rsidRPr="00336C85">
              <w:rPr>
                <w:rFonts w:eastAsia="Calibri" w:cs="Arial"/>
                <w:sz w:val="20"/>
                <w:lang w:val="en-GB"/>
              </w:rPr>
              <w:t>Were confounding variables assessed consistently across groups using valid and reliable measures?</w:t>
            </w:r>
          </w:p>
        </w:tc>
        <w:tc>
          <w:tcPr>
            <w:tcW w:w="731" w:type="pct"/>
          </w:tcPr>
          <w:p w14:paraId="0EED5184" w14:textId="2DDFDD1A" w:rsidR="00336C85" w:rsidRPr="00336C85" w:rsidRDefault="00336C85" w:rsidP="00336C85">
            <w:pPr>
              <w:rPr>
                <w:sz w:val="20"/>
              </w:rPr>
            </w:pPr>
            <w:r w:rsidRPr="00336C85">
              <w:rPr>
                <w:i/>
                <w:iCs/>
                <w:sz w:val="20"/>
              </w:rPr>
              <w:t>Intentionally blank</w:t>
            </w:r>
          </w:p>
        </w:tc>
        <w:tc>
          <w:tcPr>
            <w:tcW w:w="2088" w:type="pct"/>
          </w:tcPr>
          <w:p w14:paraId="415CDFAA" w14:textId="0DE71240" w:rsidR="00336C85" w:rsidRPr="00336C85" w:rsidRDefault="00336C85" w:rsidP="00336C85">
            <w:pPr>
              <w:rPr>
                <w:sz w:val="20"/>
              </w:rPr>
            </w:pPr>
            <w:r w:rsidRPr="00336C85">
              <w:rPr>
                <w:i/>
                <w:iCs/>
                <w:sz w:val="20"/>
              </w:rPr>
              <w:t>Intentionally blank</w:t>
            </w:r>
          </w:p>
        </w:tc>
      </w:tr>
      <w:tr w:rsidR="00336C85" w:rsidRPr="00336C85" w14:paraId="6D1756EF" w14:textId="77777777" w:rsidTr="00336C85">
        <w:trPr>
          <w:trHeight w:val="80"/>
        </w:trPr>
        <w:tc>
          <w:tcPr>
            <w:tcW w:w="2181" w:type="pct"/>
          </w:tcPr>
          <w:p w14:paraId="6943DC08" w14:textId="77777777" w:rsidR="00336C85" w:rsidRPr="00336C85" w:rsidRDefault="00336C85" w:rsidP="00336C85">
            <w:pPr>
              <w:rPr>
                <w:rFonts w:ascii="Aptos" w:eastAsia="Calibri" w:hAnsi="Aptos" w:cs="Arial"/>
                <w:b/>
                <w:bCs/>
                <w:kern w:val="2"/>
                <w:sz w:val="20"/>
                <w14:ligatures w14:val="standardContextual"/>
              </w:rPr>
            </w:pPr>
            <w:r w:rsidRPr="00336C85">
              <w:rPr>
                <w:rFonts w:eastAsia="Calibri" w:cs="Arial"/>
                <w:sz w:val="20"/>
                <w:lang w:val="en-GB"/>
              </w:rPr>
              <w:t>KEY - Can we be confident in the exposure characterisation?</w:t>
            </w:r>
          </w:p>
        </w:tc>
        <w:tc>
          <w:tcPr>
            <w:tcW w:w="731" w:type="pct"/>
          </w:tcPr>
          <w:p w14:paraId="6B5D0E06" w14:textId="0031F76E" w:rsidR="00336C85" w:rsidRPr="00336C85" w:rsidRDefault="00336C85" w:rsidP="00336C85">
            <w:pPr>
              <w:rPr>
                <w:sz w:val="20"/>
              </w:rPr>
            </w:pPr>
            <w:r w:rsidRPr="00336C85">
              <w:rPr>
                <w:i/>
                <w:iCs/>
                <w:sz w:val="20"/>
              </w:rPr>
              <w:t>Intentionally blank</w:t>
            </w:r>
          </w:p>
        </w:tc>
        <w:tc>
          <w:tcPr>
            <w:tcW w:w="2088" w:type="pct"/>
          </w:tcPr>
          <w:p w14:paraId="6BEFE454" w14:textId="74B3E07D" w:rsidR="00336C85" w:rsidRPr="00336C85" w:rsidRDefault="00336C85" w:rsidP="00336C85">
            <w:pPr>
              <w:rPr>
                <w:sz w:val="20"/>
              </w:rPr>
            </w:pPr>
            <w:r w:rsidRPr="00336C85">
              <w:rPr>
                <w:i/>
                <w:iCs/>
                <w:sz w:val="20"/>
              </w:rPr>
              <w:t>Intentionally blank</w:t>
            </w:r>
          </w:p>
        </w:tc>
      </w:tr>
      <w:tr w:rsidR="00336C85" w:rsidRPr="00336C85" w14:paraId="2B171799" w14:textId="77777777" w:rsidTr="00336C85">
        <w:trPr>
          <w:trHeight w:val="80"/>
        </w:trPr>
        <w:tc>
          <w:tcPr>
            <w:tcW w:w="2181" w:type="pct"/>
          </w:tcPr>
          <w:p w14:paraId="336F08BC" w14:textId="77777777" w:rsidR="00336C85" w:rsidRPr="00336C85" w:rsidRDefault="00336C85" w:rsidP="00336C85">
            <w:pPr>
              <w:rPr>
                <w:rFonts w:eastAsia="Calibri" w:cs="Arial"/>
                <w:sz w:val="20"/>
                <w:lang w:val="en-GB"/>
              </w:rPr>
            </w:pPr>
            <w:r w:rsidRPr="00336C85">
              <w:rPr>
                <w:rFonts w:eastAsia="Calibri" w:cs="Arial"/>
                <w:sz w:val="20"/>
                <w:lang w:val="en-GB"/>
              </w:rPr>
              <w:t>KEY - Can we be confident in the outcome assessment?</w:t>
            </w:r>
          </w:p>
        </w:tc>
        <w:tc>
          <w:tcPr>
            <w:tcW w:w="731" w:type="pct"/>
          </w:tcPr>
          <w:p w14:paraId="45AEDC27" w14:textId="17EDE74B" w:rsidR="00336C85" w:rsidRPr="00336C85" w:rsidRDefault="00336C85" w:rsidP="00336C85">
            <w:pPr>
              <w:rPr>
                <w:sz w:val="20"/>
              </w:rPr>
            </w:pPr>
            <w:r w:rsidRPr="00336C85">
              <w:rPr>
                <w:i/>
                <w:iCs/>
                <w:sz w:val="20"/>
              </w:rPr>
              <w:t>Intentionally blank</w:t>
            </w:r>
          </w:p>
        </w:tc>
        <w:tc>
          <w:tcPr>
            <w:tcW w:w="2088" w:type="pct"/>
          </w:tcPr>
          <w:p w14:paraId="6040A56C" w14:textId="33B800F0" w:rsidR="00336C85" w:rsidRPr="00336C85" w:rsidRDefault="00336C85" w:rsidP="00336C85">
            <w:pPr>
              <w:rPr>
                <w:sz w:val="20"/>
              </w:rPr>
            </w:pPr>
            <w:r w:rsidRPr="00336C85">
              <w:rPr>
                <w:i/>
                <w:iCs/>
                <w:sz w:val="20"/>
              </w:rPr>
              <w:t>Intentionally blank</w:t>
            </w:r>
          </w:p>
        </w:tc>
      </w:tr>
      <w:tr w:rsidR="00336C85" w:rsidRPr="00336C85" w14:paraId="541F9498" w14:textId="77777777" w:rsidTr="00336C85">
        <w:trPr>
          <w:trHeight w:val="236"/>
        </w:trPr>
        <w:tc>
          <w:tcPr>
            <w:tcW w:w="2181" w:type="pct"/>
          </w:tcPr>
          <w:p w14:paraId="2FF1099F" w14:textId="77777777" w:rsidR="00336C85" w:rsidRPr="00336C85" w:rsidRDefault="00336C85" w:rsidP="00336C85">
            <w:pPr>
              <w:rPr>
                <w:sz w:val="20"/>
              </w:rPr>
            </w:pPr>
            <w:r w:rsidRPr="00336C85">
              <w:rPr>
                <w:rFonts w:eastAsia="Calibri" w:cs="Arial"/>
                <w:b/>
                <w:bCs/>
                <w:sz w:val="20"/>
                <w:lang w:val="en-GB"/>
              </w:rPr>
              <w:t>Selective Reporting</w:t>
            </w:r>
          </w:p>
        </w:tc>
        <w:tc>
          <w:tcPr>
            <w:tcW w:w="731" w:type="pct"/>
          </w:tcPr>
          <w:p w14:paraId="4D0AE5B6" w14:textId="1CCEE1CC" w:rsidR="00336C85" w:rsidRPr="00336C85" w:rsidRDefault="00336C85" w:rsidP="00336C85">
            <w:pPr>
              <w:rPr>
                <w:sz w:val="20"/>
              </w:rPr>
            </w:pPr>
            <w:r w:rsidRPr="00336C85">
              <w:rPr>
                <w:i/>
                <w:iCs/>
                <w:sz w:val="20"/>
              </w:rPr>
              <w:t>Intentionally blank</w:t>
            </w:r>
          </w:p>
        </w:tc>
        <w:tc>
          <w:tcPr>
            <w:tcW w:w="2088" w:type="pct"/>
          </w:tcPr>
          <w:p w14:paraId="361B65DD" w14:textId="3508D5D3" w:rsidR="00336C85" w:rsidRPr="00336C85" w:rsidRDefault="00336C85" w:rsidP="00336C85">
            <w:pPr>
              <w:rPr>
                <w:sz w:val="20"/>
              </w:rPr>
            </w:pPr>
            <w:r w:rsidRPr="00336C85">
              <w:rPr>
                <w:i/>
                <w:iCs/>
                <w:sz w:val="20"/>
              </w:rPr>
              <w:t>Intentionally blank</w:t>
            </w:r>
          </w:p>
        </w:tc>
      </w:tr>
      <w:tr w:rsidR="00336C85" w:rsidRPr="00336C85" w14:paraId="2712BEB8" w14:textId="77777777" w:rsidTr="00336C85">
        <w:trPr>
          <w:trHeight w:val="235"/>
        </w:trPr>
        <w:tc>
          <w:tcPr>
            <w:tcW w:w="2181" w:type="pct"/>
          </w:tcPr>
          <w:p w14:paraId="5A9465BB" w14:textId="77777777" w:rsidR="00336C85" w:rsidRPr="00336C85" w:rsidRDefault="00336C85" w:rsidP="00336C85">
            <w:pPr>
              <w:rPr>
                <w:rFonts w:eastAsia="Calibri" w:cs="Arial"/>
                <w:b/>
                <w:bCs/>
                <w:sz w:val="20"/>
                <w:lang w:val="en-GB"/>
              </w:rPr>
            </w:pPr>
            <w:r w:rsidRPr="00336C85">
              <w:rPr>
                <w:rFonts w:eastAsia="Calibri" w:cs="Arial"/>
                <w:sz w:val="20"/>
                <w:lang w:val="en-GB"/>
              </w:rPr>
              <w:t>Were all measured outcomes reported?</w:t>
            </w:r>
          </w:p>
        </w:tc>
        <w:tc>
          <w:tcPr>
            <w:tcW w:w="731" w:type="pct"/>
          </w:tcPr>
          <w:p w14:paraId="0A0FA0F6" w14:textId="47B8FDC5" w:rsidR="00336C85" w:rsidRPr="00336C85" w:rsidRDefault="00336C85" w:rsidP="00336C85">
            <w:pPr>
              <w:rPr>
                <w:sz w:val="20"/>
              </w:rPr>
            </w:pPr>
            <w:r w:rsidRPr="00336C85">
              <w:rPr>
                <w:i/>
                <w:iCs/>
                <w:sz w:val="20"/>
              </w:rPr>
              <w:t>Intentionally blank</w:t>
            </w:r>
          </w:p>
        </w:tc>
        <w:tc>
          <w:tcPr>
            <w:tcW w:w="2088" w:type="pct"/>
          </w:tcPr>
          <w:p w14:paraId="149EB1AC" w14:textId="2EFFC2F0" w:rsidR="00336C85" w:rsidRPr="00336C85" w:rsidRDefault="00336C85" w:rsidP="00336C85">
            <w:pPr>
              <w:rPr>
                <w:sz w:val="20"/>
              </w:rPr>
            </w:pPr>
            <w:r w:rsidRPr="00336C85">
              <w:rPr>
                <w:i/>
                <w:iCs/>
                <w:sz w:val="20"/>
              </w:rPr>
              <w:t>Intentionally blank</w:t>
            </w:r>
          </w:p>
        </w:tc>
      </w:tr>
      <w:tr w:rsidR="00336C85" w:rsidRPr="00336C85" w14:paraId="25592CF2" w14:textId="77777777" w:rsidTr="00336C85">
        <w:tc>
          <w:tcPr>
            <w:tcW w:w="2181" w:type="pct"/>
          </w:tcPr>
          <w:p w14:paraId="152B6B45" w14:textId="77777777" w:rsidR="00336C85" w:rsidRPr="00336C85" w:rsidRDefault="00336C85" w:rsidP="00336C85">
            <w:pPr>
              <w:rPr>
                <w:b/>
                <w:bCs/>
                <w:sz w:val="20"/>
              </w:rPr>
            </w:pPr>
            <w:r w:rsidRPr="00336C85">
              <w:rPr>
                <w:rFonts w:eastAsia="Calibri" w:cs="Arial"/>
                <w:b/>
                <w:bCs/>
                <w:sz w:val="20"/>
                <w:lang w:val="en-GB"/>
              </w:rPr>
              <w:t>Other Sources of bias</w:t>
            </w:r>
          </w:p>
        </w:tc>
        <w:tc>
          <w:tcPr>
            <w:tcW w:w="731" w:type="pct"/>
          </w:tcPr>
          <w:p w14:paraId="3DBEE20D" w14:textId="1EEC567F" w:rsidR="00336C85" w:rsidRPr="00336C85" w:rsidRDefault="00336C85" w:rsidP="00336C85">
            <w:pPr>
              <w:rPr>
                <w:sz w:val="20"/>
              </w:rPr>
            </w:pPr>
            <w:r w:rsidRPr="00336C85">
              <w:rPr>
                <w:i/>
                <w:iCs/>
                <w:sz w:val="20"/>
              </w:rPr>
              <w:t>Intentionally blank</w:t>
            </w:r>
          </w:p>
        </w:tc>
        <w:tc>
          <w:tcPr>
            <w:tcW w:w="2088" w:type="pct"/>
          </w:tcPr>
          <w:p w14:paraId="5EF2D819" w14:textId="24E64F60" w:rsidR="00336C85" w:rsidRPr="00336C85" w:rsidRDefault="00336C85" w:rsidP="00336C85">
            <w:pPr>
              <w:rPr>
                <w:sz w:val="20"/>
              </w:rPr>
            </w:pPr>
            <w:r w:rsidRPr="00336C85">
              <w:rPr>
                <w:i/>
                <w:iCs/>
                <w:sz w:val="20"/>
              </w:rPr>
              <w:t>Intentionally blank</w:t>
            </w:r>
          </w:p>
        </w:tc>
      </w:tr>
      <w:tr w:rsidR="00336C85" w:rsidRPr="00336C85" w14:paraId="5654B75F" w14:textId="77777777" w:rsidTr="00336C85">
        <w:tc>
          <w:tcPr>
            <w:tcW w:w="2181" w:type="pct"/>
          </w:tcPr>
          <w:p w14:paraId="691E0F09" w14:textId="77777777" w:rsidR="00336C85" w:rsidRPr="00336C85" w:rsidRDefault="00336C85" w:rsidP="00336C85">
            <w:pPr>
              <w:rPr>
                <w:rFonts w:eastAsia="Calibri" w:cs="Arial"/>
                <w:b/>
                <w:bCs/>
                <w:sz w:val="20"/>
                <w:lang w:val="en-GB"/>
              </w:rPr>
            </w:pPr>
            <w:r w:rsidRPr="00336C85">
              <w:rPr>
                <w:rFonts w:eastAsia="Calibri" w:cs="Arial"/>
                <w:sz w:val="20"/>
                <w:lang w:val="en-GB"/>
              </w:rPr>
              <w:t>Were there any other potential threats to internal validity (e.g., inappropriate statistical methods)?</w:t>
            </w:r>
          </w:p>
        </w:tc>
        <w:tc>
          <w:tcPr>
            <w:tcW w:w="731" w:type="pct"/>
          </w:tcPr>
          <w:p w14:paraId="4133C547" w14:textId="6BBEF723" w:rsidR="00336C85" w:rsidRPr="00336C85" w:rsidRDefault="00336C85" w:rsidP="00336C85">
            <w:pPr>
              <w:rPr>
                <w:sz w:val="20"/>
              </w:rPr>
            </w:pPr>
            <w:r w:rsidRPr="00336C85">
              <w:rPr>
                <w:i/>
                <w:iCs/>
                <w:sz w:val="20"/>
              </w:rPr>
              <w:t>Intentionally blank</w:t>
            </w:r>
          </w:p>
        </w:tc>
        <w:tc>
          <w:tcPr>
            <w:tcW w:w="2088" w:type="pct"/>
          </w:tcPr>
          <w:p w14:paraId="7A241C0A" w14:textId="327FD5B7" w:rsidR="00336C85" w:rsidRPr="00336C85" w:rsidRDefault="00336C85" w:rsidP="00336C85">
            <w:pPr>
              <w:rPr>
                <w:sz w:val="20"/>
              </w:rPr>
            </w:pPr>
            <w:r w:rsidRPr="00336C85">
              <w:rPr>
                <w:i/>
                <w:iCs/>
                <w:sz w:val="20"/>
              </w:rPr>
              <w:t>Intentionally blank</w:t>
            </w:r>
          </w:p>
        </w:tc>
      </w:tr>
      <w:tr w:rsidR="00336C85" w:rsidRPr="00336C85" w14:paraId="22659170" w14:textId="77777777" w:rsidTr="00336C85">
        <w:tc>
          <w:tcPr>
            <w:tcW w:w="2181" w:type="pct"/>
          </w:tcPr>
          <w:p w14:paraId="0B0BAE94" w14:textId="77777777" w:rsidR="00336C85" w:rsidRPr="00336C85" w:rsidRDefault="00336C85" w:rsidP="00336C85">
            <w:pPr>
              <w:rPr>
                <w:sz w:val="20"/>
              </w:rPr>
            </w:pPr>
            <w:r w:rsidRPr="00336C85">
              <w:rPr>
                <w:rFonts w:eastAsia="Calibri" w:cs="Arial"/>
                <w:b/>
                <w:bCs/>
                <w:sz w:val="20"/>
                <w:lang w:val="en-GB"/>
              </w:rPr>
              <w:t>Overall risk of bias for the study (Low/Moderate/High)</w:t>
            </w:r>
          </w:p>
        </w:tc>
        <w:tc>
          <w:tcPr>
            <w:tcW w:w="731" w:type="pct"/>
          </w:tcPr>
          <w:p w14:paraId="5A3508EE" w14:textId="181BF1FA" w:rsidR="00336C85" w:rsidRPr="00336C85" w:rsidRDefault="00336C85" w:rsidP="00336C85">
            <w:pPr>
              <w:rPr>
                <w:b/>
                <w:bCs/>
                <w:sz w:val="20"/>
              </w:rPr>
            </w:pPr>
            <w:r w:rsidRPr="00336C85">
              <w:rPr>
                <w:i/>
                <w:iCs/>
                <w:sz w:val="20"/>
              </w:rPr>
              <w:t>Intentionally blank</w:t>
            </w:r>
          </w:p>
        </w:tc>
        <w:tc>
          <w:tcPr>
            <w:tcW w:w="2088" w:type="pct"/>
          </w:tcPr>
          <w:p w14:paraId="3FA46FE6" w14:textId="6D369E07" w:rsidR="00336C85" w:rsidRPr="00336C85" w:rsidRDefault="00336C85" w:rsidP="00336C85">
            <w:pPr>
              <w:rPr>
                <w:b/>
                <w:bCs/>
                <w:sz w:val="20"/>
              </w:rPr>
            </w:pPr>
            <w:r w:rsidRPr="00336C85">
              <w:rPr>
                <w:i/>
                <w:iCs/>
                <w:sz w:val="20"/>
              </w:rPr>
              <w:t>Intentionally blank</w:t>
            </w:r>
          </w:p>
        </w:tc>
      </w:tr>
    </w:tbl>
    <w:p w14:paraId="794CDA46" w14:textId="085BB7D4" w:rsidR="00E45AB2" w:rsidRDefault="009B4FE4" w:rsidP="009B4FE4">
      <w:pPr>
        <w:pStyle w:val="Heading2"/>
      </w:pPr>
      <w:bookmarkStart w:id="32" w:name="_Toc233022858"/>
      <w:r>
        <w:t>Adverse Event Reports</w:t>
      </w:r>
      <w:bookmarkEnd w:id="32"/>
    </w:p>
    <w:p w14:paraId="2DDF60EA" w14:textId="7832CA1F" w:rsidR="009B4FE4" w:rsidRDefault="00E47912" w:rsidP="009B4FE4">
      <w:pPr>
        <w:pStyle w:val="BodyText"/>
      </w:pPr>
      <w:r w:rsidRPr="00E47912">
        <w:t>Several adverse event reporting databases were reviewed to identify reported adverse events associated with pyridoxine or vitamin B6-containing products. These databases are useful for identifying potential safety signals and the types of symptoms being reported. However, they cannot be used to estimate incidence, risk, dose–response relationships or causality, as reports may be incomplete, affected by reporting bias, and often involve multiple products or underlying health conditions.</w:t>
      </w:r>
    </w:p>
    <w:p w14:paraId="378DFCC1" w14:textId="36BF42AF" w:rsidR="009B4FE4" w:rsidRDefault="009B4FE4" w:rsidP="009B4FE4">
      <w:pPr>
        <w:pStyle w:val="Heading3"/>
      </w:pPr>
      <w:bookmarkStart w:id="33" w:name="_Toc233022859"/>
      <w:r w:rsidRPr="009B4FE4">
        <w:t xml:space="preserve">Database of Adverse Event Notifications (DAEN) </w:t>
      </w:r>
      <w:r>
        <w:t>–</w:t>
      </w:r>
      <w:r w:rsidRPr="009B4FE4">
        <w:t xml:space="preserve"> medicines</w:t>
      </w:r>
      <w:bookmarkEnd w:id="33"/>
      <w:r w:rsidR="00336ED3">
        <w:t xml:space="preserve"> </w:t>
      </w:r>
    </w:p>
    <w:p w14:paraId="5C61A754" w14:textId="02B94B5F" w:rsidR="00E47912" w:rsidRDefault="00E47912" w:rsidP="00E47912">
      <w:pPr>
        <w:pStyle w:val="BodyText"/>
      </w:pPr>
      <w:r>
        <w:t>The DAEN medicines dataset included 2,697 adverse event reports associated with pyridoxine or vitamin B6-related products between 1972 and May 2026. Reporting was weighted toward recent years, with more than half of reports entered from 2020 onwards. This may reflect increased awareness and reporting of vitamin B6-associated neuropathy, rather than a true increase in population-level risk.</w:t>
      </w:r>
    </w:p>
    <w:p w14:paraId="295D21A6" w14:textId="77777777" w:rsidR="00E47912" w:rsidRDefault="00E47912" w:rsidP="00E47912">
      <w:pPr>
        <w:pStyle w:val="BodyText"/>
      </w:pPr>
      <w:r>
        <w:t>Where age was reported, cases were mainly in adults, particularly those aged 50–69 years. Approximately 37% of reports did not include age information. Most reports involved females, who accounted for approximately 69% of cases, while males accounted for approximately 24%.</w:t>
      </w:r>
    </w:p>
    <w:p w14:paraId="74E0B8DD" w14:textId="77777777" w:rsidR="00E47912" w:rsidRDefault="00E47912" w:rsidP="00E47912">
      <w:pPr>
        <w:pStyle w:val="BodyText"/>
      </w:pPr>
    </w:p>
    <w:p w14:paraId="6996F1CF" w14:textId="02A60B83" w:rsidR="00903F9E" w:rsidRDefault="00E47912" w:rsidP="00E47912">
      <w:pPr>
        <w:pStyle w:val="BodyText"/>
      </w:pPr>
      <w:r>
        <w:lastRenderedPageBreak/>
        <w:t xml:space="preserve">The main reported clinical pattern was neurological, </w:t>
      </w:r>
      <w:r w:rsidR="00C575BF">
        <w:t xml:space="preserve">most commonly symptoms associated with </w:t>
      </w:r>
      <w:r>
        <w:t>sensory neuropathy-type</w:t>
      </w:r>
      <w:r w:rsidR="00C575BF">
        <w:t>. However, some symptoms associated with motor and balance disturbance were reported.</w:t>
      </w:r>
      <w:r>
        <w:t xml:space="preserve"> Frequently reported terms included paraesthesia, peripheral neuropathy, hypoaesthesia, burning sensation, pain in extremity, balance problems, gait disturbance, muscular weakness and dizziness. These findings are consistent with the known adverse effect profile of excess vitamin B6 exposure. Other reported symptoms included nausea, vomiting, diarrhoea, fatigue, headache, rash and pruritus, although these are less specific. Suspected products included pyridoxine or pyridoxine hydrochloride products, as well as magnesium/B6 products, B-complex products, multivitamins, pregnancy supplements, “stress” or “energy”</w:t>
      </w:r>
      <w:r w:rsidR="00622053">
        <w:t xml:space="preserve"> supplements</w:t>
      </w:r>
      <w:r>
        <w:t xml:space="preserve"> formulations, and some injectable vitamin preparations. Death-related information was limited and did not allow the number of unique deaths or causality to be determined.</w:t>
      </w:r>
    </w:p>
    <w:p w14:paraId="3251C35A" w14:textId="6C2F204A" w:rsidR="00903F9E" w:rsidRDefault="00903F9E" w:rsidP="00903F9E">
      <w:pPr>
        <w:pStyle w:val="Heading3"/>
      </w:pPr>
      <w:bookmarkStart w:id="34" w:name="_Toc233022860"/>
      <w:r>
        <w:t>WHO VigiAccess</w:t>
      </w:r>
      <w:bookmarkEnd w:id="34"/>
    </w:p>
    <w:p w14:paraId="26294D41" w14:textId="71F9902E" w:rsidR="00E47912" w:rsidRDefault="00E47912" w:rsidP="00E47912">
      <w:pPr>
        <w:pStyle w:val="BodyText"/>
      </w:pPr>
      <w:r>
        <w:t>Global pharmacovigilance data were retrieved from WHO VigiAccess for pyridoxine and pyridoxine-containing search terms. The active substance search for “pyridoxine” returned 13,954 reported adverse drug reactions across 26 MedDRA System Organ Classes. Nervous system disorders, which include peripheral neuropathy-related effects, accounted for 2,437 reports and were the fourth most common reaction category after general disorders, skin disorders and gastrointestinal disorders.</w:t>
      </w:r>
    </w:p>
    <w:p w14:paraId="4B26B282" w14:textId="56520772" w:rsidR="009B4FE4" w:rsidRDefault="00E47912" w:rsidP="00E47912">
      <w:pPr>
        <w:pStyle w:val="BodyText"/>
      </w:pPr>
      <w:r>
        <w:t>Most reports originated from Asia, followed by Europe, the Americas, Africa and Oceania. Reporting increased from the 1970s, peaked in 2020 and has declined since. These data provide broad signal-level support for neurological adverse effects associated with pyridoxine, but the public VigiAccess output does not provide sufficient information on dose, duration, vitamin B6 form or causality to support dose–response assessment.</w:t>
      </w:r>
    </w:p>
    <w:p w14:paraId="5923925F" w14:textId="431ECA96" w:rsidR="0002113B" w:rsidRDefault="00903F9E" w:rsidP="00903F9E">
      <w:pPr>
        <w:pStyle w:val="Heading3"/>
      </w:pPr>
      <w:bookmarkStart w:id="35" w:name="_Toc233022861"/>
      <w:r>
        <w:t>FDA Adverse Event Monitoring System (AEMS) Public Dashboard for Drugs and Biologics</w:t>
      </w:r>
      <w:bookmarkEnd w:id="35"/>
    </w:p>
    <w:p w14:paraId="13BB0860" w14:textId="150B822E" w:rsidR="00E47912" w:rsidRDefault="00E47912" w:rsidP="00E47912">
      <w:pPr>
        <w:pStyle w:val="BodyText"/>
      </w:pPr>
      <w:r>
        <w:t>The FDA dataset included 1,415 adverse event cases associated with pyridoxine, vitamin B6 or vitamin B-complex products from 1973 to 2026. Approximately 60% of cases were received from 2020 onwards, with the highest annual count in 2023. Most reports were submitted by healthcare professionals (74.4%), while consumers accounted for 22.3% of reports.</w:t>
      </w:r>
    </w:p>
    <w:p w14:paraId="0452903C" w14:textId="6741FD04" w:rsidR="00E47912" w:rsidRDefault="00E47912" w:rsidP="00E47912">
      <w:pPr>
        <w:pStyle w:val="BodyText"/>
      </w:pPr>
      <w:r>
        <w:t>Most cases involved adults, particularly those aged 18–64 years and 65–85 years. Age was not specified in 27.3% of cases. Females accounted for 52.7% of reports and males for 36.3%. Product categories were mainly Vitamin B Complex and Vitamin B6, although these categories were not necessarily mutually exclusive.</w:t>
      </w:r>
    </w:p>
    <w:p w14:paraId="7AB16B6C" w14:textId="3DACBBB4" w:rsidR="003703F3" w:rsidRDefault="00E47912" w:rsidP="00E47912">
      <w:pPr>
        <w:pStyle w:val="BodyText"/>
      </w:pPr>
      <w:r>
        <w:t>Commonly reported reactions included off-label use, drug ineffective, nausea, somnolence, vomiting, fatigue, dyspnoea, headache, general physical health deterioration, hypersensitivity, abdominal pain, diarrhoea, sleep disorder, dizziness, rash and anxiety. Neuropathy-relevant terms were also reported, including paraesthesia, gait disturbance, peripheral neuropathy, hypoaesthesia, neuralgia, muscular weakness, pain in extremity, balance disorder, tremor and burning sensation. “Death” was reported as a reaction term in 49 cases, with other death-related terms reported in small numbers. However, the public output does not provide sufficient case-level outcome or causality information to determine whether vitamin B6 caused these deaths.</w:t>
      </w:r>
    </w:p>
    <w:p w14:paraId="34846876" w14:textId="77777777" w:rsidR="003703F3" w:rsidRDefault="003703F3" w:rsidP="003703F3">
      <w:pPr>
        <w:pStyle w:val="Heading3"/>
      </w:pPr>
      <w:bookmarkStart w:id="36" w:name="_Toc233022862"/>
      <w:r w:rsidRPr="003703F3">
        <w:lastRenderedPageBreak/>
        <w:t>EudraVigilance – European database of suspected adverse drug reaction reports</w:t>
      </w:r>
      <w:bookmarkEnd w:id="36"/>
    </w:p>
    <w:p w14:paraId="6A126170" w14:textId="196E9594" w:rsidR="00E47912" w:rsidRDefault="00E47912" w:rsidP="00E47912">
      <w:pPr>
        <w:pStyle w:val="BodyText"/>
      </w:pPr>
      <w:r>
        <w:t>The broader EudraVigilance pyridoxine search identified 6,196,841 individual cases. Most cases were in adults, particularly the 18–64 year age group, followed by 65–85 years. Age was not specified in 21.9% of cases. Females accounted for 57.4% of reports and males for 37.9%. Most reports were submitted by healthcare professionals (60.8%), with non-healthcare professionals accounting for 33.2%.</w:t>
      </w:r>
    </w:p>
    <w:p w14:paraId="155F0FC9" w14:textId="37144681" w:rsidR="00E47912" w:rsidRDefault="00E47912" w:rsidP="00E47912">
      <w:pPr>
        <w:pStyle w:val="BodyText"/>
      </w:pPr>
      <w:r>
        <w:t xml:space="preserve">Reports were relatively evenly split between </w:t>
      </w:r>
      <w:r w:rsidR="00622053" w:rsidRPr="00622053">
        <w:t>European Economic Area (EEA)</w:t>
      </w:r>
      <w:r w:rsidR="00622053">
        <w:t xml:space="preserve"> </w:t>
      </w:r>
      <w:r>
        <w:t>and non-EEA sources. Within the EEA, the largest contributors were Germany, France, Italy, the Netherlands, Austria, Spain and Sweden. Reaction-term data were not available for the broader pyridoxine search.</w:t>
      </w:r>
    </w:p>
    <w:p w14:paraId="64DE8131" w14:textId="54936610" w:rsidR="00DD74A0" w:rsidRDefault="00E47912" w:rsidP="00E47912">
      <w:pPr>
        <w:pStyle w:val="BodyText"/>
      </w:pPr>
      <w:r>
        <w:t>As reaction information was not available for the broader search, a narrower exploratory search for “pyridoxine magnesium” was reviewed. This identified 463 cases up to 7 June 2026. Most cases were in adults and females, and most were from the EEA, particularly France. In contrast to the broader EudraVigilance dataset, most reports in this subset were from non-healthcare professionals. The main reaction groups were injury/poisoning/procedural complications, gastrointestinal disorders, nervous system disorders, skin disorders and general disorders. The nervous system category is relevant to potential vitamin B6-associated neuropathy, but this subset should not be considered representative of all pyridoxine or vitamin B6 reports. A search for pyridoxine hydrochloride identified only two cases and was not considered informative (low number of identified cases).</w:t>
      </w:r>
      <w:r w:rsidR="00FD5B65">
        <w:t xml:space="preserve"> </w:t>
      </w:r>
    </w:p>
    <w:p w14:paraId="14E0DAE6" w14:textId="22E558FD" w:rsidR="00FD5B65" w:rsidRDefault="00E47912" w:rsidP="00F85F2D">
      <w:pPr>
        <w:pStyle w:val="Heading3"/>
      </w:pPr>
      <w:bookmarkStart w:id="37" w:name="_Toc233022863"/>
      <w:r w:rsidRPr="00E47912">
        <w:t>Canadian Vigilance Adverse Reaction Online Database</w:t>
      </w:r>
      <w:bookmarkEnd w:id="37"/>
    </w:p>
    <w:p w14:paraId="48BB3D05" w14:textId="14E16BA0" w:rsidR="00E47912" w:rsidRDefault="00E47912" w:rsidP="00E47912">
      <w:pPr>
        <w:pStyle w:val="BodyText"/>
      </w:pPr>
      <w:r>
        <w:t>Canada Vigilance data were reviewed for the search term “pyridox” across 2000 to February 2026. Across three exported periods, there were 2,198 reported adverse reaction reports: 345 reports from 2000–2010, 909 reports from 2010–2019 and 944 reports from 2019–2026. This indicates higher reporting activity in more recent periods, although this may reflect changes in product use, awareness, reporting practices, database capture or regulatory attention rather than a true increase in risk.</w:t>
      </w:r>
    </w:p>
    <w:p w14:paraId="125837C4" w14:textId="698B794C" w:rsidR="00F85F2D" w:rsidRDefault="00E47912" w:rsidP="00E47912">
      <w:pPr>
        <w:pStyle w:val="BodyText"/>
      </w:pPr>
      <w:r>
        <w:t xml:space="preserve">The Canada Vigilance reports captured a broad range of pyridoxine-containing products and clinical contexts, including doxylamine/pyridoxine pregnancy products, B-complex products, multivitamins, vitamin/mineral supplements and multi-ingredient natural health products. Reported reactions were diverse and included gastrointestinal symptoms, hypersensitivity or skin reactions, general symptoms, pregnancy or foetal exposure-related terms, medication-use issues such as overdose or off-label use, and some neurological terms. Overall, the Canada Vigilance dataset appeared less specifically focused on vitamin B6-associated neuropathy than the DAEN dataset, although neuropathy-related terms were present. </w:t>
      </w:r>
    </w:p>
    <w:p w14:paraId="5D5719E9" w14:textId="77777777" w:rsidR="00F85F2D" w:rsidRDefault="00F85F2D" w:rsidP="00F85F2D">
      <w:pPr>
        <w:pStyle w:val="BodyText"/>
      </w:pPr>
    </w:p>
    <w:p w14:paraId="24EC93D9" w14:textId="77777777" w:rsidR="00F85F2D" w:rsidRPr="00F85F2D" w:rsidRDefault="00F85F2D" w:rsidP="00F85F2D">
      <w:pPr>
        <w:pStyle w:val="BodyText"/>
      </w:pPr>
    </w:p>
    <w:p w14:paraId="64AB5462" w14:textId="77777777" w:rsidR="00FD5B65" w:rsidRDefault="00FD5B65" w:rsidP="003703F3">
      <w:pPr>
        <w:pStyle w:val="BodyText"/>
      </w:pPr>
    </w:p>
    <w:p w14:paraId="181D9570" w14:textId="77777777" w:rsidR="00FD5B65" w:rsidRDefault="00FD5B65" w:rsidP="003703F3">
      <w:pPr>
        <w:pStyle w:val="BodyText"/>
      </w:pPr>
    </w:p>
    <w:p w14:paraId="1EB67DD4" w14:textId="6A248002" w:rsidR="00DD74A0" w:rsidRPr="003703F3" w:rsidRDefault="00DD74A0" w:rsidP="003703F3">
      <w:pPr>
        <w:pStyle w:val="BodyText"/>
        <w:sectPr w:rsidR="00DD74A0" w:rsidRPr="003703F3" w:rsidSect="0037433D">
          <w:footerReference w:type="default" r:id="rId19"/>
          <w:footerReference w:type="first" r:id="rId20"/>
          <w:pgSz w:w="11909" w:h="16834" w:code="9"/>
          <w:pgMar w:top="1440" w:right="1440" w:bottom="1276" w:left="1440" w:header="576" w:footer="576" w:gutter="0"/>
          <w:pgNumType w:start="1"/>
          <w:cols w:space="720"/>
          <w:docGrid w:linePitch="360"/>
        </w:sectPr>
      </w:pPr>
    </w:p>
    <w:p w14:paraId="055D7446" w14:textId="442D2749" w:rsidR="00767956" w:rsidRDefault="00767956" w:rsidP="00767956">
      <w:pPr>
        <w:pStyle w:val="Heading1"/>
      </w:pPr>
      <w:bookmarkStart w:id="38" w:name="_Toc233022864"/>
      <w:r>
        <w:lastRenderedPageBreak/>
        <w:t>Results</w:t>
      </w:r>
      <w:bookmarkEnd w:id="38"/>
    </w:p>
    <w:p w14:paraId="6EA2A3D9" w14:textId="0C127DDC" w:rsidR="00767956" w:rsidRDefault="00767956" w:rsidP="00767956">
      <w:pPr>
        <w:pStyle w:val="Heading2"/>
      </w:pPr>
      <w:bookmarkStart w:id="39" w:name="_Toc233022865"/>
      <w:r>
        <w:t>Health-based research question analysis</w:t>
      </w:r>
      <w:r w:rsidR="00AD446A">
        <w:t xml:space="preserve"> for guidance documents</w:t>
      </w:r>
      <w:bookmarkEnd w:id="39"/>
    </w:p>
    <w:p w14:paraId="3550D3B3" w14:textId="18644206" w:rsidR="00767956" w:rsidRDefault="00EE1DFF" w:rsidP="00EE1DFF">
      <w:pPr>
        <w:pStyle w:val="Caption"/>
      </w:pPr>
      <w:bookmarkStart w:id="40" w:name="_Ref236989072"/>
      <w:bookmarkStart w:id="41" w:name="_Toc233022874"/>
      <w:r>
        <w:t xml:space="preserve">Table </w:t>
      </w:r>
      <w:r w:rsidR="00D90030">
        <w:fldChar w:fldCharType="begin"/>
      </w:r>
      <w:r w:rsidR="00D90030">
        <w:instrText xml:space="preserve"> SEQ Table \* ARABIC </w:instrText>
      </w:r>
      <w:r w:rsidR="00D90030">
        <w:fldChar w:fldCharType="separate"/>
      </w:r>
      <w:r w:rsidR="00A41FEF">
        <w:rPr>
          <w:noProof/>
        </w:rPr>
        <w:t>7</w:t>
      </w:r>
      <w:r w:rsidR="00D90030">
        <w:fldChar w:fldCharType="end"/>
      </w:r>
      <w:bookmarkEnd w:id="40"/>
      <w:r w:rsidR="00767956">
        <w:tab/>
      </w:r>
      <w:r w:rsidR="00767956" w:rsidRPr="00767956">
        <w:t>Synthesis of extracted data for health-based research questions</w:t>
      </w:r>
      <w:bookmarkEnd w:id="41"/>
      <w:r w:rsidR="00E55B47">
        <w:t xml:space="preserve"> </w:t>
      </w:r>
    </w:p>
    <w:tbl>
      <w:tblPr>
        <w:tblStyle w:val="SLROption2"/>
        <w:tblW w:w="5000" w:type="pct"/>
        <w:tblLook w:val="04A0" w:firstRow="1" w:lastRow="0" w:firstColumn="1" w:lastColumn="0" w:noHBand="0" w:noVBand="1"/>
      </w:tblPr>
      <w:tblGrid>
        <w:gridCol w:w="1557"/>
        <w:gridCol w:w="5527"/>
        <w:gridCol w:w="13837"/>
      </w:tblGrid>
      <w:tr w:rsidR="00E72B8C" w:rsidRPr="00767956" w14:paraId="19BE76B8" w14:textId="77777777" w:rsidTr="00AF0BBB">
        <w:trPr>
          <w:cnfStyle w:val="100000000000" w:firstRow="1" w:lastRow="0" w:firstColumn="0" w:lastColumn="0" w:oddVBand="0" w:evenVBand="0" w:oddHBand="0" w:evenHBand="0" w:firstRowFirstColumn="0" w:firstRowLastColumn="0" w:lastRowFirstColumn="0" w:lastRowLastColumn="0"/>
          <w:cantSplit/>
        </w:trPr>
        <w:tc>
          <w:tcPr>
            <w:tcW w:w="372" w:type="pct"/>
            <w:vAlign w:val="center"/>
          </w:tcPr>
          <w:p w14:paraId="15C3823F" w14:textId="77777777" w:rsidR="00E72B8C" w:rsidRPr="00767956" w:rsidRDefault="00E72B8C" w:rsidP="00AF0BBB">
            <w:pPr>
              <w:pStyle w:val="TableHeading"/>
            </w:pPr>
            <w:bookmarkStart w:id="42" w:name="_Hlk219897928"/>
            <w:r>
              <w:t>Number</w:t>
            </w:r>
          </w:p>
        </w:tc>
        <w:tc>
          <w:tcPr>
            <w:tcW w:w="1321" w:type="pct"/>
            <w:vAlign w:val="center"/>
          </w:tcPr>
          <w:p w14:paraId="0868730C" w14:textId="77777777" w:rsidR="00E72B8C" w:rsidRPr="00767956" w:rsidRDefault="00E72B8C" w:rsidP="00AF0BBB">
            <w:pPr>
              <w:pStyle w:val="TableHeading"/>
            </w:pPr>
            <w:r w:rsidRPr="00767956">
              <w:t>Research Questions</w:t>
            </w:r>
          </w:p>
        </w:tc>
        <w:tc>
          <w:tcPr>
            <w:tcW w:w="3307" w:type="pct"/>
            <w:vAlign w:val="center"/>
          </w:tcPr>
          <w:p w14:paraId="2A1243C4" w14:textId="77777777" w:rsidR="00E72B8C" w:rsidRPr="00767956" w:rsidRDefault="00E72B8C" w:rsidP="00AF0BBB">
            <w:pPr>
              <w:pStyle w:val="TableHeading"/>
            </w:pPr>
            <w:r>
              <w:t>EFSA 2023</w:t>
            </w:r>
          </w:p>
        </w:tc>
      </w:tr>
      <w:tr w:rsidR="00E72B8C" w:rsidRPr="00767956" w14:paraId="40050CD0" w14:textId="77777777" w:rsidTr="00AF0BBB">
        <w:trPr>
          <w:cantSplit/>
        </w:trPr>
        <w:tc>
          <w:tcPr>
            <w:tcW w:w="372" w:type="pct"/>
          </w:tcPr>
          <w:p w14:paraId="3ADD3361" w14:textId="77777777" w:rsidR="00E72B8C" w:rsidRPr="00767956" w:rsidRDefault="00E72B8C" w:rsidP="00AF0BBB">
            <w:pPr>
              <w:pStyle w:val="TableText"/>
              <w:rPr>
                <w:lang w:eastAsia="en-AU"/>
              </w:rPr>
            </w:pPr>
            <w:r>
              <w:rPr>
                <w:lang w:eastAsia="en-AU"/>
              </w:rPr>
              <w:t>1</w:t>
            </w:r>
          </w:p>
        </w:tc>
        <w:tc>
          <w:tcPr>
            <w:tcW w:w="1321" w:type="pct"/>
          </w:tcPr>
          <w:p w14:paraId="5308F577" w14:textId="77777777" w:rsidR="00E72B8C" w:rsidRPr="00767956" w:rsidRDefault="00E72B8C" w:rsidP="00AF0BBB">
            <w:pPr>
              <w:pStyle w:val="TableText"/>
              <w:rPr>
                <w:highlight w:val="yellow"/>
                <w:lang w:eastAsia="en-AU"/>
              </w:rPr>
            </w:pPr>
            <w:r w:rsidRPr="009E5F3C">
              <w:rPr>
                <w:lang w:eastAsia="en-AU"/>
              </w:rPr>
              <w:t>Upper Level (UL) question - What excess intake of vitamin B6 is associated with adverse health effects?</w:t>
            </w:r>
          </w:p>
        </w:tc>
        <w:tc>
          <w:tcPr>
            <w:tcW w:w="3307" w:type="pct"/>
          </w:tcPr>
          <w:p w14:paraId="19BDBF48" w14:textId="77777777" w:rsidR="00E72B8C" w:rsidRDefault="00E72B8C" w:rsidP="00AF0BBB">
            <w:pPr>
              <w:pStyle w:val="TableText"/>
              <w:rPr>
                <w:lang w:eastAsia="en-AU"/>
              </w:rPr>
            </w:pPr>
            <w:r w:rsidRPr="00813E57">
              <w:rPr>
                <w:lang w:eastAsia="en-AU"/>
              </w:rPr>
              <w:t>Based on a weight-of-evidence assessment across multiple converging lines of evidence, including the Dalton &amp; Dalton (1987) case-control study, a positive rechallenge case, additional case reports (Dalton 1985; Blackburn &amp; Warren 2017), and Dutch and French nutrivigilance data, the EFSA Panel concluded that peripheral neuropathy may occur at supplemental vitamin B6 intakes of 50 mg/day in some individuals when consumed for more than 6 months. Within the Dalton &amp; Dalton (1987) study, a dose-dependent increase in the prevalence of neuropathy symptoms was observed across all dose groups, including in the lowest group consuming less than 50 mg/day for more than 6 months, which contributed to but did not solely determine the RP.</w:t>
            </w:r>
          </w:p>
          <w:p w14:paraId="1F5FF9F6" w14:textId="77777777" w:rsidR="00E72B8C" w:rsidRPr="00767956" w:rsidRDefault="00E72B8C" w:rsidP="00AF0BBB">
            <w:pPr>
              <w:pStyle w:val="TableText"/>
              <w:rPr>
                <w:lang w:eastAsia="en-AU"/>
              </w:rPr>
            </w:pPr>
            <w:r w:rsidRPr="00DC1CAB">
              <w:rPr>
                <w:lang w:eastAsia="en-AU"/>
              </w:rPr>
              <w:t xml:space="preserve">Symptoms were also reported at lower doses (e.g. 31 mg/day from energy drinks; nutrivigilance cases at 1.4–40 mg/day), but these were less </w:t>
            </w:r>
            <w:r>
              <w:rPr>
                <w:lang w:eastAsia="en-AU"/>
              </w:rPr>
              <w:t>well-confirmed.</w:t>
            </w:r>
          </w:p>
        </w:tc>
      </w:tr>
      <w:tr w:rsidR="00E72B8C" w:rsidRPr="00767956" w14:paraId="4F185298" w14:textId="77777777" w:rsidTr="00AF0BBB">
        <w:trPr>
          <w:cantSplit/>
        </w:trPr>
        <w:tc>
          <w:tcPr>
            <w:tcW w:w="372" w:type="pct"/>
          </w:tcPr>
          <w:p w14:paraId="1CC9551E" w14:textId="77777777" w:rsidR="00E72B8C" w:rsidRPr="00767956" w:rsidRDefault="00E72B8C" w:rsidP="00AF0BBB">
            <w:pPr>
              <w:pStyle w:val="TableText"/>
              <w:rPr>
                <w:lang w:eastAsia="en-AU"/>
              </w:rPr>
            </w:pPr>
            <w:r>
              <w:rPr>
                <w:lang w:eastAsia="en-AU"/>
              </w:rPr>
              <w:t>2</w:t>
            </w:r>
          </w:p>
        </w:tc>
        <w:tc>
          <w:tcPr>
            <w:tcW w:w="1321" w:type="pct"/>
          </w:tcPr>
          <w:p w14:paraId="72D3134C" w14:textId="77777777" w:rsidR="00E72B8C" w:rsidRPr="00767956" w:rsidRDefault="00E72B8C" w:rsidP="00AF0BBB">
            <w:pPr>
              <w:pStyle w:val="TableText"/>
              <w:rPr>
                <w:highlight w:val="yellow"/>
                <w:lang w:eastAsia="en-AU"/>
              </w:rPr>
            </w:pPr>
            <w:r w:rsidRPr="009E5F3C">
              <w:rPr>
                <w:lang w:eastAsia="en-AU"/>
              </w:rPr>
              <w:t>Upper Level (UL) question - What is the critical human health endpoint that determines the UL, and what is the justification for selecting this endpoint?</w:t>
            </w:r>
          </w:p>
        </w:tc>
        <w:tc>
          <w:tcPr>
            <w:tcW w:w="3307" w:type="pct"/>
          </w:tcPr>
          <w:p w14:paraId="26983BAE" w14:textId="77777777" w:rsidR="00E72B8C" w:rsidRDefault="00E72B8C" w:rsidP="00AF0BBB">
            <w:pPr>
              <w:pStyle w:val="TableText"/>
              <w:rPr>
                <w:rFonts w:eastAsia="Calibri"/>
                <w:szCs w:val="22"/>
              </w:rPr>
            </w:pPr>
            <w:r w:rsidRPr="00622053">
              <w:rPr>
                <w:rFonts w:eastAsia="Calibri"/>
                <w:szCs w:val="22"/>
              </w:rPr>
              <w:t>The critical effect on which the UL is based is dorsal root sensory ganglionopathy. Peripheral axon degeneration, often presenting in a stocking-and-glove distribution, is considered secondary to dorsal root ganglion neuronal damage. The condition is predominantly, and sometimes entirely, sensory; motor nerve involvement is uncommon, and central nervous system involvement is generally limited to sensory pathways. However, motor-related complaints and balance symptoms, including gait disturbance or ataxia, have been noted in clinical case reports and pharmacovigilance datasets. These symptoms may reflect severe sensory impairment and impaired proprioception rather than primary motor neuropathy.</w:t>
            </w:r>
            <w:r w:rsidRPr="00DC1CAB">
              <w:rPr>
                <w:rFonts w:eastAsia="Calibri"/>
                <w:szCs w:val="22"/>
              </w:rPr>
              <w:t xml:space="preserve"> </w:t>
            </w:r>
          </w:p>
          <w:p w14:paraId="3936396F" w14:textId="77777777" w:rsidR="00E72B8C" w:rsidRDefault="00E72B8C" w:rsidP="00AF0BBB">
            <w:pPr>
              <w:pStyle w:val="TableText"/>
              <w:rPr>
                <w:rFonts w:eastAsia="Calibri"/>
                <w:szCs w:val="22"/>
              </w:rPr>
            </w:pPr>
            <w:r w:rsidRPr="00DC1CAB">
              <w:rPr>
                <w:rFonts w:eastAsia="Calibri"/>
                <w:szCs w:val="22"/>
              </w:rPr>
              <w:t>While other adverse effects were reviewed (hip fracture risk, photosensitisation, impaired memorisation, anti-lactogenic effects, testicular toxicity), the evidence for these was considered insufficient to establish a causal relationship or derive an independent RP.</w:t>
            </w:r>
          </w:p>
          <w:p w14:paraId="70462C24" w14:textId="77777777" w:rsidR="00E72B8C" w:rsidRPr="00767956" w:rsidRDefault="00E72B8C" w:rsidP="00AF0BBB">
            <w:pPr>
              <w:pStyle w:val="TableText"/>
              <w:rPr>
                <w:rFonts w:eastAsia="Calibri"/>
                <w:szCs w:val="22"/>
              </w:rPr>
            </w:pPr>
            <w:r w:rsidRPr="00DC1CAB">
              <w:rPr>
                <w:rFonts w:eastAsia="Calibri"/>
                <w:szCs w:val="22"/>
              </w:rPr>
              <w:t xml:space="preserve">Both human data and animal (Beagle dog) data </w:t>
            </w:r>
            <w:r>
              <w:rPr>
                <w:rFonts w:eastAsia="Calibri"/>
                <w:szCs w:val="22"/>
              </w:rPr>
              <w:t>agreed</w:t>
            </w:r>
            <w:r w:rsidRPr="00DC1CAB">
              <w:rPr>
                <w:rFonts w:eastAsia="Calibri"/>
                <w:szCs w:val="22"/>
              </w:rPr>
              <w:t xml:space="preserve"> on peripheral neuropathy as the sensitive and relevant endpoint.</w:t>
            </w:r>
          </w:p>
        </w:tc>
      </w:tr>
      <w:tr w:rsidR="00E72B8C" w:rsidRPr="00767956" w14:paraId="106E237A" w14:textId="77777777" w:rsidTr="00AF0BBB">
        <w:trPr>
          <w:cantSplit/>
        </w:trPr>
        <w:tc>
          <w:tcPr>
            <w:tcW w:w="372" w:type="pct"/>
          </w:tcPr>
          <w:p w14:paraId="73257240" w14:textId="77777777" w:rsidR="00E72B8C" w:rsidRPr="00767956" w:rsidRDefault="00E72B8C" w:rsidP="00AF0BBB">
            <w:pPr>
              <w:pStyle w:val="TableText"/>
            </w:pPr>
            <w:r>
              <w:lastRenderedPageBreak/>
              <w:t>3</w:t>
            </w:r>
          </w:p>
        </w:tc>
        <w:tc>
          <w:tcPr>
            <w:tcW w:w="1321" w:type="pct"/>
          </w:tcPr>
          <w:p w14:paraId="7E9CE3B4" w14:textId="77777777" w:rsidR="00E72B8C" w:rsidRPr="00767956" w:rsidRDefault="00E72B8C" w:rsidP="00AF0BBB">
            <w:pPr>
              <w:pStyle w:val="TableText"/>
            </w:pPr>
            <w:r w:rsidRPr="009E5F3C">
              <w:t>Upper Level (UL) question - What recent ULs or equivalent health-based guidance values exist internationally (for excess vitamin B6 intake)? How were they derived, what assumptions and uncertainties were applied, and are they suitable to adopt or adapt for Australia and New Zealand?</w:t>
            </w:r>
          </w:p>
        </w:tc>
        <w:tc>
          <w:tcPr>
            <w:tcW w:w="3307" w:type="pct"/>
          </w:tcPr>
          <w:p w14:paraId="63D8644E" w14:textId="77777777" w:rsidR="00E72B8C" w:rsidRDefault="00E72B8C" w:rsidP="00AF0BBB">
            <w:pPr>
              <w:pStyle w:val="TableText"/>
            </w:pPr>
            <w:r>
              <w:t>Summary of existing ULs for adults:</w:t>
            </w:r>
          </w:p>
          <w:tbl>
            <w:tblPr>
              <w:tblStyle w:val="TableGrid"/>
              <w:tblW w:w="0" w:type="auto"/>
              <w:tblLook w:val="04A0" w:firstRow="1" w:lastRow="0" w:firstColumn="1" w:lastColumn="0" w:noHBand="0" w:noVBand="1"/>
            </w:tblPr>
            <w:tblGrid>
              <w:gridCol w:w="2741"/>
              <w:gridCol w:w="2410"/>
              <w:gridCol w:w="4677"/>
              <w:gridCol w:w="3835"/>
            </w:tblGrid>
            <w:tr w:rsidR="00E72B8C" w14:paraId="6066A037" w14:textId="77777777" w:rsidTr="00AF0B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1" w:type="dxa"/>
                </w:tcPr>
                <w:p w14:paraId="7F8CDE2C" w14:textId="77777777" w:rsidR="00E72B8C" w:rsidRDefault="00E72B8C" w:rsidP="00AF0BBB">
                  <w:pPr>
                    <w:pStyle w:val="TableText"/>
                  </w:pPr>
                  <w:r>
                    <w:rPr>
                      <w:caps w:val="0"/>
                    </w:rPr>
                    <w:t xml:space="preserve">Body </w:t>
                  </w:r>
                </w:p>
              </w:tc>
              <w:tc>
                <w:tcPr>
                  <w:tcW w:w="2410" w:type="dxa"/>
                </w:tcPr>
                <w:p w14:paraId="5A343605" w14:textId="77777777" w:rsidR="00E72B8C" w:rsidRDefault="00E72B8C" w:rsidP="00AF0BBB">
                  <w:pPr>
                    <w:pStyle w:val="TableText"/>
                    <w:cnfStyle w:val="100000000000" w:firstRow="1" w:lastRow="0" w:firstColumn="0" w:lastColumn="0" w:oddVBand="0" w:evenVBand="0" w:oddHBand="0" w:evenHBand="0" w:firstRowFirstColumn="0" w:firstRowLastColumn="0" w:lastRowFirstColumn="0" w:lastRowLastColumn="0"/>
                  </w:pPr>
                  <w:r>
                    <w:rPr>
                      <w:caps w:val="0"/>
                    </w:rPr>
                    <w:t>UL (adults)</w:t>
                  </w:r>
                  <w:r w:rsidRPr="006E35A1">
                    <w:rPr>
                      <w:vertAlign w:val="superscript"/>
                    </w:rPr>
                    <w:t>(1)</w:t>
                  </w:r>
                </w:p>
              </w:tc>
              <w:tc>
                <w:tcPr>
                  <w:tcW w:w="4677" w:type="dxa"/>
                </w:tcPr>
                <w:p w14:paraId="2009375C" w14:textId="77777777" w:rsidR="00E72B8C" w:rsidRDefault="00E72B8C" w:rsidP="00AF0BBB">
                  <w:pPr>
                    <w:pStyle w:val="TableText"/>
                    <w:cnfStyle w:val="100000000000" w:firstRow="1" w:lastRow="0" w:firstColumn="0" w:lastColumn="0" w:oddVBand="0" w:evenVBand="0" w:oddHBand="0" w:evenHBand="0" w:firstRowFirstColumn="0" w:firstRowLastColumn="0" w:lastRowFirstColumn="0" w:lastRowLastColumn="0"/>
                  </w:pPr>
                  <w:r>
                    <w:rPr>
                      <w:caps w:val="0"/>
                    </w:rPr>
                    <w:t>Basis</w:t>
                  </w:r>
                </w:p>
              </w:tc>
              <w:tc>
                <w:tcPr>
                  <w:tcW w:w="3835" w:type="dxa"/>
                </w:tcPr>
                <w:p w14:paraId="1C9D7A39" w14:textId="77777777" w:rsidR="00E72B8C" w:rsidRDefault="00E72B8C" w:rsidP="00AF0BBB">
                  <w:pPr>
                    <w:pStyle w:val="TableText"/>
                    <w:cnfStyle w:val="100000000000" w:firstRow="1" w:lastRow="0" w:firstColumn="0" w:lastColumn="0" w:oddVBand="0" w:evenVBand="0" w:oddHBand="0" w:evenHBand="0" w:firstRowFirstColumn="0" w:firstRowLastColumn="0" w:lastRowFirstColumn="0" w:lastRowLastColumn="0"/>
                  </w:pPr>
                  <w:r>
                    <w:rPr>
                      <w:caps w:val="0"/>
                    </w:rPr>
                    <w:t>Approach</w:t>
                  </w:r>
                  <w:r w:rsidRPr="00AF0BBB">
                    <w:rPr>
                      <w:vertAlign w:val="superscript"/>
                    </w:rPr>
                    <w:t>(2)</w:t>
                  </w:r>
                </w:p>
              </w:tc>
            </w:tr>
            <w:tr w:rsidR="00E72B8C" w14:paraId="62A5A23C" w14:textId="77777777" w:rsidTr="00AF0BBB">
              <w:tc>
                <w:tcPr>
                  <w:cnfStyle w:val="001000000000" w:firstRow="0" w:lastRow="0" w:firstColumn="1" w:lastColumn="0" w:oddVBand="0" w:evenVBand="0" w:oddHBand="0" w:evenHBand="0" w:firstRowFirstColumn="0" w:firstRowLastColumn="0" w:lastRowFirstColumn="0" w:lastRowLastColumn="0"/>
                  <w:tcW w:w="2741" w:type="dxa"/>
                </w:tcPr>
                <w:p w14:paraId="5C1D5112" w14:textId="77777777" w:rsidR="00E72B8C" w:rsidRDefault="00E72B8C" w:rsidP="00AF0BBB">
                  <w:pPr>
                    <w:pStyle w:val="TableText"/>
                  </w:pPr>
                  <w:r w:rsidRPr="00DC1CAB">
                    <w:t>SCF (2000) (Europe)</w:t>
                  </w:r>
                </w:p>
              </w:tc>
              <w:tc>
                <w:tcPr>
                  <w:tcW w:w="2410" w:type="dxa"/>
                </w:tcPr>
                <w:p w14:paraId="6BBBF960" w14:textId="77777777" w:rsidR="00E72B8C" w:rsidRDefault="00E72B8C" w:rsidP="00AF0BBB">
                  <w:pPr>
                    <w:pStyle w:val="TableText"/>
                    <w:cnfStyle w:val="000000000000" w:firstRow="0" w:lastRow="0" w:firstColumn="0" w:lastColumn="0" w:oddVBand="0" w:evenVBand="0" w:oddHBand="0" w:evenHBand="0" w:firstRowFirstColumn="0" w:firstRowLastColumn="0" w:lastRowFirstColumn="0" w:lastRowLastColumn="0"/>
                  </w:pPr>
                  <w:r w:rsidRPr="00DC1CAB">
                    <w:t>25 mg/day</w:t>
                  </w:r>
                  <w:r>
                    <w:t xml:space="preserve"> (including pregnant and lactating women)</w:t>
                  </w:r>
                </w:p>
              </w:tc>
              <w:tc>
                <w:tcPr>
                  <w:tcW w:w="4677" w:type="dxa"/>
                </w:tcPr>
                <w:p w14:paraId="255ACFE9" w14:textId="77777777" w:rsidR="00E72B8C" w:rsidRDefault="00E72B8C" w:rsidP="00AF0BBB">
                  <w:pPr>
                    <w:pStyle w:val="TableText"/>
                    <w:cnfStyle w:val="000000000000" w:firstRow="0" w:lastRow="0" w:firstColumn="0" w:lastColumn="0" w:oddVBand="0" w:evenVBand="0" w:oddHBand="0" w:evenHBand="0" w:firstRowFirstColumn="0" w:firstRowLastColumn="0" w:lastRowFirstColumn="0" w:lastRowLastColumn="0"/>
                  </w:pPr>
                  <w:r w:rsidRPr="00DC1CAB">
                    <w:t>Dalton &amp; Dalton (1987) case-control study; mean intake ~100 mg/day as RP</w:t>
                  </w:r>
                </w:p>
              </w:tc>
              <w:tc>
                <w:tcPr>
                  <w:tcW w:w="3835" w:type="dxa"/>
                </w:tcPr>
                <w:p w14:paraId="27E6F730" w14:textId="77777777" w:rsidR="00E72B8C" w:rsidRDefault="00E72B8C" w:rsidP="00AF0BBB">
                  <w:pPr>
                    <w:pStyle w:val="TableText"/>
                    <w:cnfStyle w:val="000000000000" w:firstRow="0" w:lastRow="0" w:firstColumn="0" w:lastColumn="0" w:oddVBand="0" w:evenVBand="0" w:oddHBand="0" w:evenHBand="0" w:firstRowFirstColumn="0" w:firstRowLastColumn="0" w:lastRowFirstColumn="0" w:lastRowLastColumn="0"/>
                  </w:pPr>
                  <w:r w:rsidRPr="00EB0589">
                    <w:t>A UF of 4 was applied to the RP of 100 mg/day (mean intake in Dalton &amp; Dalton (1987), 117 mg/day; median &lt;100 mg/day): a factor of 2 because this intake corresponded to a possible effect level for long-term use, and a further factor of 2 to allow for deficiencies in the database. SCF considered a larger UF unnecessary, noting that the Dalton &amp; Dalton (1987) data derived from a sub-group with high plasma concentrations and that the resulting value had not been associated with adverse effects in published studies. This gave a UL of 25 mg/day for adults, also applied to pregnant and lactating women in the absence of evidence of increased susceptibility in these groups.</w:t>
                  </w:r>
                </w:p>
              </w:tc>
            </w:tr>
            <w:tr w:rsidR="00E72B8C" w14:paraId="318EF2BD" w14:textId="77777777" w:rsidTr="00AF0BBB">
              <w:tc>
                <w:tcPr>
                  <w:cnfStyle w:val="001000000000" w:firstRow="0" w:lastRow="0" w:firstColumn="1" w:lastColumn="0" w:oddVBand="0" w:evenVBand="0" w:oddHBand="0" w:evenHBand="0" w:firstRowFirstColumn="0" w:firstRowLastColumn="0" w:lastRowFirstColumn="0" w:lastRowLastColumn="0"/>
                  <w:tcW w:w="2741" w:type="dxa"/>
                </w:tcPr>
                <w:p w14:paraId="074DC1AD" w14:textId="77777777" w:rsidR="00E72B8C" w:rsidRDefault="00E72B8C" w:rsidP="00AF0BBB">
                  <w:pPr>
                    <w:pStyle w:val="TableText"/>
                  </w:pPr>
                  <w:r w:rsidRPr="00DC1CAB">
                    <w:t>IOM (1998) (USA)</w:t>
                  </w:r>
                </w:p>
              </w:tc>
              <w:tc>
                <w:tcPr>
                  <w:tcW w:w="2410" w:type="dxa"/>
                </w:tcPr>
                <w:p w14:paraId="4D0BB036" w14:textId="77777777" w:rsidR="00E72B8C" w:rsidRDefault="00E72B8C" w:rsidP="00AF0BBB">
                  <w:pPr>
                    <w:pStyle w:val="TableText"/>
                    <w:cnfStyle w:val="000000000000" w:firstRow="0" w:lastRow="0" w:firstColumn="0" w:lastColumn="0" w:oddVBand="0" w:evenVBand="0" w:oddHBand="0" w:evenHBand="0" w:firstRowFirstColumn="0" w:firstRowLastColumn="0" w:lastRowFirstColumn="0" w:lastRowLastColumn="0"/>
                  </w:pPr>
                  <w:r w:rsidRPr="00DC1CAB">
                    <w:t>100 mg/day</w:t>
                  </w:r>
                  <w:r>
                    <w:t xml:space="preserve"> </w:t>
                  </w:r>
                  <w:r w:rsidRPr="006E35A1">
                    <w:t>(including pregnant and lactating women)</w:t>
                  </w:r>
                </w:p>
              </w:tc>
              <w:tc>
                <w:tcPr>
                  <w:tcW w:w="4677" w:type="dxa"/>
                </w:tcPr>
                <w:p w14:paraId="5473E175" w14:textId="77777777" w:rsidR="00E72B8C" w:rsidRDefault="00E72B8C" w:rsidP="00AF0BBB">
                  <w:pPr>
                    <w:pStyle w:val="TableText"/>
                    <w:cnfStyle w:val="000000000000" w:firstRow="0" w:lastRow="0" w:firstColumn="0" w:lastColumn="0" w:oddVBand="0" w:evenVBand="0" w:oddHBand="0" w:evenHBand="0" w:firstRowFirstColumn="0" w:firstRowLastColumn="0" w:lastRowFirstColumn="0" w:lastRowLastColumn="0"/>
                  </w:pPr>
                  <w:r w:rsidRPr="00DC1CAB">
                    <w:t xml:space="preserve">NOAEL of 100 mg/day from Bernstein &amp; Lobitz (1988) and Del Tredici et al. (1985) in </w:t>
                  </w:r>
                  <w:r>
                    <w:t>patients with diabetic neuropathy or carpal tunnel syndrome (CTS) in whom neuropathy did not get worse following vitamin B6 intakes of 100–300 mg/day</w:t>
                  </w:r>
                </w:p>
              </w:tc>
              <w:tc>
                <w:tcPr>
                  <w:tcW w:w="3835" w:type="dxa"/>
                </w:tcPr>
                <w:p w14:paraId="7C9D172C" w14:textId="77777777" w:rsidR="00E72B8C" w:rsidRDefault="00E72B8C" w:rsidP="00AF0BBB">
                  <w:pPr>
                    <w:pStyle w:val="TableText"/>
                    <w:cnfStyle w:val="000000000000" w:firstRow="0" w:lastRow="0" w:firstColumn="0" w:lastColumn="0" w:oddVBand="0" w:evenVBand="0" w:oddHBand="0" w:evenHBand="0" w:firstRowFirstColumn="0" w:firstRowLastColumn="0" w:lastRowFirstColumn="0" w:lastRowLastColumn="0"/>
                  </w:pPr>
                  <w:r w:rsidRPr="00DC1CAB">
                    <w:t>No UF applied</w:t>
                  </w:r>
                </w:p>
              </w:tc>
            </w:tr>
            <w:tr w:rsidR="00E72B8C" w14:paraId="08259E60" w14:textId="77777777" w:rsidTr="00AF0BBB">
              <w:tc>
                <w:tcPr>
                  <w:cnfStyle w:val="001000000000" w:firstRow="0" w:lastRow="0" w:firstColumn="1" w:lastColumn="0" w:oddVBand="0" w:evenVBand="0" w:oddHBand="0" w:evenHBand="0" w:firstRowFirstColumn="0" w:firstRowLastColumn="0" w:lastRowFirstColumn="0" w:lastRowLastColumn="0"/>
                  <w:tcW w:w="2741" w:type="dxa"/>
                </w:tcPr>
                <w:p w14:paraId="54030AF6" w14:textId="77777777" w:rsidR="00E72B8C" w:rsidRDefault="00E72B8C" w:rsidP="00AF0BBB">
                  <w:pPr>
                    <w:pStyle w:val="TableText"/>
                  </w:pPr>
                  <w:r w:rsidRPr="00DC1CAB">
                    <w:t>WHO/FAO (2004)</w:t>
                  </w:r>
                </w:p>
              </w:tc>
              <w:tc>
                <w:tcPr>
                  <w:tcW w:w="2410" w:type="dxa"/>
                </w:tcPr>
                <w:p w14:paraId="13C85217" w14:textId="77777777" w:rsidR="00E72B8C" w:rsidRDefault="00E72B8C" w:rsidP="00AF0BBB">
                  <w:pPr>
                    <w:pStyle w:val="TableText"/>
                    <w:cnfStyle w:val="000000000000" w:firstRow="0" w:lastRow="0" w:firstColumn="0" w:lastColumn="0" w:oddVBand="0" w:evenVBand="0" w:oddHBand="0" w:evenHBand="0" w:firstRowFirstColumn="0" w:firstRowLastColumn="0" w:lastRowFirstColumn="0" w:lastRowLastColumn="0"/>
                  </w:pPr>
                  <w:r w:rsidRPr="00DC1CAB">
                    <w:t>100 mg/day</w:t>
                  </w:r>
                </w:p>
              </w:tc>
              <w:tc>
                <w:tcPr>
                  <w:tcW w:w="4677" w:type="dxa"/>
                </w:tcPr>
                <w:p w14:paraId="07020437" w14:textId="77777777" w:rsidR="00E72B8C" w:rsidRDefault="00E72B8C" w:rsidP="00AF0BBB">
                  <w:pPr>
                    <w:pStyle w:val="TableText"/>
                    <w:cnfStyle w:val="000000000000" w:firstRow="0" w:lastRow="0" w:firstColumn="0" w:lastColumn="0" w:oddVBand="0" w:evenVBand="0" w:oddHBand="0" w:evenHBand="0" w:firstRowFirstColumn="0" w:firstRowLastColumn="0" w:lastRowFirstColumn="0" w:lastRowLastColumn="0"/>
                  </w:pPr>
                  <w:r w:rsidRPr="00DC1CAB">
                    <w:t>Same basis as IOM (1998)</w:t>
                  </w:r>
                </w:p>
              </w:tc>
              <w:tc>
                <w:tcPr>
                  <w:tcW w:w="3835" w:type="dxa"/>
                </w:tcPr>
                <w:p w14:paraId="73686CDF" w14:textId="77777777" w:rsidR="00E72B8C" w:rsidRDefault="00E72B8C" w:rsidP="00AF0BBB">
                  <w:pPr>
                    <w:pStyle w:val="TableText"/>
                    <w:cnfStyle w:val="000000000000" w:firstRow="0" w:lastRow="0" w:firstColumn="0" w:lastColumn="0" w:oddVBand="0" w:evenVBand="0" w:oddHBand="0" w:evenHBand="0" w:firstRowFirstColumn="0" w:firstRowLastColumn="0" w:lastRowFirstColumn="0" w:lastRowLastColumn="0"/>
                  </w:pPr>
                  <w:r w:rsidRPr="00DC1CAB">
                    <w:t>No UF applied</w:t>
                  </w:r>
                </w:p>
              </w:tc>
            </w:tr>
            <w:tr w:rsidR="00E72B8C" w14:paraId="54E42755" w14:textId="77777777" w:rsidTr="00AF0BBB">
              <w:tc>
                <w:tcPr>
                  <w:cnfStyle w:val="001000000000" w:firstRow="0" w:lastRow="0" w:firstColumn="1" w:lastColumn="0" w:oddVBand="0" w:evenVBand="0" w:oddHBand="0" w:evenHBand="0" w:firstRowFirstColumn="0" w:firstRowLastColumn="0" w:lastRowFirstColumn="0" w:lastRowLastColumn="0"/>
                  <w:tcW w:w="2741" w:type="dxa"/>
                </w:tcPr>
                <w:p w14:paraId="263989FD" w14:textId="77777777" w:rsidR="00E72B8C" w:rsidRDefault="00E72B8C" w:rsidP="00AF0BBB">
                  <w:pPr>
                    <w:pStyle w:val="TableText"/>
                  </w:pPr>
                  <w:r w:rsidRPr="00DC1CAB">
                    <w:t>EVM (2003) (UK)</w:t>
                  </w:r>
                </w:p>
              </w:tc>
              <w:tc>
                <w:tcPr>
                  <w:tcW w:w="2410" w:type="dxa"/>
                </w:tcPr>
                <w:p w14:paraId="086F82D5" w14:textId="77777777" w:rsidR="00E72B8C" w:rsidRDefault="00E72B8C" w:rsidP="00AF0BBB">
                  <w:pPr>
                    <w:pStyle w:val="TableText"/>
                    <w:cnfStyle w:val="000000000000" w:firstRow="0" w:lastRow="0" w:firstColumn="0" w:lastColumn="0" w:oddVBand="0" w:evenVBand="0" w:oddHBand="0" w:evenHBand="0" w:firstRowFirstColumn="0" w:firstRowLastColumn="0" w:lastRowFirstColumn="0" w:lastRowLastColumn="0"/>
                  </w:pPr>
                  <w:r w:rsidRPr="00DC1CAB">
                    <w:t>~10 mg/day (</w:t>
                  </w:r>
                  <w:r w:rsidRPr="0004006E">
                    <w:t>0.17 mg/kg bw per day</w:t>
                  </w:r>
                  <w:r>
                    <w:t xml:space="preserve"> </w:t>
                  </w:r>
                  <w:r w:rsidRPr="0004006E">
                    <w:t>supplemental pyridoxine equivalent to 10 mg/day for a 60-kg adult</w:t>
                  </w:r>
                  <w:r w:rsidRPr="00DC1CAB">
                    <w:t>)</w:t>
                  </w:r>
                </w:p>
              </w:tc>
              <w:tc>
                <w:tcPr>
                  <w:tcW w:w="4677" w:type="dxa"/>
                </w:tcPr>
                <w:p w14:paraId="38FAE9A4" w14:textId="77777777" w:rsidR="00E72B8C" w:rsidRDefault="00E72B8C" w:rsidP="00AF0BBB">
                  <w:pPr>
                    <w:pStyle w:val="TableText"/>
                    <w:cnfStyle w:val="000000000000" w:firstRow="0" w:lastRow="0" w:firstColumn="0" w:lastColumn="0" w:oddVBand="0" w:evenVBand="0" w:oddHBand="0" w:evenHBand="0" w:firstRowFirstColumn="0" w:firstRowLastColumn="0" w:lastRowFirstColumn="0" w:lastRowLastColumn="0"/>
                  </w:pPr>
                  <w:r w:rsidRPr="00DC1CAB">
                    <w:t>LOAEL of 50 mg/kg bw/day from Beagle dog study (Phillips et al., 1978)</w:t>
                  </w:r>
                </w:p>
              </w:tc>
              <w:tc>
                <w:tcPr>
                  <w:tcW w:w="3835" w:type="dxa"/>
                </w:tcPr>
                <w:p w14:paraId="0CE1FE44" w14:textId="77777777" w:rsidR="00E72B8C" w:rsidRDefault="00E72B8C" w:rsidP="00AF0BBB">
                  <w:pPr>
                    <w:pStyle w:val="TableText"/>
                    <w:cnfStyle w:val="000000000000" w:firstRow="0" w:lastRow="0" w:firstColumn="0" w:lastColumn="0" w:oddVBand="0" w:evenVBand="0" w:oddHBand="0" w:evenHBand="0" w:firstRowFirstColumn="0" w:firstRowLastColumn="0" w:lastRowFirstColumn="0" w:lastRowLastColumn="0"/>
                  </w:pPr>
                  <w:r w:rsidRPr="00022EAA">
                    <w:t>A UF of 300 was applied to the animal LOAEL of 50 mg/kg bw/day, comprising: ×3 for LOAEL-to-NOAEL extrapolation (the LOAEL related to a histopathological change identified in a sub-chronic study, which may have underestimated toxicity during chronic exposure); ×10 for interspecies variation; and ×10 for inter-individual (human) variation. This gave a Safe Upper Level of 0.17 mg/kg bw/day supplemental pyridoxine, equivalent to 10 mg/day for a 60-kg adult.</w:t>
                  </w:r>
                </w:p>
              </w:tc>
            </w:tr>
            <w:tr w:rsidR="00E72B8C" w14:paraId="1DAC9AE4" w14:textId="77777777" w:rsidTr="00AF0BBB">
              <w:tc>
                <w:tcPr>
                  <w:cnfStyle w:val="001000000000" w:firstRow="0" w:lastRow="0" w:firstColumn="1" w:lastColumn="0" w:oddVBand="0" w:evenVBand="0" w:oddHBand="0" w:evenHBand="0" w:firstRowFirstColumn="0" w:firstRowLastColumn="0" w:lastRowFirstColumn="0" w:lastRowLastColumn="0"/>
                  <w:tcW w:w="2741" w:type="dxa"/>
                </w:tcPr>
                <w:p w14:paraId="4FC5BD4C" w14:textId="77777777" w:rsidR="00E72B8C" w:rsidRDefault="00E72B8C" w:rsidP="00AF0BBB">
                  <w:pPr>
                    <w:pStyle w:val="TableText"/>
                  </w:pPr>
                  <w:r w:rsidRPr="00DC1CAB">
                    <w:t>NHMRC (2006) (Australia &amp; New Zealand)</w:t>
                  </w:r>
                </w:p>
              </w:tc>
              <w:tc>
                <w:tcPr>
                  <w:tcW w:w="2410" w:type="dxa"/>
                </w:tcPr>
                <w:p w14:paraId="6FFBE925" w14:textId="77777777" w:rsidR="00E72B8C" w:rsidRDefault="00E72B8C" w:rsidP="00AF0BBB">
                  <w:pPr>
                    <w:pStyle w:val="TableText"/>
                    <w:cnfStyle w:val="000000000000" w:firstRow="0" w:lastRow="0" w:firstColumn="0" w:lastColumn="0" w:oddVBand="0" w:evenVBand="0" w:oddHBand="0" w:evenHBand="0" w:firstRowFirstColumn="0" w:firstRowLastColumn="0" w:lastRowFirstColumn="0" w:lastRowLastColumn="0"/>
                  </w:pPr>
                  <w:r w:rsidRPr="00DC1CAB">
                    <w:t>50 mg/day</w:t>
                  </w:r>
                </w:p>
              </w:tc>
              <w:tc>
                <w:tcPr>
                  <w:tcW w:w="4677" w:type="dxa"/>
                </w:tcPr>
                <w:p w14:paraId="2E2C16CB" w14:textId="77777777" w:rsidR="00E72B8C" w:rsidRDefault="00E72B8C" w:rsidP="00AF0BBB">
                  <w:pPr>
                    <w:pStyle w:val="TableText"/>
                    <w:cnfStyle w:val="000000000000" w:firstRow="0" w:lastRow="0" w:firstColumn="0" w:lastColumn="0" w:oddVBand="0" w:evenVBand="0" w:oddHBand="0" w:evenHBand="0" w:firstRowFirstColumn="0" w:firstRowLastColumn="0" w:lastRowFirstColumn="0" w:lastRowLastColumn="0"/>
                  </w:pPr>
                  <w:r w:rsidRPr="00DC1CAB">
                    <w:t xml:space="preserve">NOAEL of 200 mg/day from Bernstein &amp; Lobitz </w:t>
                  </w:r>
                  <w:r>
                    <w:t xml:space="preserve">(1988) </w:t>
                  </w:r>
                  <w:r w:rsidRPr="00DC1CAB">
                    <w:t>and Del Tredici et al.</w:t>
                  </w:r>
                  <w:r>
                    <w:t xml:space="preserve"> (1985)</w:t>
                  </w:r>
                </w:p>
              </w:tc>
              <w:tc>
                <w:tcPr>
                  <w:tcW w:w="3835" w:type="dxa"/>
                </w:tcPr>
                <w:p w14:paraId="6C734861" w14:textId="77777777" w:rsidR="00E72B8C" w:rsidRDefault="00E72B8C" w:rsidP="00AF0BBB">
                  <w:pPr>
                    <w:pStyle w:val="TableText"/>
                    <w:cnfStyle w:val="000000000000" w:firstRow="0" w:lastRow="0" w:firstColumn="0" w:lastColumn="0" w:oddVBand="0" w:evenVBand="0" w:oddHBand="0" w:evenHBand="0" w:firstRowFirstColumn="0" w:firstRowLastColumn="0" w:lastRowFirstColumn="0" w:lastRowLastColumn="0"/>
                  </w:pPr>
                  <w:r w:rsidRPr="00DC1CAB">
                    <w:t>UF of 4 applied (to account for short exposure duration; symptoms may take longer to appear)</w:t>
                  </w:r>
                  <w:r>
                    <w:t>.</w:t>
                  </w:r>
                </w:p>
              </w:tc>
            </w:tr>
          </w:tbl>
          <w:p w14:paraId="01BED4CE" w14:textId="77777777" w:rsidR="00E72B8C" w:rsidRDefault="00E72B8C" w:rsidP="00AF0BBB">
            <w:pPr>
              <w:pStyle w:val="TableText"/>
            </w:pPr>
            <w:r>
              <w:t xml:space="preserve">(1) </w:t>
            </w:r>
            <w:r w:rsidRPr="00DC1CAB">
              <w:t>Children's ULs were also set by SCF, IOM, and NHMRC, derived by extrapolation from adult values on a body weight basis</w:t>
            </w:r>
            <w:r>
              <w:t xml:space="preserve"> (Table 1 of EFSA 2023 document)</w:t>
            </w:r>
            <w:r w:rsidRPr="00DC1CAB">
              <w:t>.</w:t>
            </w:r>
          </w:p>
          <w:p w14:paraId="10F68A40" w14:textId="77777777" w:rsidR="00E72B8C" w:rsidRDefault="00E72B8C" w:rsidP="00AF0BBB">
            <w:pPr>
              <w:pStyle w:val="TableText"/>
            </w:pPr>
            <w:r>
              <w:t>(2) T</w:t>
            </w:r>
            <w:r w:rsidRPr="002A588F">
              <w:t xml:space="preserve">he approach </w:t>
            </w:r>
            <w:r>
              <w:t xml:space="preserve">outlined in this table </w:t>
            </w:r>
            <w:r w:rsidRPr="002A588F">
              <w:t>reflects EFSA's (2023) characterisation of each agency's derivation, as presented in EFSA's re-assessment, rather than a verbatim restatement of each agency's own published methodology.</w:t>
            </w:r>
          </w:p>
          <w:p w14:paraId="5D22818F" w14:textId="77777777" w:rsidR="00E72B8C" w:rsidRDefault="00E72B8C" w:rsidP="00AF0BBB">
            <w:pPr>
              <w:pStyle w:val="TableText"/>
              <w:rPr>
                <w:b/>
                <w:bCs/>
              </w:rPr>
            </w:pPr>
            <w:r w:rsidRPr="0004006E">
              <w:rPr>
                <w:b/>
                <w:bCs/>
              </w:rPr>
              <w:t>Suitability for Australia and New Zealand:</w:t>
            </w:r>
          </w:p>
          <w:p w14:paraId="0FD1204C" w14:textId="77777777" w:rsidR="00E72B8C" w:rsidRDefault="00E72B8C" w:rsidP="00AF0BBB">
            <w:pPr>
              <w:pStyle w:val="TableText"/>
            </w:pPr>
            <w:r w:rsidRPr="00073403">
              <w:lastRenderedPageBreak/>
              <w:t>The suitability of the EFSA (2023) methodology and derivation for application in the Australian and New Zealand context was considered. EFSA, as a European regulatory body, does not assess applicability to Australia and New Zealand, so this judgement is made independently here.</w:t>
            </w:r>
          </w:p>
          <w:p w14:paraId="64D0B2D0" w14:textId="77777777" w:rsidR="00E72B8C" w:rsidRDefault="00E72B8C" w:rsidP="00AF0BBB">
            <w:pPr>
              <w:pStyle w:val="TableText"/>
            </w:pPr>
            <w:r w:rsidRPr="00CA73AF">
              <w:t>The critical studies underpinning EFSA's weight-of-evidence assessment were conducted predominantly in European and US populations, which are considered broadly comparable to the Australian and New Zealand population in terms of genetics, diet, and vitamin B6 metabolism. No population-specific factors have been identified in Australia or New Zealand that would render EFSA's methodological approach, choice of critical endpoint, weight-of-evidence framework, or UF derivation inappropriate for adoption or adaptation in this context.</w:t>
            </w:r>
          </w:p>
          <w:p w14:paraId="3568C009" w14:textId="77777777" w:rsidR="00E72B8C" w:rsidRDefault="00E72B8C" w:rsidP="00AF0BBB">
            <w:pPr>
              <w:pStyle w:val="TableText"/>
            </w:pPr>
            <w:r>
              <w:t>It is noted, however, that the anchor study in EFSA's evidence base, Dalton &amp; Dalton (1987), carries well-documented methodological limitations including reliance on patient recall of supplement intake, potential confounding with PMS symptomatology, unblinded rechallenge procedures, and lack of independent replication. These limitations are relevant to the Australian and New Zealand assessment and are carried forward as uncertainties regardless of jurisdiction.</w:t>
            </w:r>
          </w:p>
          <w:p w14:paraId="0E9BF762" w14:textId="77777777" w:rsidR="00E72B8C" w:rsidRPr="00767956" w:rsidRDefault="00E72B8C" w:rsidP="00AF0BBB">
            <w:pPr>
              <w:pStyle w:val="TableText"/>
            </w:pPr>
            <w:r>
              <w:t xml:space="preserve">The EFSA assessment is also explicitly scoped to dietary and supplemental vitamin B6 exposure in the general healthy population. It did not address, and was not intended to address, pharmacological use of vitamin B6 under medical supervision, including high-dose therapeutic administration in patients with inborn errors of B6 metabolism. Findings from those clinical contexts, including hepatotoxicity and </w:t>
            </w:r>
            <w:r w:rsidRPr="00022EAA">
              <w:t>hepatocellular carcinoma</w:t>
            </w:r>
            <w:r>
              <w:t xml:space="preserve"> (HCC) signals in PNPO-deficient patients receiving therapeutic PLP, are therefore outside the scope of this UL assessment and should not be considered a limitation of EFSA's approach for Australian and New Zealand dietary exposure purposes.</w:t>
            </w:r>
          </w:p>
        </w:tc>
      </w:tr>
      <w:tr w:rsidR="00E72B8C" w:rsidRPr="00767956" w14:paraId="6AD48919" w14:textId="77777777" w:rsidTr="00AF0BBB">
        <w:trPr>
          <w:cantSplit/>
        </w:trPr>
        <w:tc>
          <w:tcPr>
            <w:tcW w:w="372" w:type="pct"/>
          </w:tcPr>
          <w:p w14:paraId="6C53ADA0" w14:textId="77777777" w:rsidR="00E72B8C" w:rsidRPr="00767956" w:rsidRDefault="00E72B8C" w:rsidP="00AF0BBB">
            <w:pPr>
              <w:pStyle w:val="TableText"/>
            </w:pPr>
            <w:r>
              <w:lastRenderedPageBreak/>
              <w:t>4</w:t>
            </w:r>
          </w:p>
        </w:tc>
        <w:tc>
          <w:tcPr>
            <w:tcW w:w="1321" w:type="pct"/>
          </w:tcPr>
          <w:p w14:paraId="6138B6B4" w14:textId="77777777" w:rsidR="00E72B8C" w:rsidRPr="00767956" w:rsidRDefault="00E72B8C" w:rsidP="00AF0BBB">
            <w:pPr>
              <w:pStyle w:val="TableText"/>
            </w:pPr>
            <w:r w:rsidRPr="009E5F3C">
              <w:t>Health considerations - What are the key adverse health effects associated with excess vitamin B6 intake, particularly neurological outcomes such as peripheral neuropathy?</w:t>
            </w:r>
          </w:p>
        </w:tc>
        <w:tc>
          <w:tcPr>
            <w:tcW w:w="3307" w:type="pct"/>
          </w:tcPr>
          <w:p w14:paraId="57C600AA" w14:textId="77777777" w:rsidR="00E72B8C" w:rsidRDefault="00E72B8C" w:rsidP="00AF0BBB">
            <w:pPr>
              <w:pStyle w:val="TableText"/>
            </w:pPr>
            <w:r>
              <w:t>The principal adverse health effect is peripheral neuropathy, characterised by:</w:t>
            </w:r>
          </w:p>
          <w:p w14:paraId="62145B76" w14:textId="77777777" w:rsidR="00E72B8C" w:rsidRDefault="00E72B8C" w:rsidP="00E72B8C">
            <w:pPr>
              <w:pStyle w:val="TableText"/>
              <w:numPr>
                <w:ilvl w:val="0"/>
                <w:numId w:val="13"/>
              </w:numPr>
            </w:pPr>
            <w:r>
              <w:t>Paraesthesia (tingling sensations)</w:t>
            </w:r>
          </w:p>
          <w:p w14:paraId="4205B8AD" w14:textId="77777777" w:rsidR="00E72B8C" w:rsidRDefault="00E72B8C" w:rsidP="00E72B8C">
            <w:pPr>
              <w:pStyle w:val="TableText"/>
              <w:numPr>
                <w:ilvl w:val="0"/>
                <w:numId w:val="13"/>
              </w:numPr>
            </w:pPr>
            <w:r>
              <w:t>Hyperaesthesia (abnormal sensitivity)</w:t>
            </w:r>
          </w:p>
          <w:p w14:paraId="708A9385" w14:textId="77777777" w:rsidR="00E72B8C" w:rsidRDefault="00E72B8C" w:rsidP="00E72B8C">
            <w:pPr>
              <w:pStyle w:val="TableText"/>
              <w:numPr>
                <w:ilvl w:val="0"/>
                <w:numId w:val="13"/>
              </w:numPr>
            </w:pPr>
            <w:r>
              <w:t>Bone pains</w:t>
            </w:r>
          </w:p>
          <w:p w14:paraId="0F4A4AE2" w14:textId="77777777" w:rsidR="00E72B8C" w:rsidRDefault="00E72B8C" w:rsidP="00E72B8C">
            <w:pPr>
              <w:pStyle w:val="TableText"/>
              <w:numPr>
                <w:ilvl w:val="0"/>
                <w:numId w:val="13"/>
              </w:numPr>
            </w:pPr>
            <w:r>
              <w:t>Muscle weakness</w:t>
            </w:r>
          </w:p>
          <w:p w14:paraId="3027736E" w14:textId="77777777" w:rsidR="00E72B8C" w:rsidRDefault="00E72B8C" w:rsidP="00E72B8C">
            <w:pPr>
              <w:pStyle w:val="TableText"/>
              <w:numPr>
                <w:ilvl w:val="0"/>
                <w:numId w:val="13"/>
              </w:numPr>
            </w:pPr>
            <w:r>
              <w:t>Fasciculation</w:t>
            </w:r>
          </w:p>
          <w:p w14:paraId="748406B1" w14:textId="77777777" w:rsidR="00E72B8C" w:rsidRDefault="00E72B8C" w:rsidP="00E72B8C">
            <w:pPr>
              <w:pStyle w:val="TableText"/>
              <w:numPr>
                <w:ilvl w:val="0"/>
                <w:numId w:val="13"/>
              </w:numPr>
            </w:pPr>
            <w:r>
              <w:t>Numbness</w:t>
            </w:r>
          </w:p>
          <w:p w14:paraId="0801BC4D" w14:textId="77777777" w:rsidR="00E72B8C" w:rsidRDefault="00E72B8C" w:rsidP="00E72B8C">
            <w:pPr>
              <w:pStyle w:val="TableText"/>
              <w:numPr>
                <w:ilvl w:val="0"/>
                <w:numId w:val="13"/>
              </w:numPr>
            </w:pPr>
            <w:r w:rsidRPr="00EB040B">
              <w:t>Impaired proprioception, leading to sensory ataxia and loss of coordinat</w:t>
            </w:r>
            <w:r>
              <w:t>ion</w:t>
            </w:r>
            <w:r w:rsidRPr="00EB040B">
              <w:t xml:space="preserve"> </w:t>
            </w:r>
          </w:p>
          <w:p w14:paraId="45A17D29" w14:textId="77777777" w:rsidR="00E72B8C" w:rsidRDefault="00E72B8C" w:rsidP="00E72B8C">
            <w:pPr>
              <w:pStyle w:val="TableText"/>
              <w:numPr>
                <w:ilvl w:val="0"/>
                <w:numId w:val="13"/>
              </w:numPr>
            </w:pPr>
            <w:r>
              <w:t>In severe cases, inability to walk</w:t>
            </w:r>
          </w:p>
          <w:p w14:paraId="5F4B67A8" w14:textId="77777777" w:rsidR="00E72B8C" w:rsidRPr="00767956" w:rsidRDefault="00E72B8C" w:rsidP="00AF0BBB">
            <w:pPr>
              <w:pStyle w:val="TableText"/>
            </w:pPr>
            <w:r w:rsidRPr="00E340D1">
              <w:t>In most cases, symptoms improved or resolved after withdrawal of vitamin B6 supplements. Recovery was reported in 55% of women after 3 months of cessation and 100% after 6 months in the Dalton &amp; Dalton (1987) study.</w:t>
            </w:r>
            <w:r>
              <w:t xml:space="preserve"> </w:t>
            </w:r>
            <w:r w:rsidRPr="00EB040B">
              <w:t>However, the available evidence does not clearly define whether more severe symptoms require longer recovery periods or are associated with a lower likelihood of complete recovery.</w:t>
            </w:r>
          </w:p>
        </w:tc>
      </w:tr>
      <w:tr w:rsidR="00E72B8C" w:rsidRPr="00767956" w14:paraId="12E0FCEC" w14:textId="77777777" w:rsidTr="00AF0BBB">
        <w:trPr>
          <w:cantSplit/>
        </w:trPr>
        <w:tc>
          <w:tcPr>
            <w:tcW w:w="372" w:type="pct"/>
          </w:tcPr>
          <w:p w14:paraId="769C6197" w14:textId="77777777" w:rsidR="00E72B8C" w:rsidRPr="00767956" w:rsidRDefault="00E72B8C" w:rsidP="00AF0BBB">
            <w:pPr>
              <w:pStyle w:val="TableText"/>
            </w:pPr>
            <w:r>
              <w:lastRenderedPageBreak/>
              <w:t>5</w:t>
            </w:r>
          </w:p>
        </w:tc>
        <w:tc>
          <w:tcPr>
            <w:tcW w:w="1321" w:type="pct"/>
          </w:tcPr>
          <w:p w14:paraId="6858D211" w14:textId="77777777" w:rsidR="00E72B8C" w:rsidRPr="00767956" w:rsidRDefault="00E72B8C" w:rsidP="00AF0BBB">
            <w:pPr>
              <w:pStyle w:val="TableText"/>
              <w:rPr>
                <w:highlight w:val="yellow"/>
              </w:rPr>
            </w:pPr>
            <w:r w:rsidRPr="009E5F3C">
              <w:t>Health considerations - What is the strength of evidence for a causal association for the key adverse health effects (including consideration of mode of action, dose–response relationships, and consistency of findings)? Where relevant, how do findings differ by study type (e.g. human and animal evidence) and by population group, including infants, children, pregnancy/lactation and older adults?</w:t>
            </w:r>
          </w:p>
        </w:tc>
        <w:tc>
          <w:tcPr>
            <w:tcW w:w="3307" w:type="pct"/>
          </w:tcPr>
          <w:p w14:paraId="327FCBE4" w14:textId="77777777" w:rsidR="00E72B8C" w:rsidRDefault="00E72B8C" w:rsidP="00AF0BBB">
            <w:pPr>
              <w:pStyle w:val="TableText"/>
            </w:pPr>
            <w:r>
              <w:t xml:space="preserve">The causal relationship between high vitamin B6 intake and peripheral neuropathy is described as "well established". Importantly, there is a lack of definitive consensus on the mode/mechanism of action of vitamin B6-induced neuropathy. However, the lack of a mode/mechanism of action is not sufficient by itself to disprove a cause-and-effect relationship. </w:t>
            </w:r>
          </w:p>
          <w:p w14:paraId="6BBDAB03" w14:textId="77777777" w:rsidR="00E72B8C" w:rsidRDefault="00E72B8C" w:rsidP="00AF0BBB">
            <w:pPr>
              <w:pStyle w:val="TableText"/>
            </w:pPr>
            <w:r>
              <w:t xml:space="preserve"> Evidence comes from multiple study types:</w:t>
            </w:r>
          </w:p>
          <w:p w14:paraId="66569357" w14:textId="77777777" w:rsidR="00E72B8C" w:rsidRDefault="00E72B8C" w:rsidP="00E72B8C">
            <w:pPr>
              <w:pStyle w:val="TableText"/>
              <w:numPr>
                <w:ilvl w:val="0"/>
                <w:numId w:val="13"/>
              </w:numPr>
            </w:pPr>
            <w:r>
              <w:t>Human case series (Schaumburg et al. 1983): First demonstration of human vitamin B6–induced neuropathy at ≥2,000 mg/day; improvement after withdrawal.</w:t>
            </w:r>
          </w:p>
          <w:p w14:paraId="225F572F" w14:textId="77777777" w:rsidR="00E72B8C" w:rsidRDefault="00E72B8C" w:rsidP="00E72B8C">
            <w:pPr>
              <w:pStyle w:val="TableText"/>
              <w:numPr>
                <w:ilvl w:val="0"/>
                <w:numId w:val="13"/>
              </w:numPr>
            </w:pPr>
            <w:r>
              <w:t xml:space="preserve">Intervention study (Berger et al. 1992): Established the inverse relationship between dose and time to onset in humans; </w:t>
            </w:r>
            <w:r w:rsidRPr="00F87896">
              <w:t xml:space="preserve">Quantitative sensory testing </w:t>
            </w:r>
            <w:r>
              <w:t>(QST) abnormalities with or without clinical symptoms at doses of 12–57mg/kg bw/day.</w:t>
            </w:r>
          </w:p>
          <w:p w14:paraId="3EA0731A" w14:textId="77777777" w:rsidR="00E72B8C" w:rsidRDefault="00E72B8C" w:rsidP="00E72B8C">
            <w:pPr>
              <w:pStyle w:val="TableText"/>
              <w:numPr>
                <w:ilvl w:val="0"/>
                <w:numId w:val="13"/>
              </w:numPr>
            </w:pPr>
            <w:r>
              <w:t xml:space="preserve">Case-control study (Dalton &amp; Dalton 1987): Demonstrated peripheral neuropathy at &lt;50 mg/day in 48% of women (n=43) </w:t>
            </w:r>
            <w:r w:rsidRPr="004944A3">
              <w:t xml:space="preserve">consuming &lt;50 mg/day supplemental vitamin B6 </w:t>
            </w:r>
            <w:r>
              <w:t xml:space="preserve">  for &gt;6 months; prevalence increased dose-dependently.</w:t>
            </w:r>
          </w:p>
          <w:p w14:paraId="2C6C7BCC" w14:textId="77777777" w:rsidR="00E72B8C" w:rsidRDefault="00E72B8C" w:rsidP="00E72B8C">
            <w:pPr>
              <w:pStyle w:val="TableText"/>
              <w:numPr>
                <w:ilvl w:val="0"/>
                <w:numId w:val="13"/>
              </w:numPr>
            </w:pPr>
            <w:r w:rsidRPr="004944A3">
              <w:t>Retrospective studies (Brush et al. 1988; Chaudary et al. 2003): Mixed findings. Brush et al. (1988) reported no cases meeting a clinical diagnosis of peripheral neuropathy among women taking 40–200 mg/day for PMS. Chaudary et al. (2003) found that symptoms (tingling hands, insomnia, rash, acne) generally reduced in frequency after 3–42 months of vitamin B6 supplementation (30–230 mg/day; p&lt;0.001), but among participants who were initially symptom-free, a minority (23 of 114) went on to develop new toxicity-associated symptoms after starting supplementation, predominantly at 101–150 mg/day.</w:t>
            </w:r>
          </w:p>
          <w:p w14:paraId="58D6024C" w14:textId="77777777" w:rsidR="00E72B8C" w:rsidRDefault="00E72B8C" w:rsidP="00E72B8C">
            <w:pPr>
              <w:pStyle w:val="TableText"/>
              <w:numPr>
                <w:ilvl w:val="0"/>
                <w:numId w:val="13"/>
              </w:numPr>
            </w:pPr>
            <w:r>
              <w:t>Nutrivigilance data (Dutch, French systems): Reports of neuropathy at doses as low as 1.4 mg/day (though causality uncertain at very low doses); most cases at 40–100 mg/day.</w:t>
            </w:r>
          </w:p>
          <w:p w14:paraId="2522F880" w14:textId="77777777" w:rsidR="00E72B8C" w:rsidRDefault="00E72B8C" w:rsidP="00E72B8C">
            <w:pPr>
              <w:pStyle w:val="TableText"/>
              <w:numPr>
                <w:ilvl w:val="0"/>
                <w:numId w:val="13"/>
              </w:numPr>
            </w:pPr>
            <w:r>
              <w:t>Animal studies: LOAEL of 50 mg/kg bw/day established in Beagle dogs (Phillips et al. 1978); subchronic 107-day study; lesions without clinical symptoms at this dose. Rat studies showed consistent findings at higher doses.</w:t>
            </w:r>
          </w:p>
          <w:p w14:paraId="49A406A3" w14:textId="77777777" w:rsidR="00E72B8C" w:rsidRDefault="00E72B8C" w:rsidP="00AF0BBB">
            <w:pPr>
              <w:pStyle w:val="TableText"/>
            </w:pPr>
            <w:r>
              <w:t>Notably, all of the human studies are observational and rank at the lower levels of the hierarchy of evidence.</w:t>
            </w:r>
          </w:p>
          <w:p w14:paraId="349F87A3" w14:textId="77777777" w:rsidR="00E72B8C" w:rsidRDefault="00E72B8C" w:rsidP="00AF0BBB">
            <w:pPr>
              <w:pStyle w:val="TableText"/>
            </w:pPr>
            <w:r w:rsidRPr="00F87896">
              <w:rPr>
                <w:b/>
                <w:bCs/>
              </w:rPr>
              <w:t>Dose-response</w:t>
            </w:r>
            <w:r w:rsidRPr="00E340D1">
              <w:t>: A dose-dependent increase in neuropathy prevalence was demonstrated, with an important inverse dose-time relationship (higher doses</w:t>
            </w:r>
            <w:r>
              <w:t xml:space="preserve"> result in </w:t>
            </w:r>
            <w:r w:rsidRPr="00E340D1">
              <w:t>faster onset).</w:t>
            </w:r>
          </w:p>
          <w:p w14:paraId="67234BAF" w14:textId="77777777" w:rsidR="00E72B8C" w:rsidRDefault="00E72B8C" w:rsidP="00AF0BBB">
            <w:pPr>
              <w:pStyle w:val="TableText"/>
            </w:pPr>
            <w:r w:rsidRPr="00F87896">
              <w:rPr>
                <w:b/>
                <w:bCs/>
              </w:rPr>
              <w:t>Risk of bias</w:t>
            </w:r>
            <w:r w:rsidRPr="00E340D1">
              <w:t>: The overall RoB of the human evidence was assessed as moderate to high, reflecting limitations in study design (mostly observational, case reports</w:t>
            </w:r>
            <w:r>
              <w:t xml:space="preserve"> which all rank at the lower levels of the hierarchy of evidence and are thus, due to their inherent design limitations, prone to bias and confounding effects</w:t>
            </w:r>
            <w:r w:rsidRPr="00E340D1">
              <w:t>), exposure characterisation, and outcome assessment. Meta-analysis was not feasible due to heterogeneity.</w:t>
            </w:r>
          </w:p>
          <w:p w14:paraId="501B5FC0" w14:textId="77777777" w:rsidR="00E72B8C" w:rsidRDefault="00E72B8C" w:rsidP="00AF0BBB">
            <w:pPr>
              <w:pStyle w:val="TableText"/>
            </w:pPr>
            <w:r w:rsidRPr="00F87896">
              <w:rPr>
                <w:b/>
                <w:bCs/>
              </w:rPr>
              <w:t>Population group</w:t>
            </w:r>
            <w:r w:rsidRPr="00E340D1">
              <w:t>: The primary evidence is from women (many taking supplements for PMS</w:t>
            </w:r>
            <w:r>
              <w:t xml:space="preserve"> i.e., pharmaceutical use rather than dietary supplementation/fortification</w:t>
            </w:r>
            <w:r w:rsidRPr="00E340D1">
              <w:t>). There are no specific data on infants, children, or adolescents.</w:t>
            </w:r>
          </w:p>
          <w:p w14:paraId="45352729" w14:textId="77777777" w:rsidR="00E72B8C" w:rsidRDefault="00E72B8C" w:rsidP="00AF0BBB">
            <w:pPr>
              <w:pStyle w:val="TableText"/>
            </w:pPr>
            <w:r w:rsidRPr="00F87896">
              <w:rPr>
                <w:b/>
                <w:bCs/>
              </w:rPr>
              <w:t>Mode of action</w:t>
            </w:r>
            <w:r w:rsidRPr="00E340D1">
              <w:t xml:space="preserve">: </w:t>
            </w:r>
            <w:r>
              <w:t>The EFSA Panel notes that some hypotheses have been put forward with respect to potential mechanisms by which high vitamin B6 intakes could lead to peripheral neuropathy, but the causal mechanisms are still unknown and international consensus mode/mechanism of action is not yet available.</w:t>
            </w:r>
            <w:r w:rsidRPr="00E340D1">
              <w:t>:</w:t>
            </w:r>
          </w:p>
          <w:p w14:paraId="232C24A4" w14:textId="77777777" w:rsidR="00E72B8C" w:rsidRDefault="00E72B8C" w:rsidP="00E72B8C">
            <w:pPr>
              <w:pStyle w:val="TableText"/>
              <w:numPr>
                <w:ilvl w:val="0"/>
                <w:numId w:val="13"/>
              </w:numPr>
            </w:pPr>
            <w:r w:rsidRPr="009B6DBA">
              <w:t>High pyridoxine concentrations may inhibit pyridoxal kinase, reducing PLP availability and disrupting GABA synthesis and GABAergic neurotransmission. This may increase excitability of dorsal root ganglia sensory neurons, contributing to neuronal injury and peripheral neuropathy</w:t>
            </w:r>
            <w:r>
              <w:t>.</w:t>
            </w:r>
          </w:p>
          <w:p w14:paraId="6F866BC3" w14:textId="77777777" w:rsidR="00E72B8C" w:rsidRPr="00767956" w:rsidRDefault="00E72B8C" w:rsidP="00E72B8C">
            <w:pPr>
              <w:pStyle w:val="TableText"/>
              <w:numPr>
                <w:ilvl w:val="0"/>
                <w:numId w:val="13"/>
              </w:numPr>
            </w:pPr>
            <w:r>
              <w:t>Quinone methide-type intermediates have been proposed but are considered unlikely to be responsible. The Panel also considers that it is unlikely that the aldehyde groups of PL or PLP are responsible for neurotoxic effects of vitamin B6.</w:t>
            </w:r>
          </w:p>
        </w:tc>
      </w:tr>
      <w:tr w:rsidR="00E72B8C" w:rsidRPr="00767956" w14:paraId="1D964858" w14:textId="77777777" w:rsidTr="00AF0BBB">
        <w:trPr>
          <w:cantSplit/>
        </w:trPr>
        <w:tc>
          <w:tcPr>
            <w:tcW w:w="372" w:type="pct"/>
          </w:tcPr>
          <w:p w14:paraId="5C539E8F" w14:textId="77777777" w:rsidR="00E72B8C" w:rsidRPr="00767956" w:rsidRDefault="00E72B8C" w:rsidP="00AF0BBB">
            <w:pPr>
              <w:pStyle w:val="TableText"/>
            </w:pPr>
            <w:r>
              <w:lastRenderedPageBreak/>
              <w:t>6</w:t>
            </w:r>
          </w:p>
        </w:tc>
        <w:tc>
          <w:tcPr>
            <w:tcW w:w="1321" w:type="pct"/>
          </w:tcPr>
          <w:p w14:paraId="0EF6AFF7" w14:textId="77777777" w:rsidR="00E72B8C" w:rsidRPr="00767956" w:rsidRDefault="00E72B8C" w:rsidP="00AF0BBB">
            <w:pPr>
              <w:pStyle w:val="TableText"/>
            </w:pPr>
            <w:r w:rsidRPr="009E5F3C">
              <w:t>Health considerations - Are there sensitive subpopulations, exposure patterns or use scenarios that require specific consideration?</w:t>
            </w:r>
          </w:p>
        </w:tc>
        <w:tc>
          <w:tcPr>
            <w:tcW w:w="3307" w:type="pct"/>
          </w:tcPr>
          <w:p w14:paraId="28C94C4E" w14:textId="77777777" w:rsidR="00E72B8C" w:rsidRDefault="00E72B8C" w:rsidP="00AF0BBB">
            <w:pPr>
              <w:pStyle w:val="TableText"/>
              <w:rPr>
                <w:rFonts w:eastAsia="Calibri"/>
                <w:szCs w:val="22"/>
              </w:rPr>
            </w:pPr>
            <w:r w:rsidRPr="009B6DBA">
              <w:rPr>
                <w:rFonts w:eastAsia="Calibri"/>
                <w:b/>
                <w:bCs/>
                <w:szCs w:val="22"/>
              </w:rPr>
              <w:t>Sensitive subpopulations</w:t>
            </w:r>
            <w:r w:rsidRPr="00E340D1">
              <w:rPr>
                <w:rFonts w:eastAsia="Calibri"/>
                <w:szCs w:val="22"/>
              </w:rPr>
              <w:t>:</w:t>
            </w:r>
          </w:p>
          <w:p w14:paraId="4D81214E" w14:textId="77777777" w:rsidR="00E72B8C" w:rsidRDefault="00E72B8C" w:rsidP="00AF0BBB">
            <w:pPr>
              <w:pStyle w:val="TableText"/>
              <w:rPr>
                <w:rFonts w:eastAsia="Calibri"/>
                <w:szCs w:val="22"/>
              </w:rPr>
            </w:pPr>
            <w:r w:rsidRPr="00AB4B40">
              <w:rPr>
                <w:rFonts w:eastAsia="Calibri"/>
                <w:szCs w:val="22"/>
              </w:rPr>
              <w:t>Regular users of high-dose vitamin B6 supplements are the group most likely to exceed the UL in a general population context, with supplement products in some EU countries carrying doses as high as 400 mg/day. Women using high-dose vitamin B6 for PMS represent a historically important high-exposure group and formed the primary evidence base for the UL derivation. There is no specific evidence that children, adolescents, infants, pregnant women, or men are more susceptible to vitamin B6 neurotoxicity; ULs for children and infants are derived by allometric scaling from the adult value.</w:t>
            </w:r>
          </w:p>
          <w:p w14:paraId="6DE7866C" w14:textId="77777777" w:rsidR="00E72B8C" w:rsidRPr="00E340D1" w:rsidRDefault="00E72B8C" w:rsidP="00AF0BBB">
            <w:pPr>
              <w:pStyle w:val="TableText"/>
              <w:rPr>
                <w:rFonts w:eastAsia="Calibri"/>
                <w:szCs w:val="22"/>
              </w:rPr>
            </w:pPr>
            <w:r w:rsidRPr="00AB4B40">
              <w:rPr>
                <w:rFonts w:eastAsia="Calibri"/>
                <w:szCs w:val="22"/>
              </w:rPr>
              <w:t xml:space="preserve">It is important to distinguish between supplemental use within the scope of this UL and pharmacological use of vitamin B6 under medical supervision to treat disease. The latter, which includes high-dose therapeutic administration for conditions such as nausea and vomiting of pregnancy or inborn errors of B6 metabolism, involves doses substantially exceeding those relevant to the general population UL and is governed by clinical risk-benefit considerations rather than dietary safety thresholds. </w:t>
            </w:r>
          </w:p>
          <w:p w14:paraId="661CDC50" w14:textId="77777777" w:rsidR="00E72B8C" w:rsidRPr="00E340D1" w:rsidRDefault="00E72B8C" w:rsidP="00AF0BBB">
            <w:pPr>
              <w:pStyle w:val="TableText"/>
              <w:rPr>
                <w:rFonts w:eastAsia="Calibri"/>
                <w:szCs w:val="22"/>
              </w:rPr>
            </w:pPr>
            <w:r w:rsidRPr="00AA5CF5">
              <w:rPr>
                <w:rFonts w:eastAsia="Calibri"/>
                <w:b/>
                <w:bCs/>
                <w:szCs w:val="22"/>
              </w:rPr>
              <w:t>Exposure patterns of concern</w:t>
            </w:r>
            <w:r w:rsidRPr="00E340D1">
              <w:rPr>
                <w:rFonts w:eastAsia="Calibri"/>
                <w:szCs w:val="22"/>
              </w:rPr>
              <w:t>:</w:t>
            </w:r>
          </w:p>
          <w:p w14:paraId="7C3CC54C" w14:textId="77777777" w:rsidR="00E72B8C" w:rsidRPr="00E340D1" w:rsidRDefault="00E72B8C" w:rsidP="00E72B8C">
            <w:pPr>
              <w:pStyle w:val="TableText"/>
              <w:numPr>
                <w:ilvl w:val="0"/>
                <w:numId w:val="13"/>
              </w:numPr>
              <w:rPr>
                <w:rFonts w:eastAsia="Calibri"/>
                <w:szCs w:val="22"/>
              </w:rPr>
            </w:pPr>
            <w:r w:rsidRPr="00AB4B40">
              <w:rPr>
                <w:rFonts w:eastAsia="Calibri"/>
                <w:szCs w:val="22"/>
              </w:rPr>
              <w:t>Intermediate-duration</w:t>
            </w:r>
            <w:r>
              <w:rPr>
                <w:rFonts w:eastAsia="Calibri"/>
                <w:szCs w:val="22"/>
              </w:rPr>
              <w:t xml:space="preserve"> </w:t>
            </w:r>
            <w:r w:rsidRPr="00E340D1">
              <w:rPr>
                <w:rFonts w:eastAsia="Calibri"/>
                <w:szCs w:val="22"/>
              </w:rPr>
              <w:t>supplement use is the principal risk scenario.</w:t>
            </w:r>
          </w:p>
          <w:p w14:paraId="4269E574" w14:textId="77777777" w:rsidR="00E72B8C" w:rsidRPr="00E340D1" w:rsidRDefault="00E72B8C" w:rsidP="00E72B8C">
            <w:pPr>
              <w:pStyle w:val="TableText"/>
              <w:numPr>
                <w:ilvl w:val="0"/>
                <w:numId w:val="13"/>
              </w:numPr>
              <w:rPr>
                <w:rFonts w:eastAsia="Calibri"/>
                <w:szCs w:val="22"/>
              </w:rPr>
            </w:pPr>
            <w:r w:rsidRPr="00E340D1">
              <w:rPr>
                <w:rFonts w:eastAsia="Calibri"/>
                <w:szCs w:val="22"/>
              </w:rPr>
              <w:t>Energy drinks containing vitamin B6: One case report described neuropathy in a male consuming 31 mg/day from 6 energy drinks daily.</w:t>
            </w:r>
          </w:p>
          <w:p w14:paraId="73945BE5" w14:textId="77777777" w:rsidR="00E72B8C" w:rsidRPr="004D081D" w:rsidRDefault="00E72B8C" w:rsidP="00E72B8C">
            <w:pPr>
              <w:pStyle w:val="TableText"/>
              <w:numPr>
                <w:ilvl w:val="0"/>
                <w:numId w:val="13"/>
              </w:numPr>
              <w:rPr>
                <w:rFonts w:eastAsia="Calibri"/>
                <w:szCs w:val="22"/>
              </w:rPr>
            </w:pPr>
            <w:r w:rsidRPr="006F14A0">
              <w:rPr>
                <w:rFonts w:eastAsia="Calibri"/>
                <w:szCs w:val="22"/>
              </w:rPr>
              <w:t>Fortified foods: The Panel notes that some EU nutritional drinks and PMS-relief products contained up to 65 mg/serving, regulated in the EU as food supplements under Directive 2002/46/EC. This regulatory categorisation does not translate directly to Australia and New Zealand, where food fortification is regulated by FSANZ, but products making a therapeutic claim (such as PMS relief) fall instead under TGA therapeutic goods regulation</w:t>
            </w:r>
            <w:r>
              <w:rPr>
                <w:rStyle w:val="FootnoteReference"/>
                <w:rFonts w:eastAsia="Calibri"/>
                <w:szCs w:val="22"/>
              </w:rPr>
              <w:footnoteReference w:id="2"/>
            </w:r>
            <w:r w:rsidRPr="006F14A0">
              <w:rPr>
                <w:rFonts w:eastAsia="Calibri"/>
                <w:szCs w:val="22"/>
              </w:rPr>
              <w:t>.</w:t>
            </w:r>
          </w:p>
        </w:tc>
      </w:tr>
      <w:tr w:rsidR="00E72B8C" w:rsidRPr="00767956" w14:paraId="2A256C1E" w14:textId="77777777" w:rsidTr="00AF0BBB">
        <w:trPr>
          <w:cantSplit/>
        </w:trPr>
        <w:tc>
          <w:tcPr>
            <w:tcW w:w="372" w:type="pct"/>
          </w:tcPr>
          <w:p w14:paraId="29621E07" w14:textId="77777777" w:rsidR="00E72B8C" w:rsidRPr="00767956" w:rsidRDefault="00E72B8C" w:rsidP="00AF0BBB">
            <w:pPr>
              <w:pStyle w:val="TableText"/>
            </w:pPr>
            <w:r>
              <w:t>7</w:t>
            </w:r>
          </w:p>
        </w:tc>
        <w:tc>
          <w:tcPr>
            <w:tcW w:w="1321" w:type="pct"/>
          </w:tcPr>
          <w:p w14:paraId="3426C604" w14:textId="77777777" w:rsidR="00E72B8C" w:rsidRPr="00767956" w:rsidRDefault="00E72B8C" w:rsidP="00AF0BBB">
            <w:pPr>
              <w:pStyle w:val="TableText"/>
            </w:pPr>
            <w:r w:rsidRPr="009E5F3C">
              <w:t>Health considerations - How are pregnancy and other potentially sensitive life stages considered in the derivation of the UL, and are different uncertainty factors or adjustments applied for specific subpopulations where appropriate?</w:t>
            </w:r>
          </w:p>
        </w:tc>
        <w:tc>
          <w:tcPr>
            <w:tcW w:w="3307" w:type="pct"/>
          </w:tcPr>
          <w:p w14:paraId="4E874844" w14:textId="77777777" w:rsidR="00E72B8C" w:rsidRDefault="00E72B8C" w:rsidP="00AF0BBB">
            <w:pPr>
              <w:pStyle w:val="TableText"/>
              <w:rPr>
                <w:rFonts w:eastAsia="Calibri"/>
                <w:szCs w:val="22"/>
              </w:rPr>
            </w:pPr>
            <w:r w:rsidRPr="00AA5CF5">
              <w:rPr>
                <w:rFonts w:eastAsia="Calibri"/>
                <w:b/>
                <w:bCs/>
                <w:szCs w:val="22"/>
              </w:rPr>
              <w:t>Pregnancy and lactation</w:t>
            </w:r>
            <w:r w:rsidRPr="00451635">
              <w:rPr>
                <w:rFonts w:eastAsia="Calibri"/>
                <w:szCs w:val="22"/>
              </w:rPr>
              <w:t>:</w:t>
            </w:r>
          </w:p>
          <w:p w14:paraId="36EC371D" w14:textId="77777777" w:rsidR="00E72B8C" w:rsidRDefault="00E72B8C" w:rsidP="00AF0BBB">
            <w:pPr>
              <w:pStyle w:val="TableText"/>
              <w:rPr>
                <w:rFonts w:eastAsia="Calibri"/>
                <w:szCs w:val="22"/>
              </w:rPr>
            </w:pPr>
            <w:r w:rsidRPr="00CF6859">
              <w:rPr>
                <w:rFonts w:eastAsia="Calibri"/>
                <w:szCs w:val="22"/>
              </w:rPr>
              <w:t>The Panel found no indication of specific risk or increased susceptibility to adverse effects of excessive vitamin B6 intake during pregnancy or lactation. Accordingly, the UL for adults of 12 mg/day is applied equally to pregnant and lactating women, consistent with the SCF (2000) approach. In reaching this position, EFSA conducted a systematic review of developmental toxicity evidence and concluded that there was no evidence of a positive relationship between vitamin B6 and congenital abnormalities (including heart malformations), intrauterine growth restriction, or impaired f</w:t>
            </w:r>
            <w:r>
              <w:rPr>
                <w:rFonts w:eastAsia="Calibri"/>
                <w:szCs w:val="22"/>
              </w:rPr>
              <w:t>o</w:t>
            </w:r>
            <w:r w:rsidRPr="00CF6859">
              <w:rPr>
                <w:rFonts w:eastAsia="Calibri"/>
                <w:szCs w:val="22"/>
              </w:rPr>
              <w:t>etal growth, and no evidence of developmental effects in animal studies. The anti-lactogenic effect (suppression of lactation) was noted at intakes of approximately 600 mg/day, well above the RP originally used by SCF (2000) and the UL itself and was therefore not considered a limiting factor for UL derivation in lactating women. As developmental toxicity, anti-lactogenic effects, and the other additional endpoints considered (hip fracture, photosensitisation, impaired memorisation, testicular toxicity) were all assessed as having insufficient evidence to establish a causal relationship or derive an independent RP, peripheral neuropathy remained the sole endpoint underpinning the UL, with no pregnancy- or lactation-specific adjustment applied.</w:t>
            </w:r>
          </w:p>
          <w:p w14:paraId="1F0B2848" w14:textId="77777777" w:rsidR="00E72B8C" w:rsidRPr="00451635" w:rsidRDefault="00E72B8C" w:rsidP="00AF0BBB">
            <w:pPr>
              <w:pStyle w:val="TableText"/>
              <w:rPr>
                <w:rFonts w:eastAsia="Calibri"/>
                <w:szCs w:val="22"/>
              </w:rPr>
            </w:pPr>
            <w:r w:rsidRPr="00AA5CF5">
              <w:rPr>
                <w:rFonts w:eastAsia="Calibri"/>
                <w:b/>
                <w:bCs/>
                <w:szCs w:val="22"/>
              </w:rPr>
              <w:t>Children and adolescents</w:t>
            </w:r>
            <w:r w:rsidRPr="00451635">
              <w:rPr>
                <w:rFonts w:eastAsia="Calibri"/>
                <w:szCs w:val="22"/>
              </w:rPr>
              <w:t>:</w:t>
            </w:r>
          </w:p>
          <w:p w14:paraId="0A151658" w14:textId="77777777" w:rsidR="00E72B8C" w:rsidRPr="00451635" w:rsidRDefault="00E72B8C" w:rsidP="00AF0BBB">
            <w:pPr>
              <w:pStyle w:val="TableText"/>
              <w:rPr>
                <w:rFonts w:eastAsia="Calibri"/>
                <w:szCs w:val="22"/>
              </w:rPr>
            </w:pPr>
            <w:r w:rsidRPr="00464EF4">
              <w:rPr>
                <w:rFonts w:eastAsia="Calibri"/>
                <w:szCs w:val="22"/>
              </w:rPr>
              <w:t>No specific toxicity data exist for children. The absence of evidence of increased susceptibility in children should not be interpreted as evidence that children are not more susceptible; this represents a genuine data gap and source of uncertainty rather than a confirmed finding of equivalent sensitivity. ULs for children are extrapolated from the adult UL using allometric scaling (bw^0.75), an approach that adjusts for differences in body size but does not independently address potential differences in toxicokinetic or toxicodynamic sensitivity between children and adults. The UF of 4 applied in the adult derivation was not specifically designed to address paediatric susceptibility, and no additional UF was applied to account for this uncertainty in the extrapolation to children.</w:t>
            </w:r>
          </w:p>
          <w:p w14:paraId="6606ECAF" w14:textId="77777777" w:rsidR="00E72B8C" w:rsidRPr="00AA5CF5" w:rsidRDefault="00E72B8C" w:rsidP="00AF0BBB">
            <w:pPr>
              <w:pStyle w:val="TableText"/>
              <w:rPr>
                <w:rFonts w:eastAsia="Calibri"/>
                <w:b/>
                <w:bCs/>
                <w:szCs w:val="22"/>
              </w:rPr>
            </w:pPr>
            <w:r w:rsidRPr="00AA5CF5">
              <w:rPr>
                <w:rFonts w:eastAsia="Calibri"/>
                <w:b/>
                <w:bCs/>
                <w:szCs w:val="22"/>
              </w:rPr>
              <w:t>Infants (≥4 months):</w:t>
            </w:r>
          </w:p>
          <w:p w14:paraId="32B2D0B0" w14:textId="77777777" w:rsidR="00E72B8C" w:rsidRDefault="00E72B8C" w:rsidP="00AF0BBB">
            <w:pPr>
              <w:pStyle w:val="TableText"/>
              <w:rPr>
                <w:rFonts w:eastAsia="Calibri"/>
                <w:szCs w:val="22"/>
              </w:rPr>
            </w:pPr>
            <w:r w:rsidRPr="00451635">
              <w:rPr>
                <w:rFonts w:eastAsia="Calibri"/>
                <w:szCs w:val="22"/>
              </w:rPr>
              <w:t>No specific infant data. ULs are again extrapolated from the adult value by allometric scaling</w:t>
            </w:r>
            <w:r>
              <w:rPr>
                <w:rFonts w:eastAsia="Calibri"/>
                <w:szCs w:val="22"/>
              </w:rPr>
              <w:t xml:space="preserve"> </w:t>
            </w:r>
            <w:r w:rsidRPr="00464EF4">
              <w:rPr>
                <w:rFonts w:eastAsia="Calibri"/>
                <w:szCs w:val="22"/>
              </w:rPr>
              <w:t>(bw^0.75)</w:t>
            </w:r>
            <w:r>
              <w:rPr>
                <w:rFonts w:eastAsia="Calibri"/>
                <w:szCs w:val="22"/>
              </w:rPr>
              <w:t xml:space="preserve">. </w:t>
            </w:r>
          </w:p>
          <w:p w14:paraId="10FCC4FC" w14:textId="77777777" w:rsidR="00E72B8C" w:rsidRPr="00AF0BBB" w:rsidRDefault="00E72B8C" w:rsidP="00AF0BBB">
            <w:pPr>
              <w:pStyle w:val="TableText"/>
              <w:rPr>
                <w:rFonts w:eastAsia="Calibri"/>
                <w:b/>
                <w:bCs/>
                <w:szCs w:val="22"/>
              </w:rPr>
            </w:pPr>
            <w:r w:rsidRPr="00AF0BBB">
              <w:rPr>
                <w:rFonts w:eastAsia="Calibri"/>
                <w:b/>
                <w:bCs/>
                <w:szCs w:val="22"/>
              </w:rPr>
              <w:t>Uncertainty factor:</w:t>
            </w:r>
          </w:p>
          <w:p w14:paraId="4C1DB13E" w14:textId="77777777" w:rsidR="00E72B8C" w:rsidRPr="00767956" w:rsidRDefault="00E72B8C" w:rsidP="00AF0BBB">
            <w:pPr>
              <w:pStyle w:val="TableText"/>
              <w:rPr>
                <w:rFonts w:eastAsia="Calibri"/>
                <w:szCs w:val="22"/>
              </w:rPr>
            </w:pPr>
            <w:r w:rsidRPr="00451635">
              <w:rPr>
                <w:rFonts w:eastAsia="Calibri"/>
                <w:szCs w:val="22"/>
              </w:rPr>
              <w:t>No subgroup-specific uncertainty factors were applied beyond allometric scaling. The UF of 4 used in the adult derivation was considered sufficiently conservative to cover interindividual variability and sensitive groups, noting that the RP was based on supplemental intake only and the UL covers total (dietary + supplemental) intake.</w:t>
            </w:r>
          </w:p>
        </w:tc>
      </w:tr>
      <w:tr w:rsidR="00E72B8C" w:rsidRPr="00767956" w14:paraId="70D5BBC9" w14:textId="77777777" w:rsidTr="00AF0BBB">
        <w:trPr>
          <w:cantSplit/>
        </w:trPr>
        <w:tc>
          <w:tcPr>
            <w:tcW w:w="372" w:type="pct"/>
          </w:tcPr>
          <w:p w14:paraId="78B19782" w14:textId="77777777" w:rsidR="00E72B8C" w:rsidRPr="00767956" w:rsidRDefault="00E72B8C" w:rsidP="00AF0BBB">
            <w:pPr>
              <w:pStyle w:val="TableText"/>
            </w:pPr>
            <w:r>
              <w:lastRenderedPageBreak/>
              <w:t>8</w:t>
            </w:r>
          </w:p>
        </w:tc>
        <w:tc>
          <w:tcPr>
            <w:tcW w:w="1321" w:type="pct"/>
          </w:tcPr>
          <w:p w14:paraId="500E438C" w14:textId="77777777" w:rsidR="00E72B8C" w:rsidRPr="00767956" w:rsidRDefault="00E72B8C" w:rsidP="00AF0BBB">
            <w:pPr>
              <w:pStyle w:val="TableText"/>
            </w:pPr>
            <w:r w:rsidRPr="009E5F3C">
              <w:t>Australian and New Zealand intake profile (where relevant to interpretation of risk in Australia and New Zealand) - What are the typical dietary and supplemental sources of vitamin B6 in Australia and New Zealand?</w:t>
            </w:r>
          </w:p>
        </w:tc>
        <w:tc>
          <w:tcPr>
            <w:tcW w:w="3307" w:type="pct"/>
          </w:tcPr>
          <w:p w14:paraId="4E422C4C" w14:textId="77777777" w:rsidR="00E72B8C" w:rsidRDefault="00E72B8C" w:rsidP="00AF0BBB">
            <w:pPr>
              <w:pStyle w:val="TableText"/>
            </w:pPr>
            <w:r w:rsidRPr="00451635">
              <w:t>The EFSA 2023 document does not contain data specific to Australia and New Zealand.</w:t>
            </w:r>
          </w:p>
          <w:p w14:paraId="5BAA42AA" w14:textId="77777777" w:rsidR="00E72B8C" w:rsidRDefault="00E72B8C" w:rsidP="00AF0BBB">
            <w:pPr>
              <w:pStyle w:val="TableText"/>
            </w:pPr>
            <w:r>
              <w:t xml:space="preserve">According to the Australian Bureau of Statistics' 2023 Usual Nutrient Intakes release, nearly one third (32.9%) of dietary vitamin B6 intake came from three food categories: electrolyte, energy and fortified drinks; cereal-based mixed dishes such as sandwiches and pasta or noodle dishes; and poultry and feathered game. This places fortified beverages alongside everyday mixed meals and poultry as the dominant contributors to population-level intake, rather than the more vitamin B6-dense single foods such as brewer's yeast or wheat germ identified in older FSANZ assessments (FSANZ 2005a-c). </w:t>
            </w:r>
            <w:r w:rsidRPr="005064F6">
              <w:t>Supplement use was reported separately in the ABS Dietary supplements, 2023 release, which found that one in three Australians (33.6%) took a dietary supplement in 2023, most commonly vitamin and/or mineral supplements.</w:t>
            </w:r>
          </w:p>
          <w:p w14:paraId="2DCC528B" w14:textId="1CBD75AF" w:rsidR="00E72B8C" w:rsidRDefault="00E72B8C" w:rsidP="00AF0BBB">
            <w:pPr>
              <w:pStyle w:val="TableText"/>
            </w:pPr>
            <w:r w:rsidRPr="00F03762">
              <w:t>Based on older (2008) New Zealand dietary survey data fruits are the largest single contributor of vitamin B6 to the diet (13%) followed by vegetables, potatoes, kumara and taro (each 10%), poultry (7%) breakfast cereals (6%</w:t>
            </w:r>
            <w:r>
              <w:t>)</w:t>
            </w:r>
            <w:r w:rsidRPr="00F03762">
              <w:t xml:space="preserve"> and bread, non-alcoholic beverages, grains and pasta and beef and veal (each 5%, </w:t>
            </w:r>
            <w:r>
              <w:t>(</w:t>
            </w:r>
            <w:r w:rsidRPr="00AA6671">
              <w:t>NZANS</w:t>
            </w:r>
            <w:r>
              <w:t xml:space="preserve"> </w:t>
            </w:r>
            <w:r w:rsidRPr="00AA6671">
              <w:t>2012)</w:t>
            </w:r>
            <w:r>
              <w:t>.</w:t>
            </w:r>
          </w:p>
          <w:p w14:paraId="12876FB9" w14:textId="77777777" w:rsidR="00E72B8C" w:rsidRPr="00767956" w:rsidRDefault="00E72B8C" w:rsidP="00AF0BBB">
            <w:pPr>
              <w:pStyle w:val="TableText"/>
            </w:pPr>
          </w:p>
        </w:tc>
      </w:tr>
      <w:tr w:rsidR="00E72B8C" w:rsidRPr="00767956" w14:paraId="1655CC75" w14:textId="77777777" w:rsidTr="00AF0BBB">
        <w:trPr>
          <w:cantSplit/>
        </w:trPr>
        <w:tc>
          <w:tcPr>
            <w:tcW w:w="372" w:type="pct"/>
          </w:tcPr>
          <w:p w14:paraId="5291F4F8" w14:textId="77777777" w:rsidR="00E72B8C" w:rsidRPr="00767956" w:rsidRDefault="00E72B8C" w:rsidP="00AF0BBB">
            <w:pPr>
              <w:pStyle w:val="TableText"/>
            </w:pPr>
            <w:r>
              <w:t>9</w:t>
            </w:r>
          </w:p>
        </w:tc>
        <w:tc>
          <w:tcPr>
            <w:tcW w:w="1321" w:type="pct"/>
          </w:tcPr>
          <w:p w14:paraId="446FBE1D" w14:textId="77777777" w:rsidR="00E72B8C" w:rsidRPr="00767956" w:rsidRDefault="00E72B8C" w:rsidP="00AF0BBB">
            <w:pPr>
              <w:pStyle w:val="TableText"/>
              <w:rPr>
                <w:highlight w:val="yellow"/>
              </w:rPr>
            </w:pPr>
            <w:r w:rsidRPr="009E5F3C">
              <w:t>Australian and New Zealand intake profile (where relevant to interpretation of risk in Australia and New Zealand) - What are the typical dietary and supplementary intakes of vitamin B6 in the Australian and New Zealand population?</w:t>
            </w:r>
          </w:p>
        </w:tc>
        <w:tc>
          <w:tcPr>
            <w:tcW w:w="3307" w:type="pct"/>
          </w:tcPr>
          <w:p w14:paraId="0DDD2738" w14:textId="77777777" w:rsidR="00E72B8C" w:rsidRDefault="00E72B8C" w:rsidP="00AF0BBB">
            <w:pPr>
              <w:pStyle w:val="TableText"/>
              <w:rPr>
                <w:szCs w:val="22"/>
              </w:rPr>
            </w:pPr>
            <w:r>
              <w:rPr>
                <w:szCs w:val="22"/>
              </w:rPr>
              <w:t xml:space="preserve">The </w:t>
            </w:r>
            <w:r w:rsidRPr="00451635">
              <w:rPr>
                <w:szCs w:val="22"/>
              </w:rPr>
              <w:t>EFSA 2023 document does not contain Australian or New Zealand intake data.</w:t>
            </w:r>
          </w:p>
          <w:p w14:paraId="78364A29" w14:textId="77777777" w:rsidR="00E72B8C" w:rsidRPr="0094548F" w:rsidRDefault="00E72B8C" w:rsidP="00AF0BBB">
            <w:pPr>
              <w:pStyle w:val="TableText"/>
              <w:rPr>
                <w:szCs w:val="22"/>
              </w:rPr>
            </w:pPr>
            <w:r w:rsidRPr="0094548F">
              <w:rPr>
                <w:szCs w:val="22"/>
              </w:rPr>
              <w:t>FSANZ’s Application A470 modelling, based on the 1995 Australian and 1997 New Zealand National Nutrition Surveys, estimated mean total dietary vitamin B6 intakes of around 1.2 mg/day in young children and 1.6–1.7 mg/day in adults. These were well below the adult UL of 25 mg/day used at the time, with mean adult intakes around 6–7% of the UL and 95th percentile intakes around 9–10%.</w:t>
            </w:r>
          </w:p>
          <w:p w14:paraId="55C7F749" w14:textId="77777777" w:rsidR="00E72B8C" w:rsidRPr="0094548F" w:rsidRDefault="00E72B8C" w:rsidP="00AF0BBB">
            <w:pPr>
              <w:pStyle w:val="TableText"/>
              <w:rPr>
                <w:szCs w:val="22"/>
              </w:rPr>
            </w:pPr>
            <w:r w:rsidRPr="0094548F">
              <w:rPr>
                <w:szCs w:val="22"/>
              </w:rPr>
              <w:t>More recent ABS 2023 data do not provide a directly comparable mean intake figure but show that dietary vitamin B6 intake is now close to, or below, the Estimated Average Requirement (EAR) for a substantial proportion of the population, particularly females and older adults. Around one third of intake came from electrolyte, energy and fortified drinks, cereal-based mixed dishes, and poultry/game. Compared with 2011–12, usual vitamin B6 intake shifted downward only slightly, by 0.1–0.3 mg/day, but this was enough to increase the proportion of Australians aged 2 years and over with inadequate intake from 28.9% to 46.7%.</w:t>
            </w:r>
          </w:p>
          <w:p w14:paraId="7366970A" w14:textId="77777777" w:rsidR="00E72B8C" w:rsidRDefault="00E72B8C" w:rsidP="00AF0BBB">
            <w:pPr>
              <w:pStyle w:val="TableText"/>
              <w:rPr>
                <w:szCs w:val="22"/>
              </w:rPr>
            </w:pPr>
            <w:r w:rsidRPr="0094548F">
              <w:rPr>
                <w:szCs w:val="22"/>
              </w:rPr>
              <w:t>Overall, dietary vitamin B6 intake remains well below the UL, but adequacy has become a greater concern, particularly for females and older adults. Neither the FSANZ modelling nor the ABS 2023 usual intake data include vitamin B6 from dietary supplements. This is an important limitation because high-dose supplemental vitamin B6, rather than intake from foods and fortified beverages, is the main exposure source relevant to neuropathy risk and UL derivation.</w:t>
            </w:r>
          </w:p>
          <w:p w14:paraId="41BD4D93" w14:textId="429DEF9B" w:rsidR="00E72B8C" w:rsidRPr="00771F2F" w:rsidRDefault="00E72B8C" w:rsidP="00AF0BBB">
            <w:pPr>
              <w:pStyle w:val="TableText"/>
              <w:rPr>
                <w:szCs w:val="22"/>
              </w:rPr>
            </w:pPr>
            <w:r w:rsidRPr="00F03762">
              <w:rPr>
                <w:szCs w:val="22"/>
              </w:rPr>
              <w:t>Based on older data (2008)</w:t>
            </w:r>
            <w:r w:rsidR="000955C4">
              <w:rPr>
                <w:szCs w:val="22"/>
              </w:rPr>
              <w:t>,</w:t>
            </w:r>
            <w:r w:rsidRPr="00F03762">
              <w:rPr>
                <w:szCs w:val="22"/>
              </w:rPr>
              <w:t xml:space="preserve"> </w:t>
            </w:r>
            <w:r>
              <w:rPr>
                <w:szCs w:val="22"/>
              </w:rPr>
              <w:t>t</w:t>
            </w:r>
            <w:r w:rsidRPr="00F03762">
              <w:rPr>
                <w:szCs w:val="22"/>
              </w:rPr>
              <w:t>he median usual daily intake of vitamin B6</w:t>
            </w:r>
            <w:r>
              <w:rPr>
                <w:szCs w:val="22"/>
              </w:rPr>
              <w:t xml:space="preserve"> </w:t>
            </w:r>
            <w:r w:rsidRPr="00F03762">
              <w:rPr>
                <w:szCs w:val="22"/>
              </w:rPr>
              <w:t>was 2.2 mg for males and 1.6 mg for females (</w:t>
            </w:r>
            <w:r w:rsidRPr="00AA6671">
              <w:rPr>
                <w:szCs w:val="22"/>
              </w:rPr>
              <w:t>NZANS 2012)</w:t>
            </w:r>
            <w:r w:rsidRPr="00F03762">
              <w:rPr>
                <w:szCs w:val="22"/>
              </w:rPr>
              <w:t>). Males aged 71+ years had lower intakes of vitamin B (1.6 mg per day) than males aged 15–18 years (2.5 mg per day) and 31–50 years (2.4 mg per day). Females aged 71+ years (1.3 mg per day) had lower intakes than females aged 19–50 years (1.6 to 2.1 mg per day). The estimated prevalence of inadequate intake was 16.9% (males 10.4%; females 22.9%)</w:t>
            </w:r>
            <w:r>
              <w:rPr>
                <w:szCs w:val="22"/>
              </w:rPr>
              <w:t xml:space="preserve">. </w:t>
            </w:r>
            <w:r w:rsidRPr="00451635">
              <w:rPr>
                <w:szCs w:val="22"/>
              </w:rPr>
              <w:t xml:space="preserve"> </w:t>
            </w:r>
          </w:p>
        </w:tc>
      </w:tr>
      <w:bookmarkEnd w:id="42"/>
    </w:tbl>
    <w:p w14:paraId="1E7A7FC6" w14:textId="77777777" w:rsidR="00950B2A" w:rsidRPr="00950B2A" w:rsidRDefault="00950B2A" w:rsidP="00950B2A">
      <w:pPr>
        <w:pStyle w:val="BodyText"/>
      </w:pPr>
    </w:p>
    <w:p w14:paraId="0A97A057" w14:textId="52CBA06B" w:rsidR="00AD446A" w:rsidRDefault="00AD446A" w:rsidP="00F51AC1">
      <w:pPr>
        <w:pStyle w:val="Heading2"/>
      </w:pPr>
      <w:bookmarkStart w:id="43" w:name="_Toc233022866"/>
      <w:r>
        <w:t>Health-based research question analysis for new evidence – grouped based on health outcomes</w:t>
      </w:r>
      <w:bookmarkEnd w:id="43"/>
    </w:p>
    <w:p w14:paraId="532AAC3E" w14:textId="77777777" w:rsidR="00145648" w:rsidRPr="00145648" w:rsidRDefault="00145648" w:rsidP="00145648">
      <w:pPr>
        <w:pStyle w:val="BodyText"/>
      </w:pPr>
    </w:p>
    <w:p w14:paraId="55395030" w14:textId="18DBAE29" w:rsidR="00E72B8C" w:rsidRPr="00145648" w:rsidRDefault="00AD446A" w:rsidP="00145648">
      <w:pPr>
        <w:pStyle w:val="BodyText"/>
        <w:rPr>
          <w:b/>
          <w:bCs/>
        </w:rPr>
      </w:pPr>
      <w:bookmarkStart w:id="44" w:name="_Toc233022875"/>
      <w:r w:rsidRPr="00AD446A">
        <w:rPr>
          <w:b/>
          <w:bCs/>
        </w:rPr>
        <w:t xml:space="preserve">Table </w:t>
      </w:r>
      <w:r w:rsidRPr="00AD446A">
        <w:rPr>
          <w:b/>
          <w:bCs/>
        </w:rPr>
        <w:fldChar w:fldCharType="begin"/>
      </w:r>
      <w:r w:rsidRPr="00AD446A">
        <w:rPr>
          <w:b/>
          <w:bCs/>
        </w:rPr>
        <w:instrText xml:space="preserve"> SEQ Table \* ARABIC </w:instrText>
      </w:r>
      <w:r w:rsidRPr="00AD446A">
        <w:rPr>
          <w:b/>
          <w:bCs/>
        </w:rPr>
        <w:fldChar w:fldCharType="separate"/>
      </w:r>
      <w:r w:rsidR="00A41FEF">
        <w:rPr>
          <w:b/>
          <w:bCs/>
          <w:noProof/>
        </w:rPr>
        <w:t>8</w:t>
      </w:r>
      <w:r w:rsidRPr="00AD446A">
        <w:rPr>
          <w:b/>
          <w:bCs/>
        </w:rPr>
        <w:fldChar w:fldCharType="end"/>
      </w:r>
      <w:r w:rsidRPr="00AD446A">
        <w:rPr>
          <w:b/>
          <w:bCs/>
        </w:rPr>
        <w:tab/>
        <w:t>Synthesis of extracted data for health-based research questions</w:t>
      </w:r>
      <w:r>
        <w:rPr>
          <w:b/>
          <w:bCs/>
        </w:rPr>
        <w:t xml:space="preserve"> – grouped based on health outcomes</w:t>
      </w:r>
      <w:bookmarkEnd w:id="44"/>
    </w:p>
    <w:tbl>
      <w:tblPr>
        <w:tblStyle w:val="SLROption1"/>
        <w:tblW w:w="5000" w:type="pct"/>
        <w:tblLook w:val="0000" w:firstRow="0" w:lastRow="0" w:firstColumn="0" w:lastColumn="0" w:noHBand="0" w:noVBand="0"/>
      </w:tblPr>
      <w:tblGrid>
        <w:gridCol w:w="486"/>
        <w:gridCol w:w="3439"/>
        <w:gridCol w:w="3485"/>
        <w:gridCol w:w="3301"/>
        <w:gridCol w:w="3439"/>
        <w:gridCol w:w="3465"/>
        <w:gridCol w:w="3306"/>
      </w:tblGrid>
      <w:tr w:rsidR="00E72B8C" w14:paraId="2100A3B2" w14:textId="77777777" w:rsidTr="00AF0BBB">
        <w:trPr>
          <w:tblHeader/>
        </w:trPr>
        <w:tc>
          <w:tcPr>
            <w:tcW w:w="116" w:type="pct"/>
            <w:tcBorders>
              <w:right w:val="single" w:sz="4" w:space="0" w:color="FFFFFF" w:themeColor="background1"/>
            </w:tcBorders>
            <w:shd w:val="clear" w:color="auto" w:fill="3C533C" w:themeFill="accent1"/>
          </w:tcPr>
          <w:p w14:paraId="516E0813" w14:textId="77777777" w:rsidR="00E72B8C" w:rsidRDefault="00E72B8C" w:rsidP="00AF0BBB">
            <w:pPr>
              <w:spacing w:after="80"/>
            </w:pPr>
            <w:r>
              <w:rPr>
                <w:b/>
                <w:bCs/>
                <w:color w:val="FFFFFF"/>
                <w:sz w:val="18"/>
                <w:szCs w:val="18"/>
              </w:rPr>
              <w:t>#</w:t>
            </w:r>
          </w:p>
        </w:tc>
        <w:tc>
          <w:tcPr>
            <w:tcW w:w="822" w:type="pct"/>
            <w:tcBorders>
              <w:left w:val="single" w:sz="4" w:space="0" w:color="FFFFFF" w:themeColor="background1"/>
              <w:right w:val="single" w:sz="4" w:space="0" w:color="FFFFFF" w:themeColor="background1"/>
            </w:tcBorders>
            <w:shd w:val="clear" w:color="auto" w:fill="3C533C" w:themeFill="accent1"/>
          </w:tcPr>
          <w:p w14:paraId="0538A9BB" w14:textId="77777777" w:rsidR="00E72B8C" w:rsidRDefault="00E72B8C" w:rsidP="00AF0BBB">
            <w:pPr>
              <w:spacing w:after="80"/>
            </w:pPr>
            <w:r>
              <w:rPr>
                <w:b/>
                <w:bCs/>
                <w:color w:val="FFFFFF"/>
                <w:sz w:val="18"/>
                <w:szCs w:val="18"/>
              </w:rPr>
              <w:t>Research Questions</w:t>
            </w:r>
          </w:p>
        </w:tc>
        <w:tc>
          <w:tcPr>
            <w:tcW w:w="833" w:type="pct"/>
            <w:tcBorders>
              <w:left w:val="single" w:sz="4" w:space="0" w:color="FFFFFF" w:themeColor="background1"/>
              <w:right w:val="single" w:sz="4" w:space="0" w:color="FFFFFF" w:themeColor="background1"/>
            </w:tcBorders>
            <w:shd w:val="clear" w:color="auto" w:fill="3C533C" w:themeFill="accent1"/>
          </w:tcPr>
          <w:p w14:paraId="69D422D4" w14:textId="77777777" w:rsidR="00E72B8C" w:rsidRDefault="00E72B8C" w:rsidP="00AF0BBB">
            <w:pPr>
              <w:spacing w:after="80"/>
            </w:pPr>
            <w:r>
              <w:rPr>
                <w:b/>
                <w:bCs/>
                <w:color w:val="FFFFFF"/>
                <w:sz w:val="18"/>
                <w:szCs w:val="18"/>
              </w:rPr>
              <w:t>Peripheral neuropathy</w:t>
            </w:r>
          </w:p>
        </w:tc>
        <w:tc>
          <w:tcPr>
            <w:tcW w:w="789" w:type="pct"/>
            <w:tcBorders>
              <w:left w:val="single" w:sz="4" w:space="0" w:color="FFFFFF" w:themeColor="background1"/>
              <w:right w:val="single" w:sz="4" w:space="0" w:color="FFFFFF" w:themeColor="background1"/>
            </w:tcBorders>
            <w:shd w:val="clear" w:color="auto" w:fill="3C533C" w:themeFill="accent1"/>
          </w:tcPr>
          <w:p w14:paraId="0A490C31" w14:textId="77777777" w:rsidR="00E72B8C" w:rsidRDefault="00E72B8C" w:rsidP="00AF0BBB">
            <w:pPr>
              <w:spacing w:after="80"/>
            </w:pPr>
            <w:r>
              <w:rPr>
                <w:b/>
                <w:bCs/>
                <w:color w:val="FFFFFF"/>
                <w:sz w:val="18"/>
                <w:szCs w:val="18"/>
              </w:rPr>
              <w:t>Hepatotoxicity</w:t>
            </w:r>
          </w:p>
        </w:tc>
        <w:tc>
          <w:tcPr>
            <w:tcW w:w="822" w:type="pct"/>
            <w:tcBorders>
              <w:left w:val="single" w:sz="4" w:space="0" w:color="FFFFFF" w:themeColor="background1"/>
              <w:right w:val="single" w:sz="4" w:space="0" w:color="FFFFFF" w:themeColor="background1"/>
            </w:tcBorders>
            <w:shd w:val="clear" w:color="auto" w:fill="3C533C" w:themeFill="accent1"/>
          </w:tcPr>
          <w:p w14:paraId="2F6559DE" w14:textId="77777777" w:rsidR="00E72B8C" w:rsidRDefault="00E72B8C" w:rsidP="00AF0BBB">
            <w:pPr>
              <w:spacing w:after="80"/>
            </w:pPr>
            <w:r>
              <w:rPr>
                <w:b/>
                <w:bCs/>
                <w:color w:val="FFFFFF"/>
                <w:sz w:val="18"/>
                <w:szCs w:val="18"/>
              </w:rPr>
              <w:t>Individual susceptibility / B6 metabolism</w:t>
            </w:r>
          </w:p>
        </w:tc>
        <w:tc>
          <w:tcPr>
            <w:tcW w:w="828" w:type="pct"/>
            <w:tcBorders>
              <w:left w:val="single" w:sz="4" w:space="0" w:color="FFFFFF" w:themeColor="background1"/>
              <w:right w:val="single" w:sz="4" w:space="0" w:color="FFFFFF" w:themeColor="background1"/>
            </w:tcBorders>
            <w:shd w:val="clear" w:color="auto" w:fill="3C533C" w:themeFill="accent1"/>
          </w:tcPr>
          <w:p w14:paraId="5E35579D" w14:textId="77777777" w:rsidR="00E72B8C" w:rsidRDefault="00E72B8C" w:rsidP="00AF0BBB">
            <w:pPr>
              <w:spacing w:after="80"/>
            </w:pPr>
            <w:r>
              <w:rPr>
                <w:b/>
                <w:bCs/>
                <w:color w:val="FFFFFF"/>
                <w:sz w:val="18"/>
                <w:szCs w:val="18"/>
              </w:rPr>
              <w:t>Adverse pregnancy outcomes</w:t>
            </w:r>
          </w:p>
        </w:tc>
        <w:tc>
          <w:tcPr>
            <w:tcW w:w="790" w:type="pct"/>
            <w:tcBorders>
              <w:left w:val="single" w:sz="4" w:space="0" w:color="FFFFFF" w:themeColor="background1"/>
            </w:tcBorders>
            <w:shd w:val="clear" w:color="auto" w:fill="3C533C" w:themeFill="accent1"/>
          </w:tcPr>
          <w:p w14:paraId="3F6F0431" w14:textId="77777777" w:rsidR="00E72B8C" w:rsidRDefault="00E72B8C" w:rsidP="00AF0BBB">
            <w:pPr>
              <w:spacing w:after="80"/>
            </w:pPr>
            <w:r>
              <w:rPr>
                <w:b/>
                <w:bCs/>
                <w:color w:val="FFFFFF"/>
                <w:sz w:val="18"/>
                <w:szCs w:val="18"/>
              </w:rPr>
              <w:t>Hypervitaminosis B6 prevalence / biomarker</w:t>
            </w:r>
          </w:p>
        </w:tc>
      </w:tr>
      <w:tr w:rsidR="00E72B8C" w14:paraId="3A8394EC" w14:textId="77777777" w:rsidTr="00AF0BBB">
        <w:tc>
          <w:tcPr>
            <w:tcW w:w="116" w:type="pct"/>
          </w:tcPr>
          <w:p w14:paraId="3094999D" w14:textId="77777777" w:rsidR="00E72B8C" w:rsidRDefault="00E72B8C" w:rsidP="00AF0BBB">
            <w:pPr>
              <w:spacing w:after="80"/>
            </w:pPr>
            <w:r>
              <w:rPr>
                <w:sz w:val="17"/>
                <w:szCs w:val="17"/>
              </w:rPr>
              <w:t>1</w:t>
            </w:r>
          </w:p>
        </w:tc>
        <w:tc>
          <w:tcPr>
            <w:tcW w:w="822" w:type="pct"/>
          </w:tcPr>
          <w:p w14:paraId="4FD5ED7B" w14:textId="77777777" w:rsidR="00E72B8C" w:rsidRDefault="00E72B8C" w:rsidP="00AF0BBB">
            <w:pPr>
              <w:spacing w:after="80"/>
            </w:pPr>
            <w:r>
              <w:rPr>
                <w:sz w:val="17"/>
                <w:szCs w:val="17"/>
              </w:rPr>
              <w:t>Upper Level (UL) question – What excess intake of vitamin B6 is associated with adverse health effects?</w:t>
            </w:r>
          </w:p>
        </w:tc>
        <w:tc>
          <w:tcPr>
            <w:tcW w:w="833" w:type="pct"/>
          </w:tcPr>
          <w:p w14:paraId="5D047288" w14:textId="77777777" w:rsidR="00E72B8C" w:rsidRDefault="00E72B8C" w:rsidP="00AF0BBB">
            <w:pPr>
              <w:spacing w:after="80"/>
            </w:pPr>
            <w:r>
              <w:rPr>
                <w:sz w:val="17"/>
                <w:szCs w:val="17"/>
              </w:rPr>
              <w:t>Note: all listed primary studies are case reports, case series, or registry / pharmacovigilance data, which sit low in the hierarchy of evidence (below cohort and case-control designs) and cannot individually establish causation. They are presented as descriptive dose-exposure observations, not confirmatory evidence.</w:t>
            </w:r>
          </w:p>
          <w:p w14:paraId="0EAAA5FF" w14:textId="77777777" w:rsidR="00E72B8C" w:rsidRDefault="00E72B8C" w:rsidP="00AF0BBB">
            <w:pPr>
              <w:spacing w:after="80"/>
            </w:pPr>
            <w:r>
              <w:rPr>
                <w:sz w:val="17"/>
                <w:szCs w:val="17"/>
              </w:rPr>
              <w:t>Paluszny and Qiu (2023): ~8 mg/day for &gt;10 yrs associated with neuropathy.</w:t>
            </w:r>
          </w:p>
          <w:p w14:paraId="43AEF244" w14:textId="77777777" w:rsidR="00E72B8C" w:rsidRDefault="00E72B8C" w:rsidP="00AF0BBB">
            <w:pPr>
              <w:spacing w:after="80"/>
            </w:pPr>
            <w:r>
              <w:rPr>
                <w:sz w:val="17"/>
                <w:szCs w:val="17"/>
              </w:rPr>
              <w:t>Gdynia et al. (2025): ~10 mg/day for 13 yrs associated with sensorimotor PN in older adults.</w:t>
            </w:r>
          </w:p>
          <w:p w14:paraId="2990F13F" w14:textId="77777777" w:rsidR="00E72B8C" w:rsidRDefault="00E72B8C" w:rsidP="00AF0BBB">
            <w:pPr>
              <w:spacing w:after="80"/>
            </w:pPr>
            <w:r>
              <w:rPr>
                <w:sz w:val="17"/>
                <w:szCs w:val="17"/>
              </w:rPr>
              <w:t xml:space="preserve">Morris et al. (2022): risk threshold ~900 mg/day in </w:t>
            </w:r>
            <w:r w:rsidRPr="00AA1322">
              <w:rPr>
                <w:sz w:val="17"/>
                <w:szCs w:val="17"/>
              </w:rPr>
              <w:t>cystathionine beta-synthase</w:t>
            </w:r>
            <w:r>
              <w:rPr>
                <w:sz w:val="17"/>
                <w:szCs w:val="17"/>
              </w:rPr>
              <w:t xml:space="preserve"> (CBS) deficiency, a therapeutic, medically supervised dose in a rare metabolic </w:t>
            </w:r>
            <w:r>
              <w:rPr>
                <w:sz w:val="17"/>
                <w:szCs w:val="17"/>
              </w:rPr>
              <w:lastRenderedPageBreak/>
              <w:t>disorder, not a general-population dietary/supplement exposure.</w:t>
            </w:r>
          </w:p>
          <w:p w14:paraId="3883CFDC" w14:textId="77777777" w:rsidR="00E72B8C" w:rsidRDefault="00E72B8C" w:rsidP="00AF0BBB">
            <w:pPr>
              <w:spacing w:after="80"/>
            </w:pPr>
            <w:r>
              <w:rPr>
                <w:sz w:val="17"/>
                <w:szCs w:val="17"/>
              </w:rPr>
              <w:t xml:space="preserve">Stewart et al. (2022): no association at moderately elevated plasma B6 in </w:t>
            </w:r>
            <w:r w:rsidRPr="001F04D6">
              <w:rPr>
                <w:sz w:val="17"/>
                <w:szCs w:val="17"/>
              </w:rPr>
              <w:t>chronic idiopathic axonal polyneuropathy</w:t>
            </w:r>
            <w:r>
              <w:rPr>
                <w:sz w:val="17"/>
                <w:szCs w:val="17"/>
              </w:rPr>
              <w:t xml:space="preserve"> (CIAP) (null finding).</w:t>
            </w:r>
          </w:p>
          <w:p w14:paraId="33C9F9D3" w14:textId="77777777" w:rsidR="00E72B8C" w:rsidRDefault="00E72B8C" w:rsidP="00AF0BBB">
            <w:pPr>
              <w:spacing w:after="80"/>
            </w:pPr>
            <w:r>
              <w:rPr>
                <w:sz w:val="17"/>
                <w:szCs w:val="17"/>
              </w:rPr>
              <w:t>vanHunsel et al. (2025): neuropathy reports persist even below Dutch 21 mg/day limit.</w:t>
            </w:r>
          </w:p>
          <w:p w14:paraId="6681D164" w14:textId="77777777" w:rsidR="00E72B8C" w:rsidRDefault="00E72B8C" w:rsidP="00AF0BBB">
            <w:pPr>
              <w:spacing w:after="80"/>
            </w:pPr>
            <w:r w:rsidRPr="0064600A">
              <w:rPr>
                <w:sz w:val="17"/>
                <w:szCs w:val="17"/>
              </w:rPr>
              <w:t xml:space="preserve">Kościńska-Shukla </w:t>
            </w:r>
            <w:r>
              <w:rPr>
                <w:sz w:val="17"/>
                <w:szCs w:val="17"/>
              </w:rPr>
              <w:t xml:space="preserve">et al. </w:t>
            </w:r>
            <w:r w:rsidRPr="0064600A">
              <w:rPr>
                <w:sz w:val="17"/>
                <w:szCs w:val="17"/>
              </w:rPr>
              <w:t>(2025): ≥200 mg/day from cumulative over-the-counter (OTC) supplement use associated with polyneuropathy, a supraphysiological self-administered exposure outside typical supplement use.</w:t>
            </w:r>
            <w:r>
              <w:rPr>
                <w:sz w:val="17"/>
                <w:szCs w:val="17"/>
              </w:rPr>
              <w:t>.</w:t>
            </w:r>
          </w:p>
          <w:p w14:paraId="1D4ADCF2" w14:textId="77777777" w:rsidR="00E72B8C" w:rsidRDefault="00E72B8C" w:rsidP="00AF0BBB">
            <w:pPr>
              <w:spacing w:after="80"/>
            </w:pPr>
            <w:r>
              <w:rPr>
                <w:sz w:val="17"/>
                <w:szCs w:val="17"/>
              </w:rPr>
              <w:t>Reviews (Muhamad et al. 2023, Sun et al. 2025, Schellack et al. 2025) summarise this same case-level evidence and describe a dose-response pattern; risk reported at 50–100 mg/day in susceptible individuals. These reviews do not add independent primary evidence.</w:t>
            </w:r>
          </w:p>
        </w:tc>
        <w:tc>
          <w:tcPr>
            <w:tcW w:w="789" w:type="pct"/>
          </w:tcPr>
          <w:p w14:paraId="5C0AEDCE" w14:textId="77777777" w:rsidR="00E72B8C" w:rsidRDefault="00E72B8C" w:rsidP="00AF0BBB">
            <w:pPr>
              <w:spacing w:after="80"/>
            </w:pPr>
            <w:r>
              <w:rPr>
                <w:sz w:val="17"/>
                <w:szCs w:val="17"/>
              </w:rPr>
              <w:lastRenderedPageBreak/>
              <w:t>Studies (n=5): all involve high-dose therapeutic pyridoxal 5'-phosphate (PLP) (30–109 mg/kg/day) administered under medical supervision in rare paediatric metabolic disorders. This is pharmaceutical, not dietary or supplement, exposure and is not applicable to the general-population dietary/supplement UL.</w:t>
            </w:r>
          </w:p>
        </w:tc>
        <w:tc>
          <w:tcPr>
            <w:tcW w:w="822" w:type="pct"/>
          </w:tcPr>
          <w:p w14:paraId="2A51D306" w14:textId="77777777" w:rsidR="00E72B8C" w:rsidRDefault="00E72B8C" w:rsidP="00AF0BBB">
            <w:pPr>
              <w:spacing w:after="80"/>
            </w:pPr>
            <w:r>
              <w:rPr>
                <w:sz w:val="17"/>
                <w:szCs w:val="17"/>
              </w:rPr>
              <w:t>Studies (n=2), both in a clinically defined</w:t>
            </w:r>
            <w:r>
              <w:t xml:space="preserve"> </w:t>
            </w:r>
            <w:r w:rsidRPr="00563DED">
              <w:rPr>
                <w:sz w:val="17"/>
                <w:szCs w:val="17"/>
              </w:rPr>
              <w:t>hypophosphatasia</w:t>
            </w:r>
            <w:r>
              <w:rPr>
                <w:sz w:val="17"/>
                <w:szCs w:val="17"/>
              </w:rPr>
              <w:t xml:space="preserve"> (HPP) population rather than general dietary/supplement users:</w:t>
            </w:r>
          </w:p>
          <w:p w14:paraId="20196932" w14:textId="77777777" w:rsidR="00E72B8C" w:rsidRDefault="00E72B8C" w:rsidP="00AF0BBB">
            <w:pPr>
              <w:spacing w:after="80"/>
            </w:pPr>
            <w:r>
              <w:rPr>
                <w:sz w:val="17"/>
                <w:szCs w:val="17"/>
              </w:rPr>
              <w:t>Whyte et al. (2024):  t</w:t>
            </w:r>
            <w:r w:rsidRPr="00563DED">
              <w:rPr>
                <w:sz w:val="17"/>
                <w:szCs w:val="17"/>
              </w:rPr>
              <w:t>issue-nonspecific alkaline phosphatase</w:t>
            </w:r>
            <w:r>
              <w:rPr>
                <w:sz w:val="17"/>
                <w:szCs w:val="17"/>
              </w:rPr>
              <w:t xml:space="preserve"> (TNSALP) deficiency (HPP) resulted in impaired PLP clearance; elevated plasma B6 after low PN dose (~20 mg/day equivalent).</w:t>
            </w:r>
          </w:p>
          <w:p w14:paraId="09E558BE" w14:textId="77777777" w:rsidR="00E72B8C" w:rsidRDefault="00E72B8C" w:rsidP="00AF0BBB">
            <w:pPr>
              <w:spacing w:after="80"/>
            </w:pPr>
            <w:r>
              <w:rPr>
                <w:sz w:val="17"/>
                <w:szCs w:val="17"/>
              </w:rPr>
              <w:t>Zervou et al. (2025): endogenous B6 elevation in HPP (233–828 nmol/L) resulted in neuropathic pain.</w:t>
            </w:r>
          </w:p>
          <w:p w14:paraId="3E8A1FA1" w14:textId="77777777" w:rsidR="00E72B8C" w:rsidRDefault="00E72B8C" w:rsidP="00AF0BBB">
            <w:pPr>
              <w:spacing w:after="80"/>
            </w:pPr>
            <w:r>
              <w:rPr>
                <w:sz w:val="17"/>
                <w:szCs w:val="17"/>
              </w:rPr>
              <w:t>Mechanistically informative for PLP clearance variability, relevant to the general population given TNSALP carrier frequency (~1/300), though the studies themselves were conducted in a clinical HPP population.</w:t>
            </w:r>
          </w:p>
        </w:tc>
        <w:tc>
          <w:tcPr>
            <w:tcW w:w="828" w:type="pct"/>
          </w:tcPr>
          <w:p w14:paraId="53EC3C94" w14:textId="77777777" w:rsidR="00E72B8C" w:rsidRDefault="00E72B8C" w:rsidP="00AF0BBB">
            <w:pPr>
              <w:spacing w:after="80"/>
            </w:pPr>
            <w:r>
              <w:rPr>
                <w:sz w:val="17"/>
                <w:szCs w:val="17"/>
              </w:rPr>
              <w:t xml:space="preserve">Study (n=1 systematic review): He  et al. (2025): neurological symptoms in 164/1226 individuals using B6 pharmacologically for </w:t>
            </w:r>
            <w:r w:rsidRPr="00EF2CB1">
              <w:rPr>
                <w:sz w:val="17"/>
                <w:szCs w:val="17"/>
              </w:rPr>
              <w:t>nausea and vomiting of pregnancy</w:t>
            </w:r>
            <w:r>
              <w:rPr>
                <w:sz w:val="17"/>
                <w:szCs w:val="17"/>
              </w:rPr>
              <w:t xml:space="preserve"> (NVP); doses 10–200 mg/day; adverse pregnancy outcomes at higher doses (limited, heterogeneous evidence). Maternal toxicity from NVP itself is a plausible unaddressed confounder (see row 4). This reflects therapeutic, not dietary/supplement, exposure.</w:t>
            </w:r>
          </w:p>
        </w:tc>
        <w:tc>
          <w:tcPr>
            <w:tcW w:w="790" w:type="pct"/>
          </w:tcPr>
          <w:p w14:paraId="28DCD27C" w14:textId="77777777" w:rsidR="00E72B8C" w:rsidRDefault="00E72B8C" w:rsidP="00AF0BBB">
            <w:pPr>
              <w:spacing w:after="80"/>
            </w:pPr>
            <w:r>
              <w:rPr>
                <w:sz w:val="17"/>
                <w:szCs w:val="17"/>
              </w:rPr>
              <w:t>Study (n=1): Bossard et al. (2022): ~30–40% of clinical samples had overdose PLP levels, driven by supplement use; no intake threshold quantified at individual level. Sample included bariatric surgery patients (altered absorption, high post-surgery multivitamin use), relevant when interpreting prevalence relative to the general population.</w:t>
            </w:r>
          </w:p>
        </w:tc>
      </w:tr>
      <w:tr w:rsidR="00E72B8C" w14:paraId="749DB43A" w14:textId="77777777" w:rsidTr="00AF0BBB">
        <w:tc>
          <w:tcPr>
            <w:tcW w:w="116" w:type="pct"/>
          </w:tcPr>
          <w:p w14:paraId="64F4EC36" w14:textId="77777777" w:rsidR="00E72B8C" w:rsidRDefault="00E72B8C" w:rsidP="00AF0BBB">
            <w:pPr>
              <w:spacing w:after="80"/>
            </w:pPr>
            <w:r>
              <w:rPr>
                <w:sz w:val="17"/>
                <w:szCs w:val="17"/>
              </w:rPr>
              <w:t>2</w:t>
            </w:r>
          </w:p>
        </w:tc>
        <w:tc>
          <w:tcPr>
            <w:tcW w:w="822" w:type="pct"/>
          </w:tcPr>
          <w:p w14:paraId="2316C297" w14:textId="77777777" w:rsidR="00E72B8C" w:rsidRDefault="00E72B8C" w:rsidP="00AF0BBB">
            <w:pPr>
              <w:spacing w:after="80"/>
            </w:pPr>
            <w:r>
              <w:rPr>
                <w:sz w:val="17"/>
                <w:szCs w:val="17"/>
              </w:rPr>
              <w:t>Upper Level (UL) question – What is the critical human health endpoint that determines the UL, and what is the justification for selecting this endpoint?</w:t>
            </w:r>
          </w:p>
        </w:tc>
        <w:tc>
          <w:tcPr>
            <w:tcW w:w="833" w:type="pct"/>
          </w:tcPr>
          <w:p w14:paraId="3B33CEB5" w14:textId="77777777" w:rsidR="00E72B8C" w:rsidRDefault="00E72B8C" w:rsidP="00AF0BBB">
            <w:pPr>
              <w:spacing w:after="80"/>
            </w:pPr>
            <w:r>
              <w:rPr>
                <w:sz w:val="17"/>
                <w:szCs w:val="17"/>
              </w:rPr>
              <w:t>Peripheral neuropathy is the critical endpoint. Justification: Not Applicable</w:t>
            </w:r>
          </w:p>
        </w:tc>
        <w:tc>
          <w:tcPr>
            <w:tcW w:w="789" w:type="pct"/>
          </w:tcPr>
          <w:p w14:paraId="4D8DC3E7" w14:textId="77777777" w:rsidR="00E72B8C" w:rsidRDefault="00E72B8C" w:rsidP="00AF0BBB">
            <w:pPr>
              <w:spacing w:after="80"/>
            </w:pPr>
            <w:r>
              <w:rPr>
                <w:sz w:val="17"/>
                <w:szCs w:val="17"/>
              </w:rPr>
              <w:t>Not Applicable</w:t>
            </w:r>
          </w:p>
        </w:tc>
        <w:tc>
          <w:tcPr>
            <w:tcW w:w="822" w:type="pct"/>
          </w:tcPr>
          <w:p w14:paraId="52A16011" w14:textId="77777777" w:rsidR="00E72B8C" w:rsidRDefault="00E72B8C" w:rsidP="00AF0BBB">
            <w:pPr>
              <w:spacing w:after="80"/>
            </w:pPr>
            <w:r>
              <w:rPr>
                <w:sz w:val="17"/>
                <w:szCs w:val="17"/>
              </w:rPr>
              <w:t>Not Applicable</w:t>
            </w:r>
            <w:r w:rsidDel="004D081D">
              <w:rPr>
                <w:sz w:val="17"/>
                <w:szCs w:val="17"/>
              </w:rPr>
              <w:t xml:space="preserve"> </w:t>
            </w:r>
          </w:p>
        </w:tc>
        <w:tc>
          <w:tcPr>
            <w:tcW w:w="828" w:type="pct"/>
          </w:tcPr>
          <w:p w14:paraId="13EF3C47" w14:textId="77777777" w:rsidR="00E72B8C" w:rsidRDefault="00E72B8C" w:rsidP="00AF0BBB">
            <w:pPr>
              <w:spacing w:after="80"/>
            </w:pPr>
            <w:r>
              <w:rPr>
                <w:sz w:val="17"/>
                <w:szCs w:val="17"/>
              </w:rPr>
              <w:t>Not Applicable</w:t>
            </w:r>
            <w:r w:rsidDel="004D081D">
              <w:rPr>
                <w:sz w:val="17"/>
                <w:szCs w:val="17"/>
              </w:rPr>
              <w:t xml:space="preserve"> </w:t>
            </w:r>
          </w:p>
        </w:tc>
        <w:tc>
          <w:tcPr>
            <w:tcW w:w="790" w:type="pct"/>
          </w:tcPr>
          <w:p w14:paraId="5BE829F0" w14:textId="77777777" w:rsidR="00E72B8C" w:rsidRDefault="00E72B8C" w:rsidP="00AF0BBB">
            <w:pPr>
              <w:spacing w:after="80"/>
            </w:pPr>
            <w:r>
              <w:rPr>
                <w:sz w:val="17"/>
                <w:szCs w:val="17"/>
              </w:rPr>
              <w:t>Not Applicable</w:t>
            </w:r>
            <w:r w:rsidDel="004D081D">
              <w:rPr>
                <w:sz w:val="17"/>
                <w:szCs w:val="17"/>
              </w:rPr>
              <w:t xml:space="preserve"> </w:t>
            </w:r>
          </w:p>
        </w:tc>
      </w:tr>
      <w:tr w:rsidR="00E72B8C" w14:paraId="0F819E83" w14:textId="77777777" w:rsidTr="00AF0BBB">
        <w:tc>
          <w:tcPr>
            <w:tcW w:w="116" w:type="pct"/>
          </w:tcPr>
          <w:p w14:paraId="6117FF51" w14:textId="77777777" w:rsidR="00E72B8C" w:rsidRDefault="00E72B8C" w:rsidP="00AF0BBB">
            <w:pPr>
              <w:spacing w:after="80"/>
            </w:pPr>
            <w:r>
              <w:rPr>
                <w:sz w:val="17"/>
                <w:szCs w:val="17"/>
              </w:rPr>
              <w:t>3</w:t>
            </w:r>
          </w:p>
        </w:tc>
        <w:tc>
          <w:tcPr>
            <w:tcW w:w="822" w:type="pct"/>
          </w:tcPr>
          <w:p w14:paraId="70AAB624" w14:textId="77777777" w:rsidR="00E72B8C" w:rsidRDefault="00E72B8C" w:rsidP="00AF0BBB">
            <w:pPr>
              <w:spacing w:after="80"/>
            </w:pPr>
            <w:r>
              <w:rPr>
                <w:sz w:val="17"/>
                <w:szCs w:val="17"/>
              </w:rPr>
              <w:t>Upper Level (UL) question – What recent ULs or equivalent health-based guidance values exist internationally (for excess vitamin B6 intake)? How were they derived, what assumptions and uncertainties were applied, and are they suitable to adopt or adapt for Australia and New Zealand?</w:t>
            </w:r>
          </w:p>
        </w:tc>
        <w:tc>
          <w:tcPr>
            <w:tcW w:w="833" w:type="pct"/>
          </w:tcPr>
          <w:p w14:paraId="601A7C9C" w14:textId="7A276069" w:rsidR="00E72B8C" w:rsidRPr="000955C4" w:rsidRDefault="00E72B8C" w:rsidP="00AF0BBB">
            <w:pPr>
              <w:spacing w:after="80"/>
              <w:rPr>
                <w:sz w:val="17"/>
                <w:szCs w:val="17"/>
              </w:rPr>
            </w:pPr>
            <w:r w:rsidRPr="000955C4">
              <w:rPr>
                <w:sz w:val="17"/>
                <w:szCs w:val="17"/>
              </w:rPr>
              <w:t xml:space="preserve">See </w:t>
            </w:r>
            <w:r w:rsidR="000955C4" w:rsidRPr="000955C4">
              <w:rPr>
                <w:b/>
                <w:bCs/>
                <w:sz w:val="17"/>
                <w:szCs w:val="17"/>
              </w:rPr>
              <w:fldChar w:fldCharType="begin"/>
            </w:r>
            <w:r w:rsidR="000955C4" w:rsidRPr="000955C4">
              <w:rPr>
                <w:b/>
                <w:bCs/>
                <w:sz w:val="17"/>
                <w:szCs w:val="17"/>
              </w:rPr>
              <w:instrText xml:space="preserve"> REF _Ref236989072 \h </w:instrText>
            </w:r>
            <w:r w:rsidR="000955C4" w:rsidRPr="000955C4">
              <w:rPr>
                <w:rFonts w:eastAsiaTheme="minorHAnsi" w:cstheme="minorBidi"/>
                <w:b/>
                <w:bCs/>
                <w:sz w:val="17"/>
                <w:szCs w:val="17"/>
                <w:lang w:eastAsia="en-US"/>
              </w:rPr>
              <w:instrText xml:space="preserve"> \* MERGEFORMAT </w:instrText>
            </w:r>
            <w:r w:rsidR="000955C4" w:rsidRPr="000955C4">
              <w:rPr>
                <w:b/>
                <w:bCs/>
                <w:sz w:val="17"/>
                <w:szCs w:val="17"/>
              </w:rPr>
            </w:r>
            <w:r w:rsidR="000955C4" w:rsidRPr="000955C4">
              <w:rPr>
                <w:b/>
                <w:bCs/>
                <w:sz w:val="17"/>
                <w:szCs w:val="17"/>
              </w:rPr>
              <w:fldChar w:fldCharType="separate"/>
            </w:r>
            <w:r w:rsidR="00A41FEF" w:rsidRPr="00A41FEF">
              <w:rPr>
                <w:b/>
                <w:bCs/>
                <w:sz w:val="17"/>
                <w:szCs w:val="17"/>
              </w:rPr>
              <w:t xml:space="preserve">Table </w:t>
            </w:r>
            <w:r w:rsidR="00A41FEF" w:rsidRPr="00A41FEF">
              <w:rPr>
                <w:b/>
                <w:bCs/>
                <w:noProof/>
                <w:sz w:val="17"/>
                <w:szCs w:val="17"/>
              </w:rPr>
              <w:t>7</w:t>
            </w:r>
            <w:r w:rsidR="000955C4" w:rsidRPr="000955C4">
              <w:rPr>
                <w:b/>
                <w:bCs/>
                <w:sz w:val="17"/>
                <w:szCs w:val="17"/>
              </w:rPr>
              <w:fldChar w:fldCharType="end"/>
            </w:r>
          </w:p>
        </w:tc>
        <w:tc>
          <w:tcPr>
            <w:tcW w:w="789" w:type="pct"/>
          </w:tcPr>
          <w:p w14:paraId="732B5E7C" w14:textId="1C68AA70" w:rsidR="00E72B8C" w:rsidRDefault="000955C4" w:rsidP="00AF0BBB">
            <w:pPr>
              <w:spacing w:after="80"/>
            </w:pPr>
            <w:r w:rsidRPr="000955C4">
              <w:rPr>
                <w:sz w:val="17"/>
                <w:szCs w:val="17"/>
              </w:rPr>
              <w:t xml:space="preserve">See </w:t>
            </w:r>
            <w:r w:rsidRPr="000955C4">
              <w:rPr>
                <w:b/>
                <w:bCs/>
                <w:sz w:val="17"/>
                <w:szCs w:val="17"/>
              </w:rPr>
              <w:fldChar w:fldCharType="begin"/>
            </w:r>
            <w:r w:rsidRPr="000955C4">
              <w:rPr>
                <w:b/>
                <w:bCs/>
                <w:sz w:val="17"/>
                <w:szCs w:val="17"/>
              </w:rPr>
              <w:instrText xml:space="preserve"> REF _Ref236989072 \h </w:instrText>
            </w:r>
            <w:r w:rsidRPr="000955C4">
              <w:rPr>
                <w:rFonts w:eastAsiaTheme="minorHAnsi" w:cstheme="minorBidi"/>
                <w:b/>
                <w:bCs/>
                <w:sz w:val="17"/>
                <w:szCs w:val="17"/>
                <w:lang w:eastAsia="en-US"/>
              </w:rPr>
              <w:instrText xml:space="preserve"> \* MERGEFORMAT </w:instrText>
            </w:r>
            <w:r w:rsidRPr="000955C4">
              <w:rPr>
                <w:b/>
                <w:bCs/>
                <w:sz w:val="17"/>
                <w:szCs w:val="17"/>
              </w:rPr>
            </w:r>
            <w:r w:rsidRPr="000955C4">
              <w:rPr>
                <w:b/>
                <w:bCs/>
                <w:sz w:val="17"/>
                <w:szCs w:val="17"/>
              </w:rPr>
              <w:fldChar w:fldCharType="separate"/>
            </w:r>
            <w:r w:rsidR="00A41FEF" w:rsidRPr="00A41FEF">
              <w:rPr>
                <w:b/>
                <w:bCs/>
                <w:sz w:val="17"/>
                <w:szCs w:val="17"/>
              </w:rPr>
              <w:t xml:space="preserve">Table </w:t>
            </w:r>
            <w:r w:rsidR="00A41FEF" w:rsidRPr="00A41FEF">
              <w:rPr>
                <w:b/>
                <w:bCs/>
                <w:noProof/>
                <w:sz w:val="17"/>
                <w:szCs w:val="17"/>
              </w:rPr>
              <w:t>7</w:t>
            </w:r>
            <w:r w:rsidRPr="000955C4">
              <w:rPr>
                <w:b/>
                <w:bCs/>
                <w:sz w:val="17"/>
                <w:szCs w:val="17"/>
              </w:rPr>
              <w:fldChar w:fldCharType="end"/>
            </w:r>
          </w:p>
        </w:tc>
        <w:tc>
          <w:tcPr>
            <w:tcW w:w="822" w:type="pct"/>
          </w:tcPr>
          <w:p w14:paraId="61D4B7E0" w14:textId="410B2181" w:rsidR="00E72B8C" w:rsidRDefault="000955C4" w:rsidP="00AF0BBB">
            <w:pPr>
              <w:spacing w:after="80"/>
            </w:pPr>
            <w:r w:rsidRPr="000955C4">
              <w:rPr>
                <w:sz w:val="17"/>
                <w:szCs w:val="17"/>
              </w:rPr>
              <w:t xml:space="preserve">See </w:t>
            </w:r>
            <w:r w:rsidRPr="000955C4">
              <w:rPr>
                <w:b/>
                <w:bCs/>
                <w:sz w:val="17"/>
                <w:szCs w:val="17"/>
              </w:rPr>
              <w:fldChar w:fldCharType="begin"/>
            </w:r>
            <w:r w:rsidRPr="000955C4">
              <w:rPr>
                <w:b/>
                <w:bCs/>
                <w:sz w:val="17"/>
                <w:szCs w:val="17"/>
              </w:rPr>
              <w:instrText xml:space="preserve"> REF _Ref236989072 \h </w:instrText>
            </w:r>
            <w:r w:rsidRPr="000955C4">
              <w:rPr>
                <w:rFonts w:eastAsiaTheme="minorHAnsi" w:cstheme="minorBidi"/>
                <w:b/>
                <w:bCs/>
                <w:sz w:val="17"/>
                <w:szCs w:val="17"/>
                <w:lang w:eastAsia="en-US"/>
              </w:rPr>
              <w:instrText xml:space="preserve"> \* MERGEFORMAT </w:instrText>
            </w:r>
            <w:r w:rsidRPr="000955C4">
              <w:rPr>
                <w:b/>
                <w:bCs/>
                <w:sz w:val="17"/>
                <w:szCs w:val="17"/>
              </w:rPr>
            </w:r>
            <w:r w:rsidRPr="000955C4">
              <w:rPr>
                <w:b/>
                <w:bCs/>
                <w:sz w:val="17"/>
                <w:szCs w:val="17"/>
              </w:rPr>
              <w:fldChar w:fldCharType="separate"/>
            </w:r>
            <w:r w:rsidR="00A41FEF" w:rsidRPr="00A41FEF">
              <w:rPr>
                <w:b/>
                <w:bCs/>
                <w:sz w:val="17"/>
                <w:szCs w:val="17"/>
              </w:rPr>
              <w:t xml:space="preserve">Table </w:t>
            </w:r>
            <w:r w:rsidR="00A41FEF" w:rsidRPr="00A41FEF">
              <w:rPr>
                <w:b/>
                <w:bCs/>
                <w:noProof/>
                <w:sz w:val="17"/>
                <w:szCs w:val="17"/>
              </w:rPr>
              <w:t>7</w:t>
            </w:r>
            <w:r w:rsidRPr="000955C4">
              <w:rPr>
                <w:b/>
                <w:bCs/>
                <w:sz w:val="17"/>
                <w:szCs w:val="17"/>
              </w:rPr>
              <w:fldChar w:fldCharType="end"/>
            </w:r>
          </w:p>
        </w:tc>
        <w:tc>
          <w:tcPr>
            <w:tcW w:w="828" w:type="pct"/>
          </w:tcPr>
          <w:p w14:paraId="389EFDE4" w14:textId="3B7AA945" w:rsidR="00E72B8C" w:rsidRDefault="000955C4" w:rsidP="00AF0BBB">
            <w:pPr>
              <w:spacing w:after="80"/>
            </w:pPr>
            <w:r w:rsidRPr="000955C4">
              <w:rPr>
                <w:sz w:val="17"/>
                <w:szCs w:val="17"/>
              </w:rPr>
              <w:t xml:space="preserve">See </w:t>
            </w:r>
            <w:r w:rsidRPr="000955C4">
              <w:rPr>
                <w:b/>
                <w:bCs/>
                <w:sz w:val="17"/>
                <w:szCs w:val="17"/>
              </w:rPr>
              <w:fldChar w:fldCharType="begin"/>
            </w:r>
            <w:r w:rsidRPr="000955C4">
              <w:rPr>
                <w:b/>
                <w:bCs/>
                <w:sz w:val="17"/>
                <w:szCs w:val="17"/>
              </w:rPr>
              <w:instrText xml:space="preserve"> REF _Ref236989072 \h </w:instrText>
            </w:r>
            <w:r w:rsidRPr="000955C4">
              <w:rPr>
                <w:rFonts w:eastAsiaTheme="minorHAnsi" w:cstheme="minorBidi"/>
                <w:b/>
                <w:bCs/>
                <w:sz w:val="17"/>
                <w:szCs w:val="17"/>
                <w:lang w:eastAsia="en-US"/>
              </w:rPr>
              <w:instrText xml:space="preserve"> \* MERGEFORMAT </w:instrText>
            </w:r>
            <w:r w:rsidRPr="000955C4">
              <w:rPr>
                <w:b/>
                <w:bCs/>
                <w:sz w:val="17"/>
                <w:szCs w:val="17"/>
              </w:rPr>
            </w:r>
            <w:r w:rsidRPr="000955C4">
              <w:rPr>
                <w:b/>
                <w:bCs/>
                <w:sz w:val="17"/>
                <w:szCs w:val="17"/>
              </w:rPr>
              <w:fldChar w:fldCharType="separate"/>
            </w:r>
            <w:r w:rsidR="00A41FEF" w:rsidRPr="00A41FEF">
              <w:rPr>
                <w:b/>
                <w:bCs/>
                <w:sz w:val="17"/>
                <w:szCs w:val="17"/>
              </w:rPr>
              <w:t xml:space="preserve">Table </w:t>
            </w:r>
            <w:r w:rsidR="00A41FEF" w:rsidRPr="00A41FEF">
              <w:rPr>
                <w:b/>
                <w:bCs/>
                <w:noProof/>
                <w:sz w:val="17"/>
                <w:szCs w:val="17"/>
              </w:rPr>
              <w:t>7</w:t>
            </w:r>
            <w:r w:rsidRPr="000955C4">
              <w:rPr>
                <w:b/>
                <w:bCs/>
                <w:sz w:val="17"/>
                <w:szCs w:val="17"/>
              </w:rPr>
              <w:fldChar w:fldCharType="end"/>
            </w:r>
          </w:p>
        </w:tc>
        <w:tc>
          <w:tcPr>
            <w:tcW w:w="790" w:type="pct"/>
          </w:tcPr>
          <w:p w14:paraId="467EF4C9" w14:textId="64756471" w:rsidR="00E72B8C" w:rsidRDefault="000955C4" w:rsidP="00AF0BBB">
            <w:pPr>
              <w:spacing w:after="80"/>
            </w:pPr>
            <w:r w:rsidRPr="000955C4">
              <w:rPr>
                <w:sz w:val="17"/>
                <w:szCs w:val="17"/>
              </w:rPr>
              <w:t xml:space="preserve">See </w:t>
            </w:r>
            <w:r w:rsidRPr="000955C4">
              <w:rPr>
                <w:b/>
                <w:bCs/>
                <w:sz w:val="17"/>
                <w:szCs w:val="17"/>
              </w:rPr>
              <w:fldChar w:fldCharType="begin"/>
            </w:r>
            <w:r w:rsidRPr="000955C4">
              <w:rPr>
                <w:b/>
                <w:bCs/>
                <w:sz w:val="17"/>
                <w:szCs w:val="17"/>
              </w:rPr>
              <w:instrText xml:space="preserve"> REF _Ref236989072 \h </w:instrText>
            </w:r>
            <w:r w:rsidRPr="000955C4">
              <w:rPr>
                <w:rFonts w:eastAsiaTheme="minorHAnsi" w:cstheme="minorBidi"/>
                <w:b/>
                <w:bCs/>
                <w:sz w:val="17"/>
                <w:szCs w:val="17"/>
                <w:lang w:eastAsia="en-US"/>
              </w:rPr>
              <w:instrText xml:space="preserve"> \* MERGEFORMAT </w:instrText>
            </w:r>
            <w:r w:rsidRPr="000955C4">
              <w:rPr>
                <w:b/>
                <w:bCs/>
                <w:sz w:val="17"/>
                <w:szCs w:val="17"/>
              </w:rPr>
            </w:r>
            <w:r w:rsidRPr="000955C4">
              <w:rPr>
                <w:b/>
                <w:bCs/>
                <w:sz w:val="17"/>
                <w:szCs w:val="17"/>
              </w:rPr>
              <w:fldChar w:fldCharType="separate"/>
            </w:r>
            <w:r w:rsidR="00A41FEF" w:rsidRPr="00A41FEF">
              <w:rPr>
                <w:b/>
                <w:bCs/>
                <w:sz w:val="17"/>
                <w:szCs w:val="17"/>
              </w:rPr>
              <w:t xml:space="preserve">Table </w:t>
            </w:r>
            <w:r w:rsidR="00A41FEF" w:rsidRPr="00A41FEF">
              <w:rPr>
                <w:b/>
                <w:bCs/>
                <w:noProof/>
                <w:sz w:val="17"/>
                <w:szCs w:val="17"/>
              </w:rPr>
              <w:t>7</w:t>
            </w:r>
            <w:r w:rsidRPr="000955C4">
              <w:rPr>
                <w:b/>
                <w:bCs/>
                <w:sz w:val="17"/>
                <w:szCs w:val="17"/>
              </w:rPr>
              <w:fldChar w:fldCharType="end"/>
            </w:r>
          </w:p>
        </w:tc>
      </w:tr>
      <w:tr w:rsidR="00E72B8C" w14:paraId="4E53334D" w14:textId="77777777" w:rsidTr="00AF0BBB">
        <w:tc>
          <w:tcPr>
            <w:tcW w:w="116" w:type="pct"/>
          </w:tcPr>
          <w:p w14:paraId="7AAAB2BF" w14:textId="77777777" w:rsidR="00E72B8C" w:rsidRDefault="00E72B8C" w:rsidP="00AF0BBB">
            <w:pPr>
              <w:spacing w:after="80"/>
            </w:pPr>
            <w:r>
              <w:rPr>
                <w:sz w:val="17"/>
                <w:szCs w:val="17"/>
              </w:rPr>
              <w:t>4</w:t>
            </w:r>
          </w:p>
        </w:tc>
        <w:tc>
          <w:tcPr>
            <w:tcW w:w="822" w:type="pct"/>
          </w:tcPr>
          <w:p w14:paraId="01983B35" w14:textId="77777777" w:rsidR="00E72B8C" w:rsidRDefault="00E72B8C" w:rsidP="00AF0BBB">
            <w:pPr>
              <w:spacing w:after="80"/>
            </w:pPr>
            <w:r>
              <w:rPr>
                <w:sz w:val="17"/>
                <w:szCs w:val="17"/>
              </w:rPr>
              <w:t>Health considerations – What are the key adverse health effects associated with excess vitamin B6 intake, particularly neurological outcomes such as peripheral neuropathy?</w:t>
            </w:r>
          </w:p>
        </w:tc>
        <w:tc>
          <w:tcPr>
            <w:tcW w:w="833" w:type="pct"/>
          </w:tcPr>
          <w:p w14:paraId="4824106F" w14:textId="77777777" w:rsidR="00E72B8C" w:rsidRDefault="00E72B8C" w:rsidP="00AF0BBB">
            <w:pPr>
              <w:spacing w:after="80"/>
            </w:pPr>
            <w:r>
              <w:rPr>
                <w:sz w:val="17"/>
                <w:szCs w:val="17"/>
              </w:rPr>
              <w:t>Predominantly sensory axonal peripheral neuropathy: paresthesia, numbness, loss of vibration sense, ataxia, reported in supplement-use case series (</w:t>
            </w:r>
            <w:r w:rsidRPr="00BB278D">
              <w:rPr>
                <w:sz w:val="17"/>
                <w:szCs w:val="17"/>
              </w:rPr>
              <w:t>Gdynia et al. 2025; Kościńska-Shukla et al. 2025; Muhamad et al. 2023</w:t>
            </w:r>
            <w:r>
              <w:rPr>
                <w:sz w:val="17"/>
                <w:szCs w:val="17"/>
              </w:rPr>
              <w:t>).</w:t>
            </w:r>
          </w:p>
          <w:p w14:paraId="2A97444C" w14:textId="77777777" w:rsidR="00E72B8C" w:rsidRDefault="00E72B8C" w:rsidP="00AF0BBB">
            <w:pPr>
              <w:spacing w:after="80"/>
            </w:pPr>
            <w:r>
              <w:rPr>
                <w:sz w:val="17"/>
                <w:szCs w:val="17"/>
              </w:rPr>
              <w:t>Sensorimotor involvement at higher doses in older adults (</w:t>
            </w:r>
            <w:r w:rsidRPr="00BB278D">
              <w:rPr>
                <w:sz w:val="17"/>
                <w:szCs w:val="17"/>
              </w:rPr>
              <w:t>Gdynia et al. 2025: 7/8 patients</w:t>
            </w:r>
            <w:r>
              <w:rPr>
                <w:sz w:val="17"/>
                <w:szCs w:val="17"/>
              </w:rPr>
              <w:t>).</w:t>
            </w:r>
          </w:p>
          <w:p w14:paraId="0823F1FA" w14:textId="77777777" w:rsidR="00E72B8C" w:rsidRDefault="00E72B8C" w:rsidP="00AF0BBB">
            <w:pPr>
              <w:spacing w:after="80"/>
            </w:pPr>
            <w:r>
              <w:rPr>
                <w:sz w:val="17"/>
                <w:szCs w:val="17"/>
              </w:rPr>
              <w:t>CNS/cognitive symptoms (memory, cognitive impairment) (Kościńska-Shukla et al. 2025).</w:t>
            </w:r>
          </w:p>
          <w:p w14:paraId="6606B98B" w14:textId="77777777" w:rsidR="00E72B8C" w:rsidRDefault="00E72B8C" w:rsidP="00AF0BBB">
            <w:pPr>
              <w:spacing w:after="80"/>
            </w:pPr>
            <w:r>
              <w:rPr>
                <w:sz w:val="17"/>
                <w:szCs w:val="17"/>
              </w:rPr>
              <w:t>Neuropathic pain in HPP with elevated endogenous B6 (Zervou et al. 2025) is a distinct, non-supplemental mechanism (see individual susceptibility column).</w:t>
            </w:r>
          </w:p>
          <w:p w14:paraId="2B08EC67" w14:textId="77777777" w:rsidR="00E72B8C" w:rsidRDefault="00E72B8C" w:rsidP="00AF0BBB">
            <w:pPr>
              <w:spacing w:after="80"/>
            </w:pPr>
            <w:r>
              <w:rPr>
                <w:sz w:val="17"/>
                <w:szCs w:val="17"/>
              </w:rPr>
              <w:t>Modica et al. (2023, systematic review) describes altered B6 status (high and low) in Parkinson's disease patients on levodopa therapy, a clinical population on a specific pharmacological regimen, not general dietary/supplement exposure; relevance to UL derivation is limited.</w:t>
            </w:r>
          </w:p>
        </w:tc>
        <w:tc>
          <w:tcPr>
            <w:tcW w:w="789" w:type="pct"/>
          </w:tcPr>
          <w:p w14:paraId="1061FC45" w14:textId="77777777" w:rsidR="00E72B8C" w:rsidRDefault="00E72B8C" w:rsidP="00AF0BBB">
            <w:pPr>
              <w:spacing w:after="80"/>
            </w:pPr>
            <w:r w:rsidRPr="009C7BA4">
              <w:rPr>
                <w:sz w:val="17"/>
                <w:szCs w:val="17"/>
              </w:rPr>
              <w:t>Elevated liver enzymes, cirrhosis, HCC in paediatric PNPO/ALDH7A1 deficiency on 30–109 mg/kg/day PLP (Brands et al. 2026; Lee et al. 2025; Stolwijk et al. 2025; Webster et al. 2026). Vomiting, elevated liver enzymes, rhabdomyolysis in infants on therapeutic PLP (Arai et al. 2023). Pharmaceutical use; not relevant to dietary/supplement UL.</w:t>
            </w:r>
          </w:p>
        </w:tc>
        <w:tc>
          <w:tcPr>
            <w:tcW w:w="822" w:type="pct"/>
          </w:tcPr>
          <w:p w14:paraId="1A17962C" w14:textId="77777777" w:rsidR="00E72B8C" w:rsidRDefault="00E72B8C" w:rsidP="00AF0BBB">
            <w:pPr>
              <w:spacing w:after="80"/>
            </w:pPr>
            <w:r>
              <w:rPr>
                <w:sz w:val="17"/>
                <w:szCs w:val="17"/>
              </w:rPr>
              <w:t>Neuropathic pain in HPP from endogenous PLP accumulation (Zervou et al. 2025) demonstrates B6 metabolic dysregulation causing neuropathy independently of supplementation.</w:t>
            </w:r>
          </w:p>
        </w:tc>
        <w:tc>
          <w:tcPr>
            <w:tcW w:w="828" w:type="pct"/>
          </w:tcPr>
          <w:p w14:paraId="15E8C4D1" w14:textId="77777777" w:rsidR="00E72B8C" w:rsidRDefault="00E72B8C" w:rsidP="00AF0BBB">
            <w:pPr>
              <w:spacing w:after="80"/>
            </w:pPr>
            <w:r>
              <w:rPr>
                <w:sz w:val="17"/>
                <w:szCs w:val="17"/>
              </w:rPr>
              <w:t>Neurological toxicity (paresthesia, ataxia) and possible miscarriage / intrauterine death reported at high doses (100–6000 mg/day) in case reports, used pharmacologically to treat NVP. It is unclear from the available evidence summary whether these outcomes were assessed independently of maternal toxicity associated with severe NVP itself (e.g. dehydration, electrolyte disturbance); a plausible confounder that should be checked directly in He et al. (2025) before this evidence is weighted. Evidence is limited and heterogeneous .</w:t>
            </w:r>
          </w:p>
        </w:tc>
        <w:tc>
          <w:tcPr>
            <w:tcW w:w="790" w:type="pct"/>
          </w:tcPr>
          <w:p w14:paraId="1DD34D8F" w14:textId="77777777" w:rsidR="00E72B8C" w:rsidRDefault="00E72B8C" w:rsidP="00AF0BBB">
            <w:pPr>
              <w:spacing w:after="80"/>
            </w:pPr>
            <w:r>
              <w:rPr>
                <w:sz w:val="17"/>
                <w:szCs w:val="17"/>
              </w:rPr>
              <w:t>Elevated blood PLP (&gt;100 nmol/L) associated with polyneuropathy risk, biomarker-level association without direct clinical outcome data (Bossard et al. 2022).</w:t>
            </w:r>
          </w:p>
        </w:tc>
      </w:tr>
      <w:tr w:rsidR="00E72B8C" w14:paraId="41CC7809" w14:textId="77777777" w:rsidTr="00AF0BBB">
        <w:tc>
          <w:tcPr>
            <w:tcW w:w="116" w:type="pct"/>
          </w:tcPr>
          <w:p w14:paraId="68E3EE55" w14:textId="77777777" w:rsidR="00E72B8C" w:rsidRDefault="00E72B8C" w:rsidP="00AF0BBB">
            <w:pPr>
              <w:spacing w:after="80"/>
            </w:pPr>
            <w:r>
              <w:rPr>
                <w:sz w:val="17"/>
                <w:szCs w:val="17"/>
              </w:rPr>
              <w:t>5</w:t>
            </w:r>
          </w:p>
        </w:tc>
        <w:tc>
          <w:tcPr>
            <w:tcW w:w="822" w:type="pct"/>
          </w:tcPr>
          <w:p w14:paraId="0B3B1929" w14:textId="77777777" w:rsidR="00E72B8C" w:rsidRDefault="00E72B8C" w:rsidP="00AF0BBB">
            <w:pPr>
              <w:spacing w:after="80"/>
            </w:pPr>
            <w:r>
              <w:rPr>
                <w:sz w:val="17"/>
                <w:szCs w:val="17"/>
              </w:rPr>
              <w:t xml:space="preserve">Health considerations – What is the strength of evidence for a causal association for the key adverse health effects (including consideration of mode of action, dose–response relationships, and consistency of findings)? Where relevant, </w:t>
            </w:r>
            <w:r>
              <w:rPr>
                <w:sz w:val="17"/>
                <w:szCs w:val="17"/>
              </w:rPr>
              <w:lastRenderedPageBreak/>
              <w:t>how do findings differ by study type (e.g. human and animal evidence) and by population group, including infants, children, pregnancy/lactation and older adults?</w:t>
            </w:r>
          </w:p>
        </w:tc>
        <w:tc>
          <w:tcPr>
            <w:tcW w:w="833" w:type="pct"/>
          </w:tcPr>
          <w:p w14:paraId="7540EB0B" w14:textId="77777777" w:rsidR="00E72B8C" w:rsidRDefault="00E72B8C" w:rsidP="00AF0BBB">
            <w:pPr>
              <w:spacing w:after="80"/>
            </w:pPr>
            <w:r>
              <w:rPr>
                <w:sz w:val="17"/>
                <w:szCs w:val="17"/>
              </w:rPr>
              <w:lastRenderedPageBreak/>
              <w:t xml:space="preserve">Multiple independent case series and pharmacovigilance reports across countries describe a consistent pattern of association; however, consistent with the hierarchy of evidence, case series and case reports cannot on their own confirm causation — </w:t>
            </w:r>
            <w:r>
              <w:rPr>
                <w:sz w:val="17"/>
                <w:szCs w:val="17"/>
              </w:rPr>
              <w:lastRenderedPageBreak/>
              <w:t>this evidence should be regarded as supportive, not confirmatory.</w:t>
            </w:r>
          </w:p>
          <w:p w14:paraId="56860B31" w14:textId="77777777" w:rsidR="00E72B8C" w:rsidRDefault="00E72B8C" w:rsidP="00AF0BBB">
            <w:pPr>
              <w:spacing w:after="80"/>
            </w:pPr>
            <w:r>
              <w:rPr>
                <w:sz w:val="17"/>
                <w:szCs w:val="17"/>
              </w:rPr>
              <w:t xml:space="preserve">Dose-response: </w:t>
            </w:r>
            <w:r w:rsidRPr="00016125">
              <w:rPr>
                <w:sz w:val="17"/>
                <w:szCs w:val="17"/>
              </w:rPr>
              <w:t>supported by Muhamad et al. (2023, SR), Morris et al. (2025, registry), Schellack et al. (2025, consensus)</w:t>
            </w:r>
            <w:r>
              <w:rPr>
                <w:sz w:val="17"/>
                <w:szCs w:val="17"/>
              </w:rPr>
              <w:t>; null finding in Stewart (2022) CIAP cross-sectional is a counterbalance.</w:t>
            </w:r>
          </w:p>
          <w:p w14:paraId="6F683CED" w14:textId="77777777" w:rsidR="00E72B8C" w:rsidRDefault="00E72B8C" w:rsidP="00AF0BBB">
            <w:pPr>
              <w:spacing w:after="80"/>
            </w:pPr>
            <w:r>
              <w:rPr>
                <w:sz w:val="17"/>
                <w:szCs w:val="17"/>
              </w:rPr>
              <w:t xml:space="preserve">Withdrawal response: documented in </w:t>
            </w:r>
            <w:r w:rsidRPr="00016125">
              <w:rPr>
                <w:sz w:val="17"/>
                <w:szCs w:val="17"/>
              </w:rPr>
              <w:t>Paluszny et al. (2023), Gdynia et al. (2025), Kościńska-Shukla et al. (2025), Theil et al. (2023, animal).</w:t>
            </w:r>
          </w:p>
          <w:p w14:paraId="0CF6400B" w14:textId="77777777" w:rsidR="00E72B8C" w:rsidRDefault="00E72B8C" w:rsidP="00AF0BBB">
            <w:pPr>
              <w:spacing w:after="80"/>
            </w:pPr>
            <w:r>
              <w:rPr>
                <w:sz w:val="17"/>
                <w:szCs w:val="17"/>
              </w:rPr>
              <w:t>Mode of action: a mode of action has been hypothesised, i.e. high pyridoxine intake causing functional PLP deficiency or PDXK inhibition, leading to dorsal root ganglia/sensory neuron damage,  consistent with DRG-predominant pathology in Sun (2025) and animal data from Sano et al. (2022). This remains a hypothesis, not an established mechanism; no internationally accepted mode of action for pyridoxine-induced peripheral neuropathy currently exists.</w:t>
            </w:r>
          </w:p>
          <w:p w14:paraId="5E03A7DB" w14:textId="77777777" w:rsidR="00E72B8C" w:rsidRDefault="00E72B8C" w:rsidP="00AF0BBB">
            <w:pPr>
              <w:spacing w:after="80"/>
            </w:pPr>
            <w:r>
              <w:rPr>
                <w:sz w:val="17"/>
                <w:szCs w:val="17"/>
              </w:rPr>
              <w:t>Animal data (rat, Sano et al. 2022, 1200 mg/kg/day; dog, Theil et al. 2023, 100–150 mg/kg/day) use doses far higher than typical human exposure, as expected for hazard identification studies; these data remain relevant to establishing the dose-response relationship from which a point of departure and uncertainty factors are derived, consistent with standard toxicological risk assessment practice.</w:t>
            </w:r>
          </w:p>
          <w:p w14:paraId="4D4B6FCC" w14:textId="77777777" w:rsidR="00E72B8C" w:rsidRDefault="00E72B8C" w:rsidP="00AF0BBB">
            <w:pPr>
              <w:spacing w:after="80"/>
            </w:pPr>
            <w:r>
              <w:rPr>
                <w:sz w:val="17"/>
                <w:szCs w:val="17"/>
              </w:rPr>
              <w:t>Susceptible populations relevant to general-population supplement use may include older adults (</w:t>
            </w:r>
            <w:r w:rsidRPr="00016125">
              <w:rPr>
                <w:sz w:val="17"/>
                <w:szCs w:val="17"/>
              </w:rPr>
              <w:t>Gdynia et al. 2025, mean age 80</w:t>
            </w:r>
            <w:r>
              <w:rPr>
                <w:sz w:val="17"/>
                <w:szCs w:val="17"/>
              </w:rPr>
              <w:t>). Findings relating to Parkinson's disease patients on levodopa (where altered B6 status has been hypothesised as disease-relevant) and people with CBS deficiency on high-dose therapeutic B6 reflect pharmaceutical use and exploratory disease-mechanism research in defined clinical populations; relevance to general-population UL derivation is limited and they are noted for completeness only.</w:t>
            </w:r>
          </w:p>
          <w:p w14:paraId="620CCCE2" w14:textId="77777777" w:rsidR="00E72B8C" w:rsidRDefault="00E72B8C" w:rsidP="00AF0BBB">
            <w:pPr>
              <w:spacing w:after="80"/>
            </w:pPr>
            <w:r w:rsidRPr="00016125">
              <w:rPr>
                <w:sz w:val="17"/>
                <w:szCs w:val="17"/>
              </w:rPr>
              <w:t>Refer to Appendix F – Technical Report for risk of bias assessment and confidence rating.</w:t>
            </w:r>
          </w:p>
        </w:tc>
        <w:tc>
          <w:tcPr>
            <w:tcW w:w="789" w:type="pct"/>
          </w:tcPr>
          <w:p w14:paraId="201CE9E6" w14:textId="77777777" w:rsidR="00E72B8C" w:rsidRDefault="00E72B8C" w:rsidP="00AF0BBB">
            <w:pPr>
              <w:spacing w:after="80"/>
            </w:pPr>
            <w:r>
              <w:rPr>
                <w:sz w:val="17"/>
                <w:szCs w:val="17"/>
              </w:rPr>
              <w:lastRenderedPageBreak/>
              <w:t xml:space="preserve">Evidence is from small case series in rare genetic conditions receiving very high therapeutic PLP doses under medical supervision. This reflects pharmaceutical use in a non-representative clinical population and cannot establish causality </w:t>
            </w:r>
            <w:r>
              <w:rPr>
                <w:sz w:val="17"/>
                <w:szCs w:val="17"/>
              </w:rPr>
              <w:lastRenderedPageBreak/>
              <w:t>for general-population dietary/supplement exposure; retained for completeness only.</w:t>
            </w:r>
          </w:p>
        </w:tc>
        <w:tc>
          <w:tcPr>
            <w:tcW w:w="822" w:type="pct"/>
          </w:tcPr>
          <w:p w14:paraId="1045D055" w14:textId="77777777" w:rsidR="00E72B8C" w:rsidRDefault="00E72B8C" w:rsidP="00AF0BBB">
            <w:pPr>
              <w:spacing w:after="80"/>
            </w:pPr>
            <w:r>
              <w:rPr>
                <w:sz w:val="17"/>
                <w:szCs w:val="17"/>
              </w:rPr>
              <w:lastRenderedPageBreak/>
              <w:t>TNSALP controls plasma PLP clearance and provides mechanistic evidence for individual susceptibility.</w:t>
            </w:r>
          </w:p>
          <w:p w14:paraId="6156140F" w14:textId="77777777" w:rsidR="00E72B8C" w:rsidRDefault="00E72B8C" w:rsidP="00AF0BBB">
            <w:pPr>
              <w:spacing w:after="80"/>
            </w:pPr>
            <w:r>
              <w:rPr>
                <w:sz w:val="17"/>
                <w:szCs w:val="17"/>
              </w:rPr>
              <w:lastRenderedPageBreak/>
              <w:t>Zervou et al. (2025): endogenous elevated PLP results in neuropathy; asfotase alfa normalised PLP and reduced pain.</w:t>
            </w:r>
          </w:p>
          <w:p w14:paraId="3E4C72B8" w14:textId="77777777" w:rsidR="00E72B8C" w:rsidRDefault="00E72B8C" w:rsidP="00AF0BBB">
            <w:pPr>
              <w:spacing w:after="80"/>
            </w:pPr>
            <w:r>
              <w:rPr>
                <w:sz w:val="17"/>
                <w:szCs w:val="17"/>
              </w:rPr>
              <w:t>vanHunsel et al. (2025): R²=0.15 (dose–plasma correlation), significant interindividual metabolic variability confirmed.</w:t>
            </w:r>
          </w:p>
        </w:tc>
        <w:tc>
          <w:tcPr>
            <w:tcW w:w="828" w:type="pct"/>
          </w:tcPr>
          <w:p w14:paraId="15D9CC92" w14:textId="77777777" w:rsidR="00E72B8C" w:rsidRDefault="00E72B8C" w:rsidP="00AF0BBB">
            <w:pPr>
              <w:spacing w:after="80"/>
            </w:pPr>
            <w:r>
              <w:rPr>
                <w:sz w:val="17"/>
                <w:szCs w:val="17"/>
              </w:rPr>
              <w:lastRenderedPageBreak/>
              <w:t xml:space="preserve">Heterogeneous included studies; limited controlled evidence; adverse outcomes reported mostly from high-dose case reports involving pharmaceutical use for NVP, with little consideration of confounding factors such as maternal toxicity or other </w:t>
            </w:r>
            <w:r>
              <w:rPr>
                <w:sz w:val="17"/>
                <w:szCs w:val="17"/>
              </w:rPr>
              <w:lastRenderedPageBreak/>
              <w:t>interacting exposures. This is very weak evidence and should be weighted accordingly.</w:t>
            </w:r>
          </w:p>
        </w:tc>
        <w:tc>
          <w:tcPr>
            <w:tcW w:w="790" w:type="pct"/>
          </w:tcPr>
          <w:p w14:paraId="5F89BAB4" w14:textId="77777777" w:rsidR="00E72B8C" w:rsidRDefault="00E72B8C" w:rsidP="00AF0BBB">
            <w:pPr>
              <w:spacing w:after="80"/>
            </w:pPr>
            <w:r>
              <w:rPr>
                <w:sz w:val="17"/>
                <w:szCs w:val="17"/>
              </w:rPr>
              <w:lastRenderedPageBreak/>
              <w:t>No clinical adverse outcome.</w:t>
            </w:r>
          </w:p>
        </w:tc>
      </w:tr>
      <w:tr w:rsidR="00E72B8C" w14:paraId="494F32DD" w14:textId="77777777" w:rsidTr="00AF0BBB">
        <w:tc>
          <w:tcPr>
            <w:tcW w:w="116" w:type="pct"/>
          </w:tcPr>
          <w:p w14:paraId="5C25D9A5" w14:textId="77777777" w:rsidR="00E72B8C" w:rsidRDefault="00E72B8C" w:rsidP="00AF0BBB">
            <w:pPr>
              <w:spacing w:after="80"/>
            </w:pPr>
            <w:r>
              <w:rPr>
                <w:sz w:val="17"/>
                <w:szCs w:val="17"/>
              </w:rPr>
              <w:t>6</w:t>
            </w:r>
          </w:p>
        </w:tc>
        <w:tc>
          <w:tcPr>
            <w:tcW w:w="822" w:type="pct"/>
          </w:tcPr>
          <w:p w14:paraId="331B69C1" w14:textId="77777777" w:rsidR="00E72B8C" w:rsidRDefault="00E72B8C" w:rsidP="00AF0BBB">
            <w:pPr>
              <w:spacing w:after="80"/>
            </w:pPr>
            <w:r>
              <w:rPr>
                <w:sz w:val="17"/>
                <w:szCs w:val="17"/>
              </w:rPr>
              <w:t>Health considerations – Are there sensitive subpopulations, exposure patterns or use scenarios that require specific consideration?</w:t>
            </w:r>
          </w:p>
        </w:tc>
        <w:tc>
          <w:tcPr>
            <w:tcW w:w="833" w:type="pct"/>
          </w:tcPr>
          <w:p w14:paraId="3DB4F0A6" w14:textId="77777777" w:rsidR="00E72B8C" w:rsidRDefault="00E72B8C" w:rsidP="00AF0BBB">
            <w:pPr>
              <w:spacing w:after="80"/>
            </w:pPr>
            <w:r>
              <w:rPr>
                <w:sz w:val="17"/>
                <w:szCs w:val="17"/>
              </w:rPr>
              <w:t>Directly relevant to general-population supplement use:</w:t>
            </w:r>
          </w:p>
          <w:p w14:paraId="6180DA7B" w14:textId="77777777" w:rsidR="00E72B8C" w:rsidRDefault="00E72B8C" w:rsidP="00AF0BBB">
            <w:pPr>
              <w:spacing w:after="80"/>
            </w:pPr>
            <w:r>
              <w:rPr>
                <w:sz w:val="17"/>
                <w:szCs w:val="17"/>
              </w:rPr>
              <w:t>• Older adults: Gdynia et al. (2025), mean age 80; chronic low-dose neuropathy; sensorimotor involvement.</w:t>
            </w:r>
          </w:p>
          <w:p w14:paraId="274A9A25" w14:textId="77777777" w:rsidR="00E72B8C" w:rsidRDefault="00E72B8C" w:rsidP="00AF0BBB">
            <w:pPr>
              <w:spacing w:after="80"/>
            </w:pPr>
            <w:r>
              <w:rPr>
                <w:sz w:val="17"/>
                <w:szCs w:val="17"/>
              </w:rPr>
              <w:t>• Self-medicating with multiple OTC supplements: Kościńska-Shukla et al. (2025), Gdynia et al. (2025) — unrecognised cumulative intake.</w:t>
            </w:r>
          </w:p>
          <w:p w14:paraId="740841C6" w14:textId="77777777" w:rsidR="00E72B8C" w:rsidRDefault="00E72B8C" w:rsidP="00AF0BBB">
            <w:pPr>
              <w:spacing w:after="80"/>
            </w:pPr>
            <w:r>
              <w:rPr>
                <w:sz w:val="17"/>
                <w:szCs w:val="17"/>
              </w:rPr>
              <w:t>• General population supplement users: vanHunsel et al. (2025) — neuropathy reports even below regulatory limits; weak dose-plasma correlation confirms variability.</w:t>
            </w:r>
          </w:p>
          <w:p w14:paraId="7BD03BF1" w14:textId="77777777" w:rsidR="00E72B8C" w:rsidRDefault="00E72B8C" w:rsidP="00AF0BBB">
            <w:pPr>
              <w:spacing w:after="80"/>
            </w:pPr>
            <w:r>
              <w:rPr>
                <w:sz w:val="17"/>
                <w:szCs w:val="17"/>
              </w:rPr>
              <w:lastRenderedPageBreak/>
              <w:t>Of limited relevance to general-population UL sub-population characterisation:</w:t>
            </w:r>
          </w:p>
          <w:p w14:paraId="7E9885DB" w14:textId="77777777" w:rsidR="00E72B8C" w:rsidRDefault="00E72B8C" w:rsidP="00AF0BBB">
            <w:pPr>
              <w:spacing w:after="80"/>
            </w:pPr>
            <w:r>
              <w:rPr>
                <w:sz w:val="17"/>
                <w:szCs w:val="17"/>
              </w:rPr>
              <w:t>• Parkinson's disease on levodopa: Modica et al. (2023), specific clinical / pharmacological context, not general dietary / supplement exposure.</w:t>
            </w:r>
          </w:p>
        </w:tc>
        <w:tc>
          <w:tcPr>
            <w:tcW w:w="789" w:type="pct"/>
          </w:tcPr>
          <w:p w14:paraId="3C5425C2" w14:textId="77777777" w:rsidR="00E72B8C" w:rsidRDefault="00E72B8C" w:rsidP="00AF0BBB">
            <w:pPr>
              <w:spacing w:after="80"/>
            </w:pPr>
            <w:r>
              <w:rPr>
                <w:sz w:val="17"/>
                <w:szCs w:val="17"/>
              </w:rPr>
              <w:lastRenderedPageBreak/>
              <w:t xml:space="preserve">Rare genetic disorder patients (PNPO, ALDH7A1, CBS deficiency) and infants &lt;9 months on therapeutic PLP reflect pharmaceutical use under medical supervision in non-representative clinical populations </w:t>
            </w:r>
            <w:r w:rsidRPr="00AA2119">
              <w:rPr>
                <w:sz w:val="17"/>
                <w:szCs w:val="17"/>
              </w:rPr>
              <w:t>(Brands et al. 2026; Lee et al. 2025; Stolwijk et al. 2025; Webster et al. 2026; Morris et al. 2025; Arai et al. 2023)</w:t>
            </w:r>
            <w:r>
              <w:rPr>
                <w:sz w:val="17"/>
                <w:szCs w:val="17"/>
              </w:rPr>
              <w:t>. Retained for completeness and clinical-management awareness only; not evidence informing general-population UL sub-population characterisation.</w:t>
            </w:r>
          </w:p>
        </w:tc>
        <w:tc>
          <w:tcPr>
            <w:tcW w:w="822" w:type="pct"/>
          </w:tcPr>
          <w:p w14:paraId="03395F6B" w14:textId="77777777" w:rsidR="00E72B8C" w:rsidRDefault="00E72B8C" w:rsidP="00AF0BBB">
            <w:pPr>
              <w:spacing w:after="80"/>
            </w:pPr>
            <w:r>
              <w:rPr>
                <w:sz w:val="17"/>
                <w:szCs w:val="17"/>
              </w:rPr>
              <w:t>TNSALP-deficient individuals (HPP and carriers, ~1/300 in Western populations) and genetically variable B6 metabolisers (</w:t>
            </w:r>
            <w:r w:rsidRPr="0041556B">
              <w:rPr>
                <w:sz w:val="17"/>
                <w:szCs w:val="17"/>
              </w:rPr>
              <w:t xml:space="preserve">vanHunsel </w:t>
            </w:r>
            <w:r w:rsidRPr="00AF0BBB">
              <w:rPr>
                <w:sz w:val="17"/>
                <w:szCs w:val="17"/>
              </w:rPr>
              <w:t xml:space="preserve">et al. </w:t>
            </w:r>
            <w:r w:rsidRPr="0041556B">
              <w:rPr>
                <w:sz w:val="17"/>
                <w:szCs w:val="17"/>
              </w:rPr>
              <w:t>2025</w:t>
            </w:r>
            <w:r>
              <w:rPr>
                <w:sz w:val="17"/>
                <w:szCs w:val="17"/>
              </w:rPr>
              <w:t>) represent a mechanistically relevant general-population susceptibility factor (impaired PLP clearance);carrier frequency is not negligible and clearance variability is present in the general population. Retained as directly relevant context for UL uncertainty considerations.</w:t>
            </w:r>
          </w:p>
        </w:tc>
        <w:tc>
          <w:tcPr>
            <w:tcW w:w="828" w:type="pct"/>
          </w:tcPr>
          <w:p w14:paraId="4B0E3A7A" w14:textId="77777777" w:rsidR="00E72B8C" w:rsidRDefault="00E72B8C" w:rsidP="00AF0BBB">
            <w:pPr>
              <w:spacing w:after="80"/>
            </w:pPr>
            <w:r w:rsidRPr="00937BC3">
              <w:rPr>
                <w:sz w:val="17"/>
                <w:szCs w:val="17"/>
              </w:rPr>
              <w:t xml:space="preserve">Pregnant women using B6 pharmacologically for NVP (He </w:t>
            </w:r>
            <w:r>
              <w:rPr>
                <w:sz w:val="17"/>
                <w:szCs w:val="17"/>
              </w:rPr>
              <w:t xml:space="preserve">et al. </w:t>
            </w:r>
            <w:r w:rsidRPr="00937BC3">
              <w:rPr>
                <w:sz w:val="17"/>
                <w:szCs w:val="17"/>
              </w:rPr>
              <w:t>2025) reflect a therapeutic-use context rather than general dietary/supplement exposure; relevance to general-population UL derivation is limited. Schellack et al. (2025), an expert consensus on therapeutic vitamin B6 use, explicitly excludes pregnant women from its dosing guidance. This exclusion points to a gap in the therapeutic-use literature specific to pregnancy, but it is not itself evidence relevant to general-population UL derivation.</w:t>
            </w:r>
          </w:p>
        </w:tc>
        <w:tc>
          <w:tcPr>
            <w:tcW w:w="790" w:type="pct"/>
          </w:tcPr>
          <w:p w14:paraId="7BE63369" w14:textId="77777777" w:rsidR="00E72B8C" w:rsidRDefault="00E72B8C" w:rsidP="00AF0BBB">
            <w:pPr>
              <w:spacing w:after="80"/>
            </w:pPr>
            <w:r>
              <w:rPr>
                <w:sz w:val="17"/>
                <w:szCs w:val="17"/>
              </w:rPr>
              <w:t>Bariatric surgery patients and women 41–60 yrs most represented in overdose samples (</w:t>
            </w:r>
            <w:r w:rsidRPr="0041556B">
              <w:rPr>
                <w:sz w:val="17"/>
                <w:szCs w:val="17"/>
              </w:rPr>
              <w:t>Bossard</w:t>
            </w:r>
            <w:r w:rsidRPr="00AF0BBB">
              <w:rPr>
                <w:sz w:val="17"/>
                <w:szCs w:val="17"/>
              </w:rPr>
              <w:t xml:space="preserve"> et al.</w:t>
            </w:r>
            <w:r w:rsidRPr="0041556B">
              <w:rPr>
                <w:sz w:val="17"/>
                <w:szCs w:val="17"/>
              </w:rPr>
              <w:t xml:space="preserve"> 2022</w:t>
            </w:r>
            <w:r>
              <w:rPr>
                <w:sz w:val="17"/>
                <w:szCs w:val="17"/>
              </w:rPr>
              <w:t>). Bariatric surgery patients reflect a specific clinical population (altered absorption, post-surgery multivitamin use) rather than general dietary/supplement exposure; noted for contextual awareness only.</w:t>
            </w:r>
          </w:p>
        </w:tc>
      </w:tr>
      <w:tr w:rsidR="00E72B8C" w14:paraId="0D4D4EC3" w14:textId="77777777" w:rsidTr="00AF0BBB">
        <w:tc>
          <w:tcPr>
            <w:tcW w:w="116" w:type="pct"/>
          </w:tcPr>
          <w:p w14:paraId="7E5F1B87" w14:textId="77777777" w:rsidR="00E72B8C" w:rsidRDefault="00E72B8C" w:rsidP="00AF0BBB">
            <w:pPr>
              <w:spacing w:after="80"/>
            </w:pPr>
            <w:r>
              <w:rPr>
                <w:sz w:val="17"/>
                <w:szCs w:val="17"/>
              </w:rPr>
              <w:t>7</w:t>
            </w:r>
          </w:p>
        </w:tc>
        <w:tc>
          <w:tcPr>
            <w:tcW w:w="822" w:type="pct"/>
          </w:tcPr>
          <w:p w14:paraId="21B002AE" w14:textId="77777777" w:rsidR="00E72B8C" w:rsidRDefault="00E72B8C" w:rsidP="00AF0BBB">
            <w:pPr>
              <w:spacing w:after="80"/>
            </w:pPr>
            <w:r>
              <w:rPr>
                <w:sz w:val="17"/>
                <w:szCs w:val="17"/>
              </w:rPr>
              <w:t>Health considerations – How are pregnancy and other potentially sensitive life stages considered in the derivation of the UL, and are different uncertainty factors or adjustments applied for specific subpopulations where appropriate?</w:t>
            </w:r>
          </w:p>
        </w:tc>
        <w:tc>
          <w:tcPr>
            <w:tcW w:w="833" w:type="pct"/>
          </w:tcPr>
          <w:p w14:paraId="786391C4" w14:textId="77777777" w:rsidR="00E72B8C" w:rsidRDefault="00E72B8C" w:rsidP="00AF0BBB">
            <w:pPr>
              <w:spacing w:after="80"/>
            </w:pPr>
            <w:r w:rsidRPr="00937BC3">
              <w:rPr>
                <w:sz w:val="17"/>
                <w:szCs w:val="17"/>
              </w:rPr>
              <w:t>Evidence supports lower thresholds for older adults and suggests enhanced monitoring, but neither EFSA (2023) nor this evaluation has derived or applied a formal uncertainty factor for this subgroup.</w:t>
            </w:r>
          </w:p>
        </w:tc>
        <w:tc>
          <w:tcPr>
            <w:tcW w:w="789" w:type="pct"/>
          </w:tcPr>
          <w:p w14:paraId="1EDC1420" w14:textId="77777777" w:rsidR="00E72B8C" w:rsidRDefault="00E72B8C" w:rsidP="00AF0BBB">
            <w:pPr>
              <w:spacing w:after="80"/>
            </w:pPr>
            <w:r w:rsidRPr="00937BC3">
              <w:rPr>
                <w:sz w:val="17"/>
                <w:szCs w:val="17"/>
              </w:rPr>
              <w:t>Arai et al. (2023): age &lt;9 months identified as an independent risk factor for hepatotoxicity in infants receiving therapeutic PLP, i.e. a pharmaceutical-use clinical context. Whyte et al. (2024): TNSALP activity varies with developmental stage, providing a biological basis for age-specific PLP metabolism that is generally relevant, independent of the clinical setting in which it was observed. In neither case has EFSA (2023) or this evaluation derived or applied a formal uncertainty factor.</w:t>
            </w:r>
          </w:p>
        </w:tc>
        <w:tc>
          <w:tcPr>
            <w:tcW w:w="822" w:type="pct"/>
          </w:tcPr>
          <w:p w14:paraId="7BFCD647" w14:textId="77777777" w:rsidR="00E72B8C" w:rsidRDefault="00E72B8C" w:rsidP="00AF0BBB">
            <w:pPr>
              <w:spacing w:after="80"/>
            </w:pPr>
            <w:r w:rsidRPr="005F120D">
              <w:rPr>
                <w:sz w:val="17"/>
                <w:szCs w:val="17"/>
              </w:rPr>
              <w:t>Whyte et al. (2024): TNSALP activity determines PLP clearance capacity, providing a biological basis for a genotype-specific uncertainty factor. Since TNSALP carrier frequency in the general population is ~1/300, this rationale extends beyond the clinical HPP population studied and could support a higher uncertainty factor for individuals with reduced PLP clearance more broadly. However, neither EFSA (2023) nor NHMRC (2006) currently applies such an adjustment in their UL derivations, and this evaluation does not propose one.</w:t>
            </w:r>
          </w:p>
        </w:tc>
        <w:tc>
          <w:tcPr>
            <w:tcW w:w="828" w:type="pct"/>
          </w:tcPr>
          <w:p w14:paraId="2DB56D03" w14:textId="77777777" w:rsidR="00E72B8C" w:rsidRDefault="00E72B8C" w:rsidP="00AF0BBB">
            <w:pPr>
              <w:spacing w:after="80"/>
            </w:pPr>
            <w:r w:rsidRPr="005F120D">
              <w:rPr>
                <w:sz w:val="17"/>
                <w:szCs w:val="17"/>
              </w:rPr>
              <w:t>Adverse neurological outcomes reported in pregnant women using B6 pharmacologically at ≥30 mg/day, with possible foetal effects at higher doses; this evidence arises from therapeutic NVP treatment rather than dietary/supplement exposure, and maternal toxicity from NVP itself is a plausible unaddressed confounder (see row 4). Caution is needed before concluding a pregnancy-specific UL is warranted on this basis alone. Schellack et al. (2025) explicitly excludes pregnant/lactating women, citing insufficient evidence, a data gap rather than a positive finding. Neither EFSA (2023) nor this evaluation has derived or applied a formal uncertainty factor for pregnancy on this basis.</w:t>
            </w:r>
          </w:p>
        </w:tc>
        <w:tc>
          <w:tcPr>
            <w:tcW w:w="790" w:type="pct"/>
          </w:tcPr>
          <w:p w14:paraId="2423D273" w14:textId="77777777" w:rsidR="00E72B8C" w:rsidRDefault="00E72B8C" w:rsidP="00AF0BBB">
            <w:pPr>
              <w:spacing w:after="80"/>
            </w:pPr>
            <w:r>
              <w:rPr>
                <w:sz w:val="17"/>
                <w:szCs w:val="17"/>
              </w:rPr>
              <w:t>Not directly relevant to UF derivation.</w:t>
            </w:r>
          </w:p>
        </w:tc>
      </w:tr>
      <w:tr w:rsidR="00E72B8C" w14:paraId="0AA93E49" w14:textId="77777777" w:rsidTr="00AF0BBB">
        <w:tc>
          <w:tcPr>
            <w:tcW w:w="116" w:type="pct"/>
          </w:tcPr>
          <w:p w14:paraId="69D33F2B" w14:textId="77777777" w:rsidR="00E72B8C" w:rsidRDefault="00E72B8C" w:rsidP="00AF0BBB">
            <w:pPr>
              <w:spacing w:after="80"/>
            </w:pPr>
            <w:r>
              <w:rPr>
                <w:sz w:val="17"/>
                <w:szCs w:val="17"/>
              </w:rPr>
              <w:t>8</w:t>
            </w:r>
          </w:p>
        </w:tc>
        <w:tc>
          <w:tcPr>
            <w:tcW w:w="822" w:type="pct"/>
          </w:tcPr>
          <w:p w14:paraId="682B3487" w14:textId="77777777" w:rsidR="00E72B8C" w:rsidRDefault="00E72B8C" w:rsidP="00AF0BBB">
            <w:pPr>
              <w:spacing w:after="80"/>
            </w:pPr>
            <w:r>
              <w:rPr>
                <w:sz w:val="17"/>
                <w:szCs w:val="17"/>
              </w:rPr>
              <w:t>Australian and New Zealand intake profile (where relevant to interpretation of risk in Australia and New Zealand) – What are the typical dietary and supplemental sources of vitamin B6 in Australia and New Zealand?</w:t>
            </w:r>
          </w:p>
        </w:tc>
        <w:tc>
          <w:tcPr>
            <w:tcW w:w="833" w:type="pct"/>
          </w:tcPr>
          <w:p w14:paraId="5C8B0C10" w14:textId="77777777" w:rsidR="00E72B8C" w:rsidRDefault="00E72B8C" w:rsidP="00AF0BBB">
            <w:pPr>
              <w:spacing w:after="80"/>
            </w:pPr>
            <w:r>
              <w:rPr>
                <w:sz w:val="17"/>
                <w:szCs w:val="17"/>
              </w:rPr>
              <w:t>Not Applicable</w:t>
            </w:r>
          </w:p>
        </w:tc>
        <w:tc>
          <w:tcPr>
            <w:tcW w:w="789" w:type="pct"/>
          </w:tcPr>
          <w:p w14:paraId="5D5AA6AA" w14:textId="77777777" w:rsidR="00E72B8C" w:rsidRDefault="00E72B8C" w:rsidP="00AF0BBB">
            <w:pPr>
              <w:spacing w:after="80"/>
            </w:pPr>
            <w:r>
              <w:rPr>
                <w:sz w:val="17"/>
                <w:szCs w:val="17"/>
              </w:rPr>
              <w:t>Not Applicable</w:t>
            </w:r>
            <w:r w:rsidDel="00A26F96">
              <w:rPr>
                <w:sz w:val="17"/>
                <w:szCs w:val="17"/>
              </w:rPr>
              <w:t xml:space="preserve"> </w:t>
            </w:r>
          </w:p>
        </w:tc>
        <w:tc>
          <w:tcPr>
            <w:tcW w:w="822" w:type="pct"/>
          </w:tcPr>
          <w:p w14:paraId="79B8B453" w14:textId="77777777" w:rsidR="00E72B8C" w:rsidRDefault="00E72B8C" w:rsidP="00AF0BBB">
            <w:pPr>
              <w:spacing w:after="80"/>
            </w:pPr>
            <w:r>
              <w:rPr>
                <w:sz w:val="17"/>
                <w:szCs w:val="17"/>
              </w:rPr>
              <w:t>Not Applicable</w:t>
            </w:r>
            <w:r w:rsidDel="00A26F96">
              <w:rPr>
                <w:sz w:val="17"/>
                <w:szCs w:val="17"/>
              </w:rPr>
              <w:t xml:space="preserve"> </w:t>
            </w:r>
          </w:p>
        </w:tc>
        <w:tc>
          <w:tcPr>
            <w:tcW w:w="828" w:type="pct"/>
          </w:tcPr>
          <w:p w14:paraId="3DEADBEC" w14:textId="77777777" w:rsidR="00E72B8C" w:rsidRDefault="00E72B8C" w:rsidP="00AF0BBB">
            <w:pPr>
              <w:spacing w:after="80"/>
            </w:pPr>
            <w:r>
              <w:rPr>
                <w:sz w:val="17"/>
                <w:szCs w:val="17"/>
              </w:rPr>
              <w:t>Not Applicable</w:t>
            </w:r>
            <w:r w:rsidDel="00A26F96">
              <w:rPr>
                <w:sz w:val="17"/>
                <w:szCs w:val="17"/>
              </w:rPr>
              <w:t xml:space="preserve"> </w:t>
            </w:r>
          </w:p>
        </w:tc>
        <w:tc>
          <w:tcPr>
            <w:tcW w:w="790" w:type="pct"/>
          </w:tcPr>
          <w:p w14:paraId="7603CBAA" w14:textId="77777777" w:rsidR="00E72B8C" w:rsidRDefault="00E72B8C" w:rsidP="00AF0BBB">
            <w:pPr>
              <w:spacing w:after="80"/>
            </w:pPr>
            <w:r>
              <w:rPr>
                <w:sz w:val="17"/>
                <w:szCs w:val="17"/>
              </w:rPr>
              <w:t>Not Applicable</w:t>
            </w:r>
            <w:r w:rsidDel="00A26F96">
              <w:rPr>
                <w:sz w:val="17"/>
                <w:szCs w:val="17"/>
              </w:rPr>
              <w:t xml:space="preserve"> </w:t>
            </w:r>
          </w:p>
        </w:tc>
      </w:tr>
      <w:tr w:rsidR="00E72B8C" w14:paraId="1E9259AF" w14:textId="77777777" w:rsidTr="00AF0BBB">
        <w:tc>
          <w:tcPr>
            <w:tcW w:w="116" w:type="pct"/>
          </w:tcPr>
          <w:p w14:paraId="19C71E02" w14:textId="77777777" w:rsidR="00E72B8C" w:rsidRDefault="00E72B8C" w:rsidP="00AF0BBB">
            <w:pPr>
              <w:spacing w:after="80"/>
            </w:pPr>
            <w:r>
              <w:rPr>
                <w:sz w:val="17"/>
                <w:szCs w:val="17"/>
              </w:rPr>
              <w:t>9</w:t>
            </w:r>
          </w:p>
        </w:tc>
        <w:tc>
          <w:tcPr>
            <w:tcW w:w="822" w:type="pct"/>
          </w:tcPr>
          <w:p w14:paraId="06D70201" w14:textId="77777777" w:rsidR="00E72B8C" w:rsidRDefault="00E72B8C" w:rsidP="00AF0BBB">
            <w:pPr>
              <w:spacing w:after="80"/>
            </w:pPr>
            <w:r>
              <w:rPr>
                <w:sz w:val="17"/>
                <w:szCs w:val="17"/>
              </w:rPr>
              <w:t>Australian and New Zealand intake profile (where relevant to interpretation of risk in Australia and New Zealand) – What are the typical dietary and supplementary intakes of vitamin B6 in the Australian and New Zealand population?</w:t>
            </w:r>
          </w:p>
        </w:tc>
        <w:tc>
          <w:tcPr>
            <w:tcW w:w="833" w:type="pct"/>
          </w:tcPr>
          <w:p w14:paraId="01749A96" w14:textId="77777777" w:rsidR="00E72B8C" w:rsidRDefault="00E72B8C" w:rsidP="00AF0BBB">
            <w:pPr>
              <w:spacing w:after="80"/>
            </w:pPr>
            <w:r>
              <w:rPr>
                <w:sz w:val="17"/>
                <w:szCs w:val="17"/>
              </w:rPr>
              <w:t>Not Applicable</w:t>
            </w:r>
            <w:r w:rsidDel="00A26F96">
              <w:rPr>
                <w:sz w:val="17"/>
                <w:szCs w:val="17"/>
              </w:rPr>
              <w:t xml:space="preserve"> </w:t>
            </w:r>
          </w:p>
        </w:tc>
        <w:tc>
          <w:tcPr>
            <w:tcW w:w="789" w:type="pct"/>
          </w:tcPr>
          <w:p w14:paraId="715B2523" w14:textId="77777777" w:rsidR="00E72B8C" w:rsidRDefault="00E72B8C" w:rsidP="00AF0BBB">
            <w:pPr>
              <w:spacing w:after="80"/>
            </w:pPr>
            <w:r>
              <w:rPr>
                <w:sz w:val="17"/>
                <w:szCs w:val="17"/>
              </w:rPr>
              <w:t>Not Applicable</w:t>
            </w:r>
            <w:r w:rsidDel="00A26F96">
              <w:rPr>
                <w:sz w:val="17"/>
                <w:szCs w:val="17"/>
              </w:rPr>
              <w:t xml:space="preserve"> </w:t>
            </w:r>
          </w:p>
        </w:tc>
        <w:tc>
          <w:tcPr>
            <w:tcW w:w="822" w:type="pct"/>
          </w:tcPr>
          <w:p w14:paraId="50AC95D8" w14:textId="77777777" w:rsidR="00E72B8C" w:rsidRDefault="00E72B8C" w:rsidP="00AF0BBB">
            <w:pPr>
              <w:spacing w:after="80"/>
            </w:pPr>
            <w:r>
              <w:rPr>
                <w:sz w:val="17"/>
                <w:szCs w:val="17"/>
              </w:rPr>
              <w:t>Not Applicable</w:t>
            </w:r>
            <w:r w:rsidDel="00A26F96">
              <w:rPr>
                <w:sz w:val="17"/>
                <w:szCs w:val="17"/>
              </w:rPr>
              <w:t xml:space="preserve"> </w:t>
            </w:r>
          </w:p>
        </w:tc>
        <w:tc>
          <w:tcPr>
            <w:tcW w:w="828" w:type="pct"/>
          </w:tcPr>
          <w:p w14:paraId="07FD54AA" w14:textId="77777777" w:rsidR="00E72B8C" w:rsidRDefault="00E72B8C" w:rsidP="00AF0BBB">
            <w:pPr>
              <w:spacing w:after="80"/>
            </w:pPr>
            <w:r>
              <w:rPr>
                <w:sz w:val="17"/>
                <w:szCs w:val="17"/>
              </w:rPr>
              <w:t>Not Applicable</w:t>
            </w:r>
            <w:r w:rsidDel="00A26F96">
              <w:rPr>
                <w:sz w:val="17"/>
                <w:szCs w:val="17"/>
              </w:rPr>
              <w:t xml:space="preserve"> </w:t>
            </w:r>
          </w:p>
        </w:tc>
        <w:tc>
          <w:tcPr>
            <w:tcW w:w="790" w:type="pct"/>
          </w:tcPr>
          <w:p w14:paraId="1CA5C564" w14:textId="77777777" w:rsidR="00E72B8C" w:rsidRDefault="00E72B8C" w:rsidP="00AF0BBB">
            <w:pPr>
              <w:spacing w:after="80"/>
            </w:pPr>
            <w:r>
              <w:rPr>
                <w:sz w:val="17"/>
                <w:szCs w:val="17"/>
              </w:rPr>
              <w:t>Not Applicable</w:t>
            </w:r>
            <w:r w:rsidDel="00A26F96">
              <w:rPr>
                <w:sz w:val="17"/>
                <w:szCs w:val="17"/>
              </w:rPr>
              <w:t xml:space="preserve"> </w:t>
            </w:r>
          </w:p>
        </w:tc>
      </w:tr>
    </w:tbl>
    <w:p w14:paraId="2A0DA01E" w14:textId="77777777" w:rsidR="00767956" w:rsidRDefault="00767956" w:rsidP="00B33D79">
      <w:pPr>
        <w:pStyle w:val="BodyText"/>
        <w:sectPr w:rsidR="00767956" w:rsidSect="0066010C">
          <w:headerReference w:type="default" r:id="rId21"/>
          <w:footerReference w:type="default" r:id="rId22"/>
          <w:pgSz w:w="23811" w:h="16838" w:orient="landscape" w:code="8"/>
          <w:pgMar w:top="1440" w:right="1440" w:bottom="1134" w:left="1440" w:header="576" w:footer="576" w:gutter="0"/>
          <w:cols w:space="720"/>
          <w:docGrid w:linePitch="360"/>
        </w:sectPr>
      </w:pPr>
    </w:p>
    <w:p w14:paraId="156AE968" w14:textId="54AF145B" w:rsidR="00F51AC1" w:rsidRDefault="00F51AC1" w:rsidP="00F51AC1">
      <w:pPr>
        <w:pStyle w:val="Heading1"/>
      </w:pPr>
      <w:bookmarkStart w:id="45" w:name="_Toc233022867"/>
      <w:r>
        <w:lastRenderedPageBreak/>
        <w:t>References</w:t>
      </w:r>
      <w:bookmarkEnd w:id="45"/>
    </w:p>
    <w:p w14:paraId="0B25EAEA" w14:textId="4CA1A9D8" w:rsidR="0081594D" w:rsidRDefault="00D26F0C" w:rsidP="0081594D">
      <w:pPr>
        <w:pStyle w:val="BodyText"/>
      </w:pPr>
      <w:r w:rsidRPr="00D26F0C">
        <w:t>Alonso-Coello P, Schünemann HJ, Moberg J, Brignardello-Petersen R, Akl EA, Davoli M, Treweek S, Mustafa RA, Rada G, Rosenbaum S, Morelli A, Guyatt GH and Oxman AD (2016). GRADE Evidence to Decision (EtD) frameworks: a systematic and transparent approach to making well informed healthcare choices. BMJ, 353:i2016.</w:t>
      </w:r>
    </w:p>
    <w:p w14:paraId="4B4D57E3" w14:textId="40EA2D9F" w:rsidR="00D26F0C" w:rsidRDefault="00D26F0C" w:rsidP="0081594D">
      <w:pPr>
        <w:pStyle w:val="BodyText"/>
      </w:pPr>
      <w:r w:rsidRPr="00D26F0C">
        <w:t xml:space="preserve">Arai Y, Okanishi T, Kanai S, Ohta K, Sunada H, Noma H and Maegaki Y (2023). Identifying risk factors for adverse events of pyridoxal phosphate in infantile epileptic spasms syndrome. </w:t>
      </w:r>
      <w:r w:rsidRPr="00D26F0C">
        <w:rPr>
          <w:i/>
          <w:iCs/>
        </w:rPr>
        <w:t>Epilepsy &amp; Behavior</w:t>
      </w:r>
      <w:r w:rsidRPr="00D26F0C">
        <w:t xml:space="preserve">, 145:109348. </w:t>
      </w:r>
      <w:hyperlink r:id="rId23" w:history="1">
        <w:r w:rsidRPr="00D26F0C">
          <w:rPr>
            <w:rStyle w:val="Hyperlink"/>
            <w:rFonts w:eastAsiaTheme="minorHAnsi" w:cstheme="minorBidi"/>
            <w:szCs w:val="20"/>
            <w:lang w:val="en-AU"/>
          </w:rPr>
          <w:t>https://doi.org/10.1016/j.yebeh.2023.109348</w:t>
        </w:r>
      </w:hyperlink>
    </w:p>
    <w:p w14:paraId="5C0EA5D7" w14:textId="77777777" w:rsidR="00F319FD" w:rsidRDefault="00F319FD" w:rsidP="00F319FD">
      <w:pPr>
        <w:pStyle w:val="BodyText"/>
      </w:pPr>
      <w:r>
        <w:t>Australian Bureau of Statistics (ABS) 2026, Usual nutrient intakes, 2023, ABS, Canberra, viewed 17 June 2026.</w:t>
      </w:r>
    </w:p>
    <w:p w14:paraId="66252104" w14:textId="38FD1F58" w:rsidR="00F319FD" w:rsidRDefault="00F319FD" w:rsidP="00F319FD">
      <w:pPr>
        <w:pStyle w:val="BodyText"/>
      </w:pPr>
      <w:r>
        <w:t>Australian Bureau of Statistics (ABS) 2025, Dietary supplements, 2023, ABS, Canberra, viewed 17 June 2026.</w:t>
      </w:r>
    </w:p>
    <w:p w14:paraId="5B11335D" w14:textId="38245D89" w:rsidR="00D26F0C" w:rsidRDefault="00D26F0C" w:rsidP="0081594D">
      <w:pPr>
        <w:pStyle w:val="BodyText"/>
      </w:pPr>
      <w:r w:rsidRPr="00D26F0C">
        <w:t xml:space="preserve">Berger AR, Schaumburg HH, Schroeder C, Apfel S and Reynolds R (1992). Dose response, coasting, and differential fibre vulnerability in human toxic neuropathy: a prospective study of pyridoxine neurotoxicity. </w:t>
      </w:r>
      <w:r w:rsidRPr="00D26F0C">
        <w:rPr>
          <w:i/>
          <w:iCs/>
        </w:rPr>
        <w:t>Neurology</w:t>
      </w:r>
      <w:r w:rsidRPr="00D26F0C">
        <w:t>, 42(7):1367–1370.</w:t>
      </w:r>
    </w:p>
    <w:p w14:paraId="5CD82DBA" w14:textId="0A3FC3F8" w:rsidR="00767956" w:rsidRDefault="00D26F0C" w:rsidP="00B33D79">
      <w:pPr>
        <w:pStyle w:val="BodyText"/>
      </w:pPr>
      <w:r w:rsidRPr="00D26F0C">
        <w:t>Bernstein A, Lobitz CS. A clinical and electrophysiologic study of the treatment of painful diabetic neuropathies with pyridoxine. In: Leklem JE, Reynolds RD, eds. Clinical and physiological applications of vitamin B</w:t>
      </w:r>
      <w:r w:rsidR="00771F2F">
        <w:t>-</w:t>
      </w:r>
      <w:r w:rsidRPr="00D26F0C">
        <w:t>6. Current topics in nutrition and disease. New York: Alan R. Liss, 1988. Pp 415-23.</w:t>
      </w:r>
    </w:p>
    <w:p w14:paraId="0443FACE" w14:textId="3BA69915" w:rsidR="00D26F0C" w:rsidRDefault="00D26F0C" w:rsidP="00B33D79">
      <w:pPr>
        <w:pStyle w:val="BodyText"/>
      </w:pPr>
      <w:r w:rsidRPr="00D26F0C">
        <w:t xml:space="preserve">Bossard V, Bourmeyster N, Pasini S, Dupuis P, El Balkhi S, Richard E, Alarcan H, Hauet T and Thuillier R (2022). Problematic rise of vitamin B6 supplementation overuse and potential risk to bariatric surgery patients. </w:t>
      </w:r>
      <w:r w:rsidRPr="00D26F0C">
        <w:rPr>
          <w:i/>
          <w:iCs/>
        </w:rPr>
        <w:t>Nutrition</w:t>
      </w:r>
      <w:r w:rsidRPr="00D26F0C">
        <w:t xml:space="preserve">, 102:111738. </w:t>
      </w:r>
      <w:hyperlink r:id="rId24" w:history="1">
        <w:r w:rsidRPr="00D26F0C">
          <w:rPr>
            <w:rStyle w:val="Hyperlink"/>
            <w:rFonts w:eastAsiaTheme="minorHAnsi" w:cstheme="minorBidi"/>
            <w:szCs w:val="20"/>
            <w:lang w:val="en-AU"/>
          </w:rPr>
          <w:t>https://doi.org/10.1016/j.nut.2022.111738</w:t>
        </w:r>
      </w:hyperlink>
    </w:p>
    <w:p w14:paraId="69F9F2DC" w14:textId="1ED96FE8" w:rsidR="00D26F0C" w:rsidRDefault="00D26F0C" w:rsidP="00B33D79">
      <w:pPr>
        <w:pStyle w:val="BodyText"/>
      </w:pPr>
      <w:r w:rsidRPr="00D26F0C">
        <w:t xml:space="preserve">Brands MM, de Puyraimond C, Gospe SM Jr, Schiff MM, Jaeger B, Koot BG, Raphael MF, Lubout CM, Soto B, Delanne J, Imbard A, Zempel J, Kraal KC, Scheenstra R and Clayton PT (2026). Hepatocellular carcinoma: a critical complication in patients treated with pyridoxal phosphate. </w:t>
      </w:r>
      <w:r w:rsidRPr="00D26F0C">
        <w:rPr>
          <w:i/>
          <w:iCs/>
        </w:rPr>
        <w:t>Neuropediatrics</w:t>
      </w:r>
      <w:r w:rsidRPr="00D26F0C">
        <w:t xml:space="preserve">, 57:59–64. </w:t>
      </w:r>
      <w:hyperlink r:id="rId25" w:history="1">
        <w:r w:rsidRPr="00D26F0C">
          <w:rPr>
            <w:rStyle w:val="Hyperlink"/>
            <w:rFonts w:eastAsiaTheme="minorHAnsi" w:cstheme="minorBidi"/>
            <w:szCs w:val="20"/>
            <w:lang w:val="en-AU"/>
          </w:rPr>
          <w:t>https://doi.org/10.1055/a-2773-6076</w:t>
        </w:r>
      </w:hyperlink>
    </w:p>
    <w:p w14:paraId="6EB9A3D4" w14:textId="7712FB49" w:rsidR="00D26F0C" w:rsidRDefault="00D26F0C" w:rsidP="00B33D79">
      <w:pPr>
        <w:pStyle w:val="BodyText"/>
      </w:pPr>
      <w:r w:rsidRPr="00D26F0C">
        <w:t xml:space="preserve">Campbell M, McKenzie JE, Sowden A, Katikireddi SV, Brennan SE, Ellis S, Hartmann-Boyce J, Ryan R, Shepperd S, Thomas J, Welch V and Thomson H (2020). Synthesis without meta-analysis (SWiM) in systematic reviews: reporting guideline. </w:t>
      </w:r>
      <w:r w:rsidRPr="00D26F0C">
        <w:rPr>
          <w:i/>
          <w:iCs/>
        </w:rPr>
        <w:t>BMJ</w:t>
      </w:r>
      <w:r w:rsidRPr="00D26F0C">
        <w:t xml:space="preserve">, 368:l6890. </w:t>
      </w:r>
      <w:hyperlink r:id="rId26" w:history="1">
        <w:r w:rsidRPr="00D26F0C">
          <w:rPr>
            <w:rStyle w:val="Hyperlink"/>
            <w:rFonts w:eastAsiaTheme="minorHAnsi" w:cstheme="minorBidi"/>
            <w:szCs w:val="20"/>
            <w:lang w:val="en-AU"/>
          </w:rPr>
          <w:t>https://doi.org/10.1136/bmj.l6890</w:t>
        </w:r>
      </w:hyperlink>
    </w:p>
    <w:p w14:paraId="74FECE59" w14:textId="7905F3A1" w:rsidR="003C5F5C" w:rsidRDefault="003C5F5C" w:rsidP="00B33D79">
      <w:pPr>
        <w:pStyle w:val="BodyText"/>
      </w:pPr>
      <w:r w:rsidRPr="003C5F5C">
        <w:t>Canadian Vigilance Adverse Reaction Online Database</w:t>
      </w:r>
      <w:r>
        <w:t xml:space="preserve">. Accessed on June 11, 2026. Available online: </w:t>
      </w:r>
      <w:hyperlink r:id="rId27" w:history="1">
        <w:r w:rsidRPr="003C5F5C">
          <w:rPr>
            <w:rStyle w:val="Hyperlink"/>
            <w:rFonts w:eastAsiaTheme="minorHAnsi" w:cstheme="minorBidi"/>
            <w:szCs w:val="20"/>
            <w:lang w:val="en-US"/>
          </w:rPr>
          <w:t>https://cvp-pcv.hc-sc.gc.ca/arq-rei/search-recherche</w:t>
        </w:r>
      </w:hyperlink>
    </w:p>
    <w:p w14:paraId="6E73F009" w14:textId="3B48DACD" w:rsidR="003C5F5C" w:rsidRDefault="003C5F5C" w:rsidP="00B33D79">
      <w:pPr>
        <w:pStyle w:val="BodyText"/>
      </w:pPr>
      <w:r w:rsidRPr="003C5F5C">
        <w:t>DAEN</w:t>
      </w:r>
      <w:r>
        <w:t xml:space="preserve">. </w:t>
      </w:r>
      <w:r w:rsidRPr="003C5F5C">
        <w:t xml:space="preserve">Database of Adverse Event Notifications (DAEN) </w:t>
      </w:r>
      <w:r>
        <w:t>–</w:t>
      </w:r>
      <w:r w:rsidRPr="003C5F5C">
        <w:t xml:space="preserve"> medicines</w:t>
      </w:r>
      <w:r>
        <w:t xml:space="preserve">. Accessed on June 11, 2026. Available online: </w:t>
      </w:r>
      <w:hyperlink r:id="rId28" w:history="1">
        <w:r w:rsidRPr="003C5F5C">
          <w:rPr>
            <w:rStyle w:val="Hyperlink"/>
            <w:rFonts w:eastAsiaTheme="minorHAnsi" w:cstheme="minorBidi"/>
            <w:szCs w:val="20"/>
            <w:lang w:val="en-US"/>
          </w:rPr>
          <w:t>https://aems.tga.gov.au/daen-medicines-search/</w:t>
        </w:r>
      </w:hyperlink>
    </w:p>
    <w:p w14:paraId="0B7788B2" w14:textId="1FA0AD79" w:rsidR="00D26F0C" w:rsidRDefault="00D26F0C" w:rsidP="00B33D79">
      <w:pPr>
        <w:pStyle w:val="BodyText"/>
      </w:pPr>
      <w:r w:rsidRPr="00D26F0C">
        <w:t xml:space="preserve">Dalton K and Dalton MJT (1987). Characteristics of pyridoxine overdose neuropathy syndrome. </w:t>
      </w:r>
      <w:r w:rsidRPr="00D26F0C">
        <w:rPr>
          <w:i/>
          <w:iCs/>
        </w:rPr>
        <w:t>Acta Neurologica Scandinavica</w:t>
      </w:r>
      <w:r w:rsidRPr="00D26F0C">
        <w:t>, 76(1):8–11.</w:t>
      </w:r>
    </w:p>
    <w:p w14:paraId="0D5C14B8" w14:textId="6DCC9618" w:rsidR="00D26F0C" w:rsidRDefault="007C396A" w:rsidP="007C396A">
      <w:pPr>
        <w:pStyle w:val="BodyText"/>
      </w:pPr>
      <w:r>
        <w:t>Del Tredici AM, Bernstein AL, Chinn K. Carpel tunnel syndrome and vitamin B6 therapy. In: Reynolds RD, Leklem JD, eds. Vitamin B6: its role in health and disease. Current topics in nutrition and disease. New York: Alan R. Liss,1985. Pp 459–62.</w:t>
      </w:r>
    </w:p>
    <w:p w14:paraId="39B86761" w14:textId="771ED9A6" w:rsidR="007C396A" w:rsidRDefault="007C396A" w:rsidP="007C396A">
      <w:pPr>
        <w:pStyle w:val="BodyText"/>
      </w:pPr>
      <w:r w:rsidRPr="007C396A">
        <w:t xml:space="preserve">EFSA Panel on Nutrition, Novel Foods and Food Allergens (NDA) (2023). Scientific Opinion on the tolerable upper intake level for vitamin B6. </w:t>
      </w:r>
      <w:r w:rsidRPr="007C396A">
        <w:rPr>
          <w:i/>
          <w:iCs/>
        </w:rPr>
        <w:t>EFSA Journal</w:t>
      </w:r>
      <w:r w:rsidRPr="007C396A">
        <w:t xml:space="preserve">, 21:e08006. </w:t>
      </w:r>
      <w:hyperlink r:id="rId29" w:history="1">
        <w:r w:rsidRPr="007C396A">
          <w:rPr>
            <w:rStyle w:val="Hyperlink"/>
            <w:rFonts w:eastAsiaTheme="minorHAnsi" w:cstheme="minorBidi"/>
            <w:szCs w:val="20"/>
            <w:lang w:val="en-AU"/>
          </w:rPr>
          <w:t>https://doi.org/10.2903/j.efsa.2023.8006</w:t>
        </w:r>
      </w:hyperlink>
    </w:p>
    <w:p w14:paraId="085F9860" w14:textId="239C0202" w:rsidR="003C5F5C" w:rsidRDefault="003C5F5C" w:rsidP="00B33D79">
      <w:pPr>
        <w:pStyle w:val="BodyText"/>
      </w:pPr>
      <w:r w:rsidRPr="003C5F5C">
        <w:lastRenderedPageBreak/>
        <w:t>EudraVigilance – European database of suspected adverse drug reaction reports</w:t>
      </w:r>
      <w:r>
        <w:t xml:space="preserve">. Accessed on June 11, 2026. Available online: </w:t>
      </w:r>
      <w:hyperlink r:id="rId30" w:history="1">
        <w:r w:rsidRPr="003C5F5C">
          <w:rPr>
            <w:rStyle w:val="Hyperlink"/>
            <w:rFonts w:eastAsiaTheme="minorHAnsi" w:cstheme="minorBidi"/>
            <w:szCs w:val="20"/>
            <w:lang w:val="en-US"/>
          </w:rPr>
          <w:t>https://www.adrreports.eu/en/search_subst.html#</w:t>
        </w:r>
      </w:hyperlink>
    </w:p>
    <w:p w14:paraId="213D9D14" w14:textId="6965FB1E" w:rsidR="00D26F0C" w:rsidRDefault="007C396A" w:rsidP="00B33D79">
      <w:pPr>
        <w:pStyle w:val="BodyText"/>
      </w:pPr>
      <w:r w:rsidRPr="007C396A">
        <w:t>European Commission Scientific Committee on Food (SCF) (2000). Opinion of the Scientific Committee on Food on the Tolerable Upper Intake Level of Vitamin B6. European Commission, Brussels.</w:t>
      </w:r>
    </w:p>
    <w:p w14:paraId="3CCCF837" w14:textId="0775ABDE" w:rsidR="007C396A" w:rsidRDefault="007C396A" w:rsidP="00B33D79">
      <w:pPr>
        <w:pStyle w:val="BodyText"/>
      </w:pPr>
      <w:r w:rsidRPr="007C396A">
        <w:t>Expert Group on Vitamins and Minerals (EVM) (2003). Safe Upper Levels for Vitamins and Minerals. Food Standards Agency, United Kingdom.</w:t>
      </w:r>
    </w:p>
    <w:p w14:paraId="1D731020" w14:textId="41312B20" w:rsidR="003C5F5C" w:rsidRDefault="003C5F5C" w:rsidP="00B33D79">
      <w:pPr>
        <w:pStyle w:val="BodyText"/>
      </w:pPr>
      <w:r w:rsidRPr="003C5F5C">
        <w:t>FDA Adverse Event Monitoring System (AEMS) Public Dashboard for Drugs and Biologics</w:t>
      </w:r>
      <w:r>
        <w:t xml:space="preserve">. Accessed on June 11, 2026. Available online: </w:t>
      </w:r>
      <w:hyperlink r:id="rId31" w:history="1">
        <w:r w:rsidRPr="003C5F5C">
          <w:rPr>
            <w:rStyle w:val="Hyperlink"/>
            <w:rFonts w:eastAsiaTheme="minorHAnsi" w:cstheme="minorBidi"/>
            <w:szCs w:val="20"/>
            <w:lang w:val="en-US"/>
          </w:rPr>
          <w:t>https://fis.fda.gov/sense/app/95239e26-e0be-42d9-a960-9a5f7f1c25ee/sheet/45beeb74-30ab-46be-8267-5756582633b4/state/analysishttps</w:t>
        </w:r>
      </w:hyperlink>
    </w:p>
    <w:p w14:paraId="0A78517E" w14:textId="77777777" w:rsidR="00F319FD" w:rsidRDefault="00F319FD" w:rsidP="00F319FD">
      <w:pPr>
        <w:pStyle w:val="BodyText"/>
      </w:pPr>
      <w:r>
        <w:t>Food Standards Australia New Zealand (FSANZ) 2005a, Application A470 – Formulated Beverages: Attachment 5, Nutrition Assessment, FSANZ, Canberra.</w:t>
      </w:r>
    </w:p>
    <w:p w14:paraId="44DAF55D" w14:textId="77777777" w:rsidR="00F319FD" w:rsidRDefault="00F319FD" w:rsidP="00F319FD">
      <w:pPr>
        <w:pStyle w:val="BodyText"/>
      </w:pPr>
      <w:r>
        <w:t>Food Standards Australia New Zealand (FSANZ) 2005b, Application A470 – Formulated Beverages: Attachment 6, Risk Assessment – Micronutrients, FSANZ, Canberra.</w:t>
      </w:r>
    </w:p>
    <w:p w14:paraId="7F64FC79" w14:textId="1F03B92B" w:rsidR="00F319FD" w:rsidRDefault="00F319FD" w:rsidP="00F319FD">
      <w:pPr>
        <w:pStyle w:val="BodyText"/>
      </w:pPr>
      <w:r>
        <w:t>Food Standards Australia New Zealand (FSANZ) 2005c, Application A470 – Formulated Beverages: Draft Assessment Report, Part 2: Attachment 5, Nutrition Assessment, FSANZ, Canberra.</w:t>
      </w:r>
    </w:p>
    <w:p w14:paraId="2813113F" w14:textId="6C93DBD2" w:rsidR="007C396A" w:rsidRDefault="007C396A" w:rsidP="00B33D79">
      <w:pPr>
        <w:pStyle w:val="BodyText"/>
      </w:pPr>
      <w:r w:rsidRPr="007C396A">
        <w:t xml:space="preserve">Gdynia N, Gratzer A and Gdynia HJ (2025). Polyneuropathy due to vitamin B6 hypervitaminosis: a case series and call for more education. </w:t>
      </w:r>
      <w:r w:rsidRPr="007C396A">
        <w:rPr>
          <w:i/>
          <w:iCs/>
        </w:rPr>
        <w:t>Journal of Neurosciences in Rural Practice</w:t>
      </w:r>
      <w:r w:rsidRPr="007C396A">
        <w:t xml:space="preserve">. </w:t>
      </w:r>
      <w:hyperlink r:id="rId32" w:history="1">
        <w:r w:rsidRPr="007C396A">
          <w:rPr>
            <w:rStyle w:val="Hyperlink"/>
            <w:rFonts w:eastAsiaTheme="minorHAnsi" w:cstheme="minorBidi"/>
            <w:szCs w:val="20"/>
            <w:lang w:val="en-AU"/>
          </w:rPr>
          <w:t>https://doi.org/10.25259/JNRP_346_2024</w:t>
        </w:r>
      </w:hyperlink>
    </w:p>
    <w:p w14:paraId="32175A90" w14:textId="202A6A70" w:rsidR="007C396A" w:rsidRDefault="007C396A" w:rsidP="00B33D79">
      <w:pPr>
        <w:pStyle w:val="BodyText"/>
      </w:pPr>
      <w:r w:rsidRPr="007C396A">
        <w:t xml:space="preserve">He L, Fan Y, Hu Y, Tian C, Tian Y, Zhang J and Ren Y (2025). The potential hazards of high doses of vitamin B6 in treating nausea and vomiting in pregnancy: a systematic review. </w:t>
      </w:r>
      <w:r w:rsidRPr="007C396A">
        <w:rPr>
          <w:i/>
          <w:iCs/>
        </w:rPr>
        <w:t>International Journal of Gynaecology and Obstetrics</w:t>
      </w:r>
      <w:r w:rsidRPr="007C396A">
        <w:t xml:space="preserve">, 169(1):38–50. </w:t>
      </w:r>
      <w:hyperlink r:id="rId33" w:history="1">
        <w:r w:rsidRPr="007C396A">
          <w:rPr>
            <w:rStyle w:val="Hyperlink"/>
            <w:rFonts w:eastAsiaTheme="minorHAnsi" w:cstheme="minorBidi"/>
            <w:szCs w:val="20"/>
            <w:lang w:val="en-AU"/>
          </w:rPr>
          <w:t>https://doi.org/10.1002/ijgo.16032</w:t>
        </w:r>
      </w:hyperlink>
    </w:p>
    <w:p w14:paraId="5C0CE004" w14:textId="33B67F08" w:rsidR="007C396A" w:rsidRDefault="007C396A" w:rsidP="00B33D79">
      <w:pPr>
        <w:pStyle w:val="BodyText"/>
      </w:pPr>
      <w:r w:rsidRPr="007C396A">
        <w:t>Institute of Medicine (IOM) (1998). Dietary Reference Intakes for Thiamin, Riboflavin, Niacin, Vitamin B6, Folate, Vitamin B12, Pantothenic Acid, Biotin, and Choline. National Academies Press, Washington, DC.</w:t>
      </w:r>
    </w:p>
    <w:p w14:paraId="0632416E" w14:textId="36522877" w:rsidR="007C396A" w:rsidRDefault="007C396A" w:rsidP="00B33D79">
      <w:pPr>
        <w:pStyle w:val="BodyText"/>
      </w:pPr>
      <w:r w:rsidRPr="007C396A">
        <w:t xml:space="preserve">Kościńska-Shukla I, Jaskólska M, Grochowalska K, Okrój M and Chmielewski M (2025). Underestimated pyridoxine consumption and neurotoxicity: a novel manifestation with rheumatologic relevance — a case-based review. </w:t>
      </w:r>
      <w:r w:rsidRPr="007C396A">
        <w:rPr>
          <w:i/>
          <w:iCs/>
        </w:rPr>
        <w:t>Rheumatology International</w:t>
      </w:r>
      <w:r w:rsidRPr="007C396A">
        <w:t xml:space="preserve">, 45(6):144. </w:t>
      </w:r>
      <w:hyperlink r:id="rId34" w:history="1">
        <w:r w:rsidRPr="007C396A">
          <w:rPr>
            <w:rStyle w:val="Hyperlink"/>
            <w:rFonts w:eastAsiaTheme="minorHAnsi" w:cstheme="minorBidi"/>
            <w:szCs w:val="20"/>
            <w:lang w:val="en-AU"/>
          </w:rPr>
          <w:t>https://doi.org/10.1007/s00296-025-05900-9</w:t>
        </w:r>
      </w:hyperlink>
    </w:p>
    <w:p w14:paraId="6BEC0C4F" w14:textId="65213CE4" w:rsidR="007C396A" w:rsidRDefault="007C396A" w:rsidP="00B33D79">
      <w:pPr>
        <w:pStyle w:val="BodyText"/>
      </w:pPr>
      <w:r w:rsidRPr="007C396A">
        <w:t xml:space="preserve">Lee JZC, Chow CK, Fung CW, Lui STY and Wong SNS (2025). Case report: hepatocellular carcinoma in a patient with pyridoxamine 5-phosphate oxidase (PNPO) deficiency undergoing pyridoxal 5-phosphate (PLP) treatment. </w:t>
      </w:r>
      <w:r w:rsidRPr="007C396A">
        <w:rPr>
          <w:i/>
          <w:iCs/>
        </w:rPr>
        <w:t>Molecular Genetics and Metabolism Reports</w:t>
      </w:r>
      <w:r w:rsidRPr="007C396A">
        <w:t xml:space="preserve">, 43:101224. </w:t>
      </w:r>
      <w:hyperlink r:id="rId35" w:history="1">
        <w:r w:rsidRPr="007C396A">
          <w:rPr>
            <w:rStyle w:val="Hyperlink"/>
            <w:rFonts w:eastAsiaTheme="minorHAnsi" w:cstheme="minorBidi"/>
            <w:szCs w:val="20"/>
            <w:lang w:val="en-AU"/>
          </w:rPr>
          <w:t>https://doi.org/10.1016/j.ymgmr.2025.101224</w:t>
        </w:r>
      </w:hyperlink>
    </w:p>
    <w:p w14:paraId="1B3951E7" w14:textId="318B66EA" w:rsidR="00D26F0C" w:rsidRDefault="007C396A" w:rsidP="00B33D79">
      <w:pPr>
        <w:pStyle w:val="BodyText"/>
        <w:rPr>
          <w:bCs/>
        </w:rPr>
      </w:pPr>
      <w:r w:rsidRPr="007C396A">
        <w:rPr>
          <w:bCs/>
        </w:rPr>
        <w:t xml:space="preserve">Modica JS, Déry C, Canissario R, Logigian E, Bonno D, Stanton M, Dupré N, McDermott MP, Bouchard M, Lang AE and Lizarraga KJ (2023). A systematic review of the potential consequences of abnormal serum levels of vitamin B6 in people living with Parkinson's disease. </w:t>
      </w:r>
      <w:r w:rsidRPr="007C396A">
        <w:rPr>
          <w:bCs/>
          <w:i/>
          <w:iCs/>
        </w:rPr>
        <w:t>Journal of the Neurological Sciences</w:t>
      </w:r>
      <w:r w:rsidRPr="007C396A">
        <w:rPr>
          <w:bCs/>
        </w:rPr>
        <w:t xml:space="preserve">, 450:120690. </w:t>
      </w:r>
      <w:hyperlink r:id="rId36" w:history="1">
        <w:r w:rsidRPr="007C396A">
          <w:rPr>
            <w:rStyle w:val="Hyperlink"/>
            <w:rFonts w:eastAsiaTheme="minorHAnsi" w:cstheme="minorBidi"/>
            <w:bCs/>
            <w:szCs w:val="20"/>
            <w:lang w:val="en-AU"/>
          </w:rPr>
          <w:t>https://doi.org/10.1016/j.jns.2023.120690</w:t>
        </w:r>
      </w:hyperlink>
    </w:p>
    <w:p w14:paraId="55246441" w14:textId="1993E3AC" w:rsidR="007C396A" w:rsidRDefault="007C396A" w:rsidP="00B33D79">
      <w:pPr>
        <w:pStyle w:val="BodyText"/>
        <w:rPr>
          <w:bCs/>
        </w:rPr>
      </w:pPr>
      <w:r w:rsidRPr="007C396A">
        <w:rPr>
          <w:bCs/>
        </w:rPr>
        <w:t xml:space="preserve">Moher D, Liberati A, Tetzlaff J and Altman DG (2009). Preferred reporting items for systematic reviews and meta-analyses: the PRISMA statement. </w:t>
      </w:r>
      <w:r w:rsidRPr="007C396A">
        <w:rPr>
          <w:bCs/>
          <w:i/>
          <w:iCs/>
        </w:rPr>
        <w:t>PLoS Medicine</w:t>
      </w:r>
      <w:r w:rsidRPr="007C396A">
        <w:rPr>
          <w:bCs/>
        </w:rPr>
        <w:t>, 6(7):e1000097.</w:t>
      </w:r>
    </w:p>
    <w:p w14:paraId="3BA9D89B" w14:textId="2D9D0485" w:rsidR="007C396A" w:rsidRDefault="007C396A" w:rsidP="00B33D79">
      <w:pPr>
        <w:pStyle w:val="BodyText"/>
        <w:rPr>
          <w:bCs/>
        </w:rPr>
      </w:pPr>
      <w:r w:rsidRPr="007C396A">
        <w:rPr>
          <w:bCs/>
        </w:rPr>
        <w:t>Morris AAM, Sokolová J, Pavlíková M, Gleich F, Kölker S, Dionisi-Vici C, Baumgartner MR, Hannibal L, Blom HJ, Huemer M, Kožich V and E-HOD Consortium (2025). Cystathionine β-</w:t>
      </w:r>
      <w:r w:rsidRPr="007C396A">
        <w:rPr>
          <w:bCs/>
        </w:rPr>
        <w:lastRenderedPageBreak/>
        <w:t xml:space="preserve">synthase deficiency in the E-HOD Registry — Part II: dietary and pharmacological treatment. </w:t>
      </w:r>
      <w:r w:rsidRPr="007C396A">
        <w:rPr>
          <w:bCs/>
          <w:i/>
          <w:iCs/>
        </w:rPr>
        <w:t>Journal of Inherited Metabolic Disease</w:t>
      </w:r>
      <w:r w:rsidRPr="007C396A">
        <w:rPr>
          <w:bCs/>
        </w:rPr>
        <w:t xml:space="preserve">, 48:e12844. </w:t>
      </w:r>
      <w:hyperlink r:id="rId37" w:history="1">
        <w:r w:rsidRPr="007C396A">
          <w:rPr>
            <w:rStyle w:val="Hyperlink"/>
            <w:rFonts w:eastAsiaTheme="minorHAnsi" w:cstheme="minorBidi"/>
            <w:bCs/>
            <w:szCs w:val="20"/>
            <w:lang w:val="en-AU"/>
          </w:rPr>
          <w:t>https://doi.org/10.1002/jimd.12844</w:t>
        </w:r>
      </w:hyperlink>
    </w:p>
    <w:p w14:paraId="613C47D4" w14:textId="32072972" w:rsidR="007C396A" w:rsidRDefault="00EF2D7D" w:rsidP="00B33D79">
      <w:pPr>
        <w:pStyle w:val="BodyText"/>
        <w:rPr>
          <w:bCs/>
        </w:rPr>
      </w:pPr>
      <w:r w:rsidRPr="00EF2D7D">
        <w:rPr>
          <w:bCs/>
        </w:rPr>
        <w:t xml:space="preserve">Muhamad R, Akrivaki A, Papagiannopoulou G, Zavridis P and Zis P (2023). The role of vitamin B6 in peripheral neuropathy: a systematic review. </w:t>
      </w:r>
      <w:r w:rsidRPr="00EF2D7D">
        <w:rPr>
          <w:bCs/>
          <w:i/>
          <w:iCs/>
        </w:rPr>
        <w:t>Nutrients</w:t>
      </w:r>
      <w:r w:rsidRPr="00EF2D7D">
        <w:rPr>
          <w:bCs/>
        </w:rPr>
        <w:t xml:space="preserve">, 15(13):2823. </w:t>
      </w:r>
      <w:hyperlink r:id="rId38" w:history="1">
        <w:r w:rsidRPr="00EF2D7D">
          <w:rPr>
            <w:rStyle w:val="Hyperlink"/>
            <w:rFonts w:eastAsiaTheme="minorHAnsi" w:cstheme="minorBidi"/>
            <w:bCs/>
            <w:szCs w:val="20"/>
            <w:lang w:val="en-AU"/>
          </w:rPr>
          <w:t>https://doi.org/10.3390/nu15132823</w:t>
        </w:r>
      </w:hyperlink>
    </w:p>
    <w:p w14:paraId="498D7E63" w14:textId="77777777" w:rsidR="007C396A" w:rsidRPr="007C396A" w:rsidRDefault="007C396A" w:rsidP="007C396A">
      <w:pPr>
        <w:pStyle w:val="BodyText"/>
        <w:rPr>
          <w:bCs/>
        </w:rPr>
      </w:pPr>
      <w:r w:rsidRPr="007C396A">
        <w:rPr>
          <w:bCs/>
        </w:rPr>
        <w:t>National Health and Medical Research Council (NHMRC) (2006). Nutrient Reference Values for Australia and New Zealand Including Recommended Dietary Intakes. NHMRC, Canberra.</w:t>
      </w:r>
    </w:p>
    <w:p w14:paraId="54367BF2" w14:textId="77777777" w:rsidR="007C396A" w:rsidRPr="007C396A" w:rsidRDefault="007C396A" w:rsidP="007C396A">
      <w:pPr>
        <w:pStyle w:val="BodyText"/>
        <w:rPr>
          <w:bCs/>
        </w:rPr>
      </w:pPr>
      <w:r w:rsidRPr="007C396A">
        <w:rPr>
          <w:bCs/>
        </w:rPr>
        <w:t>National Toxicology Program Office of Health Assessment and Translation (NTP OHAT) (2019). Handbook for Conducting a Literature-Based Health Assessment Using OHAT Approach for Systematic Review and Evidence Integration. National Institute of Environmental Health Sciences, United States.</w:t>
      </w:r>
    </w:p>
    <w:p w14:paraId="493DE6E7" w14:textId="77777777" w:rsidR="007C396A" w:rsidRPr="007C396A" w:rsidRDefault="007C396A" w:rsidP="007C396A">
      <w:pPr>
        <w:pStyle w:val="BodyText"/>
        <w:rPr>
          <w:bCs/>
        </w:rPr>
      </w:pPr>
      <w:r w:rsidRPr="007C396A">
        <w:rPr>
          <w:bCs/>
        </w:rPr>
        <w:t xml:space="preserve">Paluszny A and Qiu S (2023). Vitamin B6 toxicity secondary to daily multivitamin use: a case report. </w:t>
      </w:r>
      <w:r w:rsidRPr="007C396A">
        <w:rPr>
          <w:bCs/>
          <w:i/>
          <w:iCs/>
        </w:rPr>
        <w:t>Cureus</w:t>
      </w:r>
      <w:r w:rsidRPr="007C396A">
        <w:rPr>
          <w:bCs/>
        </w:rPr>
        <w:t xml:space="preserve">, 15(11):e48792. </w:t>
      </w:r>
      <w:hyperlink r:id="rId39" w:history="1">
        <w:r w:rsidRPr="007C396A">
          <w:rPr>
            <w:rStyle w:val="Hyperlink"/>
            <w:rFonts w:eastAsiaTheme="minorHAnsi" w:cstheme="minorBidi"/>
            <w:bCs/>
            <w:szCs w:val="20"/>
            <w:lang w:val="en-AU"/>
          </w:rPr>
          <w:t>https://doi.org/10.7759/cureus.48792</w:t>
        </w:r>
      </w:hyperlink>
    </w:p>
    <w:p w14:paraId="0A6C25C0" w14:textId="4EE481B3" w:rsidR="00EF2D7D" w:rsidRDefault="00EF2D7D" w:rsidP="007C396A">
      <w:pPr>
        <w:pStyle w:val="BodyText"/>
        <w:rPr>
          <w:bCs/>
        </w:rPr>
      </w:pPr>
      <w:r w:rsidRPr="00EF2D7D">
        <w:rPr>
          <w:bCs/>
        </w:rPr>
        <w:t xml:space="preserve">Phillips WEJ, Mills JHL, Charbonneau SM, Tryphonas L, Hatina GV, Zawidzka Z, Bryce FR and Munro IC (1978). Subacute toxicity of pyridoxine hydrochloride in the beagle dog. Toxicology and Applied Pharmacology, 44(2):323–333. </w:t>
      </w:r>
      <w:hyperlink r:id="rId40" w:history="1">
        <w:r w:rsidRPr="0002342A">
          <w:rPr>
            <w:rStyle w:val="Hyperlink"/>
            <w:rFonts w:eastAsiaTheme="minorHAnsi" w:cstheme="minorBidi"/>
            <w:bCs/>
            <w:szCs w:val="20"/>
            <w:lang w:val="en-AU"/>
          </w:rPr>
          <w:t>https://doi.org/10.1016/0041-008X(78)90194-1</w:t>
        </w:r>
      </w:hyperlink>
    </w:p>
    <w:p w14:paraId="56822940" w14:textId="374919B6" w:rsidR="007C396A" w:rsidRPr="007C396A" w:rsidRDefault="007C396A" w:rsidP="007C396A">
      <w:pPr>
        <w:pStyle w:val="BodyText"/>
        <w:rPr>
          <w:bCs/>
        </w:rPr>
      </w:pPr>
      <w:r w:rsidRPr="007C396A">
        <w:rPr>
          <w:bCs/>
        </w:rPr>
        <w:t xml:space="preserve">Sano T, Masuda Y, Yasuno H, Shinozawa T, Watanabe T and Kakehi M (2022). Blood neurofilament light chain as a potential biomarker for central and peripheral nervous toxicity in rats. </w:t>
      </w:r>
      <w:r w:rsidRPr="007C396A">
        <w:rPr>
          <w:bCs/>
          <w:i/>
          <w:iCs/>
        </w:rPr>
        <w:t>Toxicological Sciences</w:t>
      </w:r>
      <w:r w:rsidRPr="007C396A">
        <w:rPr>
          <w:bCs/>
        </w:rPr>
        <w:t xml:space="preserve">, 185(1):10–18. </w:t>
      </w:r>
      <w:hyperlink r:id="rId41" w:history="1">
        <w:r w:rsidRPr="007C396A">
          <w:rPr>
            <w:rStyle w:val="Hyperlink"/>
            <w:rFonts w:eastAsiaTheme="minorHAnsi" w:cstheme="minorBidi"/>
            <w:bCs/>
            <w:szCs w:val="20"/>
            <w:lang w:val="en-AU"/>
          </w:rPr>
          <w:t>https://doi.org/10.1093/toxsci/kfab122</w:t>
        </w:r>
      </w:hyperlink>
    </w:p>
    <w:p w14:paraId="5A755A22" w14:textId="77777777" w:rsidR="007C396A" w:rsidRDefault="007C396A" w:rsidP="007C396A">
      <w:pPr>
        <w:pStyle w:val="BodyText"/>
        <w:rPr>
          <w:bCs/>
        </w:rPr>
      </w:pPr>
      <w:r w:rsidRPr="007C396A">
        <w:rPr>
          <w:bCs/>
        </w:rPr>
        <w:t xml:space="preserve">Schaumburg H, Kaplan J, Windebank A, Vick N, Rasmus S, Pleasure D and Brown MJ (1983). Sensory neuropathy from pyridoxine abuse. </w:t>
      </w:r>
      <w:r w:rsidRPr="007C396A">
        <w:rPr>
          <w:bCs/>
          <w:i/>
          <w:iCs/>
        </w:rPr>
        <w:t>New England Journal of Medicine</w:t>
      </w:r>
      <w:r w:rsidRPr="007C396A">
        <w:rPr>
          <w:bCs/>
        </w:rPr>
        <w:t>, 309(8):445–448.</w:t>
      </w:r>
    </w:p>
    <w:p w14:paraId="6E2F012F" w14:textId="0F38479A" w:rsidR="00EF2D7D" w:rsidRDefault="00EF2D7D" w:rsidP="007C396A">
      <w:pPr>
        <w:pStyle w:val="BodyText"/>
        <w:rPr>
          <w:bCs/>
        </w:rPr>
      </w:pPr>
      <w:r w:rsidRPr="00EF2D7D">
        <w:rPr>
          <w:bCs/>
        </w:rPr>
        <w:t xml:space="preserve">Schellack N, Yotsombut K, Sabet A, Nafach J, Hiew FL and Kulkantrakorn K (2025). Expert consensus on vitamin B6 therapeutic use for patients: guidance on safe dosage, duration and clinical management. </w:t>
      </w:r>
      <w:r w:rsidRPr="00EF2D7D">
        <w:rPr>
          <w:bCs/>
          <w:i/>
          <w:iCs/>
        </w:rPr>
        <w:t>Drug, Healthcare and Patient Safety</w:t>
      </w:r>
      <w:r w:rsidRPr="00EF2D7D">
        <w:rPr>
          <w:bCs/>
        </w:rPr>
        <w:t xml:space="preserve">, 17:97–108. </w:t>
      </w:r>
      <w:hyperlink r:id="rId42" w:history="1">
        <w:r w:rsidRPr="00EF2D7D">
          <w:rPr>
            <w:rStyle w:val="Hyperlink"/>
            <w:rFonts w:eastAsiaTheme="minorHAnsi" w:cstheme="minorBidi"/>
            <w:bCs/>
            <w:szCs w:val="20"/>
            <w:lang w:val="en-AU"/>
          </w:rPr>
          <w:t>https://doi.org/10.2147/DHPS.S499941</w:t>
        </w:r>
      </w:hyperlink>
    </w:p>
    <w:p w14:paraId="7319EAA4" w14:textId="77777777" w:rsidR="00EF2D7D" w:rsidRPr="00EF2D7D" w:rsidRDefault="00EF2D7D" w:rsidP="00EF2D7D">
      <w:pPr>
        <w:pStyle w:val="BodyText"/>
        <w:rPr>
          <w:bCs/>
        </w:rPr>
      </w:pPr>
      <w:r w:rsidRPr="00EF2D7D">
        <w:rPr>
          <w:bCs/>
        </w:rPr>
        <w:t xml:space="preserve">Stewart SL, Thomas S, Höke E, Simpson D, Singleton JR and Höke A (2022). Vitamin B6 levels do not correlate with severity of neuropathy in chronic idiopathic axonal polyneuropathy. </w:t>
      </w:r>
      <w:r w:rsidRPr="00EF2D7D">
        <w:rPr>
          <w:bCs/>
          <w:i/>
          <w:iCs/>
        </w:rPr>
        <w:t>Journal of the Peripheral Nervous System</w:t>
      </w:r>
      <w:r w:rsidRPr="00EF2D7D">
        <w:rPr>
          <w:bCs/>
        </w:rPr>
        <w:t xml:space="preserve">, 27(1):31–37. </w:t>
      </w:r>
      <w:hyperlink r:id="rId43" w:history="1">
        <w:r w:rsidRPr="00EF2D7D">
          <w:rPr>
            <w:rStyle w:val="Hyperlink"/>
            <w:rFonts w:eastAsiaTheme="minorHAnsi" w:cstheme="minorBidi"/>
            <w:bCs/>
            <w:szCs w:val="20"/>
            <w:lang w:val="en-AU"/>
          </w:rPr>
          <w:t>https://doi.org/10.1111/jns.12480</w:t>
        </w:r>
      </w:hyperlink>
    </w:p>
    <w:p w14:paraId="444B916F" w14:textId="77777777" w:rsidR="00EF2D7D" w:rsidRPr="00EF2D7D" w:rsidRDefault="00EF2D7D" w:rsidP="00EF2D7D">
      <w:pPr>
        <w:pStyle w:val="BodyText"/>
        <w:rPr>
          <w:bCs/>
        </w:rPr>
      </w:pPr>
      <w:r w:rsidRPr="00EF2D7D">
        <w:rPr>
          <w:bCs/>
        </w:rPr>
        <w:t xml:space="preserve">Stolwijk NN, Brands MM, Smit LS, van der Wel V, Hollak CEM and van Karnebeek CD (2022). A vitamin a day keeps the doctor away: the need for high quality pyridoxal-5′-phosphate. </w:t>
      </w:r>
      <w:r w:rsidRPr="00EF2D7D">
        <w:rPr>
          <w:bCs/>
          <w:i/>
          <w:iCs/>
        </w:rPr>
        <w:t>European Journal of Paediatric Neurology</w:t>
      </w:r>
      <w:r w:rsidRPr="00EF2D7D">
        <w:rPr>
          <w:bCs/>
        </w:rPr>
        <w:t xml:space="preserve">, 39:25–29. </w:t>
      </w:r>
      <w:hyperlink r:id="rId44" w:history="1">
        <w:r w:rsidRPr="00EF2D7D">
          <w:rPr>
            <w:rStyle w:val="Hyperlink"/>
            <w:rFonts w:eastAsiaTheme="minorHAnsi" w:cstheme="minorBidi"/>
            <w:bCs/>
            <w:szCs w:val="20"/>
            <w:lang w:val="en-AU"/>
          </w:rPr>
          <w:t>https://doi.org/10.1016/j.ejpn.2022.04.011</w:t>
        </w:r>
      </w:hyperlink>
    </w:p>
    <w:p w14:paraId="7D6961D8" w14:textId="0B33BBFF" w:rsidR="00EF2D7D" w:rsidRDefault="00EF2D7D" w:rsidP="007C396A">
      <w:pPr>
        <w:pStyle w:val="BodyText"/>
        <w:rPr>
          <w:bCs/>
        </w:rPr>
      </w:pPr>
      <w:r w:rsidRPr="00EF2D7D">
        <w:rPr>
          <w:bCs/>
        </w:rPr>
        <w:t xml:space="preserve">Sun Y, Yu X, Teng Y and Sun Y (2025). Toxic effects of excess vitamins A, B6, and folic acid on the nervous system. </w:t>
      </w:r>
      <w:r w:rsidRPr="00EF2D7D">
        <w:rPr>
          <w:bCs/>
          <w:i/>
          <w:iCs/>
        </w:rPr>
        <w:t>Behavioural Neurology</w:t>
      </w:r>
      <w:r w:rsidRPr="00EF2D7D">
        <w:rPr>
          <w:bCs/>
        </w:rPr>
        <w:t xml:space="preserve">, 2025:7888243. </w:t>
      </w:r>
      <w:hyperlink r:id="rId45" w:history="1">
        <w:r w:rsidRPr="00EF2D7D">
          <w:rPr>
            <w:rStyle w:val="Hyperlink"/>
            <w:rFonts w:eastAsiaTheme="minorHAnsi" w:cstheme="minorBidi"/>
            <w:bCs/>
            <w:szCs w:val="20"/>
            <w:lang w:val="en-AU"/>
          </w:rPr>
          <w:t>https://doi.org/10.1155/bn/7888243</w:t>
        </w:r>
      </w:hyperlink>
    </w:p>
    <w:p w14:paraId="1672BCA6" w14:textId="77777777" w:rsidR="00EF2D7D" w:rsidRPr="00EF2D7D" w:rsidRDefault="00EF2D7D" w:rsidP="00EF2D7D">
      <w:pPr>
        <w:pStyle w:val="BodyText"/>
        <w:rPr>
          <w:bCs/>
        </w:rPr>
      </w:pPr>
      <w:r w:rsidRPr="00EF2D7D">
        <w:rPr>
          <w:bCs/>
        </w:rPr>
        <w:t xml:space="preserve">Theil D, Kuhle J, Brees D, Tritto E, Pognan F, Frieauff W, Penraat K, Meseck E, Valdez R and Hartmann A (2023). Neurofilament light chain: a translational safety biomarker for drug-induced peripheral neurotoxicity. </w:t>
      </w:r>
      <w:r w:rsidRPr="00EF2D7D">
        <w:rPr>
          <w:bCs/>
          <w:i/>
          <w:iCs/>
        </w:rPr>
        <w:t>Toxicologic Pathology</w:t>
      </w:r>
      <w:r w:rsidRPr="00EF2D7D">
        <w:rPr>
          <w:bCs/>
        </w:rPr>
        <w:t xml:space="preserve">, 51(3):135–147. </w:t>
      </w:r>
      <w:hyperlink r:id="rId46" w:history="1">
        <w:r w:rsidRPr="00EF2D7D">
          <w:rPr>
            <w:rStyle w:val="Hyperlink"/>
            <w:rFonts w:eastAsiaTheme="minorHAnsi" w:cstheme="minorBidi"/>
            <w:bCs/>
            <w:szCs w:val="20"/>
            <w:lang w:val="en-AU"/>
          </w:rPr>
          <w:t>https://doi.org/10.1177/01926233231180179</w:t>
        </w:r>
      </w:hyperlink>
    </w:p>
    <w:p w14:paraId="4ABBE0E7" w14:textId="77777777" w:rsidR="00EF2D7D" w:rsidRPr="00EF2D7D" w:rsidRDefault="00EF2D7D" w:rsidP="00EF2D7D">
      <w:pPr>
        <w:pStyle w:val="BodyText"/>
        <w:rPr>
          <w:bCs/>
        </w:rPr>
      </w:pPr>
      <w:r w:rsidRPr="00EF2D7D">
        <w:rPr>
          <w:bCs/>
        </w:rPr>
        <w:t xml:space="preserve">Therapeutic Goods Administration (TGA) (2022). Safety update: peripheral neuropathy with supplementary vitamin B6 (pyridoxine). Available from: </w:t>
      </w:r>
      <w:hyperlink r:id="rId47" w:history="1">
        <w:r w:rsidRPr="00EF2D7D">
          <w:rPr>
            <w:rStyle w:val="Hyperlink"/>
            <w:rFonts w:eastAsiaTheme="minorHAnsi" w:cstheme="minorBidi"/>
            <w:bCs/>
            <w:szCs w:val="20"/>
            <w:lang w:val="en-AU"/>
          </w:rPr>
          <w:t>https://www.tga.gov.au/news/safety-updates/peripheral-neuropathy-supplementary-vitamin-b6-pyridoxine</w:t>
        </w:r>
      </w:hyperlink>
    </w:p>
    <w:p w14:paraId="24AFEB64" w14:textId="77777777" w:rsidR="00EF2D7D" w:rsidRPr="00EF2D7D" w:rsidRDefault="00EF2D7D" w:rsidP="00EF2D7D">
      <w:pPr>
        <w:pStyle w:val="BodyText"/>
        <w:rPr>
          <w:bCs/>
        </w:rPr>
      </w:pPr>
      <w:r w:rsidRPr="00EF2D7D">
        <w:rPr>
          <w:bCs/>
        </w:rPr>
        <w:lastRenderedPageBreak/>
        <w:t xml:space="preserve">Therapeutic Goods Administration (TGA) (2025). Notice of interim decision to amend (or not amend) the current Poisons Standard in relation to pyridoxine, pyridoxal or pyridoxamine (vitamin B6). Available from: </w:t>
      </w:r>
      <w:hyperlink r:id="rId48" w:history="1">
        <w:r w:rsidRPr="00EF2D7D">
          <w:rPr>
            <w:rStyle w:val="Hyperlink"/>
            <w:rFonts w:eastAsiaTheme="minorHAnsi" w:cstheme="minorBidi"/>
            <w:bCs/>
            <w:szCs w:val="20"/>
            <w:lang w:val="en-AU"/>
          </w:rPr>
          <w:t>https://www.tga.gov.au/sites/default/files/2025-06/notice-interim-decision-amend-or-not-amend-current-poisons-standard-pyridoxine-pyridoxal-pyridoxamine-vitaminb6.pdf</w:t>
        </w:r>
      </w:hyperlink>
    </w:p>
    <w:p w14:paraId="0BE61D45" w14:textId="77777777" w:rsidR="00EF2D7D" w:rsidRPr="00EF2D7D" w:rsidRDefault="00EF2D7D" w:rsidP="00EF2D7D">
      <w:pPr>
        <w:pStyle w:val="BodyText"/>
        <w:rPr>
          <w:bCs/>
        </w:rPr>
      </w:pPr>
      <w:r w:rsidRPr="00EF2D7D">
        <w:rPr>
          <w:bCs/>
        </w:rPr>
        <w:t xml:space="preserve">van Hunsel F, Scholl J, Vrolijk M and Ekhart C (2025). Impact of regulatory action on dose maximalization for vitamin B6 dietary supplements on the reporting pattern for neuropathy. </w:t>
      </w:r>
      <w:r w:rsidRPr="00EF2D7D">
        <w:rPr>
          <w:bCs/>
          <w:i/>
          <w:iCs/>
        </w:rPr>
        <w:t>Pharmacoepidemiology and Drug Safety</w:t>
      </w:r>
      <w:r w:rsidRPr="00EF2D7D">
        <w:rPr>
          <w:bCs/>
        </w:rPr>
        <w:t xml:space="preserve">, 34:e70108. </w:t>
      </w:r>
      <w:hyperlink r:id="rId49" w:history="1">
        <w:r w:rsidRPr="00EF2D7D">
          <w:rPr>
            <w:rStyle w:val="Hyperlink"/>
            <w:rFonts w:eastAsiaTheme="minorHAnsi" w:cstheme="minorBidi"/>
            <w:bCs/>
            <w:szCs w:val="20"/>
            <w:lang w:val="en-AU"/>
          </w:rPr>
          <w:t>https://doi.org/10.1002/pds.70108</w:t>
        </w:r>
      </w:hyperlink>
    </w:p>
    <w:p w14:paraId="15FD8D8D" w14:textId="77777777" w:rsidR="00EF2D7D" w:rsidRPr="00EF2D7D" w:rsidRDefault="00EF2D7D" w:rsidP="00EF2D7D">
      <w:pPr>
        <w:pStyle w:val="BodyText"/>
        <w:rPr>
          <w:bCs/>
        </w:rPr>
      </w:pPr>
      <w:r w:rsidRPr="00EF2D7D">
        <w:rPr>
          <w:bCs/>
        </w:rPr>
        <w:t xml:space="preserve">Webster R, Parayil Sankaran B, Bandodkar S, Stormon M, Thomas G, Shun A, Bowen DG, Fielder T, Barclay P, Khalil Y, Mills P, Clayton P and Bhattacharya K (2026). Liver transplantation in PNPO deficiency: management challenges and biological lessons. </w:t>
      </w:r>
      <w:r w:rsidRPr="00EF2D7D">
        <w:rPr>
          <w:bCs/>
          <w:i/>
          <w:iCs/>
        </w:rPr>
        <w:t>JIMD Reports</w:t>
      </w:r>
      <w:r w:rsidRPr="00EF2D7D">
        <w:rPr>
          <w:bCs/>
        </w:rPr>
        <w:t xml:space="preserve">, 67:e70067. </w:t>
      </w:r>
      <w:hyperlink r:id="rId50" w:history="1">
        <w:r w:rsidRPr="00EF2D7D">
          <w:rPr>
            <w:rStyle w:val="Hyperlink"/>
            <w:rFonts w:eastAsiaTheme="minorHAnsi" w:cstheme="minorBidi"/>
            <w:bCs/>
            <w:szCs w:val="20"/>
            <w:lang w:val="en-AU"/>
          </w:rPr>
          <w:t>https://doi.org/10.1002/jmd2.70067</w:t>
        </w:r>
      </w:hyperlink>
    </w:p>
    <w:p w14:paraId="258EECC2" w14:textId="77777777" w:rsidR="00EF2D7D" w:rsidRPr="00EF2D7D" w:rsidRDefault="00EF2D7D" w:rsidP="00EF2D7D">
      <w:pPr>
        <w:pStyle w:val="BodyText"/>
        <w:rPr>
          <w:bCs/>
        </w:rPr>
      </w:pPr>
      <w:r w:rsidRPr="00EF2D7D">
        <w:rPr>
          <w:bCs/>
        </w:rPr>
        <w:t>World Health Organization/Food and Agriculture Organization of the United Nations (WHO/FAO) (2004). Vitamin and Mineral Requirements in Human Nutrition. 2nd edition. WHO, Geneva.</w:t>
      </w:r>
    </w:p>
    <w:p w14:paraId="52D5CC79" w14:textId="77777777" w:rsidR="001C2C66" w:rsidRDefault="003C5F5C" w:rsidP="001C2C66">
      <w:pPr>
        <w:pStyle w:val="BodyText"/>
        <w:rPr>
          <w:bCs/>
        </w:rPr>
      </w:pPr>
      <w:r w:rsidRPr="003C5F5C">
        <w:rPr>
          <w:bCs/>
        </w:rPr>
        <w:t>WHO – VigiAccess</w:t>
      </w:r>
      <w:r>
        <w:rPr>
          <w:bCs/>
        </w:rPr>
        <w:t xml:space="preserve">. Accessed on June 11, 2026. Available online: </w:t>
      </w:r>
      <w:hyperlink r:id="rId51" w:history="1">
        <w:r w:rsidRPr="003C5F5C">
          <w:rPr>
            <w:rStyle w:val="Hyperlink"/>
            <w:rFonts w:eastAsiaTheme="minorHAnsi" w:cstheme="minorBidi"/>
            <w:bCs/>
            <w:szCs w:val="20"/>
            <w:lang w:val="en-US"/>
          </w:rPr>
          <w:t>https://www.vigiaccess.org/</w:t>
        </w:r>
      </w:hyperlink>
      <w:r w:rsidR="001C2C66" w:rsidRPr="001C2C66">
        <w:rPr>
          <w:bCs/>
        </w:rPr>
        <w:t xml:space="preserve"> </w:t>
      </w:r>
    </w:p>
    <w:p w14:paraId="5B3FA72A" w14:textId="52E110BC" w:rsidR="003C5F5C" w:rsidRDefault="001C2C66" w:rsidP="00EF2D7D">
      <w:pPr>
        <w:pStyle w:val="BodyText"/>
        <w:rPr>
          <w:bCs/>
        </w:rPr>
      </w:pPr>
      <w:r w:rsidRPr="00EF2D7D">
        <w:rPr>
          <w:bCs/>
        </w:rPr>
        <w:t xml:space="preserve">Whyte MP, Zhang F, Mack KE, Wenkert D, Gottesman GS, Ericson KL, Cole JT and Coburn SP (2024). Pyridoxine challenge reflects pediatric hypophosphatasia severity and thereby examines tissue-nonspecific alkaline phosphatase's role in vitamin B6 metabolism. </w:t>
      </w:r>
      <w:r w:rsidRPr="00EF2D7D">
        <w:rPr>
          <w:bCs/>
          <w:i/>
          <w:iCs/>
        </w:rPr>
        <w:t>Bone</w:t>
      </w:r>
      <w:r w:rsidRPr="00EF2D7D">
        <w:rPr>
          <w:bCs/>
        </w:rPr>
        <w:t xml:space="preserve">, 181:117033. </w:t>
      </w:r>
      <w:hyperlink r:id="rId52" w:history="1">
        <w:r w:rsidRPr="00EF2D7D">
          <w:rPr>
            <w:rStyle w:val="Hyperlink"/>
            <w:rFonts w:eastAsiaTheme="minorHAnsi" w:cstheme="minorBidi"/>
            <w:bCs/>
            <w:szCs w:val="20"/>
            <w:lang w:val="en-AU"/>
          </w:rPr>
          <w:t>https://doi.org/10.1016/j.bone.2024.117033</w:t>
        </w:r>
      </w:hyperlink>
    </w:p>
    <w:p w14:paraId="771DA517" w14:textId="1F109C0F" w:rsidR="00EF2D7D" w:rsidRPr="00EF2D7D" w:rsidRDefault="00EF2D7D" w:rsidP="00EF2D7D">
      <w:pPr>
        <w:pStyle w:val="BodyText"/>
        <w:rPr>
          <w:bCs/>
        </w:rPr>
      </w:pPr>
      <w:r w:rsidRPr="00EF2D7D">
        <w:rPr>
          <w:bCs/>
        </w:rPr>
        <w:t xml:space="preserve">Zervou Z, van Velsen EFS and Zillikens MC (2025). Hypophosphatasia and neuropathic pain: related to vitamin B6 metabolism? </w:t>
      </w:r>
      <w:r w:rsidRPr="00EF2D7D">
        <w:rPr>
          <w:bCs/>
          <w:i/>
          <w:iCs/>
        </w:rPr>
        <w:t>JBMR Plus</w:t>
      </w:r>
      <w:r w:rsidRPr="00EF2D7D">
        <w:rPr>
          <w:bCs/>
        </w:rPr>
        <w:t xml:space="preserve">, 9:ziaf086. </w:t>
      </w:r>
      <w:hyperlink r:id="rId53" w:history="1">
        <w:r w:rsidRPr="00EF2D7D">
          <w:rPr>
            <w:rStyle w:val="Hyperlink"/>
            <w:rFonts w:eastAsiaTheme="minorHAnsi" w:cstheme="minorBidi"/>
            <w:bCs/>
            <w:szCs w:val="20"/>
            <w:lang w:val="en-AU"/>
          </w:rPr>
          <w:t>https://doi.org/10.1093/jbmrpl/ziaf086</w:t>
        </w:r>
      </w:hyperlink>
    </w:p>
    <w:p w14:paraId="04DAD2C2" w14:textId="77777777" w:rsidR="00EF2D7D" w:rsidRDefault="00EF2D7D" w:rsidP="007C396A">
      <w:pPr>
        <w:pStyle w:val="BodyText"/>
        <w:rPr>
          <w:bCs/>
        </w:rPr>
      </w:pPr>
    </w:p>
    <w:p w14:paraId="6CC95C26" w14:textId="77777777" w:rsidR="00EF2D7D" w:rsidRPr="007C396A" w:rsidRDefault="00EF2D7D" w:rsidP="007C396A">
      <w:pPr>
        <w:pStyle w:val="BodyText"/>
        <w:rPr>
          <w:bCs/>
        </w:rPr>
      </w:pPr>
    </w:p>
    <w:p w14:paraId="421BCC5E" w14:textId="77777777" w:rsidR="007C396A" w:rsidRPr="007B2251" w:rsidRDefault="007C396A" w:rsidP="00B33D79">
      <w:pPr>
        <w:pStyle w:val="BodyText"/>
        <w:rPr>
          <w:bCs/>
        </w:rPr>
      </w:pPr>
    </w:p>
    <w:p w14:paraId="3C606BBC" w14:textId="77777777" w:rsidR="00767956" w:rsidRDefault="00767956" w:rsidP="00B33D79">
      <w:pPr>
        <w:pStyle w:val="BodyText"/>
      </w:pPr>
    </w:p>
    <w:p w14:paraId="703ACEA0" w14:textId="5D64D5E6" w:rsidR="00627CB4" w:rsidRPr="008371FA" w:rsidRDefault="00FD7984" w:rsidP="00627CB4">
      <w:pPr>
        <w:pStyle w:val="BodyText"/>
      </w:pPr>
      <w:r w:rsidRPr="008371FA">
        <w:br w:type="page"/>
      </w:r>
    </w:p>
    <w:p w14:paraId="1B15C085" w14:textId="77777777" w:rsidR="00426506" w:rsidRPr="008371FA" w:rsidRDefault="00426506" w:rsidP="00627CB4">
      <w:pPr>
        <w:pStyle w:val="BodyText"/>
        <w:sectPr w:rsidR="00426506" w:rsidRPr="008371FA" w:rsidSect="00767956">
          <w:headerReference w:type="default" r:id="rId54"/>
          <w:footerReference w:type="default" r:id="rId55"/>
          <w:pgSz w:w="11909" w:h="16834" w:code="9"/>
          <w:pgMar w:top="1440" w:right="1440" w:bottom="1440" w:left="1440" w:header="576" w:footer="576" w:gutter="0"/>
          <w:cols w:space="720"/>
          <w:docGrid w:linePitch="360"/>
        </w:sectPr>
      </w:pPr>
    </w:p>
    <w:p w14:paraId="0E18A986" w14:textId="5BB52098" w:rsidR="00D81F21" w:rsidRPr="00AC1BC7" w:rsidRDefault="001B70DB" w:rsidP="00AC1BC7">
      <w:pPr>
        <w:pStyle w:val="Heading7"/>
      </w:pPr>
      <w:bookmarkStart w:id="46" w:name="_Ref231983386"/>
      <w:bookmarkStart w:id="47" w:name="_Toc233022877"/>
      <w:bookmarkStart w:id="48" w:name="_Toc48208794"/>
      <w:bookmarkStart w:id="49" w:name="_Toc48209471"/>
      <w:r>
        <w:lastRenderedPageBreak/>
        <w:t>Research Protocol</w:t>
      </w:r>
      <w:bookmarkEnd w:id="46"/>
      <w:bookmarkEnd w:id="47"/>
    </w:p>
    <w:p w14:paraId="632C41E9" w14:textId="0BD7B8A7" w:rsidR="0010692B" w:rsidRPr="008371FA" w:rsidRDefault="00DB060A" w:rsidP="00B33D79">
      <w:pPr>
        <w:pStyle w:val="CoverTitleXref"/>
        <w:rPr>
          <w:noProof w:val="0"/>
        </w:rPr>
      </w:pPr>
      <w:r w:rsidRPr="008371FA">
        <w:rPr>
          <w:noProof w:val="0"/>
        </w:rPr>
        <w:fldChar w:fldCharType="begin"/>
      </w:r>
      <w:r w:rsidRPr="008371FA">
        <w:rPr>
          <w:noProof w:val="0"/>
        </w:rPr>
        <w:instrText xml:space="preserve"> STYLEREF  "Cover Title"  \* MERGEFORMAT </w:instrText>
      </w:r>
      <w:r w:rsidRPr="008371FA">
        <w:rPr>
          <w:noProof w:val="0"/>
        </w:rPr>
        <w:fldChar w:fldCharType="separate"/>
      </w:r>
      <w:r w:rsidR="00A41FEF">
        <w:t>Evidence Evaluations for Vitamin B6 Upper Level (UL)</w:t>
      </w:r>
      <w:r w:rsidRPr="008371FA">
        <w:rPr>
          <w:noProof w:val="0"/>
        </w:rPr>
        <w:fldChar w:fldCharType="end"/>
      </w:r>
    </w:p>
    <w:p w14:paraId="33E96562" w14:textId="69FED713" w:rsidR="00C9404F" w:rsidRPr="008371FA" w:rsidRDefault="003C21C4" w:rsidP="00B33D79">
      <w:pPr>
        <w:pStyle w:val="CoverSubtitleXref"/>
      </w:pPr>
      <w:fldSimple w:instr=" STYLEREF  &quot;Cover Subtitle&quot;  \* MERGEFORMAT ">
        <w:r w:rsidR="00A41FEF">
          <w:rPr>
            <w:noProof/>
          </w:rPr>
          <w:t>Vitamin B6 Upper Level (UL) Technical Report</w:t>
        </w:r>
      </w:fldSimple>
    </w:p>
    <w:p w14:paraId="1BE31CFF" w14:textId="0EF79736" w:rsidR="0010692B" w:rsidRPr="008371FA" w:rsidRDefault="003C21C4" w:rsidP="00FB47D4">
      <w:pPr>
        <w:pStyle w:val="CoverClientRef"/>
      </w:pPr>
      <w:fldSimple w:instr=" STYLEREF  &quot;Cover Client Name&quot;  \* MERGEFORMAT ">
        <w:r w:rsidR="00A41FEF">
          <w:rPr>
            <w:noProof/>
          </w:rPr>
          <w:t>National Health and Medical Research Council</w:t>
        </w:r>
      </w:fldSimple>
    </w:p>
    <w:p w14:paraId="72DC258B" w14:textId="3BDA35CE" w:rsidR="004E0B06" w:rsidRPr="008371FA" w:rsidRDefault="003C21C4" w:rsidP="00FB47D4">
      <w:pPr>
        <w:pStyle w:val="CoverProjectXref"/>
      </w:pPr>
      <w:fldSimple w:instr=" STYLEREF  &quot;Cover Project Number&quot;  \* MERGEFORMAT ">
        <w:r w:rsidR="00A41FEF">
          <w:rPr>
            <w:noProof/>
          </w:rPr>
          <w:t>SLR Project No.: 640.032359.00001</w:t>
        </w:r>
      </w:fldSimple>
    </w:p>
    <w:p w14:paraId="02994D92" w14:textId="18E17E20" w:rsidR="00503D43" w:rsidRPr="008371FA" w:rsidRDefault="003C21C4" w:rsidP="00FB47D4">
      <w:pPr>
        <w:pStyle w:val="CoverDateXref"/>
      </w:pPr>
      <w:fldSimple w:instr=" STYLEREF  &quot;Cover Date&quot;  \* MERGEFORMAT ">
        <w:r w:rsidR="00A41FEF">
          <w:rPr>
            <w:noProof/>
          </w:rPr>
          <w:t>7 August 2026</w:t>
        </w:r>
      </w:fldSimple>
    </w:p>
    <w:p w14:paraId="4E41881F" w14:textId="77777777" w:rsidR="00512D60" w:rsidRPr="008371FA" w:rsidRDefault="00512D60" w:rsidP="00B33D79">
      <w:pPr>
        <w:pStyle w:val="BodyText"/>
      </w:pPr>
      <w:bookmarkStart w:id="50" w:name="_Hlk93317201"/>
    </w:p>
    <w:p w14:paraId="430FDBF0" w14:textId="77777777" w:rsidR="00774CC4" w:rsidRPr="008371FA" w:rsidRDefault="00774CC4" w:rsidP="00B33D79">
      <w:pPr>
        <w:pStyle w:val="BodyText"/>
        <w:sectPr w:rsidR="00774CC4" w:rsidRPr="008371FA" w:rsidSect="00627CB4">
          <w:headerReference w:type="default" r:id="rId56"/>
          <w:footerReference w:type="default" r:id="rId57"/>
          <w:headerReference w:type="first" r:id="rId58"/>
          <w:footerReference w:type="first" r:id="rId59"/>
          <w:pgSz w:w="11909" w:h="16834" w:code="9"/>
          <w:pgMar w:top="1440" w:right="1440" w:bottom="1440" w:left="1440" w:header="576" w:footer="576" w:gutter="0"/>
          <w:pgNumType w:start="1" w:chapStyle="7"/>
          <w:cols w:space="720"/>
          <w:docGrid w:linePitch="360"/>
        </w:sectPr>
      </w:pPr>
    </w:p>
    <w:p w14:paraId="14C9278F" w14:textId="4B9B20DE" w:rsidR="00E50719" w:rsidRPr="00AC1BC7" w:rsidRDefault="001B70DB" w:rsidP="00E50719">
      <w:pPr>
        <w:pStyle w:val="Heading7"/>
      </w:pPr>
      <w:bookmarkStart w:id="51" w:name="_Ref231983737"/>
      <w:bookmarkStart w:id="52" w:name="_Toc233022878"/>
      <w:r>
        <w:lastRenderedPageBreak/>
        <w:t>Literature Search Screening Outcome Spreadsheet</w:t>
      </w:r>
      <w:bookmarkEnd w:id="51"/>
      <w:bookmarkEnd w:id="52"/>
    </w:p>
    <w:p w14:paraId="03FF5113" w14:textId="12EC935B" w:rsidR="00E50719" w:rsidRPr="008371FA" w:rsidRDefault="00E50719" w:rsidP="00E50719">
      <w:pPr>
        <w:pStyle w:val="CoverTitleXref"/>
        <w:rPr>
          <w:noProof w:val="0"/>
        </w:rPr>
      </w:pPr>
      <w:r w:rsidRPr="008371FA">
        <w:rPr>
          <w:noProof w:val="0"/>
        </w:rPr>
        <w:fldChar w:fldCharType="begin"/>
      </w:r>
      <w:r w:rsidRPr="008371FA">
        <w:rPr>
          <w:noProof w:val="0"/>
        </w:rPr>
        <w:instrText xml:space="preserve"> STYLEREF  "Cover Title"  \* MERGEFORMAT </w:instrText>
      </w:r>
      <w:r w:rsidRPr="008371FA">
        <w:rPr>
          <w:noProof w:val="0"/>
        </w:rPr>
        <w:fldChar w:fldCharType="separate"/>
      </w:r>
      <w:r w:rsidR="00A41FEF">
        <w:t>Evidence Evaluations for Vitamin B6 Upper Level (UL)</w:t>
      </w:r>
      <w:r w:rsidRPr="008371FA">
        <w:rPr>
          <w:noProof w:val="0"/>
        </w:rPr>
        <w:fldChar w:fldCharType="end"/>
      </w:r>
    </w:p>
    <w:p w14:paraId="74D5FB40" w14:textId="0EA8B7D7" w:rsidR="00E50719" w:rsidRPr="008371FA" w:rsidRDefault="003C21C4" w:rsidP="00E50719">
      <w:pPr>
        <w:pStyle w:val="CoverSubtitleXref"/>
      </w:pPr>
      <w:fldSimple w:instr=" STYLEREF  &quot;Cover Subtitle&quot;  \* MERGEFORMAT ">
        <w:r w:rsidR="00A41FEF">
          <w:rPr>
            <w:noProof/>
          </w:rPr>
          <w:t>Vitamin B6 Upper Level (UL) Technical Report</w:t>
        </w:r>
      </w:fldSimple>
    </w:p>
    <w:p w14:paraId="5014ACAD" w14:textId="40F1A7E7" w:rsidR="00E50719" w:rsidRPr="008371FA" w:rsidRDefault="003C21C4" w:rsidP="00E50719">
      <w:pPr>
        <w:pStyle w:val="CoverClientRef"/>
      </w:pPr>
      <w:fldSimple w:instr=" STYLEREF  &quot;Cover Client Name&quot;  \* MERGEFORMAT ">
        <w:r w:rsidR="00A41FEF">
          <w:rPr>
            <w:noProof/>
          </w:rPr>
          <w:t>National Health and Medical Research Council</w:t>
        </w:r>
      </w:fldSimple>
    </w:p>
    <w:p w14:paraId="44314E60" w14:textId="06BA36E9" w:rsidR="00E50719" w:rsidRPr="008371FA" w:rsidRDefault="003C21C4" w:rsidP="00E50719">
      <w:pPr>
        <w:pStyle w:val="CoverProjectXref"/>
      </w:pPr>
      <w:fldSimple w:instr=" STYLEREF  &quot;Cover Project Number&quot;  \* MERGEFORMAT ">
        <w:r w:rsidR="00A41FEF">
          <w:rPr>
            <w:noProof/>
          </w:rPr>
          <w:t>SLR Project No.: 640.032359.00001</w:t>
        </w:r>
      </w:fldSimple>
    </w:p>
    <w:p w14:paraId="32989770" w14:textId="18BC04BF" w:rsidR="00E50719" w:rsidRPr="008371FA" w:rsidRDefault="003C21C4" w:rsidP="00E50719">
      <w:pPr>
        <w:pStyle w:val="CoverDateXref"/>
      </w:pPr>
      <w:fldSimple w:instr=" STYLEREF  &quot;Cover Date&quot;  \* MERGEFORMAT ">
        <w:r w:rsidR="00A41FEF">
          <w:rPr>
            <w:noProof/>
          </w:rPr>
          <w:t>7 August 2026</w:t>
        </w:r>
      </w:fldSimple>
    </w:p>
    <w:p w14:paraId="60CDE8AB" w14:textId="77777777" w:rsidR="00E50719" w:rsidRPr="008371FA" w:rsidRDefault="00E50719" w:rsidP="00E50719">
      <w:pPr>
        <w:pStyle w:val="BodyText"/>
        <w:sectPr w:rsidR="00E50719" w:rsidRPr="008371FA" w:rsidSect="00E50719">
          <w:headerReference w:type="default" r:id="rId60"/>
          <w:footerReference w:type="default" r:id="rId61"/>
          <w:headerReference w:type="first" r:id="rId62"/>
          <w:footerReference w:type="first" r:id="rId63"/>
          <w:pgSz w:w="11909" w:h="16834" w:code="9"/>
          <w:pgMar w:top="1440" w:right="1440" w:bottom="1440" w:left="1440" w:header="576" w:footer="576" w:gutter="0"/>
          <w:pgNumType w:start="1" w:chapStyle="7"/>
          <w:cols w:space="720"/>
          <w:docGrid w:linePitch="360"/>
        </w:sectPr>
      </w:pPr>
    </w:p>
    <w:p w14:paraId="3B82840E" w14:textId="6ABAEB50" w:rsidR="00AD08E6" w:rsidRDefault="00F47498" w:rsidP="00F47498">
      <w:pPr>
        <w:pStyle w:val="Heading8"/>
      </w:pPr>
      <w:bookmarkStart w:id="53" w:name="_Toc233022879"/>
      <w:r>
        <w:lastRenderedPageBreak/>
        <w:t>Included studies</w:t>
      </w:r>
      <w:bookmarkEnd w:id="53"/>
      <w:r>
        <w:t xml:space="preserve"> </w:t>
      </w:r>
    </w:p>
    <w:tbl>
      <w:tblPr>
        <w:tblStyle w:val="SLROption2"/>
        <w:tblW w:w="5000" w:type="pct"/>
        <w:tblLook w:val="04A0" w:firstRow="1" w:lastRow="0" w:firstColumn="1" w:lastColumn="0" w:noHBand="0" w:noVBand="1"/>
      </w:tblPr>
      <w:tblGrid>
        <w:gridCol w:w="580"/>
        <w:gridCol w:w="1484"/>
        <w:gridCol w:w="4972"/>
        <w:gridCol w:w="6908"/>
      </w:tblGrid>
      <w:tr w:rsidR="00F47498" w:rsidRPr="00F47498" w14:paraId="5B6C372F" w14:textId="77777777" w:rsidTr="00F47498">
        <w:trPr>
          <w:cnfStyle w:val="100000000000" w:firstRow="1" w:lastRow="0" w:firstColumn="0" w:lastColumn="0" w:oddVBand="0" w:evenVBand="0" w:oddHBand="0" w:evenHBand="0" w:firstRowFirstColumn="0" w:firstRowLastColumn="0" w:lastRowFirstColumn="0" w:lastRowLastColumn="0"/>
        </w:trPr>
        <w:tc>
          <w:tcPr>
            <w:tcW w:w="208" w:type="pct"/>
          </w:tcPr>
          <w:p w14:paraId="08C24A60" w14:textId="77777777" w:rsidR="00F47498" w:rsidRPr="00F47498" w:rsidRDefault="00F47498" w:rsidP="00D1192C">
            <w:pPr>
              <w:rPr>
                <w:sz w:val="20"/>
              </w:rPr>
            </w:pPr>
            <w:r w:rsidRPr="00F47498">
              <w:rPr>
                <w:rFonts w:eastAsia="Arial"/>
                <w:b/>
                <w:sz w:val="20"/>
              </w:rPr>
              <w:t>No.</w:t>
            </w:r>
          </w:p>
        </w:tc>
        <w:tc>
          <w:tcPr>
            <w:tcW w:w="532" w:type="pct"/>
          </w:tcPr>
          <w:p w14:paraId="20ABF907" w14:textId="77777777" w:rsidR="00F47498" w:rsidRPr="00F47498" w:rsidRDefault="00F47498" w:rsidP="00D1192C">
            <w:pPr>
              <w:rPr>
                <w:sz w:val="20"/>
              </w:rPr>
            </w:pPr>
            <w:r w:rsidRPr="00F47498">
              <w:rPr>
                <w:rFonts w:eastAsia="Arial"/>
                <w:b/>
                <w:sz w:val="20"/>
              </w:rPr>
              <w:t>Study</w:t>
            </w:r>
          </w:p>
        </w:tc>
        <w:tc>
          <w:tcPr>
            <w:tcW w:w="1783" w:type="pct"/>
          </w:tcPr>
          <w:p w14:paraId="007D4535" w14:textId="77777777" w:rsidR="00F47498" w:rsidRPr="00F47498" w:rsidRDefault="00F47498" w:rsidP="00D1192C">
            <w:pPr>
              <w:rPr>
                <w:sz w:val="20"/>
              </w:rPr>
            </w:pPr>
            <w:r w:rsidRPr="00F47498">
              <w:rPr>
                <w:rFonts w:eastAsia="Arial"/>
                <w:b/>
                <w:sz w:val="20"/>
              </w:rPr>
              <w:t>Title</w:t>
            </w:r>
          </w:p>
        </w:tc>
        <w:tc>
          <w:tcPr>
            <w:tcW w:w="2477" w:type="pct"/>
          </w:tcPr>
          <w:p w14:paraId="60D4B68D" w14:textId="77777777" w:rsidR="00F47498" w:rsidRPr="00F47498" w:rsidRDefault="00F47498" w:rsidP="00D1192C">
            <w:pPr>
              <w:rPr>
                <w:sz w:val="20"/>
              </w:rPr>
            </w:pPr>
            <w:r w:rsidRPr="00F47498">
              <w:rPr>
                <w:rFonts w:eastAsia="Arial"/>
                <w:b/>
                <w:sz w:val="20"/>
              </w:rPr>
              <w:t>Notes</w:t>
            </w:r>
          </w:p>
        </w:tc>
      </w:tr>
      <w:tr w:rsidR="00F47498" w:rsidRPr="00F47498" w14:paraId="3EC23596" w14:textId="77777777" w:rsidTr="00F47498">
        <w:tc>
          <w:tcPr>
            <w:tcW w:w="208" w:type="pct"/>
          </w:tcPr>
          <w:p w14:paraId="618DE3F5" w14:textId="77777777" w:rsidR="00F47498" w:rsidRPr="00F47498" w:rsidRDefault="00F47498" w:rsidP="00D1192C">
            <w:pPr>
              <w:jc w:val="center"/>
              <w:rPr>
                <w:sz w:val="20"/>
              </w:rPr>
            </w:pPr>
            <w:r w:rsidRPr="00F47498">
              <w:rPr>
                <w:rFonts w:eastAsia="Arial"/>
                <w:sz w:val="20"/>
              </w:rPr>
              <w:t>1</w:t>
            </w:r>
          </w:p>
        </w:tc>
        <w:tc>
          <w:tcPr>
            <w:tcW w:w="532" w:type="pct"/>
          </w:tcPr>
          <w:p w14:paraId="1B6F1EB3" w14:textId="433F8218" w:rsidR="00F47498" w:rsidRPr="00F47498" w:rsidRDefault="00F47498" w:rsidP="00D1192C">
            <w:pPr>
              <w:rPr>
                <w:sz w:val="20"/>
              </w:rPr>
            </w:pPr>
            <w:r w:rsidRPr="00F47498">
              <w:rPr>
                <w:rFonts w:eastAsia="Arial"/>
                <w:sz w:val="20"/>
              </w:rPr>
              <w:t xml:space="preserve">Arai </w:t>
            </w:r>
            <w:r w:rsidR="00F50723">
              <w:rPr>
                <w:rFonts w:eastAsia="Arial"/>
                <w:sz w:val="20"/>
              </w:rPr>
              <w:t xml:space="preserve">et al. </w:t>
            </w:r>
            <w:r w:rsidRPr="00F47498">
              <w:rPr>
                <w:rFonts w:eastAsia="Arial"/>
                <w:sz w:val="20"/>
              </w:rPr>
              <w:t>2023</w:t>
            </w:r>
          </w:p>
        </w:tc>
        <w:tc>
          <w:tcPr>
            <w:tcW w:w="1783" w:type="pct"/>
          </w:tcPr>
          <w:p w14:paraId="10F973B3" w14:textId="77777777" w:rsidR="00F47498" w:rsidRPr="00F47498" w:rsidRDefault="00F47498" w:rsidP="00D1192C">
            <w:pPr>
              <w:rPr>
                <w:sz w:val="20"/>
              </w:rPr>
            </w:pPr>
            <w:r w:rsidRPr="00F47498">
              <w:rPr>
                <w:rFonts w:eastAsia="Arial"/>
                <w:b/>
                <w:sz w:val="20"/>
              </w:rPr>
              <w:t>Identifying risk factors for adverse events of pyridoxal phosphate in infantile epileptic spasms syndrome</w:t>
            </w:r>
          </w:p>
          <w:p w14:paraId="4CD8561F" w14:textId="77777777" w:rsidR="00F47498" w:rsidRPr="00F47498" w:rsidRDefault="00F47498" w:rsidP="00D1192C">
            <w:pPr>
              <w:rPr>
                <w:sz w:val="20"/>
              </w:rPr>
            </w:pPr>
            <w:r w:rsidRPr="00F47498">
              <w:rPr>
                <w:rFonts w:eastAsia="Arial"/>
                <w:i/>
                <w:sz w:val="20"/>
              </w:rPr>
              <w:t>DOI: 10.1016/j.yebeh.2023.109348</w:t>
            </w:r>
          </w:p>
        </w:tc>
        <w:tc>
          <w:tcPr>
            <w:tcW w:w="2477" w:type="pct"/>
          </w:tcPr>
          <w:p w14:paraId="226CB0AA" w14:textId="77777777" w:rsidR="00F47498" w:rsidRPr="00F47498" w:rsidRDefault="00F47498" w:rsidP="00D1192C">
            <w:pPr>
              <w:rPr>
                <w:sz w:val="20"/>
              </w:rPr>
            </w:pPr>
            <w:r w:rsidRPr="00F47498">
              <w:rPr>
                <w:rFonts w:eastAsia="Arial"/>
                <w:sz w:val="20"/>
              </w:rPr>
              <w:t>Quantitative primary study of pyridoxal phosphate (PLP) exposure in infants with epileptic spasms. It reports dose-response information, including a 40 mg/kg/day cut-off, relative risks, and clinically defined adverse outcomes.</w:t>
            </w:r>
          </w:p>
        </w:tc>
      </w:tr>
      <w:tr w:rsidR="00F47498" w:rsidRPr="00F47498" w14:paraId="460C954E" w14:textId="77777777" w:rsidTr="00F47498">
        <w:tc>
          <w:tcPr>
            <w:tcW w:w="208" w:type="pct"/>
          </w:tcPr>
          <w:p w14:paraId="3B8E8E70" w14:textId="77777777" w:rsidR="00F47498" w:rsidRPr="00F47498" w:rsidRDefault="00F47498" w:rsidP="00D1192C">
            <w:pPr>
              <w:jc w:val="center"/>
              <w:rPr>
                <w:sz w:val="20"/>
              </w:rPr>
            </w:pPr>
            <w:r w:rsidRPr="00F47498">
              <w:rPr>
                <w:rFonts w:eastAsia="Arial"/>
                <w:sz w:val="20"/>
              </w:rPr>
              <w:t>2</w:t>
            </w:r>
          </w:p>
        </w:tc>
        <w:tc>
          <w:tcPr>
            <w:tcW w:w="532" w:type="pct"/>
          </w:tcPr>
          <w:p w14:paraId="66FB3B72" w14:textId="5B880A0B" w:rsidR="00F47498" w:rsidRPr="00F47498" w:rsidRDefault="00F47498" w:rsidP="00D1192C">
            <w:pPr>
              <w:rPr>
                <w:sz w:val="20"/>
              </w:rPr>
            </w:pPr>
            <w:r w:rsidRPr="00F47498">
              <w:rPr>
                <w:rFonts w:eastAsia="Arial"/>
                <w:sz w:val="20"/>
              </w:rPr>
              <w:t xml:space="preserve">Bossard </w:t>
            </w:r>
            <w:r w:rsidR="00F50723">
              <w:rPr>
                <w:rFonts w:eastAsia="Arial"/>
                <w:sz w:val="20"/>
              </w:rPr>
              <w:t xml:space="preserve">et al. </w:t>
            </w:r>
            <w:r w:rsidRPr="00F47498">
              <w:rPr>
                <w:rFonts w:eastAsia="Arial"/>
                <w:sz w:val="20"/>
              </w:rPr>
              <w:t>2022</w:t>
            </w:r>
          </w:p>
        </w:tc>
        <w:tc>
          <w:tcPr>
            <w:tcW w:w="1783" w:type="pct"/>
          </w:tcPr>
          <w:p w14:paraId="4F247FAC" w14:textId="77777777" w:rsidR="00F47498" w:rsidRPr="00F47498" w:rsidRDefault="00F47498" w:rsidP="00D1192C">
            <w:pPr>
              <w:rPr>
                <w:sz w:val="20"/>
              </w:rPr>
            </w:pPr>
            <w:r w:rsidRPr="00F47498">
              <w:rPr>
                <w:rFonts w:eastAsia="Arial"/>
                <w:b/>
                <w:sz w:val="20"/>
              </w:rPr>
              <w:t>Problematic rise of vitamin B6 supplementation overuse and potential risk to bariatric surgery patients</w:t>
            </w:r>
          </w:p>
          <w:p w14:paraId="4642BB9B" w14:textId="77777777" w:rsidR="00F47498" w:rsidRPr="00F47498" w:rsidRDefault="00F47498" w:rsidP="00D1192C">
            <w:pPr>
              <w:rPr>
                <w:sz w:val="20"/>
              </w:rPr>
            </w:pPr>
            <w:r w:rsidRPr="00F47498">
              <w:rPr>
                <w:rFonts w:eastAsia="Arial"/>
                <w:i/>
                <w:sz w:val="20"/>
              </w:rPr>
              <w:t>DOI: 10.1016/j.nut.2022.111738</w:t>
            </w:r>
          </w:p>
        </w:tc>
        <w:tc>
          <w:tcPr>
            <w:tcW w:w="2477" w:type="pct"/>
          </w:tcPr>
          <w:p w14:paraId="09240626" w14:textId="77777777" w:rsidR="00F47498" w:rsidRPr="00F47498" w:rsidRDefault="00F47498" w:rsidP="00D1192C">
            <w:pPr>
              <w:rPr>
                <w:sz w:val="20"/>
              </w:rPr>
            </w:pPr>
            <w:r w:rsidRPr="00F47498">
              <w:rPr>
                <w:rFonts w:eastAsia="Arial"/>
                <w:sz w:val="20"/>
              </w:rPr>
              <w:t>Observational laboratory study relevant to supplemental vitamin B6 overexposure, particularly in bariatric surgery patients. It supports consideration of peripheral neuropathy as the critical effect, although neuropathy was not measured directly.</w:t>
            </w:r>
          </w:p>
        </w:tc>
      </w:tr>
      <w:tr w:rsidR="00F47498" w:rsidRPr="00F47498" w14:paraId="1A502E73" w14:textId="77777777" w:rsidTr="00F47498">
        <w:tc>
          <w:tcPr>
            <w:tcW w:w="208" w:type="pct"/>
          </w:tcPr>
          <w:p w14:paraId="6BC89F55" w14:textId="77777777" w:rsidR="00F47498" w:rsidRPr="00F47498" w:rsidRDefault="00F47498" w:rsidP="00D1192C">
            <w:pPr>
              <w:jc w:val="center"/>
              <w:rPr>
                <w:sz w:val="20"/>
              </w:rPr>
            </w:pPr>
            <w:r w:rsidRPr="00F47498">
              <w:rPr>
                <w:rFonts w:eastAsia="Arial"/>
                <w:sz w:val="20"/>
              </w:rPr>
              <w:t>3</w:t>
            </w:r>
          </w:p>
        </w:tc>
        <w:tc>
          <w:tcPr>
            <w:tcW w:w="532" w:type="pct"/>
          </w:tcPr>
          <w:p w14:paraId="0A958375" w14:textId="745C2218" w:rsidR="00F47498" w:rsidRPr="00F47498" w:rsidRDefault="00F47498" w:rsidP="00D1192C">
            <w:pPr>
              <w:rPr>
                <w:sz w:val="20"/>
              </w:rPr>
            </w:pPr>
            <w:r w:rsidRPr="00F47498">
              <w:rPr>
                <w:rFonts w:eastAsia="Arial"/>
                <w:sz w:val="20"/>
              </w:rPr>
              <w:t xml:space="preserve">Brands </w:t>
            </w:r>
            <w:r w:rsidR="00F50723">
              <w:rPr>
                <w:rFonts w:eastAsia="Arial"/>
                <w:sz w:val="20"/>
              </w:rPr>
              <w:t xml:space="preserve">et al. </w:t>
            </w:r>
            <w:r w:rsidRPr="00F47498">
              <w:rPr>
                <w:rFonts w:eastAsia="Arial"/>
                <w:sz w:val="20"/>
              </w:rPr>
              <w:t>2026</w:t>
            </w:r>
          </w:p>
        </w:tc>
        <w:tc>
          <w:tcPr>
            <w:tcW w:w="1783" w:type="pct"/>
          </w:tcPr>
          <w:p w14:paraId="24E0D17C" w14:textId="77777777" w:rsidR="00F47498" w:rsidRPr="00F47498" w:rsidRDefault="00F47498" w:rsidP="00D1192C">
            <w:pPr>
              <w:rPr>
                <w:sz w:val="20"/>
              </w:rPr>
            </w:pPr>
            <w:r w:rsidRPr="00F47498">
              <w:rPr>
                <w:rFonts w:eastAsia="Arial"/>
                <w:b/>
                <w:sz w:val="20"/>
              </w:rPr>
              <w:t>Hepatocellular Carcinoma: A Critical Complication in Patients Treated with Pyridoxal Phosphate</w:t>
            </w:r>
          </w:p>
          <w:p w14:paraId="5FD13B71" w14:textId="77777777" w:rsidR="00F47498" w:rsidRPr="00F47498" w:rsidRDefault="00F47498" w:rsidP="00D1192C">
            <w:pPr>
              <w:rPr>
                <w:sz w:val="20"/>
              </w:rPr>
            </w:pPr>
            <w:r w:rsidRPr="00F47498">
              <w:rPr>
                <w:rFonts w:eastAsia="Arial"/>
                <w:i/>
                <w:sz w:val="20"/>
              </w:rPr>
              <w:t>DOI: 10.1055/a-2773-6076</w:t>
            </w:r>
          </w:p>
        </w:tc>
        <w:tc>
          <w:tcPr>
            <w:tcW w:w="2477" w:type="pct"/>
          </w:tcPr>
          <w:p w14:paraId="78E23D22" w14:textId="77777777" w:rsidR="00F47498" w:rsidRPr="00F47498" w:rsidRDefault="00F47498" w:rsidP="00D1192C">
            <w:pPr>
              <w:rPr>
                <w:sz w:val="20"/>
              </w:rPr>
            </w:pPr>
            <w:r w:rsidRPr="00F47498">
              <w:rPr>
                <w:rFonts w:eastAsia="Arial"/>
                <w:sz w:val="20"/>
              </w:rPr>
              <w:t>Paediatric case series of long-term high-dose PLP treatment with hepatotoxicity outcomes, including hepatocellular carcinoma. This is relevant to non-neuropathy adverse effects and sensitive metabolic-disease populations, with indirectness to be considered during appraisal.</w:t>
            </w:r>
          </w:p>
        </w:tc>
      </w:tr>
      <w:tr w:rsidR="00F47498" w:rsidRPr="00F47498" w14:paraId="100767BB" w14:textId="77777777" w:rsidTr="00F47498">
        <w:tc>
          <w:tcPr>
            <w:tcW w:w="208" w:type="pct"/>
          </w:tcPr>
          <w:p w14:paraId="1112B73D" w14:textId="77777777" w:rsidR="00F47498" w:rsidRPr="00F47498" w:rsidRDefault="00F47498" w:rsidP="00D1192C">
            <w:pPr>
              <w:jc w:val="center"/>
              <w:rPr>
                <w:sz w:val="20"/>
              </w:rPr>
            </w:pPr>
            <w:r w:rsidRPr="00F47498">
              <w:rPr>
                <w:rFonts w:eastAsia="Arial"/>
                <w:sz w:val="20"/>
              </w:rPr>
              <w:t>4</w:t>
            </w:r>
          </w:p>
        </w:tc>
        <w:tc>
          <w:tcPr>
            <w:tcW w:w="532" w:type="pct"/>
          </w:tcPr>
          <w:p w14:paraId="160C6140" w14:textId="29996E0B" w:rsidR="00F47498" w:rsidRPr="00F47498" w:rsidRDefault="00F47498" w:rsidP="00D1192C">
            <w:pPr>
              <w:rPr>
                <w:sz w:val="20"/>
              </w:rPr>
            </w:pPr>
            <w:r w:rsidRPr="00F47498">
              <w:rPr>
                <w:rFonts w:eastAsia="Arial"/>
                <w:sz w:val="20"/>
              </w:rPr>
              <w:t xml:space="preserve">Gospe </w:t>
            </w:r>
            <w:r w:rsidR="00F50723">
              <w:rPr>
                <w:rFonts w:eastAsia="Arial"/>
                <w:sz w:val="20"/>
              </w:rPr>
              <w:t xml:space="preserve">et al. </w:t>
            </w:r>
            <w:r w:rsidRPr="00F47498">
              <w:rPr>
                <w:rFonts w:eastAsia="Arial"/>
                <w:sz w:val="20"/>
              </w:rPr>
              <w:t>1993</w:t>
            </w:r>
          </w:p>
        </w:tc>
        <w:tc>
          <w:tcPr>
            <w:tcW w:w="1783" w:type="pct"/>
          </w:tcPr>
          <w:p w14:paraId="73FB8FAA" w14:textId="77777777" w:rsidR="00F47498" w:rsidRPr="00F47498" w:rsidRDefault="00F47498" w:rsidP="00D1192C">
            <w:pPr>
              <w:rPr>
                <w:sz w:val="20"/>
              </w:rPr>
            </w:pPr>
            <w:r w:rsidRPr="00F47498">
              <w:rPr>
                <w:rFonts w:eastAsia="Arial"/>
                <w:b/>
                <w:sz w:val="20"/>
              </w:rPr>
              <w:t>Pyridoxine-Dependent Epilepsy – ALDH7A1</w:t>
            </w:r>
          </w:p>
          <w:p w14:paraId="14C36E89" w14:textId="77777777" w:rsidR="00F47498" w:rsidRPr="00F47498" w:rsidRDefault="00F47498" w:rsidP="00D1192C">
            <w:pPr>
              <w:rPr>
                <w:sz w:val="20"/>
              </w:rPr>
            </w:pPr>
            <w:r w:rsidRPr="00F47498">
              <w:rPr>
                <w:rFonts w:eastAsia="Arial"/>
                <w:i/>
                <w:sz w:val="20"/>
              </w:rPr>
              <w:t>DOI: Not available</w:t>
            </w:r>
          </w:p>
        </w:tc>
        <w:tc>
          <w:tcPr>
            <w:tcW w:w="2477" w:type="pct"/>
          </w:tcPr>
          <w:p w14:paraId="28744853" w14:textId="77777777" w:rsidR="00F47498" w:rsidRPr="00F47498" w:rsidRDefault="00F47498" w:rsidP="00D1192C">
            <w:pPr>
              <w:rPr>
                <w:sz w:val="20"/>
              </w:rPr>
            </w:pPr>
            <w:r w:rsidRPr="00F47498">
              <w:rPr>
                <w:rFonts w:eastAsia="Arial"/>
                <w:sz w:val="20"/>
              </w:rPr>
              <w:t>GeneReviews chapter on pyridoxine-dependent epilepsy that discusses high-dose pyridoxine therapy and recognises reversible sensory neuropathy as an adverse effect requiring surveillance. It is useful for context on predisposing conditions and the neuropathy endpoint.</w:t>
            </w:r>
          </w:p>
        </w:tc>
      </w:tr>
      <w:tr w:rsidR="00F47498" w:rsidRPr="00F47498" w14:paraId="0C06B4E5" w14:textId="77777777" w:rsidTr="00F47498">
        <w:tc>
          <w:tcPr>
            <w:tcW w:w="208" w:type="pct"/>
          </w:tcPr>
          <w:p w14:paraId="072320AB" w14:textId="77777777" w:rsidR="00F47498" w:rsidRPr="00F47498" w:rsidRDefault="00F47498" w:rsidP="00D1192C">
            <w:pPr>
              <w:jc w:val="center"/>
              <w:rPr>
                <w:sz w:val="20"/>
              </w:rPr>
            </w:pPr>
            <w:r w:rsidRPr="00F47498">
              <w:rPr>
                <w:rFonts w:eastAsia="Arial"/>
                <w:sz w:val="20"/>
              </w:rPr>
              <w:t>5</w:t>
            </w:r>
          </w:p>
        </w:tc>
        <w:tc>
          <w:tcPr>
            <w:tcW w:w="532" w:type="pct"/>
          </w:tcPr>
          <w:p w14:paraId="69A8E848" w14:textId="40E3C766" w:rsidR="00F47498" w:rsidRPr="00F47498" w:rsidRDefault="00F47498" w:rsidP="00D1192C">
            <w:pPr>
              <w:rPr>
                <w:sz w:val="20"/>
              </w:rPr>
            </w:pPr>
            <w:r w:rsidRPr="00F47498">
              <w:rPr>
                <w:rFonts w:eastAsia="Arial"/>
                <w:sz w:val="20"/>
              </w:rPr>
              <w:t xml:space="preserve">He </w:t>
            </w:r>
            <w:r w:rsidR="00F50723">
              <w:rPr>
                <w:rFonts w:eastAsia="Arial"/>
                <w:sz w:val="20"/>
              </w:rPr>
              <w:t xml:space="preserve">et al. </w:t>
            </w:r>
            <w:r w:rsidRPr="00F47498">
              <w:rPr>
                <w:rFonts w:eastAsia="Arial"/>
                <w:sz w:val="20"/>
              </w:rPr>
              <w:t>2025</w:t>
            </w:r>
          </w:p>
        </w:tc>
        <w:tc>
          <w:tcPr>
            <w:tcW w:w="1783" w:type="pct"/>
          </w:tcPr>
          <w:p w14:paraId="0FE3F9C9" w14:textId="77777777" w:rsidR="00F47498" w:rsidRPr="00F47498" w:rsidRDefault="00F47498" w:rsidP="00D1192C">
            <w:pPr>
              <w:rPr>
                <w:sz w:val="20"/>
              </w:rPr>
            </w:pPr>
            <w:r w:rsidRPr="00F47498">
              <w:rPr>
                <w:rFonts w:eastAsia="Arial"/>
                <w:b/>
                <w:sz w:val="20"/>
              </w:rPr>
              <w:t>The potential hazards of high doses of vitamin B6 in treating nausea and vomiting in pregnancy: A systematic review</w:t>
            </w:r>
          </w:p>
          <w:p w14:paraId="37F24F83" w14:textId="77777777" w:rsidR="00F47498" w:rsidRPr="00F47498" w:rsidRDefault="00F47498" w:rsidP="00D1192C">
            <w:pPr>
              <w:rPr>
                <w:sz w:val="20"/>
              </w:rPr>
            </w:pPr>
            <w:r w:rsidRPr="00F47498">
              <w:rPr>
                <w:rFonts w:eastAsia="Arial"/>
                <w:i/>
                <w:sz w:val="20"/>
              </w:rPr>
              <w:t>DOI: 10.1002/ijgo.16032</w:t>
            </w:r>
          </w:p>
        </w:tc>
        <w:tc>
          <w:tcPr>
            <w:tcW w:w="2477" w:type="pct"/>
          </w:tcPr>
          <w:p w14:paraId="65E136F8" w14:textId="77777777" w:rsidR="00F47498" w:rsidRPr="00F47498" w:rsidRDefault="00F47498" w:rsidP="00D1192C">
            <w:pPr>
              <w:rPr>
                <w:sz w:val="20"/>
              </w:rPr>
            </w:pPr>
            <w:r w:rsidRPr="00F47498">
              <w:rPr>
                <w:rFonts w:eastAsia="Arial"/>
                <w:sz w:val="20"/>
              </w:rPr>
              <w:t>Systematic review relevant as secondary/supporting evidence. It provides case-level information on B6-associated peripheral neuropathy in pregnancy and PMS populations, and adverse pregnancy or offspring outcomes following high-dose maternal B6 exposure.</w:t>
            </w:r>
          </w:p>
        </w:tc>
      </w:tr>
      <w:tr w:rsidR="00F47498" w:rsidRPr="00F47498" w14:paraId="7B509011" w14:textId="77777777" w:rsidTr="00F47498">
        <w:tc>
          <w:tcPr>
            <w:tcW w:w="208" w:type="pct"/>
          </w:tcPr>
          <w:p w14:paraId="78565EC6" w14:textId="77777777" w:rsidR="00F47498" w:rsidRPr="00F47498" w:rsidRDefault="00F47498" w:rsidP="00D1192C">
            <w:pPr>
              <w:jc w:val="center"/>
              <w:rPr>
                <w:sz w:val="20"/>
              </w:rPr>
            </w:pPr>
            <w:r w:rsidRPr="00F47498">
              <w:rPr>
                <w:rFonts w:eastAsia="Arial"/>
                <w:sz w:val="20"/>
              </w:rPr>
              <w:t>6</w:t>
            </w:r>
          </w:p>
        </w:tc>
        <w:tc>
          <w:tcPr>
            <w:tcW w:w="532" w:type="pct"/>
          </w:tcPr>
          <w:p w14:paraId="247ECADE" w14:textId="36C4018E" w:rsidR="00F47498" w:rsidRPr="00F47498" w:rsidRDefault="00F47498" w:rsidP="00D1192C">
            <w:pPr>
              <w:rPr>
                <w:sz w:val="20"/>
              </w:rPr>
            </w:pPr>
            <w:r w:rsidRPr="00F47498">
              <w:rPr>
                <w:rFonts w:eastAsia="Arial"/>
                <w:sz w:val="20"/>
              </w:rPr>
              <w:t xml:space="preserve">Kościńska-Shukla </w:t>
            </w:r>
            <w:r w:rsidR="00F50723">
              <w:rPr>
                <w:rFonts w:eastAsia="Arial"/>
                <w:sz w:val="20"/>
              </w:rPr>
              <w:t xml:space="preserve">et al. </w:t>
            </w:r>
            <w:r w:rsidRPr="00F47498">
              <w:rPr>
                <w:rFonts w:eastAsia="Arial"/>
                <w:sz w:val="20"/>
              </w:rPr>
              <w:t>2025</w:t>
            </w:r>
          </w:p>
        </w:tc>
        <w:tc>
          <w:tcPr>
            <w:tcW w:w="1783" w:type="pct"/>
          </w:tcPr>
          <w:p w14:paraId="2F3960B8" w14:textId="77777777" w:rsidR="00F47498" w:rsidRPr="00F47498" w:rsidRDefault="00F47498" w:rsidP="00D1192C">
            <w:pPr>
              <w:rPr>
                <w:sz w:val="20"/>
              </w:rPr>
            </w:pPr>
            <w:r w:rsidRPr="00F47498">
              <w:rPr>
                <w:rFonts w:eastAsia="Arial"/>
                <w:b/>
                <w:sz w:val="20"/>
              </w:rPr>
              <w:t>Underestimated pyridoxine consumption and neurotoxicity: a novel manifestation with rheumatologic relevance - a case-based review</w:t>
            </w:r>
          </w:p>
          <w:p w14:paraId="474043EB" w14:textId="77777777" w:rsidR="00F47498" w:rsidRPr="00F47498" w:rsidRDefault="00F47498" w:rsidP="00D1192C">
            <w:pPr>
              <w:rPr>
                <w:sz w:val="20"/>
              </w:rPr>
            </w:pPr>
            <w:r w:rsidRPr="00F47498">
              <w:rPr>
                <w:rFonts w:eastAsia="Arial"/>
                <w:i/>
                <w:sz w:val="20"/>
              </w:rPr>
              <w:t>DOI: 10.1007/s00296-025-05900-9</w:t>
            </w:r>
          </w:p>
        </w:tc>
        <w:tc>
          <w:tcPr>
            <w:tcW w:w="2477" w:type="pct"/>
          </w:tcPr>
          <w:p w14:paraId="077A5662" w14:textId="77777777" w:rsidR="00F47498" w:rsidRPr="00F47498" w:rsidRDefault="00F47498" w:rsidP="00D1192C">
            <w:pPr>
              <w:rPr>
                <w:sz w:val="20"/>
              </w:rPr>
            </w:pPr>
            <w:r w:rsidRPr="00F47498">
              <w:rPr>
                <w:rFonts w:eastAsia="Arial"/>
                <w:sz w:val="20"/>
              </w:rPr>
              <w:t>Case-based review of three patients with neuropathic symptoms linked to excessive vitamin B6 intake. It provides exposure-source information and reports symptom improvement following reduction or cessation of supplementation.</w:t>
            </w:r>
          </w:p>
        </w:tc>
      </w:tr>
      <w:tr w:rsidR="00F47498" w:rsidRPr="00F47498" w14:paraId="18BE4B4A" w14:textId="77777777" w:rsidTr="00F47498">
        <w:tc>
          <w:tcPr>
            <w:tcW w:w="208" w:type="pct"/>
          </w:tcPr>
          <w:p w14:paraId="5CB3CB4B" w14:textId="77777777" w:rsidR="00F47498" w:rsidRPr="00F47498" w:rsidRDefault="00F47498" w:rsidP="00D1192C">
            <w:pPr>
              <w:jc w:val="center"/>
              <w:rPr>
                <w:sz w:val="20"/>
              </w:rPr>
            </w:pPr>
            <w:r w:rsidRPr="00F47498">
              <w:rPr>
                <w:rFonts w:eastAsia="Arial"/>
                <w:sz w:val="20"/>
              </w:rPr>
              <w:t>7</w:t>
            </w:r>
          </w:p>
        </w:tc>
        <w:tc>
          <w:tcPr>
            <w:tcW w:w="532" w:type="pct"/>
          </w:tcPr>
          <w:p w14:paraId="788AE478" w14:textId="588BD2B3" w:rsidR="00F47498" w:rsidRPr="00F47498" w:rsidRDefault="00F47498" w:rsidP="00D1192C">
            <w:pPr>
              <w:rPr>
                <w:sz w:val="20"/>
              </w:rPr>
            </w:pPr>
            <w:r w:rsidRPr="00F47498">
              <w:rPr>
                <w:rFonts w:eastAsia="Arial"/>
                <w:sz w:val="20"/>
              </w:rPr>
              <w:t xml:space="preserve">Lee </w:t>
            </w:r>
            <w:r w:rsidR="00F50723">
              <w:rPr>
                <w:rFonts w:eastAsia="Arial"/>
                <w:sz w:val="20"/>
              </w:rPr>
              <w:t xml:space="preserve">et al. </w:t>
            </w:r>
            <w:r w:rsidRPr="00F47498">
              <w:rPr>
                <w:rFonts w:eastAsia="Arial"/>
                <w:sz w:val="20"/>
              </w:rPr>
              <w:t>2025</w:t>
            </w:r>
          </w:p>
        </w:tc>
        <w:tc>
          <w:tcPr>
            <w:tcW w:w="1783" w:type="pct"/>
          </w:tcPr>
          <w:p w14:paraId="036BC2D6" w14:textId="77777777" w:rsidR="00F47498" w:rsidRPr="00F47498" w:rsidRDefault="00F47498" w:rsidP="00D1192C">
            <w:pPr>
              <w:rPr>
                <w:sz w:val="20"/>
              </w:rPr>
            </w:pPr>
            <w:r w:rsidRPr="00F47498">
              <w:rPr>
                <w:rFonts w:eastAsia="Arial"/>
                <w:b/>
                <w:sz w:val="20"/>
              </w:rPr>
              <w:t xml:space="preserve">Case report: Hepatocellular carcinoma in a patient with Pyridoxamine 5-phosphate oxidase (PNPO) </w:t>
            </w:r>
            <w:r w:rsidRPr="00F47498">
              <w:rPr>
                <w:rFonts w:eastAsia="Arial"/>
                <w:b/>
                <w:sz w:val="20"/>
              </w:rPr>
              <w:lastRenderedPageBreak/>
              <w:t>deficiency undergoing pyridoxal 5-phosphate (PLP) treatment</w:t>
            </w:r>
          </w:p>
          <w:p w14:paraId="581E4D4E" w14:textId="77777777" w:rsidR="00F47498" w:rsidRPr="00F47498" w:rsidRDefault="00F47498" w:rsidP="00D1192C">
            <w:pPr>
              <w:rPr>
                <w:sz w:val="20"/>
              </w:rPr>
            </w:pPr>
            <w:r w:rsidRPr="00F47498">
              <w:rPr>
                <w:rFonts w:eastAsia="Arial"/>
                <w:i/>
                <w:sz w:val="20"/>
              </w:rPr>
              <w:t>DOI: 10.1016/j.ymgmr.2025.101224</w:t>
            </w:r>
          </w:p>
        </w:tc>
        <w:tc>
          <w:tcPr>
            <w:tcW w:w="2477" w:type="pct"/>
          </w:tcPr>
          <w:p w14:paraId="1D8880B4" w14:textId="77777777" w:rsidR="00F47498" w:rsidRPr="00F47498" w:rsidRDefault="00F47498" w:rsidP="00D1192C">
            <w:pPr>
              <w:rPr>
                <w:sz w:val="20"/>
              </w:rPr>
            </w:pPr>
            <w:r w:rsidRPr="00F47498">
              <w:rPr>
                <w:rFonts w:eastAsia="Arial"/>
                <w:sz w:val="20"/>
              </w:rPr>
              <w:lastRenderedPageBreak/>
              <w:t xml:space="preserve">Case report of hepatocellular carcinoma in a PNPO-deficient patient receiving long-term PLP treatment. It is relevant to hepatotoxicity as a </w:t>
            </w:r>
            <w:r w:rsidRPr="00F47498">
              <w:rPr>
                <w:rFonts w:eastAsia="Arial"/>
                <w:sz w:val="20"/>
              </w:rPr>
              <w:lastRenderedPageBreak/>
              <w:t>secondary endpoint and to sensitive metabolic-disease populations with defined PLP exposure.</w:t>
            </w:r>
          </w:p>
        </w:tc>
      </w:tr>
      <w:tr w:rsidR="00F47498" w:rsidRPr="00F47498" w14:paraId="05189FA4" w14:textId="77777777" w:rsidTr="00F47498">
        <w:tc>
          <w:tcPr>
            <w:tcW w:w="208" w:type="pct"/>
          </w:tcPr>
          <w:p w14:paraId="575B1DD0" w14:textId="77777777" w:rsidR="00F47498" w:rsidRPr="00F47498" w:rsidRDefault="00F47498" w:rsidP="00D1192C">
            <w:pPr>
              <w:jc w:val="center"/>
              <w:rPr>
                <w:sz w:val="20"/>
              </w:rPr>
            </w:pPr>
            <w:r w:rsidRPr="00F47498">
              <w:rPr>
                <w:rFonts w:eastAsia="Arial"/>
                <w:sz w:val="20"/>
              </w:rPr>
              <w:lastRenderedPageBreak/>
              <w:t>8</w:t>
            </w:r>
          </w:p>
        </w:tc>
        <w:tc>
          <w:tcPr>
            <w:tcW w:w="532" w:type="pct"/>
          </w:tcPr>
          <w:p w14:paraId="5D939CC9" w14:textId="15600271" w:rsidR="00F47498" w:rsidRPr="00F47498" w:rsidRDefault="00F47498" w:rsidP="00D1192C">
            <w:pPr>
              <w:rPr>
                <w:sz w:val="20"/>
              </w:rPr>
            </w:pPr>
            <w:r w:rsidRPr="00F47498">
              <w:rPr>
                <w:rFonts w:eastAsia="Arial"/>
                <w:sz w:val="20"/>
              </w:rPr>
              <w:t xml:space="preserve">Modica </w:t>
            </w:r>
            <w:r w:rsidR="00F50723">
              <w:rPr>
                <w:rFonts w:eastAsia="Arial"/>
                <w:sz w:val="20"/>
              </w:rPr>
              <w:t xml:space="preserve">et al. </w:t>
            </w:r>
            <w:r w:rsidRPr="00F47498">
              <w:rPr>
                <w:rFonts w:eastAsia="Arial"/>
                <w:sz w:val="20"/>
              </w:rPr>
              <w:t>2023</w:t>
            </w:r>
          </w:p>
        </w:tc>
        <w:tc>
          <w:tcPr>
            <w:tcW w:w="1783" w:type="pct"/>
          </w:tcPr>
          <w:p w14:paraId="02F2BE43" w14:textId="77777777" w:rsidR="00F47498" w:rsidRPr="00F47498" w:rsidRDefault="00F47498" w:rsidP="00D1192C">
            <w:pPr>
              <w:rPr>
                <w:sz w:val="20"/>
              </w:rPr>
            </w:pPr>
            <w:r w:rsidRPr="00F47498">
              <w:rPr>
                <w:rFonts w:eastAsia="Arial"/>
                <w:b/>
                <w:sz w:val="20"/>
              </w:rPr>
              <w:t>A systematic review of the potential consequences of abnormal serum levels of vitamin B6 in people living with Parkinson's disease</w:t>
            </w:r>
          </w:p>
          <w:p w14:paraId="3579D1C1" w14:textId="77777777" w:rsidR="00F47498" w:rsidRPr="00F47498" w:rsidRDefault="00F47498" w:rsidP="00D1192C">
            <w:pPr>
              <w:rPr>
                <w:sz w:val="20"/>
              </w:rPr>
            </w:pPr>
            <w:r w:rsidRPr="00F47498">
              <w:rPr>
                <w:rFonts w:eastAsia="Arial"/>
                <w:i/>
                <w:sz w:val="20"/>
              </w:rPr>
              <w:t>DOI: 10.1016/j.jns.2023.120690</w:t>
            </w:r>
          </w:p>
        </w:tc>
        <w:tc>
          <w:tcPr>
            <w:tcW w:w="2477" w:type="pct"/>
          </w:tcPr>
          <w:p w14:paraId="1D70A28C" w14:textId="77777777" w:rsidR="00F47498" w:rsidRPr="00F47498" w:rsidRDefault="00F47498" w:rsidP="00D1192C">
            <w:pPr>
              <w:rPr>
                <w:sz w:val="20"/>
              </w:rPr>
            </w:pPr>
            <w:r w:rsidRPr="00F47498">
              <w:rPr>
                <w:rFonts w:eastAsia="Arial"/>
                <w:sz w:val="20"/>
              </w:rPr>
              <w:t>Systematic review of abnormal vitamin B6 levels in people with Parkinson's disease, including cases of polyneuropathy with high B6. It is relevant to the neuropathy endpoint, although based on small numbers and a predisposing-factor population.</w:t>
            </w:r>
          </w:p>
        </w:tc>
      </w:tr>
      <w:tr w:rsidR="00F47498" w:rsidRPr="00F47498" w14:paraId="7CE1BFAE" w14:textId="77777777" w:rsidTr="00F47498">
        <w:tc>
          <w:tcPr>
            <w:tcW w:w="208" w:type="pct"/>
          </w:tcPr>
          <w:p w14:paraId="1CB114B2" w14:textId="77777777" w:rsidR="00F47498" w:rsidRPr="00F47498" w:rsidRDefault="00F47498" w:rsidP="00D1192C">
            <w:pPr>
              <w:jc w:val="center"/>
              <w:rPr>
                <w:sz w:val="20"/>
              </w:rPr>
            </w:pPr>
            <w:r w:rsidRPr="00F47498">
              <w:rPr>
                <w:rFonts w:eastAsia="Arial"/>
                <w:sz w:val="20"/>
              </w:rPr>
              <w:t>9</w:t>
            </w:r>
          </w:p>
        </w:tc>
        <w:tc>
          <w:tcPr>
            <w:tcW w:w="532" w:type="pct"/>
          </w:tcPr>
          <w:p w14:paraId="5073BA65" w14:textId="6A5A2268" w:rsidR="00F47498" w:rsidRPr="00F47498" w:rsidRDefault="00F47498" w:rsidP="00D1192C">
            <w:pPr>
              <w:rPr>
                <w:sz w:val="20"/>
              </w:rPr>
            </w:pPr>
            <w:r w:rsidRPr="00F47498">
              <w:rPr>
                <w:rFonts w:eastAsia="Arial"/>
                <w:sz w:val="20"/>
              </w:rPr>
              <w:t xml:space="preserve">Morris </w:t>
            </w:r>
            <w:r w:rsidR="00F50723">
              <w:rPr>
                <w:rFonts w:eastAsia="Arial"/>
                <w:sz w:val="20"/>
              </w:rPr>
              <w:t xml:space="preserve">et al. </w:t>
            </w:r>
            <w:r w:rsidRPr="00F47498">
              <w:rPr>
                <w:rFonts w:eastAsia="Arial"/>
                <w:sz w:val="20"/>
              </w:rPr>
              <w:t>2025</w:t>
            </w:r>
          </w:p>
        </w:tc>
        <w:tc>
          <w:tcPr>
            <w:tcW w:w="1783" w:type="pct"/>
          </w:tcPr>
          <w:p w14:paraId="02C28458" w14:textId="77777777" w:rsidR="00F47498" w:rsidRPr="00F47498" w:rsidRDefault="00F47498" w:rsidP="00D1192C">
            <w:pPr>
              <w:rPr>
                <w:sz w:val="20"/>
              </w:rPr>
            </w:pPr>
            <w:r w:rsidRPr="00F47498">
              <w:rPr>
                <w:rFonts w:eastAsia="Arial"/>
                <w:b/>
                <w:sz w:val="20"/>
              </w:rPr>
              <w:t>Cystathionine β-Synthase Deficiency in the E-HOD Registry-Part II: Dietary and Pharmacological Treatment</w:t>
            </w:r>
          </w:p>
          <w:p w14:paraId="7B5BDAAA" w14:textId="77777777" w:rsidR="00F47498" w:rsidRPr="00F47498" w:rsidRDefault="00F47498" w:rsidP="00D1192C">
            <w:pPr>
              <w:rPr>
                <w:sz w:val="20"/>
              </w:rPr>
            </w:pPr>
            <w:r w:rsidRPr="00F47498">
              <w:rPr>
                <w:rFonts w:eastAsia="Arial"/>
                <w:i/>
                <w:sz w:val="20"/>
              </w:rPr>
              <w:t>DOI: 10.1002/jimd.12844</w:t>
            </w:r>
          </w:p>
        </w:tc>
        <w:tc>
          <w:tcPr>
            <w:tcW w:w="2477" w:type="pct"/>
          </w:tcPr>
          <w:p w14:paraId="0DE09C88" w14:textId="77777777" w:rsidR="00F47498" w:rsidRPr="00F47498" w:rsidRDefault="00F47498" w:rsidP="00D1192C">
            <w:pPr>
              <w:rPr>
                <w:sz w:val="20"/>
              </w:rPr>
            </w:pPr>
            <w:r w:rsidRPr="00F47498">
              <w:rPr>
                <w:rFonts w:eastAsia="Arial"/>
                <w:sz w:val="20"/>
              </w:rPr>
              <w:t>Registry analysis of patients with cystathionine beta-synthase deficiency noting that some non-responders received potentially dangerously high pyridoxine doses. It provides exposure-context information but does not report adverse health outcomes suitable for dose-response evaluation.</w:t>
            </w:r>
          </w:p>
        </w:tc>
      </w:tr>
      <w:tr w:rsidR="00F47498" w:rsidRPr="00F47498" w14:paraId="6588FBAD" w14:textId="77777777" w:rsidTr="00F47498">
        <w:tc>
          <w:tcPr>
            <w:tcW w:w="208" w:type="pct"/>
          </w:tcPr>
          <w:p w14:paraId="7B8371D7" w14:textId="77777777" w:rsidR="00F47498" w:rsidRPr="00F47498" w:rsidRDefault="00F47498" w:rsidP="00D1192C">
            <w:pPr>
              <w:jc w:val="center"/>
              <w:rPr>
                <w:sz w:val="20"/>
              </w:rPr>
            </w:pPr>
            <w:r w:rsidRPr="00F47498">
              <w:rPr>
                <w:rFonts w:eastAsia="Arial"/>
                <w:sz w:val="20"/>
              </w:rPr>
              <w:t>10</w:t>
            </w:r>
          </w:p>
        </w:tc>
        <w:tc>
          <w:tcPr>
            <w:tcW w:w="532" w:type="pct"/>
          </w:tcPr>
          <w:p w14:paraId="7CB33A37" w14:textId="583DD24A" w:rsidR="00F47498" w:rsidRPr="00F47498" w:rsidRDefault="00F47498" w:rsidP="00D1192C">
            <w:pPr>
              <w:rPr>
                <w:sz w:val="20"/>
              </w:rPr>
            </w:pPr>
            <w:r w:rsidRPr="00F47498">
              <w:rPr>
                <w:rFonts w:eastAsia="Arial"/>
                <w:sz w:val="20"/>
              </w:rPr>
              <w:t xml:space="preserve">Muhamad </w:t>
            </w:r>
            <w:r w:rsidR="00F50723">
              <w:rPr>
                <w:rFonts w:eastAsia="Arial"/>
                <w:sz w:val="20"/>
              </w:rPr>
              <w:t xml:space="preserve">et al. </w:t>
            </w:r>
            <w:r w:rsidRPr="00F47498">
              <w:rPr>
                <w:rFonts w:eastAsia="Arial"/>
                <w:sz w:val="20"/>
              </w:rPr>
              <w:t>2023</w:t>
            </w:r>
          </w:p>
        </w:tc>
        <w:tc>
          <w:tcPr>
            <w:tcW w:w="1783" w:type="pct"/>
          </w:tcPr>
          <w:p w14:paraId="02CD4C97" w14:textId="77777777" w:rsidR="00F47498" w:rsidRPr="00F47498" w:rsidRDefault="00F47498" w:rsidP="00D1192C">
            <w:pPr>
              <w:rPr>
                <w:sz w:val="20"/>
              </w:rPr>
            </w:pPr>
            <w:r w:rsidRPr="00F47498">
              <w:rPr>
                <w:rFonts w:eastAsia="Arial"/>
                <w:b/>
                <w:sz w:val="20"/>
              </w:rPr>
              <w:t>The Role of Vitamin B6 in Peripheral Neuropathy: A Systematic Review</w:t>
            </w:r>
          </w:p>
          <w:p w14:paraId="18FFF308" w14:textId="77777777" w:rsidR="00F47498" w:rsidRPr="00F47498" w:rsidRDefault="00F47498" w:rsidP="00D1192C">
            <w:pPr>
              <w:rPr>
                <w:sz w:val="20"/>
              </w:rPr>
            </w:pPr>
            <w:r w:rsidRPr="00F47498">
              <w:rPr>
                <w:rFonts w:eastAsia="Arial"/>
                <w:i/>
                <w:sz w:val="20"/>
              </w:rPr>
              <w:t>DOI: 10.3390/nu15132823</w:t>
            </w:r>
          </w:p>
        </w:tc>
        <w:tc>
          <w:tcPr>
            <w:tcW w:w="2477" w:type="pct"/>
          </w:tcPr>
          <w:p w14:paraId="2E1B39E6" w14:textId="77777777" w:rsidR="00F47498" w:rsidRPr="00F47498" w:rsidRDefault="00F47498" w:rsidP="00D1192C">
            <w:pPr>
              <w:rPr>
                <w:sz w:val="20"/>
              </w:rPr>
            </w:pPr>
            <w:r w:rsidRPr="00F47498">
              <w:rPr>
                <w:rFonts w:eastAsia="Arial"/>
                <w:sz w:val="20"/>
              </w:rPr>
              <w:t>Systematic review focused on vitamin B6-related peripheral neuropathy, particularly axonal sensory neuropathy. It is directly relevant to the critical endpoint and may provide supporting dose and clinical-context information.</w:t>
            </w:r>
          </w:p>
        </w:tc>
      </w:tr>
      <w:tr w:rsidR="00F47498" w:rsidRPr="00F47498" w14:paraId="79486205" w14:textId="77777777" w:rsidTr="00F47498">
        <w:tc>
          <w:tcPr>
            <w:tcW w:w="208" w:type="pct"/>
          </w:tcPr>
          <w:p w14:paraId="532C14DB" w14:textId="77777777" w:rsidR="00F47498" w:rsidRPr="00F47498" w:rsidRDefault="00F47498" w:rsidP="00D1192C">
            <w:pPr>
              <w:jc w:val="center"/>
              <w:rPr>
                <w:sz w:val="20"/>
              </w:rPr>
            </w:pPr>
            <w:r w:rsidRPr="00F47498">
              <w:rPr>
                <w:rFonts w:eastAsia="Arial"/>
                <w:sz w:val="20"/>
              </w:rPr>
              <w:t>11</w:t>
            </w:r>
          </w:p>
        </w:tc>
        <w:tc>
          <w:tcPr>
            <w:tcW w:w="532" w:type="pct"/>
          </w:tcPr>
          <w:p w14:paraId="5D28FCCF" w14:textId="4488213F" w:rsidR="00F47498" w:rsidRPr="00F47498" w:rsidRDefault="00F50723" w:rsidP="00D1192C">
            <w:pPr>
              <w:rPr>
                <w:sz w:val="20"/>
              </w:rPr>
            </w:pPr>
            <w:r w:rsidRPr="00F50723">
              <w:rPr>
                <w:rFonts w:eastAsia="Arial"/>
                <w:sz w:val="20"/>
              </w:rPr>
              <w:t>Paluszny and Qiu</w:t>
            </w:r>
            <w:r w:rsidR="00F47498" w:rsidRPr="00F47498">
              <w:rPr>
                <w:rFonts w:eastAsia="Arial"/>
                <w:sz w:val="20"/>
              </w:rPr>
              <w:t xml:space="preserve"> 2023</w:t>
            </w:r>
          </w:p>
        </w:tc>
        <w:tc>
          <w:tcPr>
            <w:tcW w:w="1783" w:type="pct"/>
          </w:tcPr>
          <w:p w14:paraId="08777695" w14:textId="77777777" w:rsidR="00F47498" w:rsidRPr="00F47498" w:rsidRDefault="00F47498" w:rsidP="00D1192C">
            <w:pPr>
              <w:rPr>
                <w:sz w:val="20"/>
              </w:rPr>
            </w:pPr>
            <w:r w:rsidRPr="00F47498">
              <w:rPr>
                <w:rFonts w:eastAsia="Arial"/>
                <w:b/>
                <w:sz w:val="20"/>
              </w:rPr>
              <w:t>Vitamin B6 Toxicity Secondary to Daily Multivitamin Use: A Case Report</w:t>
            </w:r>
          </w:p>
          <w:p w14:paraId="6A0CDC63" w14:textId="77777777" w:rsidR="00F47498" w:rsidRPr="00F47498" w:rsidRDefault="00F47498" w:rsidP="00D1192C">
            <w:pPr>
              <w:rPr>
                <w:sz w:val="20"/>
              </w:rPr>
            </w:pPr>
            <w:r w:rsidRPr="00F47498">
              <w:rPr>
                <w:rFonts w:eastAsia="Arial"/>
                <w:i/>
                <w:sz w:val="20"/>
              </w:rPr>
              <w:t>DOI: 10.7759/cureus.48792</w:t>
            </w:r>
          </w:p>
        </w:tc>
        <w:tc>
          <w:tcPr>
            <w:tcW w:w="2477" w:type="pct"/>
          </w:tcPr>
          <w:p w14:paraId="0A6FACE4" w14:textId="77777777" w:rsidR="00F47498" w:rsidRPr="00F47498" w:rsidRDefault="00F47498" w:rsidP="00D1192C">
            <w:pPr>
              <w:rPr>
                <w:sz w:val="20"/>
              </w:rPr>
            </w:pPr>
            <w:r w:rsidRPr="00F47498">
              <w:rPr>
                <w:rFonts w:eastAsia="Arial"/>
                <w:sz w:val="20"/>
              </w:rPr>
              <w:t>Case report of peripheral neuropathy associated with excessive vitamin B6 intake from daily multivitamin use. It is relevant because it includes quantitative exposure information and a clinically described adverse outcome.</w:t>
            </w:r>
          </w:p>
        </w:tc>
      </w:tr>
      <w:tr w:rsidR="00F47498" w:rsidRPr="00F47498" w14:paraId="6BC36123" w14:textId="77777777" w:rsidTr="00F47498">
        <w:tc>
          <w:tcPr>
            <w:tcW w:w="208" w:type="pct"/>
          </w:tcPr>
          <w:p w14:paraId="68E546AF" w14:textId="77777777" w:rsidR="00F47498" w:rsidRPr="00F47498" w:rsidRDefault="00F47498" w:rsidP="00D1192C">
            <w:pPr>
              <w:jc w:val="center"/>
              <w:rPr>
                <w:sz w:val="20"/>
              </w:rPr>
            </w:pPr>
            <w:r w:rsidRPr="00F47498">
              <w:rPr>
                <w:rFonts w:eastAsia="Arial"/>
                <w:sz w:val="20"/>
              </w:rPr>
              <w:t>12</w:t>
            </w:r>
          </w:p>
        </w:tc>
        <w:tc>
          <w:tcPr>
            <w:tcW w:w="532" w:type="pct"/>
          </w:tcPr>
          <w:p w14:paraId="3ED5A4EE" w14:textId="77777777" w:rsidR="00F47498" w:rsidRPr="00F47498" w:rsidRDefault="00F47498" w:rsidP="00D1192C">
            <w:pPr>
              <w:rPr>
                <w:sz w:val="20"/>
              </w:rPr>
            </w:pPr>
            <w:r w:rsidRPr="00F47498">
              <w:rPr>
                <w:rFonts w:eastAsia="Arial"/>
                <w:sz w:val="20"/>
              </w:rPr>
              <w:t>Reddy 2022</w:t>
            </w:r>
          </w:p>
        </w:tc>
        <w:tc>
          <w:tcPr>
            <w:tcW w:w="1783" w:type="pct"/>
          </w:tcPr>
          <w:p w14:paraId="252513E2" w14:textId="77777777" w:rsidR="00F47498" w:rsidRPr="00F47498" w:rsidRDefault="00F47498" w:rsidP="00D1192C">
            <w:pPr>
              <w:rPr>
                <w:sz w:val="20"/>
              </w:rPr>
            </w:pPr>
            <w:r w:rsidRPr="00F47498">
              <w:rPr>
                <w:rFonts w:eastAsia="Arial"/>
                <w:b/>
                <w:sz w:val="20"/>
              </w:rPr>
              <w:t>Preventing Vitamin B6-Related Neurotoxicity</w:t>
            </w:r>
          </w:p>
          <w:p w14:paraId="1A787B47" w14:textId="77777777" w:rsidR="00F47498" w:rsidRPr="00F47498" w:rsidRDefault="00F47498" w:rsidP="00D1192C">
            <w:pPr>
              <w:rPr>
                <w:sz w:val="20"/>
              </w:rPr>
            </w:pPr>
            <w:r w:rsidRPr="00F47498">
              <w:rPr>
                <w:rFonts w:eastAsia="Arial"/>
                <w:i/>
                <w:sz w:val="20"/>
              </w:rPr>
              <w:t>DOI: 10.1097/mjt.0000000000001460</w:t>
            </w:r>
          </w:p>
        </w:tc>
        <w:tc>
          <w:tcPr>
            <w:tcW w:w="2477" w:type="pct"/>
          </w:tcPr>
          <w:p w14:paraId="1B1E12C9" w14:textId="77777777" w:rsidR="00F47498" w:rsidRPr="00F47498" w:rsidRDefault="00F47498" w:rsidP="00D1192C">
            <w:pPr>
              <w:rPr>
                <w:sz w:val="20"/>
              </w:rPr>
            </w:pPr>
            <w:r w:rsidRPr="00F47498">
              <w:rPr>
                <w:rFonts w:eastAsia="Arial"/>
                <w:sz w:val="20"/>
              </w:rPr>
              <w:t>Therapeutic opinion/review addressing vitamin B6 neurotoxicity, serum PLP thresholds, and potential differences between pyridoxine and PLP-based supplements. It is relevant to vitamer-specific and biomarker-based considerations.</w:t>
            </w:r>
          </w:p>
        </w:tc>
      </w:tr>
      <w:tr w:rsidR="00F47498" w:rsidRPr="00F47498" w14:paraId="7E0FCA39" w14:textId="77777777" w:rsidTr="00F47498">
        <w:tc>
          <w:tcPr>
            <w:tcW w:w="208" w:type="pct"/>
          </w:tcPr>
          <w:p w14:paraId="41727DCA" w14:textId="77777777" w:rsidR="00F47498" w:rsidRPr="00F47498" w:rsidRDefault="00F47498" w:rsidP="00D1192C">
            <w:pPr>
              <w:jc w:val="center"/>
              <w:rPr>
                <w:sz w:val="20"/>
              </w:rPr>
            </w:pPr>
            <w:r w:rsidRPr="00F47498">
              <w:rPr>
                <w:rFonts w:eastAsia="Arial"/>
                <w:sz w:val="20"/>
              </w:rPr>
              <w:t>13</w:t>
            </w:r>
          </w:p>
        </w:tc>
        <w:tc>
          <w:tcPr>
            <w:tcW w:w="532" w:type="pct"/>
          </w:tcPr>
          <w:p w14:paraId="605094CF" w14:textId="56946479" w:rsidR="00F47498" w:rsidRPr="00F47498" w:rsidRDefault="00F47498" w:rsidP="00D1192C">
            <w:pPr>
              <w:rPr>
                <w:sz w:val="20"/>
              </w:rPr>
            </w:pPr>
            <w:r w:rsidRPr="00F47498">
              <w:rPr>
                <w:rFonts w:eastAsia="Arial"/>
                <w:sz w:val="20"/>
              </w:rPr>
              <w:t xml:space="preserve">Sano </w:t>
            </w:r>
            <w:r w:rsidR="00F50723">
              <w:rPr>
                <w:rFonts w:eastAsia="Arial"/>
                <w:sz w:val="20"/>
              </w:rPr>
              <w:t xml:space="preserve">et al. </w:t>
            </w:r>
            <w:r w:rsidRPr="00F47498">
              <w:rPr>
                <w:rFonts w:eastAsia="Arial"/>
                <w:sz w:val="20"/>
              </w:rPr>
              <w:t>202</w:t>
            </w:r>
            <w:r w:rsidR="008D1458">
              <w:rPr>
                <w:rFonts w:eastAsia="Arial"/>
                <w:sz w:val="20"/>
              </w:rPr>
              <w:t>2</w:t>
            </w:r>
          </w:p>
        </w:tc>
        <w:tc>
          <w:tcPr>
            <w:tcW w:w="1783" w:type="pct"/>
          </w:tcPr>
          <w:p w14:paraId="0E69AEA8" w14:textId="77777777" w:rsidR="00F47498" w:rsidRPr="00F47498" w:rsidRDefault="00F47498" w:rsidP="00D1192C">
            <w:pPr>
              <w:rPr>
                <w:sz w:val="20"/>
              </w:rPr>
            </w:pPr>
            <w:r w:rsidRPr="00F47498">
              <w:rPr>
                <w:rFonts w:eastAsia="Arial"/>
                <w:b/>
                <w:sz w:val="20"/>
              </w:rPr>
              <w:t>Blood Neurofilament Light Chain as a Potential Biomarker for Central and Peripheral Nervous Toxicity in Rats</w:t>
            </w:r>
          </w:p>
          <w:p w14:paraId="075E1443" w14:textId="77777777" w:rsidR="00F47498" w:rsidRPr="00F47498" w:rsidRDefault="00F47498" w:rsidP="00D1192C">
            <w:pPr>
              <w:rPr>
                <w:sz w:val="20"/>
              </w:rPr>
            </w:pPr>
            <w:r w:rsidRPr="00F47498">
              <w:rPr>
                <w:rFonts w:eastAsia="Arial"/>
                <w:i/>
                <w:sz w:val="20"/>
              </w:rPr>
              <w:t>DOI: 10.1093/toxsci/kfab122</w:t>
            </w:r>
          </w:p>
        </w:tc>
        <w:tc>
          <w:tcPr>
            <w:tcW w:w="2477" w:type="pct"/>
          </w:tcPr>
          <w:p w14:paraId="3F3C0EC7" w14:textId="77777777" w:rsidR="00F47498" w:rsidRPr="00F47498" w:rsidRDefault="00F47498" w:rsidP="00D1192C">
            <w:pPr>
              <w:rPr>
                <w:sz w:val="20"/>
              </w:rPr>
            </w:pPr>
            <w:r w:rsidRPr="00F47498">
              <w:rPr>
                <w:rFonts w:eastAsia="Arial"/>
                <w:sz w:val="20"/>
              </w:rPr>
              <w:t>Rat study with defined high-dose pyridoxine exposure producing dorsal root ganglion and peripheral nerve changes. It provides animal evidence for the sensory neuropathy endpoint and evaluates serum neurofilament light chain as a biomarker.</w:t>
            </w:r>
          </w:p>
        </w:tc>
      </w:tr>
      <w:tr w:rsidR="00F47498" w:rsidRPr="00F47498" w14:paraId="135230C5" w14:textId="77777777" w:rsidTr="00F47498">
        <w:tc>
          <w:tcPr>
            <w:tcW w:w="208" w:type="pct"/>
          </w:tcPr>
          <w:p w14:paraId="3ECDD60E" w14:textId="77777777" w:rsidR="00F47498" w:rsidRPr="00F47498" w:rsidRDefault="00F47498" w:rsidP="00D1192C">
            <w:pPr>
              <w:jc w:val="center"/>
              <w:rPr>
                <w:sz w:val="20"/>
              </w:rPr>
            </w:pPr>
            <w:r w:rsidRPr="00F47498">
              <w:rPr>
                <w:rFonts w:eastAsia="Arial"/>
                <w:sz w:val="20"/>
              </w:rPr>
              <w:lastRenderedPageBreak/>
              <w:t>14</w:t>
            </w:r>
          </w:p>
        </w:tc>
        <w:tc>
          <w:tcPr>
            <w:tcW w:w="532" w:type="pct"/>
          </w:tcPr>
          <w:p w14:paraId="7999BFE8" w14:textId="51173D1A" w:rsidR="00F47498" w:rsidRPr="00F47498" w:rsidRDefault="00F47498" w:rsidP="00D1192C">
            <w:pPr>
              <w:rPr>
                <w:sz w:val="20"/>
              </w:rPr>
            </w:pPr>
            <w:r w:rsidRPr="00F47498">
              <w:rPr>
                <w:rFonts w:eastAsia="Arial"/>
                <w:sz w:val="20"/>
              </w:rPr>
              <w:t xml:space="preserve">Schellack </w:t>
            </w:r>
            <w:r w:rsidR="00F50723">
              <w:rPr>
                <w:rFonts w:eastAsia="Arial"/>
                <w:sz w:val="20"/>
              </w:rPr>
              <w:t xml:space="preserve">et al. </w:t>
            </w:r>
            <w:r w:rsidRPr="00F47498">
              <w:rPr>
                <w:rFonts w:eastAsia="Arial"/>
                <w:sz w:val="20"/>
              </w:rPr>
              <w:t>2025</w:t>
            </w:r>
          </w:p>
        </w:tc>
        <w:tc>
          <w:tcPr>
            <w:tcW w:w="1783" w:type="pct"/>
          </w:tcPr>
          <w:p w14:paraId="1A642BE8" w14:textId="77777777" w:rsidR="00F47498" w:rsidRPr="00F47498" w:rsidRDefault="00F47498" w:rsidP="00D1192C">
            <w:pPr>
              <w:rPr>
                <w:sz w:val="20"/>
              </w:rPr>
            </w:pPr>
            <w:r w:rsidRPr="00F47498">
              <w:rPr>
                <w:rFonts w:eastAsia="Arial"/>
                <w:b/>
                <w:sz w:val="20"/>
              </w:rPr>
              <w:t>Expert Consensus on Vitamin B6 Therapeutic Use for Patients: Guidance on Safe Dosage, Duration and Clinical Management</w:t>
            </w:r>
          </w:p>
          <w:p w14:paraId="0FF52A3E" w14:textId="77777777" w:rsidR="00F47498" w:rsidRPr="00F47498" w:rsidRDefault="00F47498" w:rsidP="00D1192C">
            <w:pPr>
              <w:rPr>
                <w:sz w:val="20"/>
              </w:rPr>
            </w:pPr>
            <w:r w:rsidRPr="00F47498">
              <w:rPr>
                <w:rFonts w:eastAsia="Arial"/>
                <w:i/>
                <w:sz w:val="20"/>
              </w:rPr>
              <w:t>DOI: 10.2147/dhps.S499941</w:t>
            </w:r>
          </w:p>
        </w:tc>
        <w:tc>
          <w:tcPr>
            <w:tcW w:w="2477" w:type="pct"/>
          </w:tcPr>
          <w:p w14:paraId="4B624086" w14:textId="77777777" w:rsidR="00F47498" w:rsidRPr="00F47498" w:rsidRDefault="00F47498" w:rsidP="00D1192C">
            <w:pPr>
              <w:rPr>
                <w:sz w:val="20"/>
              </w:rPr>
            </w:pPr>
            <w:r w:rsidRPr="00F47498">
              <w:rPr>
                <w:rFonts w:eastAsia="Arial"/>
                <w:sz w:val="20"/>
              </w:rPr>
              <w:t>Delphi consensus guidance on therapeutic vitamin B6 use, including dosage, duration, adverse events, washout periods, and monitoring. It is relevant as supporting guidance for safe-use and adopt/adapt considerations.</w:t>
            </w:r>
          </w:p>
        </w:tc>
      </w:tr>
      <w:tr w:rsidR="00F47498" w:rsidRPr="00F47498" w14:paraId="682D27DE" w14:textId="77777777" w:rsidTr="00F47498">
        <w:tc>
          <w:tcPr>
            <w:tcW w:w="208" w:type="pct"/>
          </w:tcPr>
          <w:p w14:paraId="5325B21C" w14:textId="77777777" w:rsidR="00F47498" w:rsidRPr="00F47498" w:rsidRDefault="00F47498" w:rsidP="00D1192C">
            <w:pPr>
              <w:jc w:val="center"/>
              <w:rPr>
                <w:sz w:val="20"/>
              </w:rPr>
            </w:pPr>
            <w:r w:rsidRPr="00F47498">
              <w:rPr>
                <w:rFonts w:eastAsia="Arial"/>
                <w:sz w:val="20"/>
              </w:rPr>
              <w:t>15</w:t>
            </w:r>
          </w:p>
        </w:tc>
        <w:tc>
          <w:tcPr>
            <w:tcW w:w="532" w:type="pct"/>
          </w:tcPr>
          <w:p w14:paraId="682EAD04" w14:textId="6DC6E8DF" w:rsidR="00F47498" w:rsidRPr="00F47498" w:rsidRDefault="00F47498" w:rsidP="00D1192C">
            <w:pPr>
              <w:rPr>
                <w:sz w:val="20"/>
              </w:rPr>
            </w:pPr>
            <w:r w:rsidRPr="00F47498">
              <w:rPr>
                <w:rFonts w:eastAsia="Arial"/>
                <w:sz w:val="20"/>
              </w:rPr>
              <w:t xml:space="preserve">Stewart </w:t>
            </w:r>
            <w:r w:rsidR="00F50723">
              <w:rPr>
                <w:rFonts w:eastAsia="Arial"/>
                <w:sz w:val="20"/>
              </w:rPr>
              <w:t xml:space="preserve">et al. </w:t>
            </w:r>
            <w:r w:rsidRPr="00F47498">
              <w:rPr>
                <w:rFonts w:eastAsia="Arial"/>
                <w:sz w:val="20"/>
              </w:rPr>
              <w:t>2022</w:t>
            </w:r>
          </w:p>
        </w:tc>
        <w:tc>
          <w:tcPr>
            <w:tcW w:w="1783" w:type="pct"/>
          </w:tcPr>
          <w:p w14:paraId="61B07247" w14:textId="77777777" w:rsidR="00F47498" w:rsidRPr="00F47498" w:rsidRDefault="00F47498" w:rsidP="00D1192C">
            <w:pPr>
              <w:rPr>
                <w:sz w:val="20"/>
              </w:rPr>
            </w:pPr>
            <w:r w:rsidRPr="00F47498">
              <w:rPr>
                <w:rFonts w:eastAsia="Arial"/>
                <w:b/>
                <w:sz w:val="20"/>
              </w:rPr>
              <w:t>Vitamin B6 levels do not correlate with severity of neuropathy in chronic idiopathic axonal polyneuropathy</w:t>
            </w:r>
          </w:p>
          <w:p w14:paraId="491D0959" w14:textId="77777777" w:rsidR="00F47498" w:rsidRPr="00F47498" w:rsidRDefault="00F47498" w:rsidP="00D1192C">
            <w:pPr>
              <w:rPr>
                <w:sz w:val="20"/>
              </w:rPr>
            </w:pPr>
            <w:r w:rsidRPr="00F47498">
              <w:rPr>
                <w:rFonts w:eastAsia="Arial"/>
                <w:i/>
                <w:sz w:val="20"/>
              </w:rPr>
              <w:t>DOI: 10.1111/jns.12480</w:t>
            </w:r>
          </w:p>
        </w:tc>
        <w:tc>
          <w:tcPr>
            <w:tcW w:w="2477" w:type="pct"/>
          </w:tcPr>
          <w:p w14:paraId="79FC8953" w14:textId="77777777" w:rsidR="00F47498" w:rsidRPr="00F47498" w:rsidRDefault="00F47498" w:rsidP="00D1192C">
            <w:pPr>
              <w:rPr>
                <w:sz w:val="20"/>
              </w:rPr>
            </w:pPr>
            <w:r w:rsidRPr="00F47498">
              <w:rPr>
                <w:rFonts w:eastAsia="Arial"/>
                <w:sz w:val="20"/>
              </w:rPr>
              <w:t>Cross-sectional study of patients with chronic idiopathic axonal polyneuropathy assessing plasma vitamin B6 levels and neuropathy severity. It is relevant as primary human evidence, although dose inference is limited by the cross-sectional design and use of plasma levels as an exposure proxy.</w:t>
            </w:r>
          </w:p>
        </w:tc>
      </w:tr>
      <w:tr w:rsidR="00F47498" w:rsidRPr="00F47498" w14:paraId="0DAD553D" w14:textId="77777777" w:rsidTr="00F47498">
        <w:tc>
          <w:tcPr>
            <w:tcW w:w="208" w:type="pct"/>
          </w:tcPr>
          <w:p w14:paraId="275F4D16" w14:textId="77777777" w:rsidR="00F47498" w:rsidRPr="00F47498" w:rsidRDefault="00F47498" w:rsidP="00D1192C">
            <w:pPr>
              <w:jc w:val="center"/>
              <w:rPr>
                <w:sz w:val="20"/>
              </w:rPr>
            </w:pPr>
            <w:r w:rsidRPr="00F47498">
              <w:rPr>
                <w:rFonts w:eastAsia="Arial"/>
                <w:sz w:val="20"/>
              </w:rPr>
              <w:t>16</w:t>
            </w:r>
          </w:p>
        </w:tc>
        <w:tc>
          <w:tcPr>
            <w:tcW w:w="532" w:type="pct"/>
          </w:tcPr>
          <w:p w14:paraId="0E1D0BE1" w14:textId="653EE1F3" w:rsidR="00F47498" w:rsidRPr="00F47498" w:rsidRDefault="00F47498" w:rsidP="00D1192C">
            <w:pPr>
              <w:rPr>
                <w:sz w:val="20"/>
              </w:rPr>
            </w:pPr>
            <w:r w:rsidRPr="00F47498">
              <w:rPr>
                <w:rFonts w:eastAsia="Arial"/>
                <w:sz w:val="20"/>
              </w:rPr>
              <w:t xml:space="preserve">Stolwijk </w:t>
            </w:r>
            <w:r w:rsidR="00F50723">
              <w:rPr>
                <w:rFonts w:eastAsia="Arial"/>
                <w:sz w:val="20"/>
              </w:rPr>
              <w:t xml:space="preserve">et al. </w:t>
            </w:r>
            <w:r w:rsidRPr="00F47498">
              <w:rPr>
                <w:rFonts w:eastAsia="Arial"/>
                <w:sz w:val="20"/>
              </w:rPr>
              <w:t>2025</w:t>
            </w:r>
          </w:p>
        </w:tc>
        <w:tc>
          <w:tcPr>
            <w:tcW w:w="1783" w:type="pct"/>
          </w:tcPr>
          <w:p w14:paraId="0B5D63C6" w14:textId="77777777" w:rsidR="00F47498" w:rsidRPr="00F47498" w:rsidRDefault="00F47498" w:rsidP="00D1192C">
            <w:pPr>
              <w:rPr>
                <w:sz w:val="20"/>
              </w:rPr>
            </w:pPr>
            <w:r w:rsidRPr="00F47498">
              <w:rPr>
                <w:rFonts w:eastAsia="Arial"/>
                <w:b/>
                <w:sz w:val="20"/>
              </w:rPr>
              <w:t>Effectiveness of Pyridoxal-5'-Phosphate in PNPO Deficiency: A Systematic Review</w:t>
            </w:r>
          </w:p>
          <w:p w14:paraId="18C95CC7" w14:textId="77777777" w:rsidR="00F47498" w:rsidRPr="00F47498" w:rsidRDefault="00F47498" w:rsidP="00D1192C">
            <w:pPr>
              <w:rPr>
                <w:sz w:val="20"/>
              </w:rPr>
            </w:pPr>
            <w:r w:rsidRPr="00F47498">
              <w:rPr>
                <w:rFonts w:eastAsia="Arial"/>
                <w:i/>
                <w:sz w:val="20"/>
              </w:rPr>
              <w:t>DOI: 10.1002/jimd.70074</w:t>
            </w:r>
          </w:p>
        </w:tc>
        <w:tc>
          <w:tcPr>
            <w:tcW w:w="2477" w:type="pct"/>
          </w:tcPr>
          <w:p w14:paraId="7FF8FA75" w14:textId="77777777" w:rsidR="00F47498" w:rsidRPr="00F47498" w:rsidRDefault="00F47498" w:rsidP="00D1192C">
            <w:pPr>
              <w:rPr>
                <w:sz w:val="20"/>
              </w:rPr>
            </w:pPr>
            <w:r w:rsidRPr="00F47498">
              <w:rPr>
                <w:rFonts w:eastAsia="Arial"/>
                <w:sz w:val="20"/>
              </w:rPr>
              <w:t>Systematic review of PLP treatment in PNPO deficiency reporting adverse effects, with liver toxicity frequently observed. It is relevant to PLP exposure and sensitive metabolic-disease populations.</w:t>
            </w:r>
          </w:p>
        </w:tc>
      </w:tr>
      <w:tr w:rsidR="00F47498" w:rsidRPr="00F47498" w14:paraId="2F5EAE76" w14:textId="77777777" w:rsidTr="00F47498">
        <w:tc>
          <w:tcPr>
            <w:tcW w:w="208" w:type="pct"/>
          </w:tcPr>
          <w:p w14:paraId="4DABCD04" w14:textId="77777777" w:rsidR="00F47498" w:rsidRPr="00F47498" w:rsidRDefault="00F47498" w:rsidP="00D1192C">
            <w:pPr>
              <w:jc w:val="center"/>
              <w:rPr>
                <w:sz w:val="20"/>
              </w:rPr>
            </w:pPr>
            <w:r w:rsidRPr="00F47498">
              <w:rPr>
                <w:rFonts w:eastAsia="Arial"/>
                <w:sz w:val="20"/>
              </w:rPr>
              <w:t>17</w:t>
            </w:r>
          </w:p>
        </w:tc>
        <w:tc>
          <w:tcPr>
            <w:tcW w:w="532" w:type="pct"/>
          </w:tcPr>
          <w:p w14:paraId="52E4F3B6" w14:textId="5C33835E" w:rsidR="00F47498" w:rsidRPr="00F47498" w:rsidRDefault="00F47498" w:rsidP="00D1192C">
            <w:pPr>
              <w:rPr>
                <w:sz w:val="20"/>
              </w:rPr>
            </w:pPr>
            <w:r w:rsidRPr="00F47498">
              <w:rPr>
                <w:rFonts w:eastAsia="Arial"/>
                <w:sz w:val="20"/>
              </w:rPr>
              <w:t xml:space="preserve">Sun </w:t>
            </w:r>
            <w:r w:rsidR="00F50723">
              <w:rPr>
                <w:rFonts w:eastAsia="Arial"/>
                <w:sz w:val="20"/>
              </w:rPr>
              <w:t xml:space="preserve">et al. </w:t>
            </w:r>
            <w:r w:rsidRPr="00F47498">
              <w:rPr>
                <w:rFonts w:eastAsia="Arial"/>
                <w:sz w:val="20"/>
              </w:rPr>
              <w:t>2025</w:t>
            </w:r>
          </w:p>
        </w:tc>
        <w:tc>
          <w:tcPr>
            <w:tcW w:w="1783" w:type="pct"/>
          </w:tcPr>
          <w:p w14:paraId="34665E1E" w14:textId="77777777" w:rsidR="00F47498" w:rsidRPr="00F47498" w:rsidRDefault="00F47498" w:rsidP="00D1192C">
            <w:pPr>
              <w:rPr>
                <w:sz w:val="20"/>
              </w:rPr>
            </w:pPr>
            <w:r w:rsidRPr="00F47498">
              <w:rPr>
                <w:rFonts w:eastAsia="Arial"/>
                <w:b/>
                <w:sz w:val="20"/>
              </w:rPr>
              <w:t>Toxic Effects of Excess Vitamins A, B6, and Folic Acid on the Nervous System</w:t>
            </w:r>
          </w:p>
          <w:p w14:paraId="563565EF" w14:textId="77777777" w:rsidR="00F47498" w:rsidRPr="00F47498" w:rsidRDefault="00F47498" w:rsidP="00D1192C">
            <w:pPr>
              <w:rPr>
                <w:sz w:val="20"/>
              </w:rPr>
            </w:pPr>
            <w:r w:rsidRPr="00F47498">
              <w:rPr>
                <w:rFonts w:eastAsia="Arial"/>
                <w:i/>
                <w:sz w:val="20"/>
              </w:rPr>
              <w:t>DOI: 10.1155/bn/7888243</w:t>
            </w:r>
          </w:p>
        </w:tc>
        <w:tc>
          <w:tcPr>
            <w:tcW w:w="2477" w:type="pct"/>
          </w:tcPr>
          <w:p w14:paraId="59947523" w14:textId="77777777" w:rsidR="00F47498" w:rsidRPr="00F47498" w:rsidRDefault="00F47498" w:rsidP="00D1192C">
            <w:pPr>
              <w:rPr>
                <w:sz w:val="20"/>
              </w:rPr>
            </w:pPr>
            <w:r w:rsidRPr="00F47498">
              <w:rPr>
                <w:rFonts w:eastAsia="Arial"/>
                <w:sz w:val="20"/>
              </w:rPr>
              <w:t>Review of neurological effects associated with excess vitamins, including vitamin B6. It is relevant as supporting evidence on neurological dysfunction from excessive supplementation.</w:t>
            </w:r>
          </w:p>
        </w:tc>
      </w:tr>
      <w:tr w:rsidR="00F47498" w:rsidRPr="00F47498" w14:paraId="3B3C91F3" w14:textId="77777777" w:rsidTr="00F47498">
        <w:tc>
          <w:tcPr>
            <w:tcW w:w="208" w:type="pct"/>
          </w:tcPr>
          <w:p w14:paraId="5E57AA2D" w14:textId="77777777" w:rsidR="00F47498" w:rsidRPr="00F47498" w:rsidRDefault="00F47498" w:rsidP="00D1192C">
            <w:pPr>
              <w:jc w:val="center"/>
              <w:rPr>
                <w:sz w:val="20"/>
              </w:rPr>
            </w:pPr>
            <w:r w:rsidRPr="00F47498">
              <w:rPr>
                <w:rFonts w:eastAsia="Arial"/>
                <w:sz w:val="20"/>
              </w:rPr>
              <w:t>18</w:t>
            </w:r>
          </w:p>
        </w:tc>
        <w:tc>
          <w:tcPr>
            <w:tcW w:w="532" w:type="pct"/>
          </w:tcPr>
          <w:p w14:paraId="64285ADC" w14:textId="7E66364F" w:rsidR="00F47498" w:rsidRPr="00F47498" w:rsidRDefault="00F47498" w:rsidP="00D1192C">
            <w:pPr>
              <w:rPr>
                <w:sz w:val="20"/>
              </w:rPr>
            </w:pPr>
            <w:r w:rsidRPr="00F47498">
              <w:rPr>
                <w:rFonts w:eastAsia="Arial"/>
                <w:sz w:val="20"/>
              </w:rPr>
              <w:t xml:space="preserve">Theil </w:t>
            </w:r>
            <w:r w:rsidR="00F50723">
              <w:rPr>
                <w:rFonts w:eastAsia="Arial"/>
                <w:sz w:val="20"/>
              </w:rPr>
              <w:t xml:space="preserve">et al. </w:t>
            </w:r>
            <w:r w:rsidRPr="00F47498">
              <w:rPr>
                <w:rFonts w:eastAsia="Arial"/>
                <w:sz w:val="20"/>
              </w:rPr>
              <w:t>2023</w:t>
            </w:r>
          </w:p>
        </w:tc>
        <w:tc>
          <w:tcPr>
            <w:tcW w:w="1783" w:type="pct"/>
          </w:tcPr>
          <w:p w14:paraId="7B3293F1" w14:textId="77777777" w:rsidR="00F47498" w:rsidRPr="00F47498" w:rsidRDefault="00F47498" w:rsidP="00D1192C">
            <w:pPr>
              <w:rPr>
                <w:sz w:val="20"/>
              </w:rPr>
            </w:pPr>
            <w:r w:rsidRPr="00F47498">
              <w:rPr>
                <w:rFonts w:eastAsia="Arial"/>
                <w:b/>
                <w:sz w:val="20"/>
              </w:rPr>
              <w:t>Neurofilament Light Chain: A Translational Safety Biomarker for Drug-Induced Peripheral Neurotoxicity</w:t>
            </w:r>
          </w:p>
          <w:p w14:paraId="5E628593" w14:textId="77777777" w:rsidR="00F47498" w:rsidRPr="00F47498" w:rsidRDefault="00F47498" w:rsidP="00D1192C">
            <w:pPr>
              <w:rPr>
                <w:sz w:val="20"/>
              </w:rPr>
            </w:pPr>
            <w:r w:rsidRPr="00F47498">
              <w:rPr>
                <w:rFonts w:eastAsia="Arial"/>
                <w:i/>
                <w:sz w:val="20"/>
              </w:rPr>
              <w:t>DOI: 10.1177/01926233231180179</w:t>
            </w:r>
          </w:p>
        </w:tc>
        <w:tc>
          <w:tcPr>
            <w:tcW w:w="2477" w:type="pct"/>
          </w:tcPr>
          <w:p w14:paraId="04AB5084" w14:textId="77777777" w:rsidR="00F47498" w:rsidRPr="00F47498" w:rsidRDefault="00F47498" w:rsidP="00D1192C">
            <w:pPr>
              <w:rPr>
                <w:sz w:val="20"/>
              </w:rPr>
            </w:pPr>
            <w:r w:rsidRPr="00F47498">
              <w:rPr>
                <w:rFonts w:eastAsia="Arial"/>
                <w:sz w:val="20"/>
              </w:rPr>
              <w:t>Animal study using high-dose pyridoxine as a positive control for peripheral neurotoxicity in dogs. It is potentially relevant for dose-response and neurofilament light chain biomarker information.</w:t>
            </w:r>
          </w:p>
        </w:tc>
      </w:tr>
      <w:tr w:rsidR="00F47498" w:rsidRPr="00F47498" w14:paraId="06EAB1CC" w14:textId="77777777" w:rsidTr="00F47498">
        <w:tc>
          <w:tcPr>
            <w:tcW w:w="208" w:type="pct"/>
          </w:tcPr>
          <w:p w14:paraId="18CF27AC" w14:textId="603A9CE2" w:rsidR="00F47498" w:rsidRPr="00F47498" w:rsidRDefault="002F24E0" w:rsidP="00D1192C">
            <w:pPr>
              <w:jc w:val="center"/>
              <w:rPr>
                <w:sz w:val="20"/>
              </w:rPr>
            </w:pPr>
            <w:r>
              <w:rPr>
                <w:sz w:val="20"/>
              </w:rPr>
              <w:t>19</w:t>
            </w:r>
          </w:p>
        </w:tc>
        <w:tc>
          <w:tcPr>
            <w:tcW w:w="532" w:type="pct"/>
          </w:tcPr>
          <w:p w14:paraId="5E31BD29" w14:textId="2459D093" w:rsidR="00F47498" w:rsidRPr="00F47498" w:rsidRDefault="00F47498" w:rsidP="00D1192C">
            <w:pPr>
              <w:rPr>
                <w:sz w:val="20"/>
              </w:rPr>
            </w:pPr>
            <w:r w:rsidRPr="00F47498">
              <w:rPr>
                <w:rFonts w:eastAsia="Arial"/>
                <w:sz w:val="20"/>
              </w:rPr>
              <w:t xml:space="preserve">vanHunsel </w:t>
            </w:r>
            <w:r w:rsidR="00F50723">
              <w:rPr>
                <w:rFonts w:eastAsia="Arial"/>
                <w:sz w:val="20"/>
              </w:rPr>
              <w:t xml:space="preserve">et al. </w:t>
            </w:r>
            <w:r w:rsidRPr="00F47498">
              <w:rPr>
                <w:rFonts w:eastAsia="Arial"/>
                <w:sz w:val="20"/>
              </w:rPr>
              <w:t>2025</w:t>
            </w:r>
          </w:p>
        </w:tc>
        <w:tc>
          <w:tcPr>
            <w:tcW w:w="1783" w:type="pct"/>
          </w:tcPr>
          <w:p w14:paraId="3532B945" w14:textId="77777777" w:rsidR="00F47498" w:rsidRPr="00F47498" w:rsidRDefault="00F47498" w:rsidP="00D1192C">
            <w:pPr>
              <w:rPr>
                <w:sz w:val="20"/>
              </w:rPr>
            </w:pPr>
            <w:r w:rsidRPr="00F47498">
              <w:rPr>
                <w:rFonts w:eastAsia="Arial"/>
                <w:b/>
                <w:sz w:val="20"/>
              </w:rPr>
              <w:t>Impact of Regulatory Action on Dose Maximalization for Vitamin B6 Dietary Supplements on the Reporting Pattern for Neuropathy</w:t>
            </w:r>
          </w:p>
          <w:p w14:paraId="75FA4AB4" w14:textId="77777777" w:rsidR="00F47498" w:rsidRPr="00F47498" w:rsidRDefault="00F47498" w:rsidP="00D1192C">
            <w:pPr>
              <w:rPr>
                <w:sz w:val="20"/>
              </w:rPr>
            </w:pPr>
            <w:r w:rsidRPr="00F47498">
              <w:rPr>
                <w:rFonts w:eastAsia="Arial"/>
                <w:i/>
                <w:sz w:val="20"/>
              </w:rPr>
              <w:t>DOI: 10.1002/pds.70108</w:t>
            </w:r>
          </w:p>
        </w:tc>
        <w:tc>
          <w:tcPr>
            <w:tcW w:w="2477" w:type="pct"/>
          </w:tcPr>
          <w:p w14:paraId="1E10D5E7" w14:textId="77777777" w:rsidR="00F47498" w:rsidRPr="00F47498" w:rsidRDefault="00F47498" w:rsidP="00D1192C">
            <w:pPr>
              <w:rPr>
                <w:sz w:val="20"/>
              </w:rPr>
            </w:pPr>
            <w:r w:rsidRPr="00F47498">
              <w:rPr>
                <w:rFonts w:eastAsia="Arial"/>
                <w:sz w:val="20"/>
              </w:rPr>
              <w:t>Pharmacovigilance study evaluating the effect of regulatory action on reported neuropathy patterns associated with vitamin B6 supplements. It is relevant to real-world supplement exposures and regulatory context.</w:t>
            </w:r>
          </w:p>
        </w:tc>
      </w:tr>
      <w:tr w:rsidR="00F47498" w:rsidRPr="00F47498" w14:paraId="5ECFD326" w14:textId="77777777" w:rsidTr="00F47498">
        <w:tc>
          <w:tcPr>
            <w:tcW w:w="208" w:type="pct"/>
          </w:tcPr>
          <w:p w14:paraId="74B39F65" w14:textId="4747BA55" w:rsidR="00F47498" w:rsidRPr="00F47498" w:rsidRDefault="00F47498" w:rsidP="00D1192C">
            <w:pPr>
              <w:jc w:val="center"/>
              <w:rPr>
                <w:sz w:val="20"/>
              </w:rPr>
            </w:pPr>
            <w:r w:rsidRPr="00F47498">
              <w:rPr>
                <w:rFonts w:eastAsia="Arial"/>
                <w:sz w:val="20"/>
              </w:rPr>
              <w:t>2</w:t>
            </w:r>
            <w:r w:rsidR="002F24E0">
              <w:rPr>
                <w:rFonts w:eastAsia="Arial"/>
                <w:sz w:val="20"/>
              </w:rPr>
              <w:t>0</w:t>
            </w:r>
          </w:p>
        </w:tc>
        <w:tc>
          <w:tcPr>
            <w:tcW w:w="532" w:type="pct"/>
          </w:tcPr>
          <w:p w14:paraId="29F6E00D" w14:textId="07F6D33E" w:rsidR="00F47498" w:rsidRPr="00F47498" w:rsidRDefault="00F47498" w:rsidP="00D1192C">
            <w:pPr>
              <w:rPr>
                <w:sz w:val="20"/>
              </w:rPr>
            </w:pPr>
            <w:r w:rsidRPr="00F47498">
              <w:rPr>
                <w:rFonts w:eastAsia="Arial"/>
                <w:sz w:val="20"/>
              </w:rPr>
              <w:t xml:space="preserve">Webster </w:t>
            </w:r>
            <w:r w:rsidR="00F50723">
              <w:rPr>
                <w:rFonts w:eastAsia="Arial"/>
                <w:sz w:val="20"/>
              </w:rPr>
              <w:t xml:space="preserve">et al. </w:t>
            </w:r>
            <w:r w:rsidRPr="00F47498">
              <w:rPr>
                <w:rFonts w:eastAsia="Arial"/>
                <w:sz w:val="20"/>
              </w:rPr>
              <w:t>2026</w:t>
            </w:r>
          </w:p>
        </w:tc>
        <w:tc>
          <w:tcPr>
            <w:tcW w:w="1783" w:type="pct"/>
          </w:tcPr>
          <w:p w14:paraId="7EFE1E06" w14:textId="77777777" w:rsidR="00F47498" w:rsidRPr="00F47498" w:rsidRDefault="00F47498" w:rsidP="00D1192C">
            <w:pPr>
              <w:rPr>
                <w:sz w:val="20"/>
              </w:rPr>
            </w:pPr>
            <w:r w:rsidRPr="00F47498">
              <w:rPr>
                <w:rFonts w:eastAsia="Arial"/>
                <w:b/>
                <w:sz w:val="20"/>
              </w:rPr>
              <w:t>Liver Transplantation in PNPO Deficiency: Management Challenges and Biological Lessons</w:t>
            </w:r>
          </w:p>
          <w:p w14:paraId="75D2BB12" w14:textId="77777777" w:rsidR="00F47498" w:rsidRPr="00F47498" w:rsidRDefault="00F47498" w:rsidP="00D1192C">
            <w:pPr>
              <w:rPr>
                <w:sz w:val="20"/>
              </w:rPr>
            </w:pPr>
            <w:r w:rsidRPr="00F47498">
              <w:rPr>
                <w:rFonts w:eastAsia="Arial"/>
                <w:i/>
                <w:sz w:val="20"/>
              </w:rPr>
              <w:t>DOI: 10.1002/jmd2.70067</w:t>
            </w:r>
          </w:p>
        </w:tc>
        <w:tc>
          <w:tcPr>
            <w:tcW w:w="2477" w:type="pct"/>
          </w:tcPr>
          <w:p w14:paraId="305F9B26" w14:textId="77777777" w:rsidR="00F47498" w:rsidRPr="00F47498" w:rsidRDefault="00F47498" w:rsidP="00D1192C">
            <w:pPr>
              <w:rPr>
                <w:sz w:val="20"/>
              </w:rPr>
            </w:pPr>
            <w:r w:rsidRPr="00F47498">
              <w:rPr>
                <w:rFonts w:eastAsia="Arial"/>
                <w:sz w:val="20"/>
              </w:rPr>
              <w:t>Case report in PNPO deficiency describing dose-dependent hepatotoxicity from supraphysiologic PLP treatment. It is relevant to hepatotoxicity and sensitive metabolic-disease populations.</w:t>
            </w:r>
          </w:p>
        </w:tc>
      </w:tr>
      <w:tr w:rsidR="00F47498" w:rsidRPr="00F47498" w14:paraId="52D5DB36" w14:textId="77777777" w:rsidTr="00F47498">
        <w:tc>
          <w:tcPr>
            <w:tcW w:w="208" w:type="pct"/>
          </w:tcPr>
          <w:p w14:paraId="65E44A8B" w14:textId="1533BEE6" w:rsidR="00F47498" w:rsidRPr="00F47498" w:rsidRDefault="00F47498" w:rsidP="00D1192C">
            <w:pPr>
              <w:jc w:val="center"/>
              <w:rPr>
                <w:sz w:val="20"/>
              </w:rPr>
            </w:pPr>
            <w:r w:rsidRPr="00F47498">
              <w:rPr>
                <w:rFonts w:eastAsia="Arial"/>
                <w:sz w:val="20"/>
              </w:rPr>
              <w:lastRenderedPageBreak/>
              <w:t>2</w:t>
            </w:r>
            <w:r w:rsidR="002F24E0">
              <w:rPr>
                <w:rFonts w:eastAsia="Arial"/>
                <w:sz w:val="20"/>
              </w:rPr>
              <w:t>1</w:t>
            </w:r>
          </w:p>
        </w:tc>
        <w:tc>
          <w:tcPr>
            <w:tcW w:w="532" w:type="pct"/>
          </w:tcPr>
          <w:p w14:paraId="020CAC5D" w14:textId="2C926A41" w:rsidR="00F47498" w:rsidRPr="00F47498" w:rsidRDefault="00F47498" w:rsidP="00D1192C">
            <w:pPr>
              <w:rPr>
                <w:sz w:val="20"/>
              </w:rPr>
            </w:pPr>
            <w:r w:rsidRPr="00F47498">
              <w:rPr>
                <w:rFonts w:eastAsia="Arial"/>
                <w:sz w:val="20"/>
              </w:rPr>
              <w:t xml:space="preserve">Whyte </w:t>
            </w:r>
            <w:r w:rsidR="00F50723">
              <w:rPr>
                <w:rFonts w:eastAsia="Arial"/>
                <w:sz w:val="20"/>
              </w:rPr>
              <w:t xml:space="preserve">et al. </w:t>
            </w:r>
            <w:r w:rsidRPr="00F47498">
              <w:rPr>
                <w:rFonts w:eastAsia="Arial"/>
                <w:sz w:val="20"/>
              </w:rPr>
              <w:t>2024</w:t>
            </w:r>
          </w:p>
        </w:tc>
        <w:tc>
          <w:tcPr>
            <w:tcW w:w="1783" w:type="pct"/>
          </w:tcPr>
          <w:p w14:paraId="3B3D148C" w14:textId="77777777" w:rsidR="00F47498" w:rsidRPr="00F47498" w:rsidRDefault="00F47498" w:rsidP="00D1192C">
            <w:pPr>
              <w:rPr>
                <w:sz w:val="20"/>
              </w:rPr>
            </w:pPr>
            <w:r w:rsidRPr="00F47498">
              <w:rPr>
                <w:rFonts w:eastAsia="Arial"/>
                <w:b/>
                <w:sz w:val="20"/>
              </w:rPr>
              <w:t>Pyridoxine challenge reflects pediatric hypophosphatasia severity and thereby examines tissue-nonspecific alkaline phosphatase's role in vitamin B(6) metabolism</w:t>
            </w:r>
          </w:p>
          <w:p w14:paraId="314A1182" w14:textId="77777777" w:rsidR="00F47498" w:rsidRPr="00F47498" w:rsidRDefault="00F47498" w:rsidP="00D1192C">
            <w:pPr>
              <w:rPr>
                <w:sz w:val="20"/>
              </w:rPr>
            </w:pPr>
            <w:r w:rsidRPr="00F47498">
              <w:rPr>
                <w:rFonts w:eastAsia="Arial"/>
                <w:i/>
                <w:sz w:val="20"/>
              </w:rPr>
              <w:t>DOI: 10.1016/j.bone.2024.117033</w:t>
            </w:r>
          </w:p>
        </w:tc>
        <w:tc>
          <w:tcPr>
            <w:tcW w:w="2477" w:type="pct"/>
          </w:tcPr>
          <w:p w14:paraId="018E801F" w14:textId="77777777" w:rsidR="00F47498" w:rsidRPr="00F47498" w:rsidRDefault="00F47498" w:rsidP="00D1192C">
            <w:pPr>
              <w:rPr>
                <w:sz w:val="20"/>
              </w:rPr>
            </w:pPr>
            <w:r w:rsidRPr="00F47498">
              <w:rPr>
                <w:rFonts w:eastAsia="Arial"/>
                <w:sz w:val="20"/>
              </w:rPr>
              <w:t>Pyridoxine challenge study in children with hypophosphatasia, with comparison groups. It is useful for mechanistic and context information on altered vitamin B6 metabolism, but not for deriving a general-population UL.</w:t>
            </w:r>
          </w:p>
        </w:tc>
      </w:tr>
      <w:tr w:rsidR="00F47498" w:rsidRPr="00F47498" w14:paraId="101F4F34" w14:textId="77777777" w:rsidTr="00F47498">
        <w:tc>
          <w:tcPr>
            <w:tcW w:w="208" w:type="pct"/>
          </w:tcPr>
          <w:p w14:paraId="71477810" w14:textId="133D1B45" w:rsidR="00F47498" w:rsidRPr="00F47498" w:rsidRDefault="00F47498" w:rsidP="00D1192C">
            <w:pPr>
              <w:jc w:val="center"/>
              <w:rPr>
                <w:sz w:val="20"/>
              </w:rPr>
            </w:pPr>
            <w:r w:rsidRPr="00F47498">
              <w:rPr>
                <w:rFonts w:eastAsia="Arial"/>
                <w:sz w:val="20"/>
              </w:rPr>
              <w:t>2</w:t>
            </w:r>
            <w:r w:rsidR="002F24E0">
              <w:rPr>
                <w:rFonts w:eastAsia="Arial"/>
                <w:sz w:val="20"/>
              </w:rPr>
              <w:t>2</w:t>
            </w:r>
          </w:p>
        </w:tc>
        <w:tc>
          <w:tcPr>
            <w:tcW w:w="532" w:type="pct"/>
          </w:tcPr>
          <w:p w14:paraId="5DD5F41F" w14:textId="5CAE06A2" w:rsidR="00F47498" w:rsidRPr="00F47498" w:rsidRDefault="00F47498" w:rsidP="00D1192C">
            <w:pPr>
              <w:rPr>
                <w:sz w:val="20"/>
              </w:rPr>
            </w:pPr>
            <w:r w:rsidRPr="00F47498">
              <w:rPr>
                <w:rFonts w:eastAsia="Arial"/>
                <w:sz w:val="20"/>
              </w:rPr>
              <w:t xml:space="preserve">Zervou </w:t>
            </w:r>
            <w:r w:rsidR="00F50723">
              <w:rPr>
                <w:rFonts w:eastAsia="Arial"/>
                <w:sz w:val="20"/>
              </w:rPr>
              <w:t xml:space="preserve">et al. </w:t>
            </w:r>
            <w:r w:rsidRPr="00F47498">
              <w:rPr>
                <w:rFonts w:eastAsia="Arial"/>
                <w:sz w:val="20"/>
              </w:rPr>
              <w:t>2025</w:t>
            </w:r>
          </w:p>
        </w:tc>
        <w:tc>
          <w:tcPr>
            <w:tcW w:w="1783" w:type="pct"/>
          </w:tcPr>
          <w:p w14:paraId="74034245" w14:textId="77777777" w:rsidR="00F47498" w:rsidRPr="00F47498" w:rsidRDefault="00F47498" w:rsidP="00D1192C">
            <w:pPr>
              <w:rPr>
                <w:sz w:val="20"/>
              </w:rPr>
            </w:pPr>
            <w:r w:rsidRPr="00F47498">
              <w:rPr>
                <w:rFonts w:eastAsia="Arial"/>
                <w:b/>
                <w:sz w:val="20"/>
              </w:rPr>
              <w:t>Hypophosphatasia and neuropathic pain: related to vitamin B6 metabolism?</w:t>
            </w:r>
          </w:p>
          <w:p w14:paraId="3C123851" w14:textId="77777777" w:rsidR="00F47498" w:rsidRPr="00F47498" w:rsidRDefault="00F47498" w:rsidP="00D1192C">
            <w:pPr>
              <w:rPr>
                <w:sz w:val="20"/>
              </w:rPr>
            </w:pPr>
            <w:r w:rsidRPr="00F47498">
              <w:rPr>
                <w:rFonts w:eastAsia="Arial"/>
                <w:i/>
                <w:sz w:val="20"/>
              </w:rPr>
              <w:t>DOI: 10.1093/jbmrpl/ziaf086</w:t>
            </w:r>
          </w:p>
        </w:tc>
        <w:tc>
          <w:tcPr>
            <w:tcW w:w="2477" w:type="pct"/>
          </w:tcPr>
          <w:p w14:paraId="220760F5" w14:textId="77777777" w:rsidR="00F47498" w:rsidRPr="00F47498" w:rsidRDefault="00F47498" w:rsidP="00D1192C">
            <w:pPr>
              <w:rPr>
                <w:sz w:val="20"/>
              </w:rPr>
            </w:pPr>
            <w:r w:rsidRPr="00F47498">
              <w:rPr>
                <w:rFonts w:eastAsia="Arial"/>
                <w:sz w:val="20"/>
              </w:rPr>
              <w:t>Case series of adults with hypophosphatasia, neuropathic pain, and elevated serum B6/PLP. It is relevant to mechanistic links between PLP excess and neuropathy in a predisposing metabolic condition.</w:t>
            </w:r>
          </w:p>
        </w:tc>
      </w:tr>
      <w:tr w:rsidR="00F47498" w:rsidRPr="00F47498" w14:paraId="2B6787FD" w14:textId="77777777" w:rsidTr="00F47498">
        <w:tc>
          <w:tcPr>
            <w:tcW w:w="208" w:type="pct"/>
          </w:tcPr>
          <w:p w14:paraId="1C2E3A36" w14:textId="021F40F8" w:rsidR="00F47498" w:rsidRPr="00F47498" w:rsidRDefault="00F47498" w:rsidP="00D1192C">
            <w:pPr>
              <w:jc w:val="center"/>
              <w:rPr>
                <w:sz w:val="20"/>
              </w:rPr>
            </w:pPr>
            <w:r w:rsidRPr="00F47498">
              <w:rPr>
                <w:rFonts w:eastAsia="Arial"/>
                <w:sz w:val="20"/>
              </w:rPr>
              <w:t>2</w:t>
            </w:r>
            <w:r w:rsidR="002F24E0">
              <w:rPr>
                <w:rFonts w:eastAsia="Arial"/>
                <w:sz w:val="20"/>
              </w:rPr>
              <w:t>3</w:t>
            </w:r>
          </w:p>
        </w:tc>
        <w:tc>
          <w:tcPr>
            <w:tcW w:w="532" w:type="pct"/>
          </w:tcPr>
          <w:p w14:paraId="347BE590" w14:textId="7F0FA499" w:rsidR="00F47498" w:rsidRPr="00F47498" w:rsidRDefault="00F47498" w:rsidP="00D1192C">
            <w:pPr>
              <w:rPr>
                <w:sz w:val="20"/>
              </w:rPr>
            </w:pPr>
            <w:r w:rsidRPr="00F47498">
              <w:rPr>
                <w:rFonts w:eastAsia="Arial"/>
                <w:sz w:val="20"/>
              </w:rPr>
              <w:t xml:space="preserve">Gdynia </w:t>
            </w:r>
            <w:r w:rsidR="00F50723">
              <w:rPr>
                <w:rFonts w:eastAsia="Arial"/>
                <w:sz w:val="20"/>
              </w:rPr>
              <w:t xml:space="preserve">et al. </w:t>
            </w:r>
            <w:r w:rsidRPr="00F47498">
              <w:rPr>
                <w:rFonts w:eastAsia="Arial"/>
                <w:sz w:val="20"/>
              </w:rPr>
              <w:t>2025</w:t>
            </w:r>
          </w:p>
        </w:tc>
        <w:tc>
          <w:tcPr>
            <w:tcW w:w="1783" w:type="pct"/>
          </w:tcPr>
          <w:p w14:paraId="102284C8" w14:textId="77777777" w:rsidR="00F47498" w:rsidRPr="00F47498" w:rsidRDefault="00F47498" w:rsidP="00D1192C">
            <w:pPr>
              <w:rPr>
                <w:sz w:val="20"/>
              </w:rPr>
            </w:pPr>
            <w:r w:rsidRPr="00F47498">
              <w:rPr>
                <w:rFonts w:eastAsia="Arial"/>
                <w:b/>
                <w:sz w:val="20"/>
              </w:rPr>
              <w:t>Polyneuropathy due to Vitamin B6 hypervitaminosis: A case series and call for more education</w:t>
            </w:r>
          </w:p>
          <w:p w14:paraId="174C9A5E" w14:textId="77777777" w:rsidR="00F47498" w:rsidRPr="00F47498" w:rsidRDefault="00F47498" w:rsidP="00D1192C">
            <w:pPr>
              <w:rPr>
                <w:sz w:val="20"/>
              </w:rPr>
            </w:pPr>
            <w:r w:rsidRPr="00F47498">
              <w:rPr>
                <w:rFonts w:eastAsia="Arial"/>
                <w:i/>
                <w:sz w:val="20"/>
              </w:rPr>
              <w:t>DOI: Not available</w:t>
            </w:r>
          </w:p>
        </w:tc>
        <w:tc>
          <w:tcPr>
            <w:tcW w:w="2477" w:type="pct"/>
          </w:tcPr>
          <w:p w14:paraId="70CAB3FB" w14:textId="77777777" w:rsidR="00F47498" w:rsidRPr="00F47498" w:rsidRDefault="00F47498" w:rsidP="00D1192C">
            <w:pPr>
              <w:rPr>
                <w:sz w:val="20"/>
              </w:rPr>
            </w:pPr>
            <w:r w:rsidRPr="00F47498">
              <w:rPr>
                <w:rFonts w:eastAsia="Arial"/>
                <w:sz w:val="20"/>
              </w:rPr>
              <w:t>Case series of vitamin B6-associated sensorimotor polyneuropathy in older adults using over-the-counter supplements. It is relevant to the critical endpoint, including a low-dose chronic exposure case, but requires cautious appraisal for bias and indirectness.</w:t>
            </w:r>
          </w:p>
        </w:tc>
      </w:tr>
    </w:tbl>
    <w:p w14:paraId="55FE0A4B" w14:textId="77777777" w:rsidR="00F47498" w:rsidRPr="00F47498" w:rsidRDefault="00F47498" w:rsidP="00F47498">
      <w:pPr>
        <w:pStyle w:val="BodyText"/>
      </w:pPr>
    </w:p>
    <w:p w14:paraId="295DA7D9" w14:textId="77777777" w:rsidR="003077A8" w:rsidRDefault="003077A8" w:rsidP="00E50719">
      <w:pPr>
        <w:pStyle w:val="BodyText"/>
      </w:pPr>
    </w:p>
    <w:p w14:paraId="4B210282" w14:textId="348F61C3" w:rsidR="00F47498" w:rsidRDefault="00F47498" w:rsidP="00F47498">
      <w:pPr>
        <w:pStyle w:val="Heading8"/>
      </w:pPr>
      <w:bookmarkStart w:id="54" w:name="_Toc233022880"/>
      <w:r>
        <w:t xml:space="preserve">Excluded studies – </w:t>
      </w:r>
      <w:r w:rsidR="0094001F">
        <w:t xml:space="preserve">After </w:t>
      </w:r>
      <w:r>
        <w:t>full-text review</w:t>
      </w:r>
      <w:bookmarkEnd w:id="54"/>
    </w:p>
    <w:tbl>
      <w:tblPr>
        <w:tblStyle w:val="SLROption2"/>
        <w:tblW w:w="5000" w:type="pct"/>
        <w:tblLook w:val="04A0" w:firstRow="1" w:lastRow="0" w:firstColumn="1" w:lastColumn="0" w:noHBand="0" w:noVBand="1"/>
      </w:tblPr>
      <w:tblGrid>
        <w:gridCol w:w="569"/>
        <w:gridCol w:w="1514"/>
        <w:gridCol w:w="5553"/>
        <w:gridCol w:w="6308"/>
      </w:tblGrid>
      <w:tr w:rsidR="00882CA0" w:rsidRPr="00882CA0" w14:paraId="00BD8B79" w14:textId="77777777" w:rsidTr="00882CA0">
        <w:trPr>
          <w:cnfStyle w:val="100000000000" w:firstRow="1" w:lastRow="0" w:firstColumn="0" w:lastColumn="0" w:oddVBand="0" w:evenVBand="0" w:oddHBand="0" w:evenHBand="0" w:firstRowFirstColumn="0" w:firstRowLastColumn="0" w:lastRowFirstColumn="0" w:lastRowLastColumn="0"/>
        </w:trPr>
        <w:tc>
          <w:tcPr>
            <w:tcW w:w="204" w:type="pct"/>
          </w:tcPr>
          <w:p w14:paraId="1CC4634E" w14:textId="77777777" w:rsidR="00882CA0" w:rsidRPr="00882CA0" w:rsidRDefault="00882CA0" w:rsidP="00D1192C">
            <w:pPr>
              <w:rPr>
                <w:sz w:val="20"/>
              </w:rPr>
            </w:pPr>
            <w:r w:rsidRPr="00882CA0">
              <w:rPr>
                <w:b/>
                <w:sz w:val="20"/>
              </w:rPr>
              <w:t>No.</w:t>
            </w:r>
          </w:p>
        </w:tc>
        <w:tc>
          <w:tcPr>
            <w:tcW w:w="543" w:type="pct"/>
          </w:tcPr>
          <w:p w14:paraId="35227616" w14:textId="77777777" w:rsidR="00882CA0" w:rsidRPr="00882CA0" w:rsidRDefault="00882CA0" w:rsidP="00D1192C">
            <w:pPr>
              <w:rPr>
                <w:sz w:val="20"/>
              </w:rPr>
            </w:pPr>
            <w:r w:rsidRPr="00882CA0">
              <w:rPr>
                <w:b/>
                <w:sz w:val="20"/>
              </w:rPr>
              <w:t>Study</w:t>
            </w:r>
          </w:p>
        </w:tc>
        <w:tc>
          <w:tcPr>
            <w:tcW w:w="1991" w:type="pct"/>
          </w:tcPr>
          <w:p w14:paraId="0619002A" w14:textId="77777777" w:rsidR="00882CA0" w:rsidRPr="00882CA0" w:rsidRDefault="00882CA0" w:rsidP="00D1192C">
            <w:pPr>
              <w:rPr>
                <w:sz w:val="20"/>
              </w:rPr>
            </w:pPr>
            <w:r w:rsidRPr="00882CA0">
              <w:rPr>
                <w:b/>
                <w:sz w:val="20"/>
              </w:rPr>
              <w:t>Title</w:t>
            </w:r>
          </w:p>
        </w:tc>
        <w:tc>
          <w:tcPr>
            <w:tcW w:w="2262" w:type="pct"/>
          </w:tcPr>
          <w:p w14:paraId="0827FA64" w14:textId="77777777" w:rsidR="00882CA0" w:rsidRPr="00882CA0" w:rsidRDefault="00882CA0" w:rsidP="00D1192C">
            <w:pPr>
              <w:rPr>
                <w:sz w:val="20"/>
              </w:rPr>
            </w:pPr>
            <w:r w:rsidRPr="00882CA0">
              <w:rPr>
                <w:b/>
                <w:sz w:val="20"/>
              </w:rPr>
              <w:t>Notes</w:t>
            </w:r>
          </w:p>
        </w:tc>
      </w:tr>
      <w:tr w:rsidR="00882CA0" w:rsidRPr="00882CA0" w14:paraId="57739580" w14:textId="77777777" w:rsidTr="00882CA0">
        <w:tc>
          <w:tcPr>
            <w:tcW w:w="204" w:type="pct"/>
          </w:tcPr>
          <w:p w14:paraId="029C5CD4" w14:textId="77777777" w:rsidR="00882CA0" w:rsidRPr="00882CA0" w:rsidRDefault="00882CA0" w:rsidP="00D1192C">
            <w:pPr>
              <w:jc w:val="center"/>
              <w:rPr>
                <w:sz w:val="20"/>
              </w:rPr>
            </w:pPr>
            <w:r w:rsidRPr="00882CA0">
              <w:rPr>
                <w:rFonts w:eastAsia="Arial"/>
                <w:sz w:val="20"/>
              </w:rPr>
              <w:t>1</w:t>
            </w:r>
          </w:p>
        </w:tc>
        <w:tc>
          <w:tcPr>
            <w:tcW w:w="543" w:type="pct"/>
          </w:tcPr>
          <w:p w14:paraId="43A1E983" w14:textId="0AF522B9" w:rsidR="00882CA0" w:rsidRPr="00882CA0" w:rsidRDefault="00AE1649" w:rsidP="00D1192C">
            <w:pPr>
              <w:rPr>
                <w:sz w:val="20"/>
              </w:rPr>
            </w:pPr>
            <w:r>
              <w:rPr>
                <w:sz w:val="20"/>
              </w:rPr>
              <w:t>-</w:t>
            </w:r>
          </w:p>
        </w:tc>
        <w:tc>
          <w:tcPr>
            <w:tcW w:w="1991" w:type="pct"/>
          </w:tcPr>
          <w:p w14:paraId="35882A48" w14:textId="77777777" w:rsidR="00882CA0" w:rsidRPr="00882CA0" w:rsidRDefault="00882CA0" w:rsidP="00D1192C">
            <w:pPr>
              <w:rPr>
                <w:sz w:val="20"/>
              </w:rPr>
            </w:pPr>
            <w:r w:rsidRPr="00882CA0">
              <w:rPr>
                <w:rFonts w:eastAsia="Arial"/>
                <w:b/>
                <w:sz w:val="20"/>
              </w:rPr>
              <w:t>Vitamin B(6)</w:t>
            </w:r>
          </w:p>
        </w:tc>
        <w:tc>
          <w:tcPr>
            <w:tcW w:w="2262" w:type="pct"/>
          </w:tcPr>
          <w:p w14:paraId="43CAD5A9" w14:textId="77777777" w:rsidR="00882CA0" w:rsidRPr="00882CA0" w:rsidRDefault="00882CA0" w:rsidP="00D1192C">
            <w:pPr>
              <w:rPr>
                <w:sz w:val="20"/>
              </w:rPr>
            </w:pPr>
            <w:r w:rsidRPr="00882CA0">
              <w:rPr>
                <w:rFonts w:eastAsia="Arial"/>
                <w:sz w:val="20"/>
              </w:rPr>
              <w:t>Excluded because the article focuses on vitamin B6 adequacy and lactation transfer rather than adverse effects of excess intake or evidence relevant to UL derivation.</w:t>
            </w:r>
          </w:p>
        </w:tc>
      </w:tr>
      <w:tr w:rsidR="00882CA0" w:rsidRPr="00882CA0" w14:paraId="07520C7B" w14:textId="77777777" w:rsidTr="00882CA0">
        <w:tc>
          <w:tcPr>
            <w:tcW w:w="204" w:type="pct"/>
          </w:tcPr>
          <w:p w14:paraId="083B38EE" w14:textId="77777777" w:rsidR="00882CA0" w:rsidRPr="00882CA0" w:rsidRDefault="00882CA0" w:rsidP="00D1192C">
            <w:pPr>
              <w:jc w:val="center"/>
              <w:rPr>
                <w:sz w:val="20"/>
              </w:rPr>
            </w:pPr>
            <w:r w:rsidRPr="00882CA0">
              <w:rPr>
                <w:rFonts w:eastAsia="Arial"/>
                <w:sz w:val="20"/>
              </w:rPr>
              <w:t>2</w:t>
            </w:r>
          </w:p>
        </w:tc>
        <w:tc>
          <w:tcPr>
            <w:tcW w:w="543" w:type="pct"/>
          </w:tcPr>
          <w:p w14:paraId="6303A560" w14:textId="02CC1674" w:rsidR="00882CA0" w:rsidRPr="00882CA0" w:rsidRDefault="00AE1649" w:rsidP="00D1192C">
            <w:pPr>
              <w:rPr>
                <w:sz w:val="20"/>
              </w:rPr>
            </w:pPr>
            <w:r>
              <w:rPr>
                <w:sz w:val="20"/>
              </w:rPr>
              <w:t>-</w:t>
            </w:r>
          </w:p>
        </w:tc>
        <w:tc>
          <w:tcPr>
            <w:tcW w:w="1991" w:type="pct"/>
          </w:tcPr>
          <w:p w14:paraId="1DEC4671" w14:textId="77777777" w:rsidR="00882CA0" w:rsidRPr="00882CA0" w:rsidRDefault="00882CA0" w:rsidP="00D1192C">
            <w:pPr>
              <w:rPr>
                <w:sz w:val="20"/>
              </w:rPr>
            </w:pPr>
            <w:r w:rsidRPr="00882CA0">
              <w:rPr>
                <w:rFonts w:eastAsia="Arial"/>
                <w:b/>
                <w:sz w:val="20"/>
              </w:rPr>
              <w:t>Vitamin B6 Supplementation Reduces Symptoms of Depression in College Women Taking Oral Contraceptives: A Randomized, Double-Blind Crossover Trial</w:t>
            </w:r>
            <w:r w:rsidRPr="00882CA0">
              <w:rPr>
                <w:sz w:val="20"/>
              </w:rPr>
              <w:br/>
            </w:r>
            <w:r w:rsidRPr="00882CA0">
              <w:rPr>
                <w:rFonts w:eastAsia="Arial"/>
                <w:sz w:val="20"/>
              </w:rPr>
              <w:t>DOI: 10.1080/19390211.2022.2030843</w:t>
            </w:r>
          </w:p>
        </w:tc>
        <w:tc>
          <w:tcPr>
            <w:tcW w:w="2262" w:type="pct"/>
          </w:tcPr>
          <w:p w14:paraId="0C572C7A" w14:textId="77777777" w:rsidR="00882CA0" w:rsidRPr="00882CA0" w:rsidRDefault="00882CA0" w:rsidP="00D1192C">
            <w:pPr>
              <w:rPr>
                <w:sz w:val="20"/>
              </w:rPr>
            </w:pPr>
            <w:r w:rsidRPr="00882CA0">
              <w:rPr>
                <w:rFonts w:eastAsia="Arial"/>
                <w:sz w:val="20"/>
              </w:rPr>
              <w:t>Excluded because the study evaluates efficacy of vitamin B6 supplementation for depression and does not report adverse effects or neuropathy outcomes relevant to UL derivation. The available record also appears to provide insufficient methodological detail.</w:t>
            </w:r>
          </w:p>
        </w:tc>
      </w:tr>
      <w:tr w:rsidR="00882CA0" w:rsidRPr="00882CA0" w14:paraId="0B66B8F0" w14:textId="77777777" w:rsidTr="00882CA0">
        <w:tc>
          <w:tcPr>
            <w:tcW w:w="204" w:type="pct"/>
          </w:tcPr>
          <w:p w14:paraId="71B57B16" w14:textId="77777777" w:rsidR="00882CA0" w:rsidRPr="00882CA0" w:rsidRDefault="00882CA0" w:rsidP="00D1192C">
            <w:pPr>
              <w:jc w:val="center"/>
              <w:rPr>
                <w:sz w:val="20"/>
              </w:rPr>
            </w:pPr>
            <w:r w:rsidRPr="00882CA0">
              <w:rPr>
                <w:rFonts w:eastAsia="Arial"/>
                <w:sz w:val="20"/>
              </w:rPr>
              <w:t>3</w:t>
            </w:r>
          </w:p>
        </w:tc>
        <w:tc>
          <w:tcPr>
            <w:tcW w:w="543" w:type="pct"/>
          </w:tcPr>
          <w:p w14:paraId="5A3FE1DE" w14:textId="77777777" w:rsidR="00882CA0" w:rsidRPr="00882CA0" w:rsidRDefault="00882CA0" w:rsidP="00D1192C">
            <w:pPr>
              <w:rPr>
                <w:sz w:val="20"/>
              </w:rPr>
            </w:pPr>
            <w:r w:rsidRPr="00882CA0">
              <w:rPr>
                <w:rFonts w:eastAsia="Arial"/>
                <w:sz w:val="20"/>
              </w:rPr>
              <w:t>Abosamak 2026</w:t>
            </w:r>
          </w:p>
        </w:tc>
        <w:tc>
          <w:tcPr>
            <w:tcW w:w="1991" w:type="pct"/>
          </w:tcPr>
          <w:p w14:paraId="5FC8EA9F" w14:textId="77777777" w:rsidR="00882CA0" w:rsidRPr="00882CA0" w:rsidRDefault="00882CA0" w:rsidP="00D1192C">
            <w:pPr>
              <w:rPr>
                <w:sz w:val="20"/>
              </w:rPr>
            </w:pPr>
            <w:r w:rsidRPr="00882CA0">
              <w:rPr>
                <w:rFonts w:eastAsia="Arial"/>
                <w:b/>
                <w:sz w:val="20"/>
              </w:rPr>
              <w:t>Vitamin B6 (Pyridoxine)</w:t>
            </w:r>
          </w:p>
        </w:tc>
        <w:tc>
          <w:tcPr>
            <w:tcW w:w="2262" w:type="pct"/>
          </w:tcPr>
          <w:p w14:paraId="39DDC1F5" w14:textId="77777777" w:rsidR="00882CA0" w:rsidRPr="00882CA0" w:rsidRDefault="00882CA0" w:rsidP="00D1192C">
            <w:pPr>
              <w:rPr>
                <w:sz w:val="20"/>
              </w:rPr>
            </w:pPr>
            <w:r w:rsidRPr="00882CA0">
              <w:rPr>
                <w:rFonts w:eastAsia="Arial"/>
                <w:sz w:val="20"/>
              </w:rPr>
              <w:t xml:space="preserve">Excluded because this is a broad clinical overview of pyridoxine use. Although adverse effects and monitoring are mentioned, it does not </w:t>
            </w:r>
            <w:r w:rsidRPr="00882CA0">
              <w:rPr>
                <w:rFonts w:eastAsia="Arial"/>
                <w:sz w:val="20"/>
              </w:rPr>
              <w:lastRenderedPageBreak/>
              <w:t>provide specific evidence on excess intake or adverse health outcomes relevant to UL derivation.</w:t>
            </w:r>
          </w:p>
        </w:tc>
      </w:tr>
      <w:tr w:rsidR="00882CA0" w:rsidRPr="00882CA0" w14:paraId="1D4A9E05" w14:textId="77777777" w:rsidTr="00882CA0">
        <w:tc>
          <w:tcPr>
            <w:tcW w:w="204" w:type="pct"/>
          </w:tcPr>
          <w:p w14:paraId="7ED175FF" w14:textId="77777777" w:rsidR="00882CA0" w:rsidRPr="00882CA0" w:rsidRDefault="00882CA0" w:rsidP="00D1192C">
            <w:pPr>
              <w:jc w:val="center"/>
              <w:rPr>
                <w:sz w:val="20"/>
              </w:rPr>
            </w:pPr>
            <w:r w:rsidRPr="00882CA0">
              <w:rPr>
                <w:rFonts w:eastAsia="Arial"/>
                <w:sz w:val="20"/>
              </w:rPr>
              <w:lastRenderedPageBreak/>
              <w:t>4</w:t>
            </w:r>
          </w:p>
        </w:tc>
        <w:tc>
          <w:tcPr>
            <w:tcW w:w="543" w:type="pct"/>
          </w:tcPr>
          <w:p w14:paraId="44A8BB49" w14:textId="2B826442" w:rsidR="00882CA0" w:rsidRPr="00882CA0" w:rsidRDefault="00882CA0" w:rsidP="00D1192C">
            <w:pPr>
              <w:rPr>
                <w:sz w:val="20"/>
              </w:rPr>
            </w:pPr>
            <w:r w:rsidRPr="00882CA0">
              <w:rPr>
                <w:rFonts w:eastAsia="Arial"/>
                <w:sz w:val="20"/>
              </w:rPr>
              <w:t xml:space="preserve">Ali </w:t>
            </w:r>
            <w:r w:rsidR="0054100A">
              <w:rPr>
                <w:rFonts w:eastAsia="Arial"/>
                <w:sz w:val="20"/>
              </w:rPr>
              <w:t xml:space="preserve">et al. </w:t>
            </w:r>
            <w:r w:rsidRPr="00882CA0">
              <w:rPr>
                <w:rFonts w:eastAsia="Arial"/>
                <w:sz w:val="20"/>
              </w:rPr>
              <w:t>2022</w:t>
            </w:r>
          </w:p>
        </w:tc>
        <w:tc>
          <w:tcPr>
            <w:tcW w:w="1991" w:type="pct"/>
          </w:tcPr>
          <w:p w14:paraId="1825BEE8" w14:textId="77777777" w:rsidR="00882CA0" w:rsidRPr="00882CA0" w:rsidRDefault="00882CA0" w:rsidP="00D1192C">
            <w:pPr>
              <w:rPr>
                <w:sz w:val="20"/>
              </w:rPr>
            </w:pPr>
            <w:r w:rsidRPr="00882CA0">
              <w:rPr>
                <w:rFonts w:eastAsia="Arial"/>
                <w:b/>
                <w:sz w:val="20"/>
              </w:rPr>
              <w:t>Dietary Vitamin B Complex: Orchestration in Human Nutrition throughout Life with Sex Differences</w:t>
            </w:r>
            <w:r w:rsidRPr="00882CA0">
              <w:rPr>
                <w:sz w:val="20"/>
              </w:rPr>
              <w:br/>
            </w:r>
            <w:r w:rsidRPr="00882CA0">
              <w:rPr>
                <w:rFonts w:eastAsia="Arial"/>
                <w:sz w:val="20"/>
              </w:rPr>
              <w:t>DOI: 10.3390/nu14193940</w:t>
            </w:r>
          </w:p>
        </w:tc>
        <w:tc>
          <w:tcPr>
            <w:tcW w:w="2262" w:type="pct"/>
          </w:tcPr>
          <w:p w14:paraId="7B198685" w14:textId="77777777" w:rsidR="00882CA0" w:rsidRPr="00882CA0" w:rsidRDefault="00882CA0" w:rsidP="00D1192C">
            <w:pPr>
              <w:rPr>
                <w:sz w:val="20"/>
              </w:rPr>
            </w:pPr>
            <w:r w:rsidRPr="00882CA0">
              <w:rPr>
                <w:rFonts w:eastAsia="Arial"/>
                <w:sz w:val="20"/>
              </w:rPr>
              <w:t>Excluded because the review focuses on B-vitamin adequacy, deficiency and potential protective effects across life stages. It does not provide data on adverse effects of excess vitamin B6 intake or UL derivation.</w:t>
            </w:r>
          </w:p>
        </w:tc>
      </w:tr>
      <w:tr w:rsidR="00882CA0" w:rsidRPr="00882CA0" w14:paraId="1C6499A2" w14:textId="77777777" w:rsidTr="00882CA0">
        <w:tc>
          <w:tcPr>
            <w:tcW w:w="204" w:type="pct"/>
          </w:tcPr>
          <w:p w14:paraId="529CE97A" w14:textId="77777777" w:rsidR="00882CA0" w:rsidRPr="00882CA0" w:rsidRDefault="00882CA0" w:rsidP="00D1192C">
            <w:pPr>
              <w:jc w:val="center"/>
              <w:rPr>
                <w:sz w:val="20"/>
              </w:rPr>
            </w:pPr>
            <w:r w:rsidRPr="00882CA0">
              <w:rPr>
                <w:rFonts w:eastAsia="Arial"/>
                <w:sz w:val="20"/>
              </w:rPr>
              <w:t>5</w:t>
            </w:r>
          </w:p>
        </w:tc>
        <w:tc>
          <w:tcPr>
            <w:tcW w:w="543" w:type="pct"/>
          </w:tcPr>
          <w:p w14:paraId="68B5C7FB" w14:textId="11A246EE" w:rsidR="00882CA0" w:rsidRPr="00882CA0" w:rsidRDefault="00882CA0" w:rsidP="00D1192C">
            <w:pPr>
              <w:rPr>
                <w:sz w:val="20"/>
              </w:rPr>
            </w:pPr>
            <w:r w:rsidRPr="00882CA0">
              <w:rPr>
                <w:rFonts w:eastAsia="Arial"/>
                <w:sz w:val="20"/>
              </w:rPr>
              <w:t xml:space="preserve">Ali </w:t>
            </w:r>
            <w:r w:rsidR="0054100A">
              <w:rPr>
                <w:rFonts w:eastAsia="Arial"/>
                <w:sz w:val="20"/>
              </w:rPr>
              <w:t xml:space="preserve">et al. </w:t>
            </w:r>
            <w:r w:rsidRPr="00882CA0">
              <w:rPr>
                <w:rFonts w:eastAsia="Arial"/>
                <w:sz w:val="20"/>
              </w:rPr>
              <w:t>2026</w:t>
            </w:r>
          </w:p>
        </w:tc>
        <w:tc>
          <w:tcPr>
            <w:tcW w:w="1991" w:type="pct"/>
          </w:tcPr>
          <w:p w14:paraId="20C5E025" w14:textId="77777777" w:rsidR="00882CA0" w:rsidRPr="00882CA0" w:rsidRDefault="00882CA0" w:rsidP="00D1192C">
            <w:pPr>
              <w:rPr>
                <w:sz w:val="20"/>
              </w:rPr>
            </w:pPr>
            <w:r w:rsidRPr="00882CA0">
              <w:rPr>
                <w:rFonts w:eastAsia="Arial"/>
                <w:b/>
                <w:sz w:val="20"/>
              </w:rPr>
              <w:t>Novel reference method for precise determination of tryptophanase activity</w:t>
            </w:r>
            <w:r w:rsidRPr="00882CA0">
              <w:rPr>
                <w:sz w:val="20"/>
              </w:rPr>
              <w:br/>
            </w:r>
            <w:r w:rsidRPr="00882CA0">
              <w:rPr>
                <w:rFonts w:eastAsia="Arial"/>
                <w:sz w:val="20"/>
              </w:rPr>
              <w:t>DOI: 10.1093/biomethods/bpag017</w:t>
            </w:r>
          </w:p>
        </w:tc>
        <w:tc>
          <w:tcPr>
            <w:tcW w:w="2262" w:type="pct"/>
          </w:tcPr>
          <w:p w14:paraId="6234BDDC" w14:textId="77777777" w:rsidR="00882CA0" w:rsidRPr="00882CA0" w:rsidRDefault="00882CA0" w:rsidP="00D1192C">
            <w:pPr>
              <w:rPr>
                <w:sz w:val="20"/>
              </w:rPr>
            </w:pPr>
            <w:r w:rsidRPr="00882CA0">
              <w:rPr>
                <w:rFonts w:eastAsia="Arial"/>
                <w:sz w:val="20"/>
              </w:rPr>
              <w:t>Excluded because this is an analytical method-development study using PLP as a cofactor. It does not address vitamin B6 intake, supplementation, adverse effects or health endpoints relevant to UL derivation.</w:t>
            </w:r>
          </w:p>
        </w:tc>
      </w:tr>
      <w:tr w:rsidR="00882CA0" w:rsidRPr="00882CA0" w14:paraId="68A67CFC" w14:textId="77777777" w:rsidTr="00882CA0">
        <w:tc>
          <w:tcPr>
            <w:tcW w:w="204" w:type="pct"/>
          </w:tcPr>
          <w:p w14:paraId="5A66A73A" w14:textId="77777777" w:rsidR="00882CA0" w:rsidRPr="00882CA0" w:rsidRDefault="00882CA0" w:rsidP="00D1192C">
            <w:pPr>
              <w:jc w:val="center"/>
              <w:rPr>
                <w:sz w:val="20"/>
              </w:rPr>
            </w:pPr>
            <w:r w:rsidRPr="00882CA0">
              <w:rPr>
                <w:rFonts w:eastAsia="Arial"/>
                <w:sz w:val="20"/>
              </w:rPr>
              <w:t>6</w:t>
            </w:r>
          </w:p>
        </w:tc>
        <w:tc>
          <w:tcPr>
            <w:tcW w:w="543" w:type="pct"/>
          </w:tcPr>
          <w:p w14:paraId="2F2A51EF" w14:textId="4A9B888D" w:rsidR="00882CA0" w:rsidRPr="00882CA0" w:rsidRDefault="00882CA0" w:rsidP="00D1192C">
            <w:pPr>
              <w:rPr>
                <w:sz w:val="20"/>
              </w:rPr>
            </w:pPr>
            <w:r w:rsidRPr="00882CA0">
              <w:rPr>
                <w:rFonts w:eastAsia="Arial"/>
                <w:sz w:val="20"/>
              </w:rPr>
              <w:t xml:space="preserve">Alvarez </w:t>
            </w:r>
            <w:r w:rsidR="0054100A">
              <w:rPr>
                <w:rFonts w:eastAsia="Arial"/>
                <w:sz w:val="20"/>
              </w:rPr>
              <w:t xml:space="preserve">et al. </w:t>
            </w:r>
            <w:r w:rsidRPr="00882CA0">
              <w:rPr>
                <w:rFonts w:eastAsia="Arial"/>
                <w:sz w:val="20"/>
              </w:rPr>
              <w:t>2026</w:t>
            </w:r>
          </w:p>
        </w:tc>
        <w:tc>
          <w:tcPr>
            <w:tcW w:w="1991" w:type="pct"/>
          </w:tcPr>
          <w:p w14:paraId="05960CF4" w14:textId="77777777" w:rsidR="00882CA0" w:rsidRPr="00882CA0" w:rsidRDefault="00882CA0" w:rsidP="00D1192C">
            <w:pPr>
              <w:rPr>
                <w:sz w:val="20"/>
              </w:rPr>
            </w:pPr>
            <w:r w:rsidRPr="00882CA0">
              <w:rPr>
                <w:rFonts w:eastAsia="Arial"/>
                <w:b/>
                <w:sz w:val="20"/>
              </w:rPr>
              <w:t>B Vitamin Deficiencies and Associated Neuropathies</w:t>
            </w:r>
            <w:r w:rsidRPr="00882CA0">
              <w:rPr>
                <w:sz w:val="20"/>
              </w:rPr>
              <w:br/>
            </w:r>
            <w:r w:rsidRPr="00882CA0">
              <w:rPr>
                <w:rFonts w:eastAsia="Arial"/>
                <w:sz w:val="20"/>
              </w:rPr>
              <w:t>DOI: 10.1007/s13668-025-00723-3</w:t>
            </w:r>
          </w:p>
        </w:tc>
        <w:tc>
          <w:tcPr>
            <w:tcW w:w="2262" w:type="pct"/>
          </w:tcPr>
          <w:p w14:paraId="687B98EC" w14:textId="77777777" w:rsidR="00882CA0" w:rsidRPr="00882CA0" w:rsidRDefault="00882CA0" w:rsidP="00D1192C">
            <w:pPr>
              <w:rPr>
                <w:sz w:val="20"/>
              </w:rPr>
            </w:pPr>
            <w:r w:rsidRPr="00882CA0">
              <w:rPr>
                <w:rFonts w:eastAsia="Arial"/>
                <w:sz w:val="20"/>
              </w:rPr>
              <w:t>Excluded because this is a narrative review on B-vitamin deficiencies and associated neuropathies. It may provide contextual mechanistic information, but it does not provide primary quantitative toxicity or dose-response data.</w:t>
            </w:r>
          </w:p>
        </w:tc>
      </w:tr>
      <w:tr w:rsidR="00882CA0" w:rsidRPr="00882CA0" w14:paraId="41CBFC59" w14:textId="77777777" w:rsidTr="00882CA0">
        <w:tc>
          <w:tcPr>
            <w:tcW w:w="204" w:type="pct"/>
          </w:tcPr>
          <w:p w14:paraId="5615B4ED" w14:textId="77777777" w:rsidR="00882CA0" w:rsidRPr="00882CA0" w:rsidRDefault="00882CA0" w:rsidP="00D1192C">
            <w:pPr>
              <w:jc w:val="center"/>
              <w:rPr>
                <w:sz w:val="20"/>
              </w:rPr>
            </w:pPr>
            <w:r w:rsidRPr="00882CA0">
              <w:rPr>
                <w:rFonts w:eastAsia="Arial"/>
                <w:sz w:val="20"/>
              </w:rPr>
              <w:t>7</w:t>
            </w:r>
          </w:p>
        </w:tc>
        <w:tc>
          <w:tcPr>
            <w:tcW w:w="543" w:type="pct"/>
          </w:tcPr>
          <w:p w14:paraId="19CAB8B9" w14:textId="0740E223" w:rsidR="00882CA0" w:rsidRPr="00882CA0" w:rsidRDefault="00882CA0" w:rsidP="00D1192C">
            <w:pPr>
              <w:rPr>
                <w:sz w:val="20"/>
              </w:rPr>
            </w:pPr>
            <w:r w:rsidRPr="00882CA0">
              <w:rPr>
                <w:rFonts w:eastAsia="Arial"/>
                <w:sz w:val="20"/>
              </w:rPr>
              <w:t xml:space="preserve">Berger </w:t>
            </w:r>
            <w:r w:rsidR="0054100A">
              <w:rPr>
                <w:rFonts w:eastAsia="Arial"/>
                <w:sz w:val="20"/>
              </w:rPr>
              <w:t xml:space="preserve">et al. </w:t>
            </w:r>
            <w:r w:rsidRPr="00882CA0">
              <w:rPr>
                <w:rFonts w:eastAsia="Arial"/>
                <w:sz w:val="20"/>
              </w:rPr>
              <w:t>2022</w:t>
            </w:r>
          </w:p>
        </w:tc>
        <w:tc>
          <w:tcPr>
            <w:tcW w:w="1991" w:type="pct"/>
          </w:tcPr>
          <w:p w14:paraId="111D55C5" w14:textId="77777777" w:rsidR="00882CA0" w:rsidRPr="00882CA0" w:rsidRDefault="00882CA0" w:rsidP="00D1192C">
            <w:pPr>
              <w:rPr>
                <w:sz w:val="20"/>
              </w:rPr>
            </w:pPr>
            <w:r w:rsidRPr="00882CA0">
              <w:rPr>
                <w:rFonts w:eastAsia="Arial"/>
                <w:b/>
                <w:sz w:val="20"/>
              </w:rPr>
              <w:t>ESPEN micronutrient guideline</w:t>
            </w:r>
            <w:r w:rsidRPr="00882CA0">
              <w:rPr>
                <w:sz w:val="20"/>
              </w:rPr>
              <w:br/>
            </w:r>
            <w:r w:rsidRPr="00882CA0">
              <w:rPr>
                <w:rFonts w:eastAsia="Arial"/>
                <w:sz w:val="20"/>
              </w:rPr>
              <w:t>DOI: 10.1016/j.clnu.2022.02.015</w:t>
            </w:r>
          </w:p>
        </w:tc>
        <w:tc>
          <w:tcPr>
            <w:tcW w:w="2262" w:type="pct"/>
          </w:tcPr>
          <w:p w14:paraId="2D7021C3" w14:textId="77777777" w:rsidR="00882CA0" w:rsidRPr="00882CA0" w:rsidRDefault="00882CA0" w:rsidP="00D1192C">
            <w:pPr>
              <w:rPr>
                <w:sz w:val="20"/>
              </w:rPr>
            </w:pPr>
            <w:r w:rsidRPr="00882CA0">
              <w:rPr>
                <w:rFonts w:eastAsia="Arial"/>
                <w:sz w:val="20"/>
              </w:rPr>
              <w:t>Excluded because this clinical nutrition guideline mainly addresses deficiency, enteral/parenteral nutrition dosing and biomarkers. It restates existing toxicity information and IOM values but does not derive a new UL or provide original dose-response data.</w:t>
            </w:r>
          </w:p>
        </w:tc>
      </w:tr>
      <w:tr w:rsidR="00882CA0" w:rsidRPr="00882CA0" w14:paraId="01FED33C" w14:textId="77777777" w:rsidTr="00882CA0">
        <w:tc>
          <w:tcPr>
            <w:tcW w:w="204" w:type="pct"/>
          </w:tcPr>
          <w:p w14:paraId="499CB940" w14:textId="77777777" w:rsidR="00882CA0" w:rsidRPr="00882CA0" w:rsidRDefault="00882CA0" w:rsidP="00D1192C">
            <w:pPr>
              <w:jc w:val="center"/>
              <w:rPr>
                <w:sz w:val="20"/>
              </w:rPr>
            </w:pPr>
            <w:r w:rsidRPr="00882CA0">
              <w:rPr>
                <w:rFonts w:eastAsia="Arial"/>
                <w:sz w:val="20"/>
              </w:rPr>
              <w:t>8</w:t>
            </w:r>
          </w:p>
        </w:tc>
        <w:tc>
          <w:tcPr>
            <w:tcW w:w="543" w:type="pct"/>
          </w:tcPr>
          <w:p w14:paraId="1C7B9AB4" w14:textId="77777777" w:rsidR="00882CA0" w:rsidRPr="00882CA0" w:rsidRDefault="00882CA0" w:rsidP="00D1192C">
            <w:pPr>
              <w:rPr>
                <w:sz w:val="20"/>
              </w:rPr>
            </w:pPr>
            <w:r w:rsidRPr="00882CA0">
              <w:rPr>
                <w:rFonts w:eastAsia="Arial"/>
                <w:sz w:val="20"/>
              </w:rPr>
              <w:t>Bjørke-Monsen 2023</w:t>
            </w:r>
          </w:p>
        </w:tc>
        <w:tc>
          <w:tcPr>
            <w:tcW w:w="1991" w:type="pct"/>
          </w:tcPr>
          <w:p w14:paraId="4CEAA5AF" w14:textId="77777777" w:rsidR="00882CA0" w:rsidRPr="00882CA0" w:rsidRDefault="00882CA0" w:rsidP="00D1192C">
            <w:pPr>
              <w:rPr>
                <w:sz w:val="20"/>
              </w:rPr>
            </w:pPr>
            <w:r w:rsidRPr="00882CA0">
              <w:rPr>
                <w:rFonts w:eastAsia="Arial"/>
                <w:b/>
                <w:sz w:val="20"/>
              </w:rPr>
              <w:t>Vitamin B(6): a scoping review for Nordic Nutrition Recommendations 2023</w:t>
            </w:r>
            <w:r w:rsidRPr="00882CA0">
              <w:rPr>
                <w:sz w:val="20"/>
              </w:rPr>
              <w:br/>
            </w:r>
            <w:r w:rsidRPr="00882CA0">
              <w:rPr>
                <w:rFonts w:eastAsia="Arial"/>
                <w:sz w:val="20"/>
              </w:rPr>
              <w:t>DOI: 10.29219/fnr.v67.10259</w:t>
            </w:r>
          </w:p>
        </w:tc>
        <w:tc>
          <w:tcPr>
            <w:tcW w:w="2262" w:type="pct"/>
          </w:tcPr>
          <w:p w14:paraId="60E3108D" w14:textId="77777777" w:rsidR="00882CA0" w:rsidRPr="00882CA0" w:rsidRDefault="00882CA0" w:rsidP="00D1192C">
            <w:pPr>
              <w:rPr>
                <w:sz w:val="20"/>
              </w:rPr>
            </w:pPr>
            <w:r w:rsidRPr="00882CA0">
              <w:rPr>
                <w:rFonts w:eastAsia="Arial"/>
                <w:sz w:val="20"/>
              </w:rPr>
              <w:t>Excluded because this scoping/narrative review focuses on vitamin B6 status markers and adequate intake. It does not address excess intake, neuropathy or UL derivation, although it may be useful for backward citation checking.</w:t>
            </w:r>
          </w:p>
        </w:tc>
      </w:tr>
      <w:tr w:rsidR="00882CA0" w:rsidRPr="00882CA0" w14:paraId="7A392C20" w14:textId="77777777" w:rsidTr="00882CA0">
        <w:tc>
          <w:tcPr>
            <w:tcW w:w="204" w:type="pct"/>
          </w:tcPr>
          <w:p w14:paraId="27FA4864" w14:textId="77777777" w:rsidR="00882CA0" w:rsidRPr="00882CA0" w:rsidRDefault="00882CA0" w:rsidP="00D1192C">
            <w:pPr>
              <w:jc w:val="center"/>
              <w:rPr>
                <w:sz w:val="20"/>
              </w:rPr>
            </w:pPr>
            <w:r w:rsidRPr="00882CA0">
              <w:rPr>
                <w:rFonts w:eastAsia="Arial"/>
                <w:sz w:val="20"/>
              </w:rPr>
              <w:t>9</w:t>
            </w:r>
          </w:p>
        </w:tc>
        <w:tc>
          <w:tcPr>
            <w:tcW w:w="543" w:type="pct"/>
          </w:tcPr>
          <w:p w14:paraId="47B7E285" w14:textId="38564D09" w:rsidR="00882CA0" w:rsidRPr="00882CA0" w:rsidRDefault="00882CA0" w:rsidP="00D1192C">
            <w:pPr>
              <w:rPr>
                <w:sz w:val="20"/>
              </w:rPr>
            </w:pPr>
            <w:r w:rsidRPr="00882CA0">
              <w:rPr>
                <w:rFonts w:eastAsia="Arial"/>
                <w:sz w:val="20"/>
              </w:rPr>
              <w:t xml:space="preserve">Brown </w:t>
            </w:r>
            <w:r w:rsidR="0054100A">
              <w:rPr>
                <w:rFonts w:eastAsia="Arial"/>
                <w:sz w:val="20"/>
              </w:rPr>
              <w:t xml:space="preserve">et al. </w:t>
            </w:r>
            <w:r w:rsidRPr="00882CA0">
              <w:rPr>
                <w:rFonts w:eastAsia="Arial"/>
                <w:sz w:val="20"/>
              </w:rPr>
              <w:t>2026</w:t>
            </w:r>
          </w:p>
        </w:tc>
        <w:tc>
          <w:tcPr>
            <w:tcW w:w="1991" w:type="pct"/>
          </w:tcPr>
          <w:p w14:paraId="7479F004" w14:textId="77777777" w:rsidR="00882CA0" w:rsidRPr="00882CA0" w:rsidRDefault="00882CA0" w:rsidP="00D1192C">
            <w:pPr>
              <w:rPr>
                <w:sz w:val="20"/>
              </w:rPr>
            </w:pPr>
            <w:r w:rsidRPr="00882CA0">
              <w:rPr>
                <w:rFonts w:eastAsia="Arial"/>
                <w:b/>
                <w:sz w:val="20"/>
              </w:rPr>
              <w:t>Vitamin B6 Deficiency</w:t>
            </w:r>
          </w:p>
        </w:tc>
        <w:tc>
          <w:tcPr>
            <w:tcW w:w="2262" w:type="pct"/>
          </w:tcPr>
          <w:p w14:paraId="04F9B248" w14:textId="77777777" w:rsidR="00882CA0" w:rsidRPr="00882CA0" w:rsidRDefault="00882CA0" w:rsidP="00D1192C">
            <w:pPr>
              <w:rPr>
                <w:sz w:val="20"/>
              </w:rPr>
            </w:pPr>
            <w:r w:rsidRPr="00882CA0">
              <w:rPr>
                <w:rFonts w:eastAsia="Arial"/>
                <w:sz w:val="20"/>
              </w:rPr>
              <w:t>Excluded because the article focuses on vitamin B6 deficiency, neurotransmitter function and recommended intake rather than toxicity or adverse effects of excess intake. It does not provide sufficient evidence for UL derivation.</w:t>
            </w:r>
          </w:p>
        </w:tc>
      </w:tr>
      <w:tr w:rsidR="00882CA0" w:rsidRPr="00882CA0" w14:paraId="7C5356A9" w14:textId="77777777" w:rsidTr="00882CA0">
        <w:tc>
          <w:tcPr>
            <w:tcW w:w="204" w:type="pct"/>
          </w:tcPr>
          <w:p w14:paraId="7E5EBBC3" w14:textId="77777777" w:rsidR="00882CA0" w:rsidRPr="00882CA0" w:rsidRDefault="00882CA0" w:rsidP="00D1192C">
            <w:pPr>
              <w:jc w:val="center"/>
              <w:rPr>
                <w:sz w:val="20"/>
              </w:rPr>
            </w:pPr>
            <w:r w:rsidRPr="00882CA0">
              <w:rPr>
                <w:rFonts w:eastAsia="Arial"/>
                <w:sz w:val="20"/>
              </w:rPr>
              <w:t>10</w:t>
            </w:r>
          </w:p>
        </w:tc>
        <w:tc>
          <w:tcPr>
            <w:tcW w:w="543" w:type="pct"/>
          </w:tcPr>
          <w:p w14:paraId="135616A9" w14:textId="2F8150EC" w:rsidR="00882CA0" w:rsidRPr="00882CA0" w:rsidRDefault="00882CA0" w:rsidP="00D1192C">
            <w:pPr>
              <w:rPr>
                <w:sz w:val="20"/>
              </w:rPr>
            </w:pPr>
            <w:r w:rsidRPr="00882CA0">
              <w:rPr>
                <w:rFonts w:eastAsia="Arial"/>
                <w:sz w:val="20"/>
              </w:rPr>
              <w:t xml:space="preserve">Frost </w:t>
            </w:r>
            <w:r w:rsidR="0054100A">
              <w:rPr>
                <w:rFonts w:eastAsia="Arial"/>
                <w:sz w:val="20"/>
              </w:rPr>
              <w:t xml:space="preserve">et al. </w:t>
            </w:r>
            <w:r w:rsidRPr="00882CA0">
              <w:rPr>
                <w:rFonts w:eastAsia="Arial"/>
                <w:sz w:val="20"/>
              </w:rPr>
              <w:t>2025</w:t>
            </w:r>
          </w:p>
        </w:tc>
        <w:tc>
          <w:tcPr>
            <w:tcW w:w="1991" w:type="pct"/>
          </w:tcPr>
          <w:p w14:paraId="68B01DBF" w14:textId="77777777" w:rsidR="00882CA0" w:rsidRPr="00882CA0" w:rsidRDefault="00882CA0" w:rsidP="00D1192C">
            <w:pPr>
              <w:rPr>
                <w:sz w:val="20"/>
              </w:rPr>
            </w:pPr>
            <w:r w:rsidRPr="00882CA0">
              <w:rPr>
                <w:rFonts w:eastAsia="Arial"/>
                <w:b/>
                <w:sz w:val="20"/>
              </w:rPr>
              <w:t>Recent Advances on the Role of B Vitamins in Cancer Prevention and Progression</w:t>
            </w:r>
            <w:r w:rsidRPr="00882CA0">
              <w:rPr>
                <w:sz w:val="20"/>
              </w:rPr>
              <w:br/>
            </w:r>
            <w:r w:rsidRPr="00882CA0">
              <w:rPr>
                <w:rFonts w:eastAsia="Arial"/>
                <w:sz w:val="20"/>
              </w:rPr>
              <w:t>DOI: 10.3390/ijms26051967</w:t>
            </w:r>
          </w:p>
        </w:tc>
        <w:tc>
          <w:tcPr>
            <w:tcW w:w="2262" w:type="pct"/>
          </w:tcPr>
          <w:p w14:paraId="477205BF" w14:textId="77777777" w:rsidR="00882CA0" w:rsidRPr="00882CA0" w:rsidRDefault="00882CA0" w:rsidP="00D1192C">
            <w:pPr>
              <w:rPr>
                <w:sz w:val="20"/>
              </w:rPr>
            </w:pPr>
            <w:r w:rsidRPr="00882CA0">
              <w:rPr>
                <w:rFonts w:eastAsia="Arial"/>
                <w:sz w:val="20"/>
              </w:rPr>
              <w:t>Excluded because this is a narrative review of B vitamins in cancer prevention and progression. It does not provide B6-specific toxicity, neurological adverse-effect or dose-response data relevant to UL derivation.</w:t>
            </w:r>
          </w:p>
        </w:tc>
      </w:tr>
      <w:tr w:rsidR="00882CA0" w:rsidRPr="00882CA0" w14:paraId="40BB66E9" w14:textId="77777777" w:rsidTr="00882CA0">
        <w:tc>
          <w:tcPr>
            <w:tcW w:w="204" w:type="pct"/>
          </w:tcPr>
          <w:p w14:paraId="24308F47" w14:textId="77777777" w:rsidR="00882CA0" w:rsidRPr="00882CA0" w:rsidRDefault="00882CA0" w:rsidP="00D1192C">
            <w:pPr>
              <w:jc w:val="center"/>
              <w:rPr>
                <w:sz w:val="20"/>
              </w:rPr>
            </w:pPr>
            <w:r w:rsidRPr="00882CA0">
              <w:rPr>
                <w:rFonts w:eastAsia="Arial"/>
                <w:sz w:val="20"/>
              </w:rPr>
              <w:lastRenderedPageBreak/>
              <w:t>11</w:t>
            </w:r>
          </w:p>
        </w:tc>
        <w:tc>
          <w:tcPr>
            <w:tcW w:w="543" w:type="pct"/>
          </w:tcPr>
          <w:p w14:paraId="75F55043" w14:textId="77777777" w:rsidR="00882CA0" w:rsidRPr="00882CA0" w:rsidRDefault="00882CA0" w:rsidP="00D1192C">
            <w:pPr>
              <w:rPr>
                <w:sz w:val="20"/>
              </w:rPr>
            </w:pPr>
            <w:r w:rsidRPr="00882CA0">
              <w:rPr>
                <w:rFonts w:eastAsia="Arial"/>
                <w:sz w:val="20"/>
              </w:rPr>
              <w:t>Hemminger 2026</w:t>
            </w:r>
          </w:p>
        </w:tc>
        <w:tc>
          <w:tcPr>
            <w:tcW w:w="1991" w:type="pct"/>
          </w:tcPr>
          <w:p w14:paraId="5F150064" w14:textId="77777777" w:rsidR="00882CA0" w:rsidRPr="00882CA0" w:rsidRDefault="00882CA0" w:rsidP="00D1192C">
            <w:pPr>
              <w:rPr>
                <w:sz w:val="20"/>
              </w:rPr>
            </w:pPr>
            <w:r w:rsidRPr="00882CA0">
              <w:rPr>
                <w:rFonts w:eastAsia="Arial"/>
                <w:b/>
                <w:sz w:val="20"/>
              </w:rPr>
              <w:t>Vitamin B6 Toxicity</w:t>
            </w:r>
          </w:p>
        </w:tc>
        <w:tc>
          <w:tcPr>
            <w:tcW w:w="2262" w:type="pct"/>
          </w:tcPr>
          <w:p w14:paraId="43BCE574" w14:textId="77777777" w:rsidR="00882CA0" w:rsidRPr="00882CA0" w:rsidRDefault="00882CA0" w:rsidP="00D1192C">
            <w:pPr>
              <w:rPr>
                <w:sz w:val="20"/>
              </w:rPr>
            </w:pPr>
            <w:r w:rsidRPr="00882CA0">
              <w:rPr>
                <w:rFonts w:eastAsia="Arial"/>
                <w:sz w:val="20"/>
              </w:rPr>
              <w:t>Excluded because this is a narrative clinical overview of vitamin B6 toxicity rather than a primary study. It may be useful for background context, but it does not provide original data for risk assessment.</w:t>
            </w:r>
          </w:p>
        </w:tc>
      </w:tr>
      <w:tr w:rsidR="00882CA0" w:rsidRPr="00882CA0" w14:paraId="542701F4" w14:textId="77777777" w:rsidTr="00882CA0">
        <w:tc>
          <w:tcPr>
            <w:tcW w:w="204" w:type="pct"/>
          </w:tcPr>
          <w:p w14:paraId="7067D554" w14:textId="77777777" w:rsidR="00882CA0" w:rsidRPr="00882CA0" w:rsidRDefault="00882CA0" w:rsidP="00D1192C">
            <w:pPr>
              <w:jc w:val="center"/>
              <w:rPr>
                <w:sz w:val="20"/>
              </w:rPr>
            </w:pPr>
            <w:r w:rsidRPr="00882CA0">
              <w:rPr>
                <w:rFonts w:eastAsia="Arial"/>
                <w:sz w:val="20"/>
              </w:rPr>
              <w:t>12</w:t>
            </w:r>
          </w:p>
        </w:tc>
        <w:tc>
          <w:tcPr>
            <w:tcW w:w="543" w:type="pct"/>
          </w:tcPr>
          <w:p w14:paraId="5A6FEBCE" w14:textId="1B1F3DB8" w:rsidR="00882CA0" w:rsidRPr="00882CA0" w:rsidRDefault="00882CA0" w:rsidP="00D1192C">
            <w:pPr>
              <w:rPr>
                <w:sz w:val="20"/>
              </w:rPr>
            </w:pPr>
            <w:r w:rsidRPr="00882CA0">
              <w:rPr>
                <w:rFonts w:eastAsia="Arial"/>
                <w:sz w:val="20"/>
              </w:rPr>
              <w:t>Nakano</w:t>
            </w:r>
            <w:r w:rsidR="0054100A">
              <w:rPr>
                <w:rFonts w:eastAsia="Arial"/>
                <w:sz w:val="20"/>
              </w:rPr>
              <w:t xml:space="preserve"> et al.</w:t>
            </w:r>
            <w:r w:rsidRPr="00882CA0">
              <w:rPr>
                <w:rFonts w:eastAsia="Arial"/>
                <w:sz w:val="20"/>
              </w:rPr>
              <w:t xml:space="preserve"> 2026</w:t>
            </w:r>
          </w:p>
        </w:tc>
        <w:tc>
          <w:tcPr>
            <w:tcW w:w="1991" w:type="pct"/>
          </w:tcPr>
          <w:p w14:paraId="12B61415" w14:textId="77777777" w:rsidR="00882CA0" w:rsidRPr="00882CA0" w:rsidRDefault="00882CA0" w:rsidP="00D1192C">
            <w:pPr>
              <w:rPr>
                <w:sz w:val="20"/>
              </w:rPr>
            </w:pPr>
            <w:r w:rsidRPr="00882CA0">
              <w:rPr>
                <w:rFonts w:eastAsia="Arial"/>
                <w:b/>
                <w:sz w:val="20"/>
              </w:rPr>
              <w:t>Dietary intake of one-carbon nutrients and colorectal cancer risk according to TP53 status</w:t>
            </w:r>
            <w:r w:rsidRPr="00882CA0">
              <w:rPr>
                <w:sz w:val="20"/>
              </w:rPr>
              <w:br/>
            </w:r>
            <w:r w:rsidRPr="00882CA0">
              <w:rPr>
                <w:rFonts w:eastAsia="Arial"/>
                <w:sz w:val="20"/>
              </w:rPr>
              <w:t>DOI: 10.1093/jncics/pkag009</w:t>
            </w:r>
          </w:p>
        </w:tc>
        <w:tc>
          <w:tcPr>
            <w:tcW w:w="2262" w:type="pct"/>
          </w:tcPr>
          <w:p w14:paraId="6E2D1FBA" w14:textId="77777777" w:rsidR="00882CA0" w:rsidRPr="00882CA0" w:rsidRDefault="00882CA0" w:rsidP="00D1192C">
            <w:pPr>
              <w:rPr>
                <w:sz w:val="20"/>
              </w:rPr>
            </w:pPr>
            <w:r w:rsidRPr="00882CA0">
              <w:rPr>
                <w:rFonts w:eastAsia="Arial"/>
                <w:sz w:val="20"/>
              </w:rPr>
              <w:t>Excluded because this cohort study examines dietary B6 intake and colorectal cancer risk by TP53 status. It does not address B6 toxicity, neurological adverse effects or excess-intake outcomes relevant to UL derivation.</w:t>
            </w:r>
          </w:p>
        </w:tc>
      </w:tr>
      <w:tr w:rsidR="00882CA0" w:rsidRPr="00882CA0" w14:paraId="1361CC88" w14:textId="77777777" w:rsidTr="00882CA0">
        <w:tc>
          <w:tcPr>
            <w:tcW w:w="204" w:type="pct"/>
          </w:tcPr>
          <w:p w14:paraId="7782D051" w14:textId="77777777" w:rsidR="00882CA0" w:rsidRPr="00882CA0" w:rsidRDefault="00882CA0" w:rsidP="00D1192C">
            <w:pPr>
              <w:jc w:val="center"/>
              <w:rPr>
                <w:sz w:val="20"/>
              </w:rPr>
            </w:pPr>
            <w:r w:rsidRPr="00882CA0">
              <w:rPr>
                <w:rFonts w:eastAsia="Arial"/>
                <w:sz w:val="20"/>
              </w:rPr>
              <w:t>13</w:t>
            </w:r>
          </w:p>
        </w:tc>
        <w:tc>
          <w:tcPr>
            <w:tcW w:w="543" w:type="pct"/>
          </w:tcPr>
          <w:p w14:paraId="707EBC18" w14:textId="668B793C" w:rsidR="00882CA0" w:rsidRPr="00882CA0" w:rsidRDefault="00882CA0" w:rsidP="00D1192C">
            <w:pPr>
              <w:rPr>
                <w:sz w:val="20"/>
              </w:rPr>
            </w:pPr>
            <w:r w:rsidRPr="00882CA0">
              <w:rPr>
                <w:rFonts w:eastAsia="Arial"/>
                <w:sz w:val="20"/>
              </w:rPr>
              <w:t>Pan</w:t>
            </w:r>
            <w:r w:rsidR="0054100A">
              <w:rPr>
                <w:rFonts w:eastAsia="Arial"/>
                <w:sz w:val="20"/>
              </w:rPr>
              <w:t xml:space="preserve"> et al.</w:t>
            </w:r>
            <w:r w:rsidRPr="00882CA0">
              <w:rPr>
                <w:rFonts w:eastAsia="Arial"/>
                <w:sz w:val="20"/>
              </w:rPr>
              <w:t xml:space="preserve"> 2025</w:t>
            </w:r>
          </w:p>
        </w:tc>
        <w:tc>
          <w:tcPr>
            <w:tcW w:w="1991" w:type="pct"/>
          </w:tcPr>
          <w:p w14:paraId="4902CA8C" w14:textId="77777777" w:rsidR="00882CA0" w:rsidRPr="00882CA0" w:rsidRDefault="00882CA0" w:rsidP="00D1192C">
            <w:pPr>
              <w:rPr>
                <w:sz w:val="20"/>
              </w:rPr>
            </w:pPr>
            <w:r w:rsidRPr="00882CA0">
              <w:rPr>
                <w:rFonts w:eastAsia="Arial"/>
                <w:b/>
                <w:sz w:val="20"/>
              </w:rPr>
              <w:t>Genetic Causal Association Between 15 Micronutrients and 12 Obstetric-Related Diseases: A Mendelian Randomization Study</w:t>
            </w:r>
            <w:r w:rsidRPr="00882CA0">
              <w:rPr>
                <w:sz w:val="20"/>
              </w:rPr>
              <w:br/>
            </w:r>
            <w:r w:rsidRPr="00882CA0">
              <w:rPr>
                <w:rFonts w:eastAsia="Arial"/>
                <w:sz w:val="20"/>
              </w:rPr>
              <w:t>DOI: 10.1007/s12011-024-04479-9</w:t>
            </w:r>
          </w:p>
        </w:tc>
        <w:tc>
          <w:tcPr>
            <w:tcW w:w="2262" w:type="pct"/>
          </w:tcPr>
          <w:p w14:paraId="0B213102" w14:textId="77777777" w:rsidR="00882CA0" w:rsidRPr="00882CA0" w:rsidRDefault="00882CA0" w:rsidP="00D1192C">
            <w:pPr>
              <w:rPr>
                <w:sz w:val="20"/>
              </w:rPr>
            </w:pPr>
            <w:r w:rsidRPr="00882CA0">
              <w:rPr>
                <w:rFonts w:eastAsia="Arial"/>
                <w:sz w:val="20"/>
              </w:rPr>
              <w:t>Excluded because this Mendelian randomisation study examines micronutrient levels and obstetric outcomes. The B6-related finding concerns spontaneous abortion risk rather than neurological or other toxicity endpoints and does not provide dose-response data for UL derivation.</w:t>
            </w:r>
          </w:p>
        </w:tc>
      </w:tr>
      <w:tr w:rsidR="00882CA0" w:rsidRPr="00882CA0" w14:paraId="435BA3DC" w14:textId="77777777" w:rsidTr="00882CA0">
        <w:tc>
          <w:tcPr>
            <w:tcW w:w="204" w:type="pct"/>
          </w:tcPr>
          <w:p w14:paraId="29F036BA" w14:textId="77777777" w:rsidR="00882CA0" w:rsidRPr="00882CA0" w:rsidRDefault="00882CA0" w:rsidP="00D1192C">
            <w:pPr>
              <w:jc w:val="center"/>
              <w:rPr>
                <w:sz w:val="20"/>
              </w:rPr>
            </w:pPr>
            <w:r w:rsidRPr="00882CA0">
              <w:rPr>
                <w:rFonts w:eastAsia="Arial"/>
                <w:sz w:val="20"/>
              </w:rPr>
              <w:t>14</w:t>
            </w:r>
          </w:p>
        </w:tc>
        <w:tc>
          <w:tcPr>
            <w:tcW w:w="543" w:type="pct"/>
          </w:tcPr>
          <w:p w14:paraId="7F7055AF" w14:textId="3131A1B1" w:rsidR="00882CA0" w:rsidRPr="00882CA0" w:rsidRDefault="00882CA0" w:rsidP="00D1192C">
            <w:pPr>
              <w:rPr>
                <w:sz w:val="20"/>
              </w:rPr>
            </w:pPr>
            <w:r w:rsidRPr="00882CA0">
              <w:rPr>
                <w:rFonts w:eastAsia="Arial"/>
                <w:sz w:val="20"/>
              </w:rPr>
              <w:t>Tamez-Torres</w:t>
            </w:r>
            <w:r w:rsidR="0054100A">
              <w:rPr>
                <w:rFonts w:eastAsia="Arial"/>
                <w:sz w:val="20"/>
              </w:rPr>
              <w:t xml:space="preserve"> et al.</w:t>
            </w:r>
            <w:r w:rsidRPr="00882CA0">
              <w:rPr>
                <w:rFonts w:eastAsia="Arial"/>
                <w:sz w:val="20"/>
              </w:rPr>
              <w:t xml:space="preserve"> 2023</w:t>
            </w:r>
          </w:p>
        </w:tc>
        <w:tc>
          <w:tcPr>
            <w:tcW w:w="1991" w:type="pct"/>
          </w:tcPr>
          <w:p w14:paraId="13940BCB" w14:textId="77777777" w:rsidR="00882CA0" w:rsidRPr="00882CA0" w:rsidRDefault="00882CA0" w:rsidP="00D1192C">
            <w:pPr>
              <w:rPr>
                <w:sz w:val="20"/>
              </w:rPr>
            </w:pPr>
            <w:r w:rsidRPr="00882CA0">
              <w:rPr>
                <w:rFonts w:eastAsia="Arial"/>
                <w:b/>
                <w:sz w:val="20"/>
              </w:rPr>
              <w:t>Safety and Tolerability of Six Months of Isoniazid Plus Pyridoxine or Three Months of Rifampicin for Tuberculosis among Subjects with Diabetes Mellitus: A Randomized Trial</w:t>
            </w:r>
            <w:r w:rsidRPr="00882CA0">
              <w:rPr>
                <w:sz w:val="20"/>
              </w:rPr>
              <w:br/>
            </w:r>
            <w:r w:rsidRPr="00882CA0">
              <w:rPr>
                <w:rFonts w:eastAsia="Arial"/>
                <w:sz w:val="20"/>
              </w:rPr>
              <w:t>DOI: 10.3390/microorganisms11081917</w:t>
            </w:r>
          </w:p>
        </w:tc>
        <w:tc>
          <w:tcPr>
            <w:tcW w:w="2262" w:type="pct"/>
          </w:tcPr>
          <w:p w14:paraId="31952FE8" w14:textId="77777777" w:rsidR="00882CA0" w:rsidRPr="00882CA0" w:rsidRDefault="00882CA0" w:rsidP="00D1192C">
            <w:pPr>
              <w:rPr>
                <w:sz w:val="20"/>
              </w:rPr>
            </w:pPr>
            <w:r w:rsidRPr="00882CA0">
              <w:rPr>
                <w:rFonts w:eastAsia="Arial"/>
                <w:sz w:val="20"/>
              </w:rPr>
              <w:t>Excluded because the trial evaluates tuberculosis preventive treatment in people with diabetes, with pyridoxine included as part of isoniazid treatment. The setting and adverse outcomes are not suitable for assessing vitamin B6 excess toxicity or UL derivation.</w:t>
            </w:r>
          </w:p>
        </w:tc>
      </w:tr>
      <w:tr w:rsidR="00882CA0" w:rsidRPr="00882CA0" w14:paraId="42B25036" w14:textId="77777777" w:rsidTr="00882CA0">
        <w:tc>
          <w:tcPr>
            <w:tcW w:w="204" w:type="pct"/>
          </w:tcPr>
          <w:p w14:paraId="2DA9FAD3" w14:textId="77777777" w:rsidR="00882CA0" w:rsidRPr="00882CA0" w:rsidRDefault="00882CA0" w:rsidP="00D1192C">
            <w:pPr>
              <w:jc w:val="center"/>
              <w:rPr>
                <w:sz w:val="20"/>
              </w:rPr>
            </w:pPr>
            <w:r w:rsidRPr="00882CA0">
              <w:rPr>
                <w:rFonts w:eastAsia="Arial"/>
                <w:sz w:val="20"/>
              </w:rPr>
              <w:t>15</w:t>
            </w:r>
          </w:p>
        </w:tc>
        <w:tc>
          <w:tcPr>
            <w:tcW w:w="543" w:type="pct"/>
          </w:tcPr>
          <w:p w14:paraId="6D084A90" w14:textId="77777777" w:rsidR="00882CA0" w:rsidRPr="00882CA0" w:rsidRDefault="00882CA0" w:rsidP="00D1192C">
            <w:pPr>
              <w:rPr>
                <w:sz w:val="20"/>
              </w:rPr>
            </w:pPr>
            <w:r w:rsidRPr="00882CA0">
              <w:rPr>
                <w:rFonts w:eastAsia="Arial"/>
                <w:sz w:val="20"/>
              </w:rPr>
              <w:t>Vyas 2026</w:t>
            </w:r>
          </w:p>
        </w:tc>
        <w:tc>
          <w:tcPr>
            <w:tcW w:w="1991" w:type="pct"/>
          </w:tcPr>
          <w:p w14:paraId="72217550" w14:textId="77777777" w:rsidR="00882CA0" w:rsidRPr="00882CA0" w:rsidRDefault="00882CA0" w:rsidP="00D1192C">
            <w:pPr>
              <w:rPr>
                <w:sz w:val="20"/>
              </w:rPr>
            </w:pPr>
            <w:r w:rsidRPr="00882CA0">
              <w:rPr>
                <w:rFonts w:eastAsia="Arial"/>
                <w:b/>
                <w:sz w:val="20"/>
              </w:rPr>
              <w:t>17-Year-Old Male Patient With Pulmonary TB Presenting With Tingling and Numbness in the Left Upper Limb</w:t>
            </w:r>
            <w:r w:rsidRPr="00882CA0">
              <w:rPr>
                <w:sz w:val="20"/>
              </w:rPr>
              <w:br/>
            </w:r>
            <w:r w:rsidRPr="00882CA0">
              <w:rPr>
                <w:rFonts w:eastAsia="Arial"/>
                <w:sz w:val="20"/>
              </w:rPr>
              <w:t>DOI: 10.1016/j.chest.2025.09.125</w:t>
            </w:r>
          </w:p>
        </w:tc>
        <w:tc>
          <w:tcPr>
            <w:tcW w:w="2262" w:type="pct"/>
          </w:tcPr>
          <w:p w14:paraId="089E79C6" w14:textId="77777777" w:rsidR="00882CA0" w:rsidRPr="00882CA0" w:rsidRDefault="00882CA0" w:rsidP="00D1192C">
            <w:pPr>
              <w:rPr>
                <w:sz w:val="20"/>
              </w:rPr>
            </w:pPr>
            <w:r w:rsidRPr="00882CA0">
              <w:rPr>
                <w:rFonts w:eastAsia="Arial"/>
                <w:sz w:val="20"/>
              </w:rPr>
              <w:t>Excluded because this is a case of isoniazid-induced neuropathy where pyridoxine was used as treatment. It does not assess pyridoxine excess intake as the exposure or provide evidence of B6-related adverse effects.</w:t>
            </w:r>
          </w:p>
        </w:tc>
      </w:tr>
      <w:tr w:rsidR="00882CA0" w:rsidRPr="00882CA0" w14:paraId="02C1D687" w14:textId="77777777" w:rsidTr="00882CA0">
        <w:tc>
          <w:tcPr>
            <w:tcW w:w="204" w:type="pct"/>
          </w:tcPr>
          <w:p w14:paraId="4DBBF2B2" w14:textId="77777777" w:rsidR="00882CA0" w:rsidRPr="00882CA0" w:rsidRDefault="00882CA0" w:rsidP="00D1192C">
            <w:pPr>
              <w:jc w:val="center"/>
              <w:rPr>
                <w:sz w:val="20"/>
              </w:rPr>
            </w:pPr>
            <w:r w:rsidRPr="00882CA0">
              <w:rPr>
                <w:rFonts w:eastAsia="Arial"/>
                <w:sz w:val="20"/>
              </w:rPr>
              <w:t>16</w:t>
            </w:r>
          </w:p>
        </w:tc>
        <w:tc>
          <w:tcPr>
            <w:tcW w:w="543" w:type="pct"/>
          </w:tcPr>
          <w:p w14:paraId="3E5A70A7" w14:textId="0763FB7E" w:rsidR="00882CA0" w:rsidRPr="00882CA0" w:rsidRDefault="00882CA0" w:rsidP="00D1192C">
            <w:pPr>
              <w:rPr>
                <w:sz w:val="20"/>
              </w:rPr>
            </w:pPr>
            <w:r w:rsidRPr="00882CA0">
              <w:rPr>
                <w:rFonts w:eastAsia="Arial"/>
                <w:sz w:val="20"/>
              </w:rPr>
              <w:t xml:space="preserve">Whyte </w:t>
            </w:r>
            <w:r w:rsidR="0054100A">
              <w:rPr>
                <w:rFonts w:eastAsia="Arial"/>
                <w:sz w:val="20"/>
              </w:rPr>
              <w:t xml:space="preserve">et al. </w:t>
            </w:r>
            <w:r w:rsidRPr="00882CA0">
              <w:rPr>
                <w:rFonts w:eastAsia="Arial"/>
                <w:sz w:val="20"/>
              </w:rPr>
              <w:t>2022</w:t>
            </w:r>
          </w:p>
        </w:tc>
        <w:tc>
          <w:tcPr>
            <w:tcW w:w="1991" w:type="pct"/>
          </w:tcPr>
          <w:p w14:paraId="2EA09647" w14:textId="77777777" w:rsidR="00882CA0" w:rsidRPr="00882CA0" w:rsidRDefault="00882CA0" w:rsidP="00D1192C">
            <w:pPr>
              <w:rPr>
                <w:sz w:val="20"/>
              </w:rPr>
            </w:pPr>
            <w:r w:rsidRPr="00882CA0">
              <w:rPr>
                <w:rFonts w:eastAsia="Arial"/>
                <w:b/>
                <w:sz w:val="20"/>
              </w:rPr>
              <w:t>Hypophosphatasia: Vitamin B(6) status of affected children and adults</w:t>
            </w:r>
            <w:r w:rsidRPr="00882CA0">
              <w:rPr>
                <w:sz w:val="20"/>
              </w:rPr>
              <w:br/>
            </w:r>
            <w:r w:rsidRPr="00882CA0">
              <w:rPr>
                <w:rFonts w:eastAsia="Arial"/>
                <w:sz w:val="20"/>
              </w:rPr>
              <w:t>DOI: 10.1016/j.bone.2021.116204</w:t>
            </w:r>
          </w:p>
        </w:tc>
        <w:tc>
          <w:tcPr>
            <w:tcW w:w="2262" w:type="pct"/>
          </w:tcPr>
          <w:p w14:paraId="61B1F2F0" w14:textId="77777777" w:rsidR="00882CA0" w:rsidRPr="00882CA0" w:rsidRDefault="00882CA0" w:rsidP="00D1192C">
            <w:pPr>
              <w:rPr>
                <w:sz w:val="20"/>
              </w:rPr>
            </w:pPr>
            <w:r w:rsidRPr="00882CA0">
              <w:rPr>
                <w:rFonts w:eastAsia="Arial"/>
                <w:sz w:val="20"/>
              </w:rPr>
              <w:t>Excluded because the study describes B6 vitamer levels in patients with hypophosphatasia, a rare metabolic condition, without B6 supplementation or intervention. It does not provide evidence relevant to general-population UL derivation.</w:t>
            </w:r>
          </w:p>
        </w:tc>
      </w:tr>
      <w:tr w:rsidR="00882CA0" w:rsidRPr="00882CA0" w14:paraId="1EDC25A9" w14:textId="77777777" w:rsidTr="00882CA0">
        <w:tc>
          <w:tcPr>
            <w:tcW w:w="204" w:type="pct"/>
          </w:tcPr>
          <w:p w14:paraId="614FBDC0" w14:textId="77777777" w:rsidR="00882CA0" w:rsidRPr="00882CA0" w:rsidRDefault="00882CA0" w:rsidP="00D1192C">
            <w:pPr>
              <w:jc w:val="center"/>
              <w:rPr>
                <w:sz w:val="20"/>
              </w:rPr>
            </w:pPr>
            <w:r w:rsidRPr="00882CA0">
              <w:rPr>
                <w:rFonts w:eastAsia="Arial"/>
                <w:sz w:val="20"/>
              </w:rPr>
              <w:t>17</w:t>
            </w:r>
          </w:p>
        </w:tc>
        <w:tc>
          <w:tcPr>
            <w:tcW w:w="543" w:type="pct"/>
          </w:tcPr>
          <w:p w14:paraId="4B2F5E3F" w14:textId="77F6B685" w:rsidR="00882CA0" w:rsidRPr="00882CA0" w:rsidRDefault="00882CA0" w:rsidP="00D1192C">
            <w:pPr>
              <w:rPr>
                <w:sz w:val="20"/>
              </w:rPr>
            </w:pPr>
            <w:r w:rsidRPr="00882CA0">
              <w:rPr>
                <w:rFonts w:eastAsia="Arial"/>
                <w:sz w:val="20"/>
              </w:rPr>
              <w:t xml:space="preserve">Wills </w:t>
            </w:r>
            <w:r w:rsidR="0054100A">
              <w:rPr>
                <w:rFonts w:eastAsia="Arial"/>
                <w:sz w:val="20"/>
              </w:rPr>
              <w:t xml:space="preserve">et al. </w:t>
            </w:r>
            <w:r w:rsidRPr="00882CA0">
              <w:rPr>
                <w:rFonts w:eastAsia="Arial"/>
                <w:sz w:val="20"/>
              </w:rPr>
              <w:t>2025</w:t>
            </w:r>
          </w:p>
        </w:tc>
        <w:tc>
          <w:tcPr>
            <w:tcW w:w="1991" w:type="pct"/>
          </w:tcPr>
          <w:p w14:paraId="733F6C27" w14:textId="77777777" w:rsidR="00882CA0" w:rsidRPr="00882CA0" w:rsidRDefault="00882CA0" w:rsidP="00D1192C">
            <w:pPr>
              <w:rPr>
                <w:sz w:val="20"/>
              </w:rPr>
            </w:pPr>
            <w:r w:rsidRPr="00882CA0">
              <w:rPr>
                <w:rFonts w:eastAsia="Arial"/>
                <w:b/>
                <w:sz w:val="20"/>
              </w:rPr>
              <w:t>Assessing the burden of severe nausea and vomiting of pregnancy or hyperemesis gravidarum and the associated use and experiences of medication treatments: An Australian consumer survey</w:t>
            </w:r>
            <w:r w:rsidRPr="00882CA0">
              <w:rPr>
                <w:sz w:val="20"/>
              </w:rPr>
              <w:br/>
            </w:r>
            <w:r w:rsidRPr="00882CA0">
              <w:rPr>
                <w:rFonts w:eastAsia="Arial"/>
                <w:sz w:val="20"/>
              </w:rPr>
              <w:t>DOI: 10.1371/journal.pone.0329687</w:t>
            </w:r>
          </w:p>
        </w:tc>
        <w:tc>
          <w:tcPr>
            <w:tcW w:w="2262" w:type="pct"/>
          </w:tcPr>
          <w:p w14:paraId="63250921" w14:textId="77777777" w:rsidR="00882CA0" w:rsidRPr="00882CA0" w:rsidRDefault="00882CA0" w:rsidP="00D1192C">
            <w:pPr>
              <w:rPr>
                <w:sz w:val="20"/>
              </w:rPr>
            </w:pPr>
            <w:r w:rsidRPr="00882CA0">
              <w:rPr>
                <w:rFonts w:eastAsia="Arial"/>
                <w:sz w:val="20"/>
              </w:rPr>
              <w:t>Excluded because this survey examines antiemetic use and medication experiences in hyperemesis gravidarum. Pyridoxine is mentioned as one of several treatments, but no B6-specific dose-response or adverse-effect data are provided.</w:t>
            </w:r>
          </w:p>
        </w:tc>
      </w:tr>
      <w:tr w:rsidR="00882CA0" w:rsidRPr="00882CA0" w14:paraId="5CE12B05" w14:textId="77777777" w:rsidTr="00882CA0">
        <w:tc>
          <w:tcPr>
            <w:tcW w:w="204" w:type="pct"/>
          </w:tcPr>
          <w:p w14:paraId="7E9D82BB" w14:textId="77777777" w:rsidR="00882CA0" w:rsidRPr="00882CA0" w:rsidRDefault="00882CA0" w:rsidP="00D1192C">
            <w:pPr>
              <w:jc w:val="center"/>
              <w:rPr>
                <w:sz w:val="20"/>
              </w:rPr>
            </w:pPr>
            <w:r w:rsidRPr="00882CA0">
              <w:rPr>
                <w:rFonts w:eastAsia="Arial"/>
                <w:sz w:val="20"/>
              </w:rPr>
              <w:lastRenderedPageBreak/>
              <w:t>18</w:t>
            </w:r>
          </w:p>
        </w:tc>
        <w:tc>
          <w:tcPr>
            <w:tcW w:w="543" w:type="pct"/>
          </w:tcPr>
          <w:p w14:paraId="7BAD44EE" w14:textId="74A175F3" w:rsidR="00882CA0" w:rsidRPr="00882CA0" w:rsidRDefault="00882CA0" w:rsidP="00D1192C">
            <w:pPr>
              <w:rPr>
                <w:sz w:val="20"/>
              </w:rPr>
            </w:pPr>
            <w:r w:rsidRPr="00882CA0">
              <w:rPr>
                <w:rFonts w:eastAsia="Arial"/>
                <w:sz w:val="20"/>
              </w:rPr>
              <w:t xml:space="preserve">Yadav </w:t>
            </w:r>
            <w:r w:rsidR="0054100A">
              <w:rPr>
                <w:rFonts w:eastAsia="Arial"/>
                <w:sz w:val="20"/>
              </w:rPr>
              <w:t xml:space="preserve">et al. </w:t>
            </w:r>
            <w:r w:rsidRPr="00882CA0">
              <w:rPr>
                <w:rFonts w:eastAsia="Arial"/>
                <w:sz w:val="20"/>
              </w:rPr>
              <w:t>2022</w:t>
            </w:r>
          </w:p>
        </w:tc>
        <w:tc>
          <w:tcPr>
            <w:tcW w:w="1991" w:type="pct"/>
          </w:tcPr>
          <w:p w14:paraId="413A482F" w14:textId="77777777" w:rsidR="00882CA0" w:rsidRPr="00882CA0" w:rsidRDefault="00882CA0" w:rsidP="00D1192C">
            <w:pPr>
              <w:rPr>
                <w:sz w:val="20"/>
              </w:rPr>
            </w:pPr>
            <w:r w:rsidRPr="00882CA0">
              <w:rPr>
                <w:rFonts w:eastAsia="Arial"/>
                <w:b/>
                <w:sz w:val="20"/>
              </w:rPr>
              <w:t>Pyridoxine in isoniazid-induced psychosis</w:t>
            </w:r>
            <w:r w:rsidRPr="00882CA0">
              <w:rPr>
                <w:sz w:val="20"/>
              </w:rPr>
              <w:br/>
            </w:r>
            <w:r w:rsidRPr="00882CA0">
              <w:rPr>
                <w:rFonts w:eastAsia="Arial"/>
                <w:sz w:val="20"/>
              </w:rPr>
              <w:t>DOI: 10.24911/sjp.106-1584524803</w:t>
            </w:r>
          </w:p>
        </w:tc>
        <w:tc>
          <w:tcPr>
            <w:tcW w:w="2262" w:type="pct"/>
          </w:tcPr>
          <w:p w14:paraId="73F0184D" w14:textId="77777777" w:rsidR="00882CA0" w:rsidRPr="00882CA0" w:rsidRDefault="00882CA0" w:rsidP="00D1192C">
            <w:pPr>
              <w:rPr>
                <w:sz w:val="20"/>
              </w:rPr>
            </w:pPr>
            <w:r w:rsidRPr="00882CA0">
              <w:rPr>
                <w:rFonts w:eastAsia="Arial"/>
                <w:sz w:val="20"/>
              </w:rPr>
              <w:t>Excluded because this case report concerns isoniazid-induced psychosis, with pyridoxine used as a treatment adjunct rather than the exposure. It does not address adverse effects of excess vitamin B6 intake.</w:t>
            </w:r>
          </w:p>
        </w:tc>
      </w:tr>
      <w:tr w:rsidR="00882CA0" w:rsidRPr="00882CA0" w14:paraId="57E83150" w14:textId="77777777" w:rsidTr="00882CA0">
        <w:tc>
          <w:tcPr>
            <w:tcW w:w="204" w:type="pct"/>
          </w:tcPr>
          <w:p w14:paraId="453C5222" w14:textId="77777777" w:rsidR="00882CA0" w:rsidRPr="00882CA0" w:rsidRDefault="00882CA0" w:rsidP="00D1192C">
            <w:pPr>
              <w:jc w:val="center"/>
              <w:rPr>
                <w:sz w:val="20"/>
              </w:rPr>
            </w:pPr>
            <w:r w:rsidRPr="00882CA0">
              <w:rPr>
                <w:rFonts w:eastAsia="Arial"/>
                <w:sz w:val="20"/>
              </w:rPr>
              <w:t>19</w:t>
            </w:r>
          </w:p>
        </w:tc>
        <w:tc>
          <w:tcPr>
            <w:tcW w:w="543" w:type="pct"/>
          </w:tcPr>
          <w:p w14:paraId="3627AABC" w14:textId="77777777" w:rsidR="00882CA0" w:rsidRPr="00882CA0" w:rsidRDefault="00882CA0" w:rsidP="00D1192C">
            <w:pPr>
              <w:rPr>
                <w:sz w:val="20"/>
              </w:rPr>
            </w:pPr>
            <w:r w:rsidRPr="00882CA0">
              <w:rPr>
                <w:rFonts w:eastAsia="Arial"/>
                <w:sz w:val="20"/>
              </w:rPr>
              <w:t>Sikora 2024</w:t>
            </w:r>
          </w:p>
        </w:tc>
        <w:tc>
          <w:tcPr>
            <w:tcW w:w="1991" w:type="pct"/>
          </w:tcPr>
          <w:p w14:paraId="2ACDB39B" w14:textId="77777777" w:rsidR="00882CA0" w:rsidRPr="00882CA0" w:rsidRDefault="00882CA0" w:rsidP="00D1192C">
            <w:pPr>
              <w:rPr>
                <w:sz w:val="20"/>
              </w:rPr>
            </w:pPr>
            <w:r w:rsidRPr="00882CA0">
              <w:rPr>
                <w:rFonts w:eastAsia="Arial"/>
                <w:b/>
                <w:sz w:val="20"/>
              </w:rPr>
              <w:t>Assessment of the potential nutritional value of cell-cultured chicken meat in light of European dietary recommendations</w:t>
            </w:r>
          </w:p>
        </w:tc>
        <w:tc>
          <w:tcPr>
            <w:tcW w:w="2262" w:type="pct"/>
          </w:tcPr>
          <w:p w14:paraId="30701BD3" w14:textId="77777777" w:rsidR="00882CA0" w:rsidRPr="00882CA0" w:rsidRDefault="00882CA0" w:rsidP="00D1192C">
            <w:pPr>
              <w:rPr>
                <w:sz w:val="20"/>
              </w:rPr>
            </w:pPr>
            <w:r w:rsidRPr="00882CA0">
              <w:rPr>
                <w:rFonts w:eastAsia="Arial"/>
                <w:sz w:val="20"/>
              </w:rPr>
              <w:t>Excluded because the study is a nutritional and safety assessment of cell-cultured chicken meat. Although vitamin B6 content is discussed, it does not assess B6 supplementation, excess intake or adverse health outcomes relevant to UL derivation.</w:t>
            </w:r>
          </w:p>
        </w:tc>
      </w:tr>
      <w:tr w:rsidR="00882CA0" w:rsidRPr="00882CA0" w14:paraId="36BFC8A5" w14:textId="77777777" w:rsidTr="00882CA0">
        <w:tc>
          <w:tcPr>
            <w:tcW w:w="204" w:type="pct"/>
          </w:tcPr>
          <w:p w14:paraId="01B8A4BB" w14:textId="77777777" w:rsidR="00882CA0" w:rsidRPr="00882CA0" w:rsidRDefault="00882CA0" w:rsidP="00D1192C">
            <w:pPr>
              <w:jc w:val="center"/>
              <w:rPr>
                <w:sz w:val="20"/>
              </w:rPr>
            </w:pPr>
            <w:r w:rsidRPr="00882CA0">
              <w:rPr>
                <w:rFonts w:eastAsia="Arial"/>
                <w:sz w:val="20"/>
              </w:rPr>
              <w:t>20</w:t>
            </w:r>
          </w:p>
        </w:tc>
        <w:tc>
          <w:tcPr>
            <w:tcW w:w="543" w:type="pct"/>
          </w:tcPr>
          <w:p w14:paraId="2394452B" w14:textId="77777777" w:rsidR="00882CA0" w:rsidRPr="00882CA0" w:rsidRDefault="00882CA0" w:rsidP="00D1192C">
            <w:pPr>
              <w:rPr>
                <w:sz w:val="20"/>
              </w:rPr>
            </w:pPr>
            <w:r w:rsidRPr="00882CA0">
              <w:rPr>
                <w:rFonts w:eastAsia="Arial"/>
                <w:sz w:val="20"/>
              </w:rPr>
              <w:t>GarcíaGabarra 2024</w:t>
            </w:r>
          </w:p>
        </w:tc>
        <w:tc>
          <w:tcPr>
            <w:tcW w:w="1991" w:type="pct"/>
          </w:tcPr>
          <w:p w14:paraId="0A2E550C" w14:textId="77777777" w:rsidR="00882CA0" w:rsidRPr="00882CA0" w:rsidRDefault="00882CA0" w:rsidP="00D1192C">
            <w:pPr>
              <w:rPr>
                <w:sz w:val="20"/>
              </w:rPr>
            </w:pPr>
            <w:r w:rsidRPr="00882CA0">
              <w:rPr>
                <w:rFonts w:eastAsia="Arial"/>
                <w:b/>
                <w:sz w:val="20"/>
              </w:rPr>
              <w:t>[Maximum levels of vitamins and minerals in fortified food and food supplements in the European Union]</w:t>
            </w:r>
          </w:p>
        </w:tc>
        <w:tc>
          <w:tcPr>
            <w:tcW w:w="2262" w:type="pct"/>
          </w:tcPr>
          <w:p w14:paraId="2E817059" w14:textId="77777777" w:rsidR="00882CA0" w:rsidRPr="00882CA0" w:rsidRDefault="00882CA0" w:rsidP="00D1192C">
            <w:pPr>
              <w:rPr>
                <w:sz w:val="20"/>
              </w:rPr>
            </w:pPr>
            <w:r w:rsidRPr="00882CA0">
              <w:rPr>
                <w:rFonts w:eastAsia="Arial"/>
                <w:sz w:val="20"/>
              </w:rPr>
              <w:t>Excluded because the article is in Spanish and therefore outside the English-language eligibility criterion, although it appears to discuss vitamin and mineral levels in fortified foods and supplements.</w:t>
            </w:r>
          </w:p>
        </w:tc>
      </w:tr>
      <w:tr w:rsidR="00882CA0" w:rsidRPr="00882CA0" w14:paraId="3B20027F" w14:textId="77777777" w:rsidTr="00882CA0">
        <w:tc>
          <w:tcPr>
            <w:tcW w:w="204" w:type="pct"/>
          </w:tcPr>
          <w:p w14:paraId="6596A624" w14:textId="7277B8C8" w:rsidR="00882CA0" w:rsidRPr="00882CA0" w:rsidRDefault="00882CA0" w:rsidP="00882CA0">
            <w:pPr>
              <w:jc w:val="center"/>
              <w:rPr>
                <w:rFonts w:eastAsia="Arial"/>
                <w:sz w:val="20"/>
              </w:rPr>
            </w:pPr>
            <w:r>
              <w:rPr>
                <w:rFonts w:eastAsia="Arial"/>
                <w:sz w:val="20"/>
              </w:rPr>
              <w:t>21</w:t>
            </w:r>
          </w:p>
        </w:tc>
        <w:tc>
          <w:tcPr>
            <w:tcW w:w="543" w:type="pct"/>
          </w:tcPr>
          <w:p w14:paraId="5F709E00" w14:textId="26287770" w:rsidR="00882CA0" w:rsidRPr="00882CA0" w:rsidRDefault="00882CA0" w:rsidP="00882CA0">
            <w:pPr>
              <w:rPr>
                <w:rFonts w:eastAsia="Arial"/>
                <w:sz w:val="20"/>
              </w:rPr>
            </w:pPr>
            <w:r w:rsidRPr="00882CA0">
              <w:rPr>
                <w:rFonts w:eastAsia="Arial"/>
                <w:sz w:val="20"/>
              </w:rPr>
              <w:t>Turck</w:t>
            </w:r>
            <w:r w:rsidR="0054100A">
              <w:rPr>
                <w:rFonts w:eastAsia="Arial"/>
                <w:sz w:val="20"/>
              </w:rPr>
              <w:t xml:space="preserve"> et al.</w:t>
            </w:r>
            <w:r w:rsidRPr="00882CA0">
              <w:rPr>
                <w:rFonts w:eastAsia="Arial"/>
                <w:sz w:val="20"/>
              </w:rPr>
              <w:t xml:space="preserve"> 2023</w:t>
            </w:r>
          </w:p>
        </w:tc>
        <w:tc>
          <w:tcPr>
            <w:tcW w:w="1991" w:type="pct"/>
          </w:tcPr>
          <w:p w14:paraId="55507DC7" w14:textId="77777777" w:rsidR="00882CA0" w:rsidRPr="00882CA0" w:rsidRDefault="00882CA0" w:rsidP="00882CA0">
            <w:pPr>
              <w:rPr>
                <w:sz w:val="20"/>
              </w:rPr>
            </w:pPr>
            <w:r w:rsidRPr="00882CA0">
              <w:rPr>
                <w:rFonts w:eastAsia="Arial"/>
                <w:b/>
                <w:sz w:val="20"/>
              </w:rPr>
              <w:t>Scientific opinion on the tolerable upper intake level for vitamin B6</w:t>
            </w:r>
          </w:p>
          <w:p w14:paraId="7E6A478E" w14:textId="0BF61B6E" w:rsidR="00882CA0" w:rsidRPr="00882CA0" w:rsidRDefault="00882CA0" w:rsidP="00882CA0">
            <w:pPr>
              <w:rPr>
                <w:rFonts w:eastAsia="Arial"/>
                <w:b/>
                <w:sz w:val="20"/>
              </w:rPr>
            </w:pPr>
            <w:r w:rsidRPr="00882CA0">
              <w:rPr>
                <w:rFonts w:eastAsia="Arial"/>
                <w:i/>
                <w:sz w:val="20"/>
              </w:rPr>
              <w:t>DOI: 10.2903/j.efsa.2023.8006</w:t>
            </w:r>
          </w:p>
        </w:tc>
        <w:tc>
          <w:tcPr>
            <w:tcW w:w="2262" w:type="pct"/>
          </w:tcPr>
          <w:p w14:paraId="4E47FF75" w14:textId="51CF0330" w:rsidR="00882CA0" w:rsidRPr="00882CA0" w:rsidRDefault="00882CA0" w:rsidP="00882CA0">
            <w:pPr>
              <w:rPr>
                <w:rFonts w:eastAsia="Arial"/>
                <w:sz w:val="20"/>
              </w:rPr>
            </w:pPr>
            <w:r w:rsidRPr="00882CA0">
              <w:rPr>
                <w:rFonts w:eastAsia="Arial"/>
                <w:sz w:val="20"/>
              </w:rPr>
              <w:t xml:space="preserve">EFSA scientific opinion deriving a tolerable upper intake level for vitamin B6. </w:t>
            </w:r>
            <w:r>
              <w:rPr>
                <w:rFonts w:eastAsia="Arial"/>
                <w:sz w:val="20"/>
              </w:rPr>
              <w:t xml:space="preserve">Not a new study. </w:t>
            </w:r>
          </w:p>
        </w:tc>
      </w:tr>
      <w:tr w:rsidR="00882CA0" w:rsidRPr="00882CA0" w14:paraId="0A3C3985" w14:textId="77777777" w:rsidTr="00882CA0">
        <w:tc>
          <w:tcPr>
            <w:tcW w:w="204" w:type="pct"/>
          </w:tcPr>
          <w:p w14:paraId="1E7A3048" w14:textId="509F66E9" w:rsidR="00882CA0" w:rsidRDefault="00882CA0" w:rsidP="00882CA0">
            <w:pPr>
              <w:jc w:val="center"/>
              <w:rPr>
                <w:rFonts w:eastAsia="Arial"/>
                <w:sz w:val="20"/>
              </w:rPr>
            </w:pPr>
            <w:r>
              <w:rPr>
                <w:rFonts w:eastAsia="Arial"/>
                <w:sz w:val="20"/>
              </w:rPr>
              <w:t>22</w:t>
            </w:r>
          </w:p>
        </w:tc>
        <w:tc>
          <w:tcPr>
            <w:tcW w:w="543" w:type="pct"/>
          </w:tcPr>
          <w:p w14:paraId="509AF726" w14:textId="6FDA620E" w:rsidR="00882CA0" w:rsidRPr="00882CA0" w:rsidRDefault="00882CA0" w:rsidP="00882CA0">
            <w:pPr>
              <w:rPr>
                <w:rFonts w:eastAsia="Arial"/>
                <w:sz w:val="20"/>
              </w:rPr>
            </w:pPr>
            <w:r w:rsidRPr="00882CA0">
              <w:rPr>
                <w:rFonts w:eastAsia="Arial"/>
                <w:sz w:val="20"/>
              </w:rPr>
              <w:t xml:space="preserve">Turck </w:t>
            </w:r>
            <w:r w:rsidR="0054100A">
              <w:rPr>
                <w:rFonts w:eastAsia="Arial"/>
                <w:sz w:val="20"/>
              </w:rPr>
              <w:t xml:space="preserve">et al. </w:t>
            </w:r>
            <w:r w:rsidRPr="00882CA0">
              <w:rPr>
                <w:rFonts w:eastAsia="Arial"/>
                <w:sz w:val="20"/>
              </w:rPr>
              <w:t>2024</w:t>
            </w:r>
          </w:p>
        </w:tc>
        <w:tc>
          <w:tcPr>
            <w:tcW w:w="1991" w:type="pct"/>
          </w:tcPr>
          <w:p w14:paraId="65D9D494" w14:textId="77777777" w:rsidR="00882CA0" w:rsidRPr="00882CA0" w:rsidRDefault="00882CA0" w:rsidP="00882CA0">
            <w:pPr>
              <w:rPr>
                <w:sz w:val="20"/>
              </w:rPr>
            </w:pPr>
            <w:r w:rsidRPr="00882CA0">
              <w:rPr>
                <w:rFonts w:eastAsia="Arial"/>
                <w:b/>
                <w:sz w:val="20"/>
              </w:rPr>
              <w:t>Guidance for establishing and applying tolerable upper intake levels for vitamins and essential minerals</w:t>
            </w:r>
          </w:p>
          <w:p w14:paraId="64084119" w14:textId="70BD2048" w:rsidR="00882CA0" w:rsidRPr="00882CA0" w:rsidRDefault="00882CA0" w:rsidP="00882CA0">
            <w:pPr>
              <w:rPr>
                <w:rFonts w:eastAsia="Arial"/>
                <w:b/>
                <w:sz w:val="20"/>
              </w:rPr>
            </w:pPr>
            <w:r w:rsidRPr="00882CA0">
              <w:rPr>
                <w:rFonts w:eastAsia="Arial"/>
                <w:i/>
                <w:sz w:val="20"/>
              </w:rPr>
              <w:t>DOI: Not available</w:t>
            </w:r>
          </w:p>
        </w:tc>
        <w:tc>
          <w:tcPr>
            <w:tcW w:w="2262" w:type="pct"/>
          </w:tcPr>
          <w:p w14:paraId="2BB6432F" w14:textId="6946B866" w:rsidR="00882CA0" w:rsidRPr="00882CA0" w:rsidRDefault="00882CA0" w:rsidP="00882CA0">
            <w:pPr>
              <w:rPr>
                <w:rFonts w:eastAsia="Arial"/>
                <w:sz w:val="20"/>
              </w:rPr>
            </w:pPr>
            <w:r w:rsidRPr="00882CA0">
              <w:rPr>
                <w:rFonts w:eastAsia="Arial"/>
                <w:sz w:val="20"/>
              </w:rPr>
              <w:t xml:space="preserve">Guidance document on establishing and applying tolerable upper intake levels for vitamins and essential minerals. </w:t>
            </w:r>
            <w:r>
              <w:rPr>
                <w:rFonts w:eastAsia="Arial"/>
                <w:sz w:val="20"/>
              </w:rPr>
              <w:t>Not a new study.</w:t>
            </w:r>
          </w:p>
        </w:tc>
      </w:tr>
      <w:tr w:rsidR="00882CA0" w:rsidRPr="00882CA0" w14:paraId="4647FB9E" w14:textId="77777777" w:rsidTr="00882CA0">
        <w:tc>
          <w:tcPr>
            <w:tcW w:w="204" w:type="pct"/>
          </w:tcPr>
          <w:p w14:paraId="0AD0C5C1" w14:textId="0F666D12" w:rsidR="00882CA0" w:rsidRDefault="00882CA0" w:rsidP="00882CA0">
            <w:pPr>
              <w:jc w:val="center"/>
              <w:rPr>
                <w:rFonts w:eastAsia="Arial"/>
                <w:sz w:val="20"/>
              </w:rPr>
            </w:pPr>
            <w:r>
              <w:rPr>
                <w:rFonts w:eastAsia="Arial"/>
                <w:sz w:val="20"/>
              </w:rPr>
              <w:t>23</w:t>
            </w:r>
          </w:p>
        </w:tc>
        <w:tc>
          <w:tcPr>
            <w:tcW w:w="543" w:type="pct"/>
          </w:tcPr>
          <w:p w14:paraId="063F3277" w14:textId="1565C889" w:rsidR="00882CA0" w:rsidRPr="00882CA0" w:rsidRDefault="00882CA0" w:rsidP="00882CA0">
            <w:pPr>
              <w:rPr>
                <w:rFonts w:eastAsia="Arial"/>
                <w:sz w:val="20"/>
              </w:rPr>
            </w:pPr>
            <w:r w:rsidRPr="00882CA0">
              <w:rPr>
                <w:rFonts w:eastAsia="Arial"/>
                <w:sz w:val="20"/>
              </w:rPr>
              <w:t>Jaskólska 2022</w:t>
            </w:r>
          </w:p>
        </w:tc>
        <w:tc>
          <w:tcPr>
            <w:tcW w:w="1991" w:type="pct"/>
          </w:tcPr>
          <w:p w14:paraId="7CCAE903" w14:textId="77777777" w:rsidR="00882CA0" w:rsidRPr="00882CA0" w:rsidRDefault="00882CA0" w:rsidP="00882CA0">
            <w:pPr>
              <w:rPr>
                <w:sz w:val="20"/>
              </w:rPr>
            </w:pPr>
            <w:r w:rsidRPr="00882CA0">
              <w:rPr>
                <w:rFonts w:eastAsia="Arial"/>
                <w:b/>
                <w:sz w:val="20"/>
              </w:rPr>
              <w:t>CASE BASED</w:t>
            </w:r>
          </w:p>
          <w:p w14:paraId="417FBF4B" w14:textId="0F5A0F9B" w:rsidR="00882CA0" w:rsidRPr="00882CA0" w:rsidRDefault="00882CA0" w:rsidP="00882CA0">
            <w:pPr>
              <w:rPr>
                <w:rFonts w:eastAsia="Arial"/>
                <w:b/>
                <w:sz w:val="20"/>
              </w:rPr>
            </w:pPr>
            <w:r w:rsidRPr="00882CA0">
              <w:rPr>
                <w:rFonts w:eastAsia="Arial"/>
                <w:i/>
                <w:sz w:val="20"/>
              </w:rPr>
              <w:t>DOI: Not available</w:t>
            </w:r>
          </w:p>
        </w:tc>
        <w:tc>
          <w:tcPr>
            <w:tcW w:w="2262" w:type="pct"/>
          </w:tcPr>
          <w:p w14:paraId="5CDA85B3" w14:textId="0E8476B8" w:rsidR="00882CA0" w:rsidRPr="00882CA0" w:rsidRDefault="00882CA0" w:rsidP="00882CA0">
            <w:pPr>
              <w:rPr>
                <w:rFonts w:eastAsia="Arial"/>
                <w:sz w:val="20"/>
              </w:rPr>
            </w:pPr>
            <w:r>
              <w:rPr>
                <w:rFonts w:eastAsia="Arial"/>
                <w:sz w:val="20"/>
              </w:rPr>
              <w:t xml:space="preserve">Similar article as </w:t>
            </w:r>
            <w:r w:rsidRPr="00882CA0">
              <w:rPr>
                <w:rFonts w:eastAsia="Arial"/>
                <w:sz w:val="20"/>
              </w:rPr>
              <w:t>Kościńska-Shukla 2025</w:t>
            </w:r>
            <w:r>
              <w:rPr>
                <w:rFonts w:eastAsia="Arial"/>
                <w:sz w:val="20"/>
              </w:rPr>
              <w:t xml:space="preserve"> that has been listed in the included study. </w:t>
            </w:r>
          </w:p>
        </w:tc>
      </w:tr>
    </w:tbl>
    <w:p w14:paraId="0A1589B1" w14:textId="77777777" w:rsidR="00F47498" w:rsidRDefault="00F47498" w:rsidP="00F47498">
      <w:pPr>
        <w:pStyle w:val="BodyText"/>
      </w:pPr>
    </w:p>
    <w:p w14:paraId="104C0EE5" w14:textId="5D9AEAC2" w:rsidR="00C62AD0" w:rsidRDefault="00C62AD0" w:rsidP="00C62AD0">
      <w:pPr>
        <w:pStyle w:val="Heading8"/>
      </w:pPr>
      <w:bookmarkStart w:id="55" w:name="_Toc233022881"/>
      <w:r>
        <w:t>Irrelevant studies – results from titles and abstracts</w:t>
      </w:r>
      <w:bookmarkEnd w:id="55"/>
      <w:r w:rsidR="0094001F">
        <w:t xml:space="preserve"> screening</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14"/>
        <w:gridCol w:w="2791"/>
        <w:gridCol w:w="4683"/>
        <w:gridCol w:w="6112"/>
      </w:tblGrid>
      <w:tr w:rsidR="00EA496D" w:rsidRPr="00F56AD6" w14:paraId="2384BA66" w14:textId="77777777" w:rsidTr="00EA496D">
        <w:trPr>
          <w:tblHeader/>
        </w:trPr>
        <w:tc>
          <w:tcPr>
            <w:tcW w:w="846" w:type="dxa"/>
            <w:shd w:val="clear" w:color="auto" w:fill="2F5233"/>
            <w:tcMar>
              <w:top w:w="80" w:type="dxa"/>
              <w:left w:w="100" w:type="dxa"/>
              <w:bottom w:w="80" w:type="dxa"/>
              <w:right w:w="100" w:type="dxa"/>
            </w:tcMar>
          </w:tcPr>
          <w:p w14:paraId="76EC24C8" w14:textId="77777777" w:rsidR="00EA496D" w:rsidRPr="00F56AD6" w:rsidRDefault="00EA496D" w:rsidP="00AF0BBB">
            <w:pPr>
              <w:rPr>
                <w:rFonts w:asciiTheme="minorHAnsi" w:hAnsiTheme="minorHAnsi" w:cstheme="minorHAnsi"/>
                <w:b/>
                <w:bCs/>
                <w:sz w:val="20"/>
              </w:rPr>
            </w:pPr>
            <w:r w:rsidRPr="00F56AD6">
              <w:rPr>
                <w:rFonts w:asciiTheme="minorHAnsi" w:hAnsiTheme="minorHAnsi" w:cstheme="minorHAnsi"/>
                <w:b/>
                <w:bCs/>
                <w:color w:val="FFFFFF"/>
                <w:sz w:val="20"/>
              </w:rPr>
              <w:t>No.</w:t>
            </w:r>
          </w:p>
        </w:tc>
        <w:tc>
          <w:tcPr>
            <w:tcW w:w="2094" w:type="dxa"/>
            <w:shd w:val="clear" w:color="auto" w:fill="2F5233"/>
            <w:tcMar>
              <w:top w:w="80" w:type="dxa"/>
              <w:left w:w="100" w:type="dxa"/>
              <w:bottom w:w="80" w:type="dxa"/>
              <w:right w:w="100" w:type="dxa"/>
            </w:tcMar>
          </w:tcPr>
          <w:p w14:paraId="5C4BFCD3" w14:textId="77777777" w:rsidR="00EA496D" w:rsidRPr="00F56AD6" w:rsidRDefault="00EA496D" w:rsidP="00AF0BBB">
            <w:pPr>
              <w:rPr>
                <w:rFonts w:asciiTheme="minorHAnsi" w:hAnsiTheme="minorHAnsi" w:cstheme="minorHAnsi"/>
                <w:b/>
                <w:bCs/>
                <w:sz w:val="20"/>
              </w:rPr>
            </w:pPr>
            <w:r w:rsidRPr="00F56AD6">
              <w:rPr>
                <w:rFonts w:asciiTheme="minorHAnsi" w:hAnsiTheme="minorHAnsi" w:cstheme="minorHAnsi"/>
                <w:b/>
                <w:bCs/>
                <w:color w:val="FFFFFF"/>
                <w:sz w:val="20"/>
              </w:rPr>
              <w:t>Study</w:t>
            </w:r>
          </w:p>
        </w:tc>
        <w:tc>
          <w:tcPr>
            <w:tcW w:w="4923" w:type="dxa"/>
            <w:shd w:val="clear" w:color="auto" w:fill="2F5233"/>
            <w:tcMar>
              <w:top w:w="80" w:type="dxa"/>
              <w:left w:w="100" w:type="dxa"/>
              <w:bottom w:w="80" w:type="dxa"/>
              <w:right w:w="100" w:type="dxa"/>
            </w:tcMar>
          </w:tcPr>
          <w:p w14:paraId="6A2F0158" w14:textId="77777777" w:rsidR="00EA496D" w:rsidRPr="00F56AD6" w:rsidRDefault="00EA496D" w:rsidP="00AF0BBB">
            <w:pPr>
              <w:rPr>
                <w:rFonts w:asciiTheme="minorHAnsi" w:hAnsiTheme="minorHAnsi" w:cstheme="minorHAnsi"/>
                <w:b/>
                <w:bCs/>
                <w:sz w:val="20"/>
              </w:rPr>
            </w:pPr>
            <w:r w:rsidRPr="00F56AD6">
              <w:rPr>
                <w:rFonts w:asciiTheme="minorHAnsi" w:hAnsiTheme="minorHAnsi" w:cstheme="minorHAnsi"/>
                <w:b/>
                <w:bCs/>
                <w:color w:val="FFFFFF"/>
                <w:sz w:val="20"/>
              </w:rPr>
              <w:t>Title</w:t>
            </w:r>
          </w:p>
        </w:tc>
        <w:tc>
          <w:tcPr>
            <w:tcW w:w="6537" w:type="dxa"/>
            <w:shd w:val="clear" w:color="auto" w:fill="2F5233"/>
            <w:tcMar>
              <w:top w:w="80" w:type="dxa"/>
              <w:left w:w="100" w:type="dxa"/>
              <w:bottom w:w="80" w:type="dxa"/>
              <w:right w:w="100" w:type="dxa"/>
            </w:tcMar>
          </w:tcPr>
          <w:p w14:paraId="28536CE1" w14:textId="77777777" w:rsidR="00EA496D" w:rsidRPr="00F56AD6" w:rsidRDefault="00EA496D" w:rsidP="00AF0BBB">
            <w:pPr>
              <w:rPr>
                <w:rFonts w:asciiTheme="minorHAnsi" w:hAnsiTheme="minorHAnsi" w:cstheme="minorHAnsi"/>
                <w:b/>
                <w:bCs/>
                <w:sz w:val="20"/>
              </w:rPr>
            </w:pPr>
            <w:r w:rsidRPr="00F56AD6">
              <w:rPr>
                <w:rFonts w:asciiTheme="minorHAnsi" w:hAnsiTheme="minorHAnsi" w:cstheme="minorHAnsi"/>
                <w:b/>
                <w:bCs/>
                <w:color w:val="FFFFFF"/>
                <w:sz w:val="20"/>
              </w:rPr>
              <w:t>Notes</w:t>
            </w:r>
          </w:p>
        </w:tc>
      </w:tr>
      <w:tr w:rsidR="00EA496D" w:rsidRPr="00F56AD6" w14:paraId="2E9C0EF9" w14:textId="77777777" w:rsidTr="00EA496D">
        <w:tc>
          <w:tcPr>
            <w:tcW w:w="846" w:type="dxa"/>
            <w:tcMar>
              <w:top w:w="60" w:type="dxa"/>
              <w:left w:w="100" w:type="dxa"/>
              <w:bottom w:w="60" w:type="dxa"/>
              <w:right w:w="100" w:type="dxa"/>
            </w:tcMar>
          </w:tcPr>
          <w:p w14:paraId="35EF998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w:t>
            </w:r>
          </w:p>
        </w:tc>
        <w:tc>
          <w:tcPr>
            <w:tcW w:w="2094" w:type="dxa"/>
            <w:tcMar>
              <w:top w:w="60" w:type="dxa"/>
              <w:left w:w="100" w:type="dxa"/>
              <w:bottom w:w="60" w:type="dxa"/>
              <w:right w:w="100" w:type="dxa"/>
            </w:tcMar>
          </w:tcPr>
          <w:p w14:paraId="43E2561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w:t>
            </w:r>
          </w:p>
        </w:tc>
        <w:tc>
          <w:tcPr>
            <w:tcW w:w="4923" w:type="dxa"/>
            <w:tcMar>
              <w:top w:w="60" w:type="dxa"/>
              <w:left w:w="100" w:type="dxa"/>
              <w:bottom w:w="60" w:type="dxa"/>
              <w:right w:w="100" w:type="dxa"/>
            </w:tcMar>
          </w:tcPr>
          <w:p w14:paraId="5D0CAB9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Isoniazid</w:t>
            </w:r>
          </w:p>
        </w:tc>
        <w:tc>
          <w:tcPr>
            <w:tcW w:w="6537" w:type="dxa"/>
            <w:tcMar>
              <w:top w:w="60" w:type="dxa"/>
              <w:left w:w="100" w:type="dxa"/>
              <w:bottom w:w="60" w:type="dxa"/>
              <w:right w:w="100" w:type="dxa"/>
            </w:tcMar>
          </w:tcPr>
          <w:p w14:paraId="4A1F521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it was not directly relevant to vitamers; it focused on antibiotic isoniazid.</w:t>
            </w:r>
          </w:p>
        </w:tc>
      </w:tr>
      <w:tr w:rsidR="00EA496D" w:rsidRPr="00F56AD6" w14:paraId="25C616F8" w14:textId="77777777" w:rsidTr="00EA496D">
        <w:tc>
          <w:tcPr>
            <w:tcW w:w="846" w:type="dxa"/>
            <w:tcMar>
              <w:top w:w="60" w:type="dxa"/>
              <w:left w:w="100" w:type="dxa"/>
              <w:bottom w:w="60" w:type="dxa"/>
              <w:right w:w="100" w:type="dxa"/>
            </w:tcMar>
          </w:tcPr>
          <w:p w14:paraId="33F7342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2</w:t>
            </w:r>
          </w:p>
        </w:tc>
        <w:tc>
          <w:tcPr>
            <w:tcW w:w="2094" w:type="dxa"/>
            <w:tcMar>
              <w:top w:w="60" w:type="dxa"/>
              <w:left w:w="100" w:type="dxa"/>
              <w:bottom w:w="60" w:type="dxa"/>
              <w:right w:w="100" w:type="dxa"/>
            </w:tcMar>
          </w:tcPr>
          <w:p w14:paraId="2D98CA3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w:t>
            </w:r>
          </w:p>
        </w:tc>
        <w:tc>
          <w:tcPr>
            <w:tcW w:w="4923" w:type="dxa"/>
            <w:tcMar>
              <w:top w:w="60" w:type="dxa"/>
              <w:left w:w="100" w:type="dxa"/>
              <w:bottom w:w="60" w:type="dxa"/>
              <w:right w:w="100" w:type="dxa"/>
            </w:tcMar>
          </w:tcPr>
          <w:p w14:paraId="5993224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[Expert Consensus on the Clinical Application of Sodium Cantharidinate and Vitamin B6 Injection]</w:t>
            </w:r>
          </w:p>
        </w:tc>
        <w:tc>
          <w:tcPr>
            <w:tcW w:w="6537" w:type="dxa"/>
            <w:tcMar>
              <w:top w:w="60" w:type="dxa"/>
              <w:left w:w="100" w:type="dxa"/>
              <w:bottom w:w="60" w:type="dxa"/>
              <w:right w:w="100" w:type="dxa"/>
            </w:tcMar>
          </w:tcPr>
          <w:p w14:paraId="7C961C3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it focused on use of Sodium cantharidinate and vitamin B6 injection for improving quality of life in cancer treatment rather than excess vitamin B6 toxicity or UL derivation.</w:t>
            </w:r>
          </w:p>
        </w:tc>
      </w:tr>
      <w:tr w:rsidR="00EA496D" w:rsidRPr="00F56AD6" w14:paraId="19D34C24" w14:textId="77777777" w:rsidTr="00EA496D">
        <w:tc>
          <w:tcPr>
            <w:tcW w:w="846" w:type="dxa"/>
            <w:tcMar>
              <w:top w:w="60" w:type="dxa"/>
              <w:left w:w="100" w:type="dxa"/>
              <w:bottom w:w="60" w:type="dxa"/>
              <w:right w:w="100" w:type="dxa"/>
            </w:tcMar>
          </w:tcPr>
          <w:p w14:paraId="3B6BF49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w:t>
            </w:r>
          </w:p>
        </w:tc>
        <w:tc>
          <w:tcPr>
            <w:tcW w:w="2094" w:type="dxa"/>
            <w:tcMar>
              <w:top w:w="60" w:type="dxa"/>
              <w:left w:w="100" w:type="dxa"/>
              <w:bottom w:w="60" w:type="dxa"/>
              <w:right w:w="100" w:type="dxa"/>
            </w:tcMar>
          </w:tcPr>
          <w:p w14:paraId="3793568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Abbas-Egbariya et al. 2025</w:t>
            </w:r>
          </w:p>
        </w:tc>
        <w:tc>
          <w:tcPr>
            <w:tcW w:w="4923" w:type="dxa"/>
            <w:tcMar>
              <w:top w:w="60" w:type="dxa"/>
              <w:left w:w="100" w:type="dxa"/>
              <w:bottom w:w="60" w:type="dxa"/>
              <w:right w:w="100" w:type="dxa"/>
            </w:tcMar>
          </w:tcPr>
          <w:p w14:paraId="2A6AE3F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Supplementation with endogenous healthy gut metabolites reverses the disruptions of in vitro and ex vivo epithelial functions induced by fecal content from IBD patients</w:t>
            </w:r>
          </w:p>
        </w:tc>
        <w:tc>
          <w:tcPr>
            <w:tcW w:w="6537" w:type="dxa"/>
            <w:tcMar>
              <w:top w:w="60" w:type="dxa"/>
              <w:left w:w="100" w:type="dxa"/>
              <w:bottom w:w="60" w:type="dxa"/>
              <w:right w:w="100" w:type="dxa"/>
            </w:tcMar>
          </w:tcPr>
          <w:p w14:paraId="61B9392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this study focuses on inflammatory bowel disease and epithelial function, with pyridoxal only included as one of several gut metabolites, and it does not assess excess vitamin B6 intake, toxicity, peripheral neuropathy, or UL derivation.</w:t>
            </w:r>
          </w:p>
        </w:tc>
      </w:tr>
      <w:tr w:rsidR="00EA496D" w:rsidRPr="00F56AD6" w14:paraId="23B201C1" w14:textId="77777777" w:rsidTr="00EA496D">
        <w:tc>
          <w:tcPr>
            <w:tcW w:w="846" w:type="dxa"/>
            <w:tcMar>
              <w:top w:w="60" w:type="dxa"/>
              <w:left w:w="100" w:type="dxa"/>
              <w:bottom w:w="60" w:type="dxa"/>
              <w:right w:w="100" w:type="dxa"/>
            </w:tcMar>
          </w:tcPr>
          <w:p w14:paraId="5A1CBDE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w:t>
            </w:r>
          </w:p>
        </w:tc>
        <w:tc>
          <w:tcPr>
            <w:tcW w:w="2094" w:type="dxa"/>
            <w:tcMar>
              <w:top w:w="60" w:type="dxa"/>
              <w:left w:w="100" w:type="dxa"/>
              <w:bottom w:w="60" w:type="dxa"/>
              <w:right w:w="100" w:type="dxa"/>
            </w:tcMar>
          </w:tcPr>
          <w:p w14:paraId="1BAECD1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Abdelfatah et al. 2024</w:t>
            </w:r>
          </w:p>
        </w:tc>
        <w:tc>
          <w:tcPr>
            <w:tcW w:w="4923" w:type="dxa"/>
            <w:tcMar>
              <w:top w:w="60" w:type="dxa"/>
              <w:left w:w="100" w:type="dxa"/>
              <w:bottom w:w="60" w:type="dxa"/>
              <w:right w:w="100" w:type="dxa"/>
            </w:tcMar>
          </w:tcPr>
          <w:p w14:paraId="1BFEDAB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stability-indicating HPLC assay of ten different vitamins in a food supplement: Appraisal of the method's greenness, whiteness, and blueness</w:t>
            </w:r>
          </w:p>
        </w:tc>
        <w:tc>
          <w:tcPr>
            <w:tcW w:w="6537" w:type="dxa"/>
            <w:tcMar>
              <w:top w:w="60" w:type="dxa"/>
              <w:left w:w="100" w:type="dxa"/>
              <w:bottom w:w="60" w:type="dxa"/>
              <w:right w:w="100" w:type="dxa"/>
            </w:tcMar>
          </w:tcPr>
          <w:p w14:paraId="1B18DBB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this was an analytical chemistry study on HPLC measurement and stability of vitamins in a tablet formulation, not a study of vitamin B6 excess intake, adverse health effects, peripheral neuropathy, or UL derivation.</w:t>
            </w:r>
          </w:p>
        </w:tc>
      </w:tr>
      <w:tr w:rsidR="00EA496D" w:rsidRPr="00F56AD6" w14:paraId="62D07938" w14:textId="77777777" w:rsidTr="00EA496D">
        <w:tc>
          <w:tcPr>
            <w:tcW w:w="846" w:type="dxa"/>
            <w:tcMar>
              <w:top w:w="60" w:type="dxa"/>
              <w:left w:w="100" w:type="dxa"/>
              <w:bottom w:w="60" w:type="dxa"/>
              <w:right w:w="100" w:type="dxa"/>
            </w:tcMar>
          </w:tcPr>
          <w:p w14:paraId="7EFA0FC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w:t>
            </w:r>
          </w:p>
        </w:tc>
        <w:tc>
          <w:tcPr>
            <w:tcW w:w="2094" w:type="dxa"/>
            <w:tcMar>
              <w:top w:w="60" w:type="dxa"/>
              <w:left w:w="100" w:type="dxa"/>
              <w:bottom w:w="60" w:type="dxa"/>
              <w:right w:w="100" w:type="dxa"/>
            </w:tcMar>
          </w:tcPr>
          <w:p w14:paraId="5A3BDD6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Abouhish et al. 2026</w:t>
            </w:r>
          </w:p>
        </w:tc>
        <w:tc>
          <w:tcPr>
            <w:tcW w:w="4923" w:type="dxa"/>
            <w:tcMar>
              <w:top w:w="60" w:type="dxa"/>
              <w:left w:w="100" w:type="dxa"/>
              <w:bottom w:w="60" w:type="dxa"/>
              <w:right w:w="100" w:type="dxa"/>
            </w:tcMar>
          </w:tcPr>
          <w:p w14:paraId="45AA3E9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Modulating One-Carbon Metabolism with B-Vitamins to Protect the Retinal Barrier and Prevent Retinal Degeneration</w:t>
            </w:r>
          </w:p>
        </w:tc>
        <w:tc>
          <w:tcPr>
            <w:tcW w:w="6537" w:type="dxa"/>
            <w:tcMar>
              <w:top w:w="60" w:type="dxa"/>
              <w:left w:w="100" w:type="dxa"/>
              <w:bottom w:w="60" w:type="dxa"/>
              <w:right w:w="100" w:type="dxa"/>
            </w:tcMar>
          </w:tcPr>
          <w:p w14:paraId="2F30163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this study examines deficiency and supplementation of vitamins B6, B9, and B12 in relation to retinal barrier function and not excess vitamin B6 intake, toxicity, peripheral neuropathy, or UL derivation.</w:t>
            </w:r>
          </w:p>
        </w:tc>
      </w:tr>
      <w:tr w:rsidR="00EA496D" w:rsidRPr="00F56AD6" w14:paraId="67178FD9" w14:textId="77777777" w:rsidTr="00EA496D">
        <w:tc>
          <w:tcPr>
            <w:tcW w:w="846" w:type="dxa"/>
            <w:tcMar>
              <w:top w:w="60" w:type="dxa"/>
              <w:left w:w="100" w:type="dxa"/>
              <w:bottom w:w="60" w:type="dxa"/>
              <w:right w:w="100" w:type="dxa"/>
            </w:tcMar>
          </w:tcPr>
          <w:p w14:paraId="72C7394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6</w:t>
            </w:r>
          </w:p>
        </w:tc>
        <w:tc>
          <w:tcPr>
            <w:tcW w:w="2094" w:type="dxa"/>
            <w:tcMar>
              <w:top w:w="60" w:type="dxa"/>
              <w:left w:w="100" w:type="dxa"/>
              <w:bottom w:w="60" w:type="dxa"/>
              <w:right w:w="100" w:type="dxa"/>
            </w:tcMar>
          </w:tcPr>
          <w:p w14:paraId="5FEC394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Adam et al. 2022</w:t>
            </w:r>
          </w:p>
        </w:tc>
        <w:tc>
          <w:tcPr>
            <w:tcW w:w="4923" w:type="dxa"/>
            <w:tcMar>
              <w:top w:w="60" w:type="dxa"/>
              <w:left w:w="100" w:type="dxa"/>
              <w:bottom w:w="60" w:type="dxa"/>
              <w:right w:w="100" w:type="dxa"/>
            </w:tcMar>
          </w:tcPr>
          <w:p w14:paraId="045DF10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Metabolic and molecular signatures of improved growth in Atlantic salmon (Salmo salar) fed surplus levels of methionine, folic acid, vitamin B(6) and B(12) throughout smoltification</w:t>
            </w:r>
          </w:p>
        </w:tc>
        <w:tc>
          <w:tcPr>
            <w:tcW w:w="6537" w:type="dxa"/>
            <w:tcMar>
              <w:top w:w="60" w:type="dxa"/>
              <w:left w:w="100" w:type="dxa"/>
              <w:bottom w:w="60" w:type="dxa"/>
              <w:right w:w="100" w:type="dxa"/>
            </w:tcMar>
          </w:tcPr>
          <w:p w14:paraId="22F333D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this was an animal nutrition study in Atlantic salmon examining growth effects of multiple one - carbon nutrients including vitamin B6 and not excess vitamin B6 toxicity, human health outcomes, peripheral neuropathy, or human UL derivation.</w:t>
            </w:r>
          </w:p>
        </w:tc>
      </w:tr>
      <w:tr w:rsidR="00EA496D" w:rsidRPr="00F56AD6" w14:paraId="30A69A0F" w14:textId="77777777" w:rsidTr="00EA496D">
        <w:tc>
          <w:tcPr>
            <w:tcW w:w="846" w:type="dxa"/>
            <w:tcMar>
              <w:top w:w="60" w:type="dxa"/>
              <w:left w:w="100" w:type="dxa"/>
              <w:bottom w:w="60" w:type="dxa"/>
              <w:right w:w="100" w:type="dxa"/>
            </w:tcMar>
          </w:tcPr>
          <w:p w14:paraId="0DF6572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7</w:t>
            </w:r>
          </w:p>
        </w:tc>
        <w:tc>
          <w:tcPr>
            <w:tcW w:w="2094" w:type="dxa"/>
            <w:tcMar>
              <w:top w:w="60" w:type="dxa"/>
              <w:left w:w="100" w:type="dxa"/>
              <w:bottom w:w="60" w:type="dxa"/>
              <w:right w:w="100" w:type="dxa"/>
            </w:tcMar>
          </w:tcPr>
          <w:p w14:paraId="3E79DBB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Adhan et al. 2025</w:t>
            </w:r>
          </w:p>
        </w:tc>
        <w:tc>
          <w:tcPr>
            <w:tcW w:w="4923" w:type="dxa"/>
            <w:tcMar>
              <w:top w:w="60" w:type="dxa"/>
              <w:left w:w="100" w:type="dxa"/>
              <w:bottom w:w="60" w:type="dxa"/>
              <w:right w:w="100" w:type="dxa"/>
            </w:tcMar>
          </w:tcPr>
          <w:p w14:paraId="63EEDAF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Neurotoxic Implications of Vincristine in Pediatric: Ophthalmology: A Case Series</w:t>
            </w:r>
          </w:p>
        </w:tc>
        <w:tc>
          <w:tcPr>
            <w:tcW w:w="6537" w:type="dxa"/>
            <w:tcMar>
              <w:top w:w="60" w:type="dxa"/>
              <w:left w:w="100" w:type="dxa"/>
              <w:bottom w:w="60" w:type="dxa"/>
              <w:right w:w="100" w:type="dxa"/>
            </w:tcMar>
          </w:tcPr>
          <w:p w14:paraId="5D5212C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this case series concerns vincristine - induced neurotoxicity treated with pyridoxine as supportive therapy, rather than adverse effects from excess vitamin B6 intake or UL derivation.</w:t>
            </w:r>
          </w:p>
        </w:tc>
      </w:tr>
      <w:tr w:rsidR="00EA496D" w:rsidRPr="00F56AD6" w14:paraId="0C661CAA" w14:textId="77777777" w:rsidTr="00EA496D">
        <w:tc>
          <w:tcPr>
            <w:tcW w:w="846" w:type="dxa"/>
            <w:tcMar>
              <w:top w:w="60" w:type="dxa"/>
              <w:left w:w="100" w:type="dxa"/>
              <w:bottom w:w="60" w:type="dxa"/>
              <w:right w:w="100" w:type="dxa"/>
            </w:tcMar>
          </w:tcPr>
          <w:p w14:paraId="0270F56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8</w:t>
            </w:r>
          </w:p>
        </w:tc>
        <w:tc>
          <w:tcPr>
            <w:tcW w:w="2094" w:type="dxa"/>
            <w:tcMar>
              <w:top w:w="60" w:type="dxa"/>
              <w:left w:w="100" w:type="dxa"/>
              <w:bottom w:w="60" w:type="dxa"/>
              <w:right w:w="100" w:type="dxa"/>
            </w:tcMar>
          </w:tcPr>
          <w:p w14:paraId="42838D5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Agarwal 2024</w:t>
            </w:r>
          </w:p>
        </w:tc>
        <w:tc>
          <w:tcPr>
            <w:tcW w:w="4923" w:type="dxa"/>
            <w:tcMar>
              <w:top w:w="60" w:type="dxa"/>
              <w:left w:w="100" w:type="dxa"/>
              <w:bottom w:w="60" w:type="dxa"/>
              <w:right w:w="100" w:type="dxa"/>
            </w:tcMar>
          </w:tcPr>
          <w:p w14:paraId="4BD143E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Contribution of Beef to Key Nutrient Intakes and Nutrient Adequacy in Pregnant and Lactating Women: NHANES 2011-2018 Analysis</w:t>
            </w:r>
          </w:p>
        </w:tc>
        <w:tc>
          <w:tcPr>
            <w:tcW w:w="6537" w:type="dxa"/>
            <w:tcMar>
              <w:top w:w="60" w:type="dxa"/>
              <w:left w:w="100" w:type="dxa"/>
              <w:bottom w:w="60" w:type="dxa"/>
              <w:right w:w="100" w:type="dxa"/>
            </w:tcMar>
          </w:tcPr>
          <w:p w14:paraId="3626DFD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this dietary intake study evaluates nutrient adequacy and beef consumption in pregnant and lactating women, focusing on vitamin B6 deficiency risk rather than excess intake, toxicity, peripheral neuropathy, or UL derivation.</w:t>
            </w:r>
          </w:p>
        </w:tc>
      </w:tr>
      <w:tr w:rsidR="00EA496D" w:rsidRPr="00F56AD6" w14:paraId="1EDFFC69" w14:textId="77777777" w:rsidTr="00EA496D">
        <w:tc>
          <w:tcPr>
            <w:tcW w:w="846" w:type="dxa"/>
            <w:tcMar>
              <w:top w:w="60" w:type="dxa"/>
              <w:left w:w="100" w:type="dxa"/>
              <w:bottom w:w="60" w:type="dxa"/>
              <w:right w:w="100" w:type="dxa"/>
            </w:tcMar>
          </w:tcPr>
          <w:p w14:paraId="44666C4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9</w:t>
            </w:r>
          </w:p>
        </w:tc>
        <w:tc>
          <w:tcPr>
            <w:tcW w:w="2094" w:type="dxa"/>
            <w:tcMar>
              <w:top w:w="60" w:type="dxa"/>
              <w:left w:w="100" w:type="dxa"/>
              <w:bottom w:w="60" w:type="dxa"/>
              <w:right w:w="100" w:type="dxa"/>
            </w:tcMar>
          </w:tcPr>
          <w:p w14:paraId="2854439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Aghamohammadi et al. 2022</w:t>
            </w:r>
          </w:p>
        </w:tc>
        <w:tc>
          <w:tcPr>
            <w:tcW w:w="4923" w:type="dxa"/>
            <w:tcMar>
              <w:top w:w="60" w:type="dxa"/>
              <w:left w:w="100" w:type="dxa"/>
              <w:bottom w:w="60" w:type="dxa"/>
              <w:right w:w="100" w:type="dxa"/>
            </w:tcMar>
          </w:tcPr>
          <w:p w14:paraId="43B2F93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Modeling studies on the role of vitamins B1 (thiamin), B3 (nicotinamide), B6 (pyridoxamine), and caffeine as potential leads for the drug design against COVID-19</w:t>
            </w:r>
          </w:p>
        </w:tc>
        <w:tc>
          <w:tcPr>
            <w:tcW w:w="6537" w:type="dxa"/>
            <w:tcMar>
              <w:top w:w="60" w:type="dxa"/>
              <w:left w:w="100" w:type="dxa"/>
              <w:bottom w:w="60" w:type="dxa"/>
              <w:right w:w="100" w:type="dxa"/>
            </w:tcMar>
          </w:tcPr>
          <w:p w14:paraId="440F6D4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this was a molecular modelling study exploring vitamin B6 as a potential antiviral candidate against COVID - 19, not a study of excess vitamin B6 intake, toxicity, peripheral neuropathy, or UL derivation.</w:t>
            </w:r>
          </w:p>
        </w:tc>
      </w:tr>
      <w:tr w:rsidR="00EA496D" w:rsidRPr="00F56AD6" w14:paraId="0BBC67BB" w14:textId="77777777" w:rsidTr="00EA496D">
        <w:tc>
          <w:tcPr>
            <w:tcW w:w="846" w:type="dxa"/>
            <w:tcMar>
              <w:top w:w="60" w:type="dxa"/>
              <w:left w:w="100" w:type="dxa"/>
              <w:bottom w:w="60" w:type="dxa"/>
              <w:right w:w="100" w:type="dxa"/>
            </w:tcMar>
          </w:tcPr>
          <w:p w14:paraId="11E303C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10</w:t>
            </w:r>
          </w:p>
        </w:tc>
        <w:tc>
          <w:tcPr>
            <w:tcW w:w="2094" w:type="dxa"/>
            <w:tcMar>
              <w:top w:w="60" w:type="dxa"/>
              <w:left w:w="100" w:type="dxa"/>
              <w:bottom w:w="60" w:type="dxa"/>
              <w:right w:w="100" w:type="dxa"/>
            </w:tcMar>
          </w:tcPr>
          <w:p w14:paraId="4D15265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Ahmad et al. 2024</w:t>
            </w:r>
          </w:p>
        </w:tc>
        <w:tc>
          <w:tcPr>
            <w:tcW w:w="4923" w:type="dxa"/>
            <w:tcMar>
              <w:top w:w="60" w:type="dxa"/>
              <w:left w:w="100" w:type="dxa"/>
              <w:bottom w:w="60" w:type="dxa"/>
              <w:right w:w="100" w:type="dxa"/>
            </w:tcMar>
          </w:tcPr>
          <w:p w14:paraId="3F6C95C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Protective Role of Vitamin B6 Against Teratogenic Effects Induced by Lead in Chick Embryo</w:t>
            </w:r>
          </w:p>
        </w:tc>
        <w:tc>
          <w:tcPr>
            <w:tcW w:w="6537" w:type="dxa"/>
            <w:tcMar>
              <w:top w:w="60" w:type="dxa"/>
              <w:left w:w="100" w:type="dxa"/>
              <w:bottom w:w="60" w:type="dxa"/>
              <w:right w:w="100" w:type="dxa"/>
            </w:tcMar>
          </w:tcPr>
          <w:p w14:paraId="43BB83C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this animal study evaluates vitamin B6 as a protective treatment against lead toxicity in chick embryos, not adverse effects from excess vitamin B6 intake or UL derivation.</w:t>
            </w:r>
          </w:p>
        </w:tc>
      </w:tr>
      <w:tr w:rsidR="00EA496D" w:rsidRPr="00F56AD6" w14:paraId="6204A921" w14:textId="77777777" w:rsidTr="00EA496D">
        <w:tc>
          <w:tcPr>
            <w:tcW w:w="846" w:type="dxa"/>
            <w:tcMar>
              <w:top w:w="60" w:type="dxa"/>
              <w:left w:w="100" w:type="dxa"/>
              <w:bottom w:w="60" w:type="dxa"/>
              <w:right w:w="100" w:type="dxa"/>
            </w:tcMar>
          </w:tcPr>
          <w:p w14:paraId="55E4280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11</w:t>
            </w:r>
          </w:p>
        </w:tc>
        <w:tc>
          <w:tcPr>
            <w:tcW w:w="2094" w:type="dxa"/>
            <w:tcMar>
              <w:top w:w="60" w:type="dxa"/>
              <w:left w:w="100" w:type="dxa"/>
              <w:bottom w:w="60" w:type="dxa"/>
              <w:right w:w="100" w:type="dxa"/>
            </w:tcMar>
          </w:tcPr>
          <w:p w14:paraId="2CDF9B9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Ahmed et al. 2026</w:t>
            </w:r>
          </w:p>
        </w:tc>
        <w:tc>
          <w:tcPr>
            <w:tcW w:w="4923" w:type="dxa"/>
            <w:tcMar>
              <w:top w:w="60" w:type="dxa"/>
              <w:left w:w="100" w:type="dxa"/>
              <w:bottom w:w="60" w:type="dxa"/>
              <w:right w:w="100" w:type="dxa"/>
            </w:tcMar>
          </w:tcPr>
          <w:p w14:paraId="1961831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Vincristine-Induced Neurotoxicity in Acute Lymphoblastic Leukemia: A Comprehensive Systematic Review</w:t>
            </w:r>
          </w:p>
        </w:tc>
        <w:tc>
          <w:tcPr>
            <w:tcW w:w="6537" w:type="dxa"/>
            <w:tcMar>
              <w:top w:w="60" w:type="dxa"/>
              <w:left w:w="100" w:type="dxa"/>
              <w:bottom w:w="60" w:type="dxa"/>
              <w:right w:w="100" w:type="dxa"/>
            </w:tcMar>
          </w:tcPr>
          <w:p w14:paraId="4CEE036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this review concerns vincristine - induced neurotoxicity and mentions pyridoxine only as a possible symptomatic treatment, not vitamin B6 excess intake, vitamin B6 - induced neuropathy, or UL derivation evidence.</w:t>
            </w:r>
          </w:p>
        </w:tc>
      </w:tr>
      <w:tr w:rsidR="00EA496D" w:rsidRPr="00F56AD6" w14:paraId="0D9BCAC5" w14:textId="77777777" w:rsidTr="00EA496D">
        <w:tc>
          <w:tcPr>
            <w:tcW w:w="846" w:type="dxa"/>
            <w:tcMar>
              <w:top w:w="60" w:type="dxa"/>
              <w:left w:w="100" w:type="dxa"/>
              <w:bottom w:w="60" w:type="dxa"/>
              <w:right w:w="100" w:type="dxa"/>
            </w:tcMar>
          </w:tcPr>
          <w:p w14:paraId="67D951B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12</w:t>
            </w:r>
          </w:p>
        </w:tc>
        <w:tc>
          <w:tcPr>
            <w:tcW w:w="2094" w:type="dxa"/>
            <w:tcMar>
              <w:top w:w="60" w:type="dxa"/>
              <w:left w:w="100" w:type="dxa"/>
              <w:bottom w:w="60" w:type="dxa"/>
              <w:right w:w="100" w:type="dxa"/>
            </w:tcMar>
          </w:tcPr>
          <w:p w14:paraId="1720EDE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Ahmed 2025</w:t>
            </w:r>
          </w:p>
        </w:tc>
        <w:tc>
          <w:tcPr>
            <w:tcW w:w="4923" w:type="dxa"/>
            <w:tcMar>
              <w:top w:w="60" w:type="dxa"/>
              <w:left w:w="100" w:type="dxa"/>
              <w:bottom w:w="60" w:type="dxa"/>
              <w:right w:w="100" w:type="dxa"/>
            </w:tcMar>
          </w:tcPr>
          <w:p w14:paraId="6553FD5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Vincristine-induced ptosis in pediatric patients: a systematic review and practice recommendations</w:t>
            </w:r>
          </w:p>
        </w:tc>
        <w:tc>
          <w:tcPr>
            <w:tcW w:w="6537" w:type="dxa"/>
            <w:tcMar>
              <w:top w:w="60" w:type="dxa"/>
              <w:left w:w="100" w:type="dxa"/>
              <w:bottom w:w="60" w:type="dxa"/>
              <w:right w:w="100" w:type="dxa"/>
            </w:tcMar>
          </w:tcPr>
          <w:p w14:paraId="622A58C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this review focuses on vincristine - induced ptosis/neurotoxicity with pyridoxine used as treatment, rather than adverse effects from excess vitamin B6 intake or UL derivation.</w:t>
            </w:r>
          </w:p>
        </w:tc>
      </w:tr>
      <w:tr w:rsidR="00EA496D" w:rsidRPr="00F56AD6" w14:paraId="4230B10C" w14:textId="77777777" w:rsidTr="00EA496D">
        <w:tc>
          <w:tcPr>
            <w:tcW w:w="846" w:type="dxa"/>
            <w:tcMar>
              <w:top w:w="60" w:type="dxa"/>
              <w:left w:w="100" w:type="dxa"/>
              <w:bottom w:w="60" w:type="dxa"/>
              <w:right w:w="100" w:type="dxa"/>
            </w:tcMar>
          </w:tcPr>
          <w:p w14:paraId="2CBE953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13</w:t>
            </w:r>
          </w:p>
        </w:tc>
        <w:tc>
          <w:tcPr>
            <w:tcW w:w="2094" w:type="dxa"/>
            <w:tcMar>
              <w:top w:w="60" w:type="dxa"/>
              <w:left w:w="100" w:type="dxa"/>
              <w:bottom w:w="60" w:type="dxa"/>
              <w:right w:w="100" w:type="dxa"/>
            </w:tcMar>
          </w:tcPr>
          <w:p w14:paraId="266E90C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Akbarzadeh et al. 2025</w:t>
            </w:r>
          </w:p>
        </w:tc>
        <w:tc>
          <w:tcPr>
            <w:tcW w:w="4923" w:type="dxa"/>
            <w:tcMar>
              <w:top w:w="60" w:type="dxa"/>
              <w:left w:w="100" w:type="dxa"/>
              <w:bottom w:w="60" w:type="dxa"/>
              <w:right w:w="100" w:type="dxa"/>
            </w:tcMar>
          </w:tcPr>
          <w:p w14:paraId="7AB4240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Short-Term Effects of Folate Supplementation in Combination With Vitamin B6 for Treating Acute Manic Episodes in Bipolar I Disorder: A Randomized Controlled Trial</w:t>
            </w:r>
          </w:p>
        </w:tc>
        <w:tc>
          <w:tcPr>
            <w:tcW w:w="6537" w:type="dxa"/>
            <w:tcMar>
              <w:top w:w="60" w:type="dxa"/>
              <w:left w:w="100" w:type="dxa"/>
              <w:bottom w:w="60" w:type="dxa"/>
              <w:right w:w="100" w:type="dxa"/>
            </w:tcMar>
          </w:tcPr>
          <w:p w14:paraId="6BD76AF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this clinical trial evaluates vitamin B6 as adjunct therapy for bipolar disorder treatment, not adverse effects from excess vitamin B6 intake, peripheral neuropathy, or evidence relevant to establishing the vitamin B6 UL.</w:t>
            </w:r>
          </w:p>
        </w:tc>
      </w:tr>
      <w:tr w:rsidR="00EA496D" w:rsidRPr="00F56AD6" w14:paraId="426CA126" w14:textId="77777777" w:rsidTr="00EA496D">
        <w:tc>
          <w:tcPr>
            <w:tcW w:w="846" w:type="dxa"/>
            <w:tcMar>
              <w:top w:w="60" w:type="dxa"/>
              <w:left w:w="100" w:type="dxa"/>
              <w:bottom w:w="60" w:type="dxa"/>
              <w:right w:w="100" w:type="dxa"/>
            </w:tcMar>
          </w:tcPr>
          <w:p w14:paraId="6104EF4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14</w:t>
            </w:r>
          </w:p>
        </w:tc>
        <w:tc>
          <w:tcPr>
            <w:tcW w:w="2094" w:type="dxa"/>
            <w:tcMar>
              <w:top w:w="60" w:type="dxa"/>
              <w:left w:w="100" w:type="dxa"/>
              <w:bottom w:w="60" w:type="dxa"/>
              <w:right w:w="100" w:type="dxa"/>
            </w:tcMar>
          </w:tcPr>
          <w:p w14:paraId="155D43E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Akiyama et al. 2025</w:t>
            </w:r>
          </w:p>
        </w:tc>
        <w:tc>
          <w:tcPr>
            <w:tcW w:w="4923" w:type="dxa"/>
            <w:tcMar>
              <w:top w:w="60" w:type="dxa"/>
              <w:left w:w="100" w:type="dxa"/>
              <w:bottom w:w="60" w:type="dxa"/>
              <w:right w:w="100" w:type="dxa"/>
            </w:tcMar>
          </w:tcPr>
          <w:p w14:paraId="3603A49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 xml:space="preserve">Vitamin B6 Status in Hypophosphatasia: Association With Clinical Severity, Diagnostic </w:t>
            </w:r>
            <w:r w:rsidRPr="00F56AD6">
              <w:rPr>
                <w:rFonts w:asciiTheme="minorHAnsi" w:hAnsiTheme="minorHAnsi" w:cstheme="minorHAnsi"/>
                <w:sz w:val="20"/>
              </w:rPr>
              <w:lastRenderedPageBreak/>
              <w:t>Utility, and Effects on Vitamin B6 Metabolism by Supplementation and Enzyme Replacement Therapy</w:t>
            </w:r>
          </w:p>
        </w:tc>
        <w:tc>
          <w:tcPr>
            <w:tcW w:w="6537" w:type="dxa"/>
            <w:tcMar>
              <w:top w:w="60" w:type="dxa"/>
              <w:left w:w="100" w:type="dxa"/>
              <w:bottom w:w="60" w:type="dxa"/>
              <w:right w:w="100" w:type="dxa"/>
            </w:tcMar>
          </w:tcPr>
          <w:p w14:paraId="44CE890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 xml:space="preserve">Excluded because this study investigates vitamin B6 vitamer biomarkers in hypophosphatasia and treatment response not </w:t>
            </w:r>
            <w:r w:rsidRPr="00F56AD6">
              <w:rPr>
                <w:rFonts w:asciiTheme="minorHAnsi" w:hAnsiTheme="minorHAnsi" w:cstheme="minorHAnsi"/>
                <w:sz w:val="20"/>
              </w:rPr>
              <w:lastRenderedPageBreak/>
              <w:t>excess vitamin B6 intake, toxicity, peripheral neuropathy, or UL derivation.</w:t>
            </w:r>
          </w:p>
        </w:tc>
      </w:tr>
      <w:tr w:rsidR="00EA496D" w:rsidRPr="00F56AD6" w14:paraId="69BAD3DB" w14:textId="77777777" w:rsidTr="00EA496D">
        <w:tc>
          <w:tcPr>
            <w:tcW w:w="846" w:type="dxa"/>
            <w:tcMar>
              <w:top w:w="60" w:type="dxa"/>
              <w:left w:w="100" w:type="dxa"/>
              <w:bottom w:w="60" w:type="dxa"/>
              <w:right w:w="100" w:type="dxa"/>
            </w:tcMar>
          </w:tcPr>
          <w:p w14:paraId="5C6EF81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15</w:t>
            </w:r>
          </w:p>
        </w:tc>
        <w:tc>
          <w:tcPr>
            <w:tcW w:w="2094" w:type="dxa"/>
            <w:tcMar>
              <w:top w:w="60" w:type="dxa"/>
              <w:left w:w="100" w:type="dxa"/>
              <w:bottom w:w="60" w:type="dxa"/>
              <w:right w:w="100" w:type="dxa"/>
            </w:tcMar>
          </w:tcPr>
          <w:p w14:paraId="2830303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Aktaşoğlu et al. 2026</w:t>
            </w:r>
          </w:p>
        </w:tc>
        <w:tc>
          <w:tcPr>
            <w:tcW w:w="4923" w:type="dxa"/>
            <w:tcMar>
              <w:top w:w="60" w:type="dxa"/>
              <w:left w:w="100" w:type="dxa"/>
              <w:bottom w:w="60" w:type="dxa"/>
              <w:right w:w="100" w:type="dxa"/>
            </w:tcMar>
          </w:tcPr>
          <w:p w14:paraId="5BB5BD9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Gyrate atrophy of the choroid and retina: a tertiary center experience</w:t>
            </w:r>
          </w:p>
        </w:tc>
        <w:tc>
          <w:tcPr>
            <w:tcW w:w="6537" w:type="dxa"/>
            <w:tcMar>
              <w:top w:w="60" w:type="dxa"/>
              <w:left w:w="100" w:type="dxa"/>
              <w:bottom w:w="60" w:type="dxa"/>
              <w:right w:w="100" w:type="dxa"/>
            </w:tcMar>
          </w:tcPr>
          <w:p w14:paraId="6637120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this study concerns pyridoxine as part of treatment for gyrate atrophy/metabolic control, not adverse effects from excess vitamin B6 intake or UL derivation.</w:t>
            </w:r>
          </w:p>
        </w:tc>
      </w:tr>
      <w:tr w:rsidR="00EA496D" w:rsidRPr="00F56AD6" w14:paraId="608F002D" w14:textId="77777777" w:rsidTr="00EA496D">
        <w:tc>
          <w:tcPr>
            <w:tcW w:w="846" w:type="dxa"/>
            <w:tcMar>
              <w:top w:w="60" w:type="dxa"/>
              <w:left w:w="100" w:type="dxa"/>
              <w:bottom w:w="60" w:type="dxa"/>
              <w:right w:w="100" w:type="dxa"/>
            </w:tcMar>
          </w:tcPr>
          <w:p w14:paraId="3F5E5F6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16</w:t>
            </w:r>
          </w:p>
        </w:tc>
        <w:tc>
          <w:tcPr>
            <w:tcW w:w="2094" w:type="dxa"/>
            <w:tcMar>
              <w:top w:w="60" w:type="dxa"/>
              <w:left w:w="100" w:type="dxa"/>
              <w:bottom w:w="60" w:type="dxa"/>
              <w:right w:w="100" w:type="dxa"/>
            </w:tcMar>
          </w:tcPr>
          <w:p w14:paraId="22800E3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AlHariri 2026</w:t>
            </w:r>
          </w:p>
        </w:tc>
        <w:tc>
          <w:tcPr>
            <w:tcW w:w="4923" w:type="dxa"/>
            <w:tcMar>
              <w:top w:w="60" w:type="dxa"/>
              <w:left w:w="100" w:type="dxa"/>
              <w:bottom w:w="60" w:type="dxa"/>
              <w:right w:w="100" w:type="dxa"/>
            </w:tcMar>
          </w:tcPr>
          <w:p w14:paraId="25AE85F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Tuberculous Peripancreatic Lymphadenitis Presenting as Obstructive Jaundice Due to Extrinsic Common Bile Duct Compression: A Case Report</w:t>
            </w:r>
          </w:p>
        </w:tc>
        <w:tc>
          <w:tcPr>
            <w:tcW w:w="6537" w:type="dxa"/>
            <w:tcMar>
              <w:top w:w="60" w:type="dxa"/>
              <w:left w:w="100" w:type="dxa"/>
              <w:bottom w:w="60" w:type="dxa"/>
              <w:right w:w="100" w:type="dxa"/>
            </w:tcMar>
          </w:tcPr>
          <w:p w14:paraId="33550AE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it did not assess vitamin B6 toxicity; vitamin B6 was considered as a treatment.</w:t>
            </w:r>
          </w:p>
        </w:tc>
      </w:tr>
      <w:tr w:rsidR="00EA496D" w:rsidRPr="00F56AD6" w14:paraId="0C601B35" w14:textId="77777777" w:rsidTr="00EA496D">
        <w:tc>
          <w:tcPr>
            <w:tcW w:w="846" w:type="dxa"/>
            <w:tcMar>
              <w:top w:w="60" w:type="dxa"/>
              <w:left w:w="100" w:type="dxa"/>
              <w:bottom w:w="60" w:type="dxa"/>
              <w:right w:w="100" w:type="dxa"/>
            </w:tcMar>
          </w:tcPr>
          <w:p w14:paraId="69069F2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17</w:t>
            </w:r>
          </w:p>
        </w:tc>
        <w:tc>
          <w:tcPr>
            <w:tcW w:w="2094" w:type="dxa"/>
            <w:tcMar>
              <w:top w:w="60" w:type="dxa"/>
              <w:left w:w="100" w:type="dxa"/>
              <w:bottom w:w="60" w:type="dxa"/>
              <w:right w:w="100" w:type="dxa"/>
            </w:tcMar>
          </w:tcPr>
          <w:p w14:paraId="3E148F1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AlMughram et al. 2022</w:t>
            </w:r>
          </w:p>
        </w:tc>
        <w:tc>
          <w:tcPr>
            <w:tcW w:w="4923" w:type="dxa"/>
            <w:tcMar>
              <w:top w:w="60" w:type="dxa"/>
              <w:left w:w="100" w:type="dxa"/>
              <w:bottom w:w="60" w:type="dxa"/>
              <w:right w:w="100" w:type="dxa"/>
            </w:tcMar>
          </w:tcPr>
          <w:p w14:paraId="35C1F26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Elucidating the Interaction between Pyridoxine 5'-Phosphate Oxidase and Dopa Decarboxylase: Activation of B6-Dependent Enzyme</w:t>
            </w:r>
          </w:p>
        </w:tc>
        <w:tc>
          <w:tcPr>
            <w:tcW w:w="6537" w:type="dxa"/>
            <w:tcMar>
              <w:top w:w="60" w:type="dxa"/>
              <w:left w:w="100" w:type="dxa"/>
              <w:bottom w:w="60" w:type="dxa"/>
              <w:right w:w="100" w:type="dxa"/>
            </w:tcMar>
          </w:tcPr>
          <w:p w14:paraId="6C7CD76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this biochemical/mechanistic study examined PLP transfer between B6-salvage enzymes and apoDDC, and did not assess vitamin B6 intake, adverse effects, or a health endpoint relevant to UL derivation.</w:t>
            </w:r>
          </w:p>
        </w:tc>
      </w:tr>
      <w:tr w:rsidR="00EA496D" w:rsidRPr="00F56AD6" w14:paraId="459C6C54" w14:textId="77777777" w:rsidTr="00EA496D">
        <w:tc>
          <w:tcPr>
            <w:tcW w:w="846" w:type="dxa"/>
            <w:tcMar>
              <w:top w:w="60" w:type="dxa"/>
              <w:left w:w="100" w:type="dxa"/>
              <w:bottom w:w="60" w:type="dxa"/>
              <w:right w:w="100" w:type="dxa"/>
            </w:tcMar>
          </w:tcPr>
          <w:p w14:paraId="5E0067B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18</w:t>
            </w:r>
          </w:p>
        </w:tc>
        <w:tc>
          <w:tcPr>
            <w:tcW w:w="2094" w:type="dxa"/>
            <w:tcMar>
              <w:top w:w="60" w:type="dxa"/>
              <w:left w:w="100" w:type="dxa"/>
              <w:bottom w:w="60" w:type="dxa"/>
              <w:right w:w="100" w:type="dxa"/>
            </w:tcMar>
          </w:tcPr>
          <w:p w14:paraId="5098B34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Al-Awaida et al. 2023</w:t>
            </w:r>
          </w:p>
        </w:tc>
        <w:tc>
          <w:tcPr>
            <w:tcW w:w="4923" w:type="dxa"/>
            <w:tcMar>
              <w:top w:w="60" w:type="dxa"/>
              <w:left w:w="100" w:type="dxa"/>
              <w:bottom w:w="60" w:type="dxa"/>
              <w:right w:w="100" w:type="dxa"/>
            </w:tcMar>
          </w:tcPr>
          <w:p w14:paraId="0D234B3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Modulation of wheatgrass (Triticum aestivum Linn) toxicity against breast cancer cell lines by simulated microgravity</w:t>
            </w:r>
          </w:p>
        </w:tc>
        <w:tc>
          <w:tcPr>
            <w:tcW w:w="6537" w:type="dxa"/>
            <w:tcMar>
              <w:top w:w="60" w:type="dxa"/>
              <w:left w:w="100" w:type="dxa"/>
              <w:bottom w:w="60" w:type="dxa"/>
              <w:right w:w="100" w:type="dxa"/>
            </w:tcMar>
          </w:tcPr>
          <w:p w14:paraId="1E0875D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this study examined phytochemical changes in wheatgrass under simulated microgravity, with pyridoxine identified only as one of many compounds; it was not relevant to excess vitamin B6 intake, human adverse effects, or UL derivation.</w:t>
            </w:r>
          </w:p>
        </w:tc>
      </w:tr>
      <w:tr w:rsidR="00EA496D" w:rsidRPr="00F56AD6" w14:paraId="57F712EB" w14:textId="77777777" w:rsidTr="00EA496D">
        <w:tc>
          <w:tcPr>
            <w:tcW w:w="846" w:type="dxa"/>
            <w:tcMar>
              <w:top w:w="60" w:type="dxa"/>
              <w:left w:w="100" w:type="dxa"/>
              <w:bottom w:w="60" w:type="dxa"/>
              <w:right w:w="100" w:type="dxa"/>
            </w:tcMar>
          </w:tcPr>
          <w:p w14:paraId="1CF49C1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19</w:t>
            </w:r>
          </w:p>
        </w:tc>
        <w:tc>
          <w:tcPr>
            <w:tcW w:w="2094" w:type="dxa"/>
            <w:tcMar>
              <w:top w:w="60" w:type="dxa"/>
              <w:left w:w="100" w:type="dxa"/>
              <w:bottom w:w="60" w:type="dxa"/>
              <w:right w:w="100" w:type="dxa"/>
            </w:tcMar>
          </w:tcPr>
          <w:p w14:paraId="6F152CC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Alfian et al. 2025</w:t>
            </w:r>
          </w:p>
        </w:tc>
        <w:tc>
          <w:tcPr>
            <w:tcW w:w="4923" w:type="dxa"/>
            <w:tcMar>
              <w:top w:w="60" w:type="dxa"/>
              <w:left w:w="100" w:type="dxa"/>
              <w:bottom w:w="60" w:type="dxa"/>
              <w:right w:w="100" w:type="dxa"/>
            </w:tcMar>
          </w:tcPr>
          <w:p w14:paraId="1A644D0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Inverse embryonic responses of In vivo and In vitro fertilized mouse embryos to vitamin B supplementation during preimplantation period with limited long-term risks</w:t>
            </w:r>
          </w:p>
        </w:tc>
        <w:tc>
          <w:tcPr>
            <w:tcW w:w="6537" w:type="dxa"/>
            <w:tcMar>
              <w:top w:w="60" w:type="dxa"/>
              <w:left w:w="100" w:type="dxa"/>
              <w:bottom w:w="60" w:type="dxa"/>
              <w:right w:w="100" w:type="dxa"/>
            </w:tcMar>
          </w:tcPr>
          <w:p w14:paraId="14ECB56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it was an IVF-related study and the exposure route was not relevant to vitamin B6 UL derivation.</w:t>
            </w:r>
          </w:p>
        </w:tc>
      </w:tr>
      <w:tr w:rsidR="00EA496D" w:rsidRPr="00F56AD6" w14:paraId="21C531F3" w14:textId="77777777" w:rsidTr="00EA496D">
        <w:tc>
          <w:tcPr>
            <w:tcW w:w="846" w:type="dxa"/>
            <w:tcMar>
              <w:top w:w="60" w:type="dxa"/>
              <w:left w:w="100" w:type="dxa"/>
              <w:bottom w:w="60" w:type="dxa"/>
              <w:right w:w="100" w:type="dxa"/>
            </w:tcMar>
          </w:tcPr>
          <w:p w14:paraId="3C9DA28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20</w:t>
            </w:r>
          </w:p>
        </w:tc>
        <w:tc>
          <w:tcPr>
            <w:tcW w:w="2094" w:type="dxa"/>
            <w:tcMar>
              <w:top w:w="60" w:type="dxa"/>
              <w:left w:w="100" w:type="dxa"/>
              <w:bottom w:w="60" w:type="dxa"/>
              <w:right w:w="100" w:type="dxa"/>
            </w:tcMar>
          </w:tcPr>
          <w:p w14:paraId="0671EB9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Ali et al. 2025</w:t>
            </w:r>
          </w:p>
        </w:tc>
        <w:tc>
          <w:tcPr>
            <w:tcW w:w="4923" w:type="dxa"/>
            <w:tcMar>
              <w:top w:w="60" w:type="dxa"/>
              <w:left w:w="100" w:type="dxa"/>
              <w:bottom w:w="60" w:type="dxa"/>
              <w:right w:w="100" w:type="dxa"/>
            </w:tcMar>
          </w:tcPr>
          <w:p w14:paraId="5B68D18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Conservation of Verbascum sinaiticum Benth using innovative tissue culture technique and DNA barcoding</w:t>
            </w:r>
          </w:p>
        </w:tc>
        <w:tc>
          <w:tcPr>
            <w:tcW w:w="6537" w:type="dxa"/>
            <w:tcMar>
              <w:top w:w="60" w:type="dxa"/>
              <w:left w:w="100" w:type="dxa"/>
              <w:bottom w:w="60" w:type="dxa"/>
              <w:right w:w="100" w:type="dxa"/>
            </w:tcMar>
          </w:tcPr>
          <w:p w14:paraId="5F3C278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population; the study was in vitro and not directly relevant to excess vitamin B6 toxicity or UL derivation.</w:t>
            </w:r>
          </w:p>
        </w:tc>
      </w:tr>
      <w:tr w:rsidR="00EA496D" w:rsidRPr="00F56AD6" w14:paraId="2F373473" w14:textId="77777777" w:rsidTr="00EA496D">
        <w:tc>
          <w:tcPr>
            <w:tcW w:w="846" w:type="dxa"/>
            <w:tcMar>
              <w:top w:w="60" w:type="dxa"/>
              <w:left w:w="100" w:type="dxa"/>
              <w:bottom w:w="60" w:type="dxa"/>
              <w:right w:w="100" w:type="dxa"/>
            </w:tcMar>
          </w:tcPr>
          <w:p w14:paraId="2519EAD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21</w:t>
            </w:r>
          </w:p>
        </w:tc>
        <w:tc>
          <w:tcPr>
            <w:tcW w:w="2094" w:type="dxa"/>
            <w:tcMar>
              <w:top w:w="60" w:type="dxa"/>
              <w:left w:w="100" w:type="dxa"/>
              <w:bottom w:w="60" w:type="dxa"/>
              <w:right w:w="100" w:type="dxa"/>
            </w:tcMar>
          </w:tcPr>
          <w:p w14:paraId="6E529FA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Aljaadi et al. 2022</w:t>
            </w:r>
          </w:p>
        </w:tc>
        <w:tc>
          <w:tcPr>
            <w:tcW w:w="4923" w:type="dxa"/>
            <w:tcMar>
              <w:top w:w="60" w:type="dxa"/>
              <w:left w:w="100" w:type="dxa"/>
              <w:bottom w:w="60" w:type="dxa"/>
              <w:right w:w="100" w:type="dxa"/>
            </w:tcMar>
          </w:tcPr>
          <w:p w14:paraId="72C3C54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Riboflavin intake and status and relationship to anemia</w:t>
            </w:r>
          </w:p>
        </w:tc>
        <w:tc>
          <w:tcPr>
            <w:tcW w:w="6537" w:type="dxa"/>
            <w:tcMar>
              <w:top w:w="60" w:type="dxa"/>
              <w:left w:w="100" w:type="dxa"/>
              <w:bottom w:w="60" w:type="dxa"/>
              <w:right w:w="100" w:type="dxa"/>
            </w:tcMar>
          </w:tcPr>
          <w:p w14:paraId="5B74E9B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nutrient and direction of effect; this narrative review focused on riboflavin deficiency and anemia, with vitamin B6 mentioned only in passing, and did not address adverse effects from excess vitamin B6 intake.</w:t>
            </w:r>
          </w:p>
        </w:tc>
      </w:tr>
      <w:tr w:rsidR="00EA496D" w:rsidRPr="00F56AD6" w14:paraId="1FE5867F" w14:textId="77777777" w:rsidTr="00EA496D">
        <w:tc>
          <w:tcPr>
            <w:tcW w:w="846" w:type="dxa"/>
            <w:tcMar>
              <w:top w:w="60" w:type="dxa"/>
              <w:left w:w="100" w:type="dxa"/>
              <w:bottom w:w="60" w:type="dxa"/>
              <w:right w:w="100" w:type="dxa"/>
            </w:tcMar>
          </w:tcPr>
          <w:p w14:paraId="73E3FC3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22</w:t>
            </w:r>
          </w:p>
        </w:tc>
        <w:tc>
          <w:tcPr>
            <w:tcW w:w="2094" w:type="dxa"/>
            <w:tcMar>
              <w:top w:w="60" w:type="dxa"/>
              <w:left w:w="100" w:type="dxa"/>
              <w:bottom w:w="60" w:type="dxa"/>
              <w:right w:w="100" w:type="dxa"/>
            </w:tcMar>
          </w:tcPr>
          <w:p w14:paraId="0C508F8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Almaraz-Postigo et al. 2024</w:t>
            </w:r>
          </w:p>
        </w:tc>
        <w:tc>
          <w:tcPr>
            <w:tcW w:w="4923" w:type="dxa"/>
            <w:tcMar>
              <w:top w:w="60" w:type="dxa"/>
              <w:left w:w="100" w:type="dxa"/>
              <w:bottom w:w="60" w:type="dxa"/>
              <w:right w:w="100" w:type="dxa"/>
            </w:tcMar>
          </w:tcPr>
          <w:p w14:paraId="099FAA2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Ocoxin Oral Solution Triggers DNA Damage and Cell Death in Ovarian Cancer</w:t>
            </w:r>
          </w:p>
        </w:tc>
        <w:tc>
          <w:tcPr>
            <w:tcW w:w="6537" w:type="dxa"/>
            <w:tcMar>
              <w:top w:w="60" w:type="dxa"/>
              <w:left w:w="100" w:type="dxa"/>
              <w:bottom w:w="60" w:type="dxa"/>
              <w:right w:w="100" w:type="dxa"/>
            </w:tcMar>
          </w:tcPr>
          <w:p w14:paraId="4D5062A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nutrient and wrong outcome; vitamin B6 was not assessed as a relevant exposure and no relevant adverse health effect was reported.</w:t>
            </w:r>
          </w:p>
        </w:tc>
      </w:tr>
      <w:tr w:rsidR="00EA496D" w:rsidRPr="00F56AD6" w14:paraId="710BA862" w14:textId="77777777" w:rsidTr="00EA496D">
        <w:tc>
          <w:tcPr>
            <w:tcW w:w="846" w:type="dxa"/>
            <w:tcMar>
              <w:top w:w="60" w:type="dxa"/>
              <w:left w:w="100" w:type="dxa"/>
              <w:bottom w:w="60" w:type="dxa"/>
              <w:right w:w="100" w:type="dxa"/>
            </w:tcMar>
          </w:tcPr>
          <w:p w14:paraId="43658A3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23</w:t>
            </w:r>
          </w:p>
        </w:tc>
        <w:tc>
          <w:tcPr>
            <w:tcW w:w="2094" w:type="dxa"/>
            <w:tcMar>
              <w:top w:w="60" w:type="dxa"/>
              <w:left w:w="100" w:type="dxa"/>
              <w:bottom w:w="60" w:type="dxa"/>
              <w:right w:w="100" w:type="dxa"/>
            </w:tcMar>
          </w:tcPr>
          <w:p w14:paraId="2973E57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Alsaeedi et al. 2023</w:t>
            </w:r>
          </w:p>
        </w:tc>
        <w:tc>
          <w:tcPr>
            <w:tcW w:w="4923" w:type="dxa"/>
            <w:tcMar>
              <w:top w:w="60" w:type="dxa"/>
              <w:left w:w="100" w:type="dxa"/>
              <w:bottom w:w="60" w:type="dxa"/>
              <w:right w:w="100" w:type="dxa"/>
            </w:tcMar>
          </w:tcPr>
          <w:p w14:paraId="5E36509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Impact of lifestyle factors on dietary vitamin B(6) intake and plasma pyridoxal 5'-phosphate level in UK adults: National Diet and Nutrition Survey Rolling Programme (NDNS) (2008-2017)</w:t>
            </w:r>
          </w:p>
        </w:tc>
        <w:tc>
          <w:tcPr>
            <w:tcW w:w="6537" w:type="dxa"/>
            <w:tcMar>
              <w:top w:w="60" w:type="dxa"/>
              <w:left w:w="100" w:type="dxa"/>
              <w:bottom w:w="60" w:type="dxa"/>
              <w:right w:w="100" w:type="dxa"/>
            </w:tcMar>
          </w:tcPr>
          <w:p w14:paraId="64BE3BD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assessed dietary vitamin B6 intake and plasma PLP status in relation to deficiency risk, not adverse effects from excess intake relevant to the UL.</w:t>
            </w:r>
          </w:p>
        </w:tc>
      </w:tr>
      <w:tr w:rsidR="00EA496D" w:rsidRPr="00F56AD6" w14:paraId="739FE157" w14:textId="77777777" w:rsidTr="00EA496D">
        <w:tc>
          <w:tcPr>
            <w:tcW w:w="846" w:type="dxa"/>
            <w:tcMar>
              <w:top w:w="60" w:type="dxa"/>
              <w:left w:w="100" w:type="dxa"/>
              <w:bottom w:w="60" w:type="dxa"/>
              <w:right w:w="100" w:type="dxa"/>
            </w:tcMar>
          </w:tcPr>
          <w:p w14:paraId="6747B7A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24</w:t>
            </w:r>
          </w:p>
        </w:tc>
        <w:tc>
          <w:tcPr>
            <w:tcW w:w="2094" w:type="dxa"/>
            <w:tcMar>
              <w:top w:w="60" w:type="dxa"/>
              <w:left w:w="100" w:type="dxa"/>
              <w:bottom w:w="60" w:type="dxa"/>
              <w:right w:w="100" w:type="dxa"/>
            </w:tcMar>
          </w:tcPr>
          <w:p w14:paraId="455D6BD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Alshaikh et al. 2026</w:t>
            </w:r>
          </w:p>
        </w:tc>
        <w:tc>
          <w:tcPr>
            <w:tcW w:w="4923" w:type="dxa"/>
            <w:tcMar>
              <w:top w:w="60" w:type="dxa"/>
              <w:left w:w="100" w:type="dxa"/>
              <w:bottom w:w="60" w:type="dxa"/>
              <w:right w:w="100" w:type="dxa"/>
            </w:tcMar>
          </w:tcPr>
          <w:p w14:paraId="2BFEFFB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Hyperemesis gravidarum revisited: from GDF15 biology to precision multimodal therapy</w:t>
            </w:r>
          </w:p>
        </w:tc>
        <w:tc>
          <w:tcPr>
            <w:tcW w:w="6537" w:type="dxa"/>
            <w:tcMar>
              <w:top w:w="60" w:type="dxa"/>
              <w:left w:w="100" w:type="dxa"/>
              <w:bottom w:w="60" w:type="dxa"/>
              <w:right w:w="100" w:type="dxa"/>
            </w:tcMar>
          </w:tcPr>
          <w:p w14:paraId="70A48C1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pyridoxine mentioned as first line pharmacotherapy.</w:t>
            </w:r>
          </w:p>
        </w:tc>
      </w:tr>
      <w:tr w:rsidR="00EA496D" w:rsidRPr="00F56AD6" w14:paraId="30D86FCB" w14:textId="77777777" w:rsidTr="00EA496D">
        <w:tc>
          <w:tcPr>
            <w:tcW w:w="846" w:type="dxa"/>
            <w:tcMar>
              <w:top w:w="60" w:type="dxa"/>
              <w:left w:w="100" w:type="dxa"/>
              <w:bottom w:w="60" w:type="dxa"/>
              <w:right w:w="100" w:type="dxa"/>
            </w:tcMar>
          </w:tcPr>
          <w:p w14:paraId="5794B86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25</w:t>
            </w:r>
          </w:p>
        </w:tc>
        <w:tc>
          <w:tcPr>
            <w:tcW w:w="2094" w:type="dxa"/>
            <w:tcMar>
              <w:top w:w="60" w:type="dxa"/>
              <w:left w:w="100" w:type="dxa"/>
              <w:bottom w:w="60" w:type="dxa"/>
              <w:right w:w="100" w:type="dxa"/>
            </w:tcMar>
          </w:tcPr>
          <w:p w14:paraId="7F73DDC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Althubity 2026</w:t>
            </w:r>
          </w:p>
        </w:tc>
        <w:tc>
          <w:tcPr>
            <w:tcW w:w="4923" w:type="dxa"/>
            <w:tcMar>
              <w:top w:w="60" w:type="dxa"/>
              <w:left w:w="100" w:type="dxa"/>
              <w:bottom w:w="60" w:type="dxa"/>
              <w:right w:w="100" w:type="dxa"/>
            </w:tcMar>
          </w:tcPr>
          <w:p w14:paraId="1B0FED4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Homocystinuria: Advances in metabolic and molecular therapies targeting homocysteine pathways (Review)</w:t>
            </w:r>
          </w:p>
        </w:tc>
        <w:tc>
          <w:tcPr>
            <w:tcW w:w="6537" w:type="dxa"/>
            <w:tcMar>
              <w:top w:w="60" w:type="dxa"/>
              <w:left w:w="100" w:type="dxa"/>
              <w:bottom w:w="60" w:type="dxa"/>
              <w:right w:w="100" w:type="dxa"/>
            </w:tcMar>
          </w:tcPr>
          <w:p w14:paraId="4D0E18C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mentioned as a treatment.</w:t>
            </w:r>
          </w:p>
        </w:tc>
      </w:tr>
      <w:tr w:rsidR="00EA496D" w:rsidRPr="00F56AD6" w14:paraId="2EA05A94" w14:textId="77777777" w:rsidTr="00EA496D">
        <w:tc>
          <w:tcPr>
            <w:tcW w:w="846" w:type="dxa"/>
            <w:tcMar>
              <w:top w:w="60" w:type="dxa"/>
              <w:left w:w="100" w:type="dxa"/>
              <w:bottom w:w="60" w:type="dxa"/>
              <w:right w:w="100" w:type="dxa"/>
            </w:tcMar>
          </w:tcPr>
          <w:p w14:paraId="7A4583C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26</w:t>
            </w:r>
          </w:p>
        </w:tc>
        <w:tc>
          <w:tcPr>
            <w:tcW w:w="2094" w:type="dxa"/>
            <w:tcMar>
              <w:top w:w="60" w:type="dxa"/>
              <w:left w:w="100" w:type="dxa"/>
              <w:bottom w:w="60" w:type="dxa"/>
              <w:right w:w="100" w:type="dxa"/>
            </w:tcMar>
          </w:tcPr>
          <w:p w14:paraId="57DC681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Alvarez et al. 2025</w:t>
            </w:r>
          </w:p>
        </w:tc>
        <w:tc>
          <w:tcPr>
            <w:tcW w:w="4923" w:type="dxa"/>
            <w:tcMar>
              <w:top w:w="60" w:type="dxa"/>
              <w:left w:w="100" w:type="dxa"/>
              <w:bottom w:w="60" w:type="dxa"/>
              <w:right w:w="100" w:type="dxa"/>
            </w:tcMar>
          </w:tcPr>
          <w:p w14:paraId="3D931B0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challenge as a tool for detecting ALPL mutations and diagnosing hypophosphatasia</w:t>
            </w:r>
          </w:p>
        </w:tc>
        <w:tc>
          <w:tcPr>
            <w:tcW w:w="6537" w:type="dxa"/>
            <w:tcMar>
              <w:top w:w="60" w:type="dxa"/>
              <w:left w:w="100" w:type="dxa"/>
              <w:bottom w:w="60" w:type="dxa"/>
              <w:right w:w="100" w:type="dxa"/>
            </w:tcMar>
          </w:tcPr>
          <w:p w14:paraId="4F814E2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supplementation can help detect ALPL.</w:t>
            </w:r>
          </w:p>
        </w:tc>
      </w:tr>
      <w:tr w:rsidR="00EA496D" w:rsidRPr="00F56AD6" w14:paraId="28F4D9C1" w14:textId="77777777" w:rsidTr="00EA496D">
        <w:tc>
          <w:tcPr>
            <w:tcW w:w="846" w:type="dxa"/>
            <w:tcMar>
              <w:top w:w="60" w:type="dxa"/>
              <w:left w:w="100" w:type="dxa"/>
              <w:bottom w:w="60" w:type="dxa"/>
              <w:right w:w="100" w:type="dxa"/>
            </w:tcMar>
          </w:tcPr>
          <w:p w14:paraId="58BFB7E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27</w:t>
            </w:r>
          </w:p>
        </w:tc>
        <w:tc>
          <w:tcPr>
            <w:tcW w:w="2094" w:type="dxa"/>
            <w:tcMar>
              <w:top w:w="60" w:type="dxa"/>
              <w:left w:w="100" w:type="dxa"/>
              <w:bottom w:w="60" w:type="dxa"/>
              <w:right w:w="100" w:type="dxa"/>
            </w:tcMar>
          </w:tcPr>
          <w:p w14:paraId="4DFE23F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Ambrose et al. 2026</w:t>
            </w:r>
          </w:p>
        </w:tc>
        <w:tc>
          <w:tcPr>
            <w:tcW w:w="4923" w:type="dxa"/>
            <w:tcMar>
              <w:top w:w="60" w:type="dxa"/>
              <w:left w:w="100" w:type="dxa"/>
              <w:bottom w:w="60" w:type="dxa"/>
              <w:right w:w="100" w:type="dxa"/>
            </w:tcMar>
          </w:tcPr>
          <w:p w14:paraId="29B6331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novel therapy for pyridoxine-dependent epilepsy due to biallelic pathogenic variants in ALDH7A1: secondary mitochondrial energy deficiency and improvements of neurodevelopmental outcomes on triheptanoin treatment</w:t>
            </w:r>
          </w:p>
        </w:tc>
        <w:tc>
          <w:tcPr>
            <w:tcW w:w="6537" w:type="dxa"/>
            <w:tcMar>
              <w:top w:w="60" w:type="dxa"/>
              <w:left w:w="100" w:type="dxa"/>
              <w:bottom w:w="60" w:type="dxa"/>
              <w:right w:w="100" w:type="dxa"/>
            </w:tcMar>
          </w:tcPr>
          <w:p w14:paraId="4DD2BEF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pyridoxine mentioned as a medication.</w:t>
            </w:r>
          </w:p>
        </w:tc>
      </w:tr>
      <w:tr w:rsidR="00EA496D" w:rsidRPr="00F56AD6" w14:paraId="5219AC40" w14:textId="77777777" w:rsidTr="00EA496D">
        <w:tc>
          <w:tcPr>
            <w:tcW w:w="846" w:type="dxa"/>
            <w:tcMar>
              <w:top w:w="60" w:type="dxa"/>
              <w:left w:w="100" w:type="dxa"/>
              <w:bottom w:w="60" w:type="dxa"/>
              <w:right w:w="100" w:type="dxa"/>
            </w:tcMar>
          </w:tcPr>
          <w:p w14:paraId="54529AA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28</w:t>
            </w:r>
          </w:p>
        </w:tc>
        <w:tc>
          <w:tcPr>
            <w:tcW w:w="2094" w:type="dxa"/>
            <w:tcMar>
              <w:top w:w="60" w:type="dxa"/>
              <w:left w:w="100" w:type="dxa"/>
              <w:bottom w:w="60" w:type="dxa"/>
              <w:right w:w="100" w:type="dxa"/>
            </w:tcMar>
          </w:tcPr>
          <w:p w14:paraId="0003D4D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Andac-Ozturk et al. 2022</w:t>
            </w:r>
          </w:p>
        </w:tc>
        <w:tc>
          <w:tcPr>
            <w:tcW w:w="4923" w:type="dxa"/>
            <w:tcMar>
              <w:top w:w="60" w:type="dxa"/>
              <w:left w:w="100" w:type="dxa"/>
              <w:bottom w:w="60" w:type="dxa"/>
              <w:right w:w="100" w:type="dxa"/>
            </w:tcMar>
          </w:tcPr>
          <w:p w14:paraId="2E08B2E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Investigation of the vitamins B(1), B(2), and B(6) vitamers bioaccessibilities of canned, dried legumes after in vitro gastrointestinal digestion system</w:t>
            </w:r>
          </w:p>
        </w:tc>
        <w:tc>
          <w:tcPr>
            <w:tcW w:w="6537" w:type="dxa"/>
            <w:tcMar>
              <w:top w:w="60" w:type="dxa"/>
              <w:left w:w="100" w:type="dxa"/>
              <w:bottom w:w="60" w:type="dxa"/>
              <w:right w:w="100" w:type="dxa"/>
            </w:tcMar>
          </w:tcPr>
          <w:p w14:paraId="1EC3A18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population: in vitro. Wrong exposure - bioavailability in veg and legumes.</w:t>
            </w:r>
          </w:p>
        </w:tc>
      </w:tr>
      <w:tr w:rsidR="00EA496D" w:rsidRPr="00F56AD6" w14:paraId="79DB0C40" w14:textId="77777777" w:rsidTr="00EA496D">
        <w:tc>
          <w:tcPr>
            <w:tcW w:w="846" w:type="dxa"/>
            <w:tcMar>
              <w:top w:w="60" w:type="dxa"/>
              <w:left w:w="100" w:type="dxa"/>
              <w:bottom w:w="60" w:type="dxa"/>
              <w:right w:w="100" w:type="dxa"/>
            </w:tcMar>
          </w:tcPr>
          <w:p w14:paraId="3DF1E56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29</w:t>
            </w:r>
          </w:p>
        </w:tc>
        <w:tc>
          <w:tcPr>
            <w:tcW w:w="2094" w:type="dxa"/>
            <w:tcMar>
              <w:top w:w="60" w:type="dxa"/>
              <w:left w:w="100" w:type="dxa"/>
              <w:bottom w:w="60" w:type="dxa"/>
              <w:right w:w="100" w:type="dxa"/>
            </w:tcMar>
          </w:tcPr>
          <w:p w14:paraId="03FABA5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Andraos et al. 2021</w:t>
            </w:r>
          </w:p>
        </w:tc>
        <w:tc>
          <w:tcPr>
            <w:tcW w:w="4923" w:type="dxa"/>
            <w:tcMar>
              <w:top w:w="60" w:type="dxa"/>
              <w:left w:w="100" w:type="dxa"/>
              <w:bottom w:w="60" w:type="dxa"/>
              <w:right w:w="100" w:type="dxa"/>
            </w:tcMar>
          </w:tcPr>
          <w:p w14:paraId="44CAB91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Plasma B Vitamers: Population Epidemiology and Parent-Child Concordance in Children and Adults</w:t>
            </w:r>
          </w:p>
        </w:tc>
        <w:tc>
          <w:tcPr>
            <w:tcW w:w="6537" w:type="dxa"/>
            <w:tcMar>
              <w:top w:w="60" w:type="dxa"/>
              <w:left w:w="100" w:type="dxa"/>
              <w:bottom w:w="60" w:type="dxa"/>
              <w:right w:w="100" w:type="dxa"/>
            </w:tcMar>
          </w:tcPr>
          <w:p w14:paraId="302AED3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setting - correlation of B vitamers from parent to child.</w:t>
            </w:r>
          </w:p>
        </w:tc>
      </w:tr>
      <w:tr w:rsidR="00EA496D" w:rsidRPr="00F56AD6" w14:paraId="2987757C" w14:textId="77777777" w:rsidTr="00EA496D">
        <w:tc>
          <w:tcPr>
            <w:tcW w:w="846" w:type="dxa"/>
            <w:tcMar>
              <w:top w:w="60" w:type="dxa"/>
              <w:left w:w="100" w:type="dxa"/>
              <w:bottom w:w="60" w:type="dxa"/>
              <w:right w:w="100" w:type="dxa"/>
            </w:tcMar>
          </w:tcPr>
          <w:p w14:paraId="6371F91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30</w:t>
            </w:r>
          </w:p>
        </w:tc>
        <w:tc>
          <w:tcPr>
            <w:tcW w:w="2094" w:type="dxa"/>
            <w:tcMar>
              <w:top w:w="60" w:type="dxa"/>
              <w:left w:w="100" w:type="dxa"/>
              <w:bottom w:w="60" w:type="dxa"/>
              <w:right w:w="100" w:type="dxa"/>
            </w:tcMar>
          </w:tcPr>
          <w:p w14:paraId="266D114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Anjani et al. 2025</w:t>
            </w:r>
          </w:p>
        </w:tc>
        <w:tc>
          <w:tcPr>
            <w:tcW w:w="4923" w:type="dxa"/>
            <w:tcMar>
              <w:top w:w="60" w:type="dxa"/>
              <w:left w:w="100" w:type="dxa"/>
              <w:bottom w:w="60" w:type="dxa"/>
              <w:right w:w="100" w:type="dxa"/>
            </w:tcMar>
          </w:tcPr>
          <w:p w14:paraId="413C1C7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Lyophilised reservoirs in combination with hydrogel-forming microarray patches for transdermal delivery of isoniazid and pyridoxine hydrochloride</w:t>
            </w:r>
          </w:p>
        </w:tc>
        <w:tc>
          <w:tcPr>
            <w:tcW w:w="6537" w:type="dxa"/>
            <w:tcMar>
              <w:top w:w="60" w:type="dxa"/>
              <w:left w:w="100" w:type="dxa"/>
              <w:bottom w:w="60" w:type="dxa"/>
              <w:right w:w="100" w:type="dxa"/>
            </w:tcMar>
          </w:tcPr>
          <w:p w14:paraId="3A1DEFD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no adverse effects of B6 mentioned.</w:t>
            </w:r>
          </w:p>
        </w:tc>
      </w:tr>
      <w:tr w:rsidR="00EA496D" w:rsidRPr="00F56AD6" w14:paraId="7869DEA5" w14:textId="77777777" w:rsidTr="00EA496D">
        <w:tc>
          <w:tcPr>
            <w:tcW w:w="846" w:type="dxa"/>
            <w:tcMar>
              <w:top w:w="60" w:type="dxa"/>
              <w:left w:w="100" w:type="dxa"/>
              <w:bottom w:w="60" w:type="dxa"/>
              <w:right w:w="100" w:type="dxa"/>
            </w:tcMar>
          </w:tcPr>
          <w:p w14:paraId="4CB2D01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31</w:t>
            </w:r>
          </w:p>
        </w:tc>
        <w:tc>
          <w:tcPr>
            <w:tcW w:w="2094" w:type="dxa"/>
            <w:tcMar>
              <w:top w:w="60" w:type="dxa"/>
              <w:left w:w="100" w:type="dxa"/>
              <w:bottom w:w="60" w:type="dxa"/>
              <w:right w:w="100" w:type="dxa"/>
            </w:tcMar>
          </w:tcPr>
          <w:p w14:paraId="02E6DFF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Antherjanam 2023</w:t>
            </w:r>
          </w:p>
        </w:tc>
        <w:tc>
          <w:tcPr>
            <w:tcW w:w="4923" w:type="dxa"/>
            <w:tcMar>
              <w:top w:w="60" w:type="dxa"/>
              <w:left w:w="100" w:type="dxa"/>
              <w:bottom w:w="60" w:type="dxa"/>
              <w:right w:w="100" w:type="dxa"/>
            </w:tcMar>
          </w:tcPr>
          <w:p w14:paraId="6E2B1B7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Electrochemical preparation and the characterizations of poly(3,5-diamino 1,2,4-triazole) film for the selective determination of pyridoxine in pharmaceutical formulations</w:t>
            </w:r>
          </w:p>
        </w:tc>
        <w:tc>
          <w:tcPr>
            <w:tcW w:w="6537" w:type="dxa"/>
            <w:tcMar>
              <w:top w:w="60" w:type="dxa"/>
              <w:left w:w="100" w:type="dxa"/>
              <w:bottom w:w="60" w:type="dxa"/>
              <w:right w:w="100" w:type="dxa"/>
            </w:tcMar>
          </w:tcPr>
          <w:p w14:paraId="06C96D1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setting - technique to measure pyridoxine in pharmaceuticals.</w:t>
            </w:r>
          </w:p>
        </w:tc>
      </w:tr>
      <w:tr w:rsidR="00EA496D" w:rsidRPr="00F56AD6" w14:paraId="6183B487" w14:textId="77777777" w:rsidTr="00EA496D">
        <w:tc>
          <w:tcPr>
            <w:tcW w:w="846" w:type="dxa"/>
            <w:tcMar>
              <w:top w:w="60" w:type="dxa"/>
              <w:left w:w="100" w:type="dxa"/>
              <w:bottom w:w="60" w:type="dxa"/>
              <w:right w:w="100" w:type="dxa"/>
            </w:tcMar>
          </w:tcPr>
          <w:p w14:paraId="108F45F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32</w:t>
            </w:r>
          </w:p>
        </w:tc>
        <w:tc>
          <w:tcPr>
            <w:tcW w:w="2094" w:type="dxa"/>
            <w:tcMar>
              <w:top w:w="60" w:type="dxa"/>
              <w:left w:w="100" w:type="dxa"/>
              <w:bottom w:w="60" w:type="dxa"/>
              <w:right w:w="100" w:type="dxa"/>
            </w:tcMar>
          </w:tcPr>
          <w:p w14:paraId="637D0A6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Arjeh et al. 2022</w:t>
            </w:r>
          </w:p>
        </w:tc>
        <w:tc>
          <w:tcPr>
            <w:tcW w:w="4923" w:type="dxa"/>
            <w:tcMar>
              <w:top w:w="60" w:type="dxa"/>
              <w:left w:w="100" w:type="dxa"/>
              <w:bottom w:w="60" w:type="dxa"/>
              <w:right w:w="100" w:type="dxa"/>
            </w:tcMar>
          </w:tcPr>
          <w:p w14:paraId="4F04BED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Synthesis and characterization of novel Spirulina protein isolate (SPI)-based hydrogels through dual-crosslinking with genipin/Zn(2)</w:t>
            </w:r>
          </w:p>
        </w:tc>
        <w:tc>
          <w:tcPr>
            <w:tcW w:w="6537" w:type="dxa"/>
            <w:tcMar>
              <w:top w:w="60" w:type="dxa"/>
              <w:left w:w="100" w:type="dxa"/>
              <w:bottom w:w="60" w:type="dxa"/>
              <w:right w:w="100" w:type="dxa"/>
            </w:tcMar>
          </w:tcPr>
          <w:p w14:paraId="0419815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mentions rate of B6 release.</w:t>
            </w:r>
          </w:p>
        </w:tc>
      </w:tr>
      <w:tr w:rsidR="00EA496D" w:rsidRPr="00F56AD6" w14:paraId="2DA4284B" w14:textId="77777777" w:rsidTr="00EA496D">
        <w:tc>
          <w:tcPr>
            <w:tcW w:w="846" w:type="dxa"/>
            <w:tcMar>
              <w:top w:w="60" w:type="dxa"/>
              <w:left w:w="100" w:type="dxa"/>
              <w:bottom w:w="60" w:type="dxa"/>
              <w:right w:w="100" w:type="dxa"/>
            </w:tcMar>
          </w:tcPr>
          <w:p w14:paraId="14B19BA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33</w:t>
            </w:r>
          </w:p>
        </w:tc>
        <w:tc>
          <w:tcPr>
            <w:tcW w:w="2094" w:type="dxa"/>
            <w:tcMar>
              <w:top w:w="60" w:type="dxa"/>
              <w:left w:w="100" w:type="dxa"/>
              <w:bottom w:w="60" w:type="dxa"/>
              <w:right w:w="100" w:type="dxa"/>
            </w:tcMar>
          </w:tcPr>
          <w:p w14:paraId="7CAD0BC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Asadi et al. 2024</w:t>
            </w:r>
          </w:p>
        </w:tc>
        <w:tc>
          <w:tcPr>
            <w:tcW w:w="4923" w:type="dxa"/>
            <w:tcMar>
              <w:top w:w="60" w:type="dxa"/>
              <w:left w:w="100" w:type="dxa"/>
              <w:bottom w:w="60" w:type="dxa"/>
              <w:right w:w="100" w:type="dxa"/>
            </w:tcMar>
          </w:tcPr>
          <w:p w14:paraId="15A93D9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injection of maternal B complex vitamin during the transition period: The impact on performance, thyroid hormones levels and immunological parameters in the Sannen goats and their kids, as well as the faeces status of newborn kids</w:t>
            </w:r>
          </w:p>
        </w:tc>
        <w:tc>
          <w:tcPr>
            <w:tcW w:w="6537" w:type="dxa"/>
            <w:tcMar>
              <w:top w:w="60" w:type="dxa"/>
              <w:left w:w="100" w:type="dxa"/>
              <w:bottom w:w="60" w:type="dxa"/>
              <w:right w:w="100" w:type="dxa"/>
            </w:tcMar>
          </w:tcPr>
          <w:p w14:paraId="18AC862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discusses benefits of vit B in goats and their kids.</w:t>
            </w:r>
          </w:p>
        </w:tc>
      </w:tr>
      <w:tr w:rsidR="00EA496D" w:rsidRPr="00F56AD6" w14:paraId="4F39E7C6" w14:textId="77777777" w:rsidTr="00EA496D">
        <w:tc>
          <w:tcPr>
            <w:tcW w:w="846" w:type="dxa"/>
            <w:tcMar>
              <w:top w:w="60" w:type="dxa"/>
              <w:left w:w="100" w:type="dxa"/>
              <w:bottom w:w="60" w:type="dxa"/>
              <w:right w:w="100" w:type="dxa"/>
            </w:tcMar>
          </w:tcPr>
          <w:p w14:paraId="0DAA84B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34</w:t>
            </w:r>
          </w:p>
        </w:tc>
        <w:tc>
          <w:tcPr>
            <w:tcW w:w="2094" w:type="dxa"/>
            <w:tcMar>
              <w:top w:w="60" w:type="dxa"/>
              <w:left w:w="100" w:type="dxa"/>
              <w:bottom w:w="60" w:type="dxa"/>
              <w:right w:w="100" w:type="dxa"/>
            </w:tcMar>
          </w:tcPr>
          <w:p w14:paraId="61B20E2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Aslanli et al. 2022</w:t>
            </w:r>
          </w:p>
        </w:tc>
        <w:tc>
          <w:tcPr>
            <w:tcW w:w="4923" w:type="dxa"/>
            <w:tcMar>
              <w:top w:w="60" w:type="dxa"/>
              <w:left w:w="100" w:type="dxa"/>
              <w:bottom w:w="60" w:type="dxa"/>
              <w:right w:w="100" w:type="dxa"/>
            </w:tcMar>
          </w:tcPr>
          <w:p w14:paraId="06D719A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Decarboxylases as hypothetical targets for actions of organophosphates: Molecular modeling for prediction of hidden and unexpected health threats</w:t>
            </w:r>
          </w:p>
        </w:tc>
        <w:tc>
          <w:tcPr>
            <w:tcW w:w="6537" w:type="dxa"/>
            <w:tcMar>
              <w:top w:w="60" w:type="dxa"/>
              <w:left w:w="100" w:type="dxa"/>
              <w:bottom w:w="60" w:type="dxa"/>
              <w:right w:w="100" w:type="dxa"/>
            </w:tcMar>
          </w:tcPr>
          <w:p w14:paraId="04FF3FA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discusses PLP dependant enzymes not B6 itself.</w:t>
            </w:r>
          </w:p>
        </w:tc>
      </w:tr>
      <w:tr w:rsidR="00EA496D" w:rsidRPr="00F56AD6" w14:paraId="556254F7" w14:textId="77777777" w:rsidTr="00EA496D">
        <w:tc>
          <w:tcPr>
            <w:tcW w:w="846" w:type="dxa"/>
            <w:tcMar>
              <w:top w:w="60" w:type="dxa"/>
              <w:left w:w="100" w:type="dxa"/>
              <w:bottom w:w="60" w:type="dxa"/>
              <w:right w:w="100" w:type="dxa"/>
            </w:tcMar>
          </w:tcPr>
          <w:p w14:paraId="7B7D654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35</w:t>
            </w:r>
          </w:p>
        </w:tc>
        <w:tc>
          <w:tcPr>
            <w:tcW w:w="2094" w:type="dxa"/>
            <w:tcMar>
              <w:top w:w="60" w:type="dxa"/>
              <w:left w:w="100" w:type="dxa"/>
              <w:bottom w:w="60" w:type="dxa"/>
              <w:right w:w="100" w:type="dxa"/>
            </w:tcMar>
          </w:tcPr>
          <w:p w14:paraId="14A43B0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Atia et al. 2025</w:t>
            </w:r>
          </w:p>
        </w:tc>
        <w:tc>
          <w:tcPr>
            <w:tcW w:w="4923" w:type="dxa"/>
            <w:tcMar>
              <w:top w:w="60" w:type="dxa"/>
              <w:left w:w="100" w:type="dxa"/>
              <w:bottom w:w="60" w:type="dxa"/>
              <w:right w:w="100" w:type="dxa"/>
            </w:tcMar>
          </w:tcPr>
          <w:p w14:paraId="7B793F5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Contribution of vitamin B 6 deficiency to anemia in children on regular hemodialysis</w:t>
            </w:r>
          </w:p>
        </w:tc>
        <w:tc>
          <w:tcPr>
            <w:tcW w:w="6537" w:type="dxa"/>
            <w:tcMar>
              <w:top w:w="60" w:type="dxa"/>
              <w:left w:w="100" w:type="dxa"/>
              <w:bottom w:w="60" w:type="dxa"/>
              <w:right w:w="100" w:type="dxa"/>
            </w:tcMar>
          </w:tcPr>
          <w:p w14:paraId="7580484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was not found to prevent anemia in children on HD.</w:t>
            </w:r>
          </w:p>
        </w:tc>
      </w:tr>
      <w:tr w:rsidR="00EA496D" w:rsidRPr="00F56AD6" w14:paraId="21DDAC6C" w14:textId="77777777" w:rsidTr="00EA496D">
        <w:tc>
          <w:tcPr>
            <w:tcW w:w="846" w:type="dxa"/>
            <w:tcMar>
              <w:top w:w="60" w:type="dxa"/>
              <w:left w:w="100" w:type="dxa"/>
              <w:bottom w:w="60" w:type="dxa"/>
              <w:right w:w="100" w:type="dxa"/>
            </w:tcMar>
          </w:tcPr>
          <w:p w14:paraId="38625AF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36</w:t>
            </w:r>
          </w:p>
        </w:tc>
        <w:tc>
          <w:tcPr>
            <w:tcW w:w="2094" w:type="dxa"/>
            <w:tcMar>
              <w:top w:w="60" w:type="dxa"/>
              <w:left w:w="100" w:type="dxa"/>
              <w:bottom w:w="60" w:type="dxa"/>
              <w:right w:w="100" w:type="dxa"/>
            </w:tcMar>
          </w:tcPr>
          <w:p w14:paraId="3048FB1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Atreya 2022</w:t>
            </w:r>
          </w:p>
        </w:tc>
        <w:tc>
          <w:tcPr>
            <w:tcW w:w="4923" w:type="dxa"/>
            <w:tcMar>
              <w:top w:w="60" w:type="dxa"/>
              <w:left w:w="100" w:type="dxa"/>
              <w:bottom w:w="60" w:type="dxa"/>
              <w:right w:w="100" w:type="dxa"/>
            </w:tcMar>
          </w:tcPr>
          <w:p w14:paraId="7AD58C2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Neurological Consequences of Sphingosine Phosphate Lyase Insufficiency</w:t>
            </w:r>
          </w:p>
        </w:tc>
        <w:tc>
          <w:tcPr>
            <w:tcW w:w="6537" w:type="dxa"/>
            <w:tcMar>
              <w:top w:w="60" w:type="dxa"/>
              <w:left w:w="100" w:type="dxa"/>
              <w:bottom w:w="60" w:type="dxa"/>
              <w:right w:w="100" w:type="dxa"/>
            </w:tcMar>
          </w:tcPr>
          <w:p w14:paraId="6D6DA19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sPLIS mechanisms during insufficiency.</w:t>
            </w:r>
          </w:p>
        </w:tc>
      </w:tr>
      <w:tr w:rsidR="00EA496D" w:rsidRPr="00F56AD6" w14:paraId="33EF3680" w14:textId="77777777" w:rsidTr="00EA496D">
        <w:tc>
          <w:tcPr>
            <w:tcW w:w="846" w:type="dxa"/>
            <w:tcMar>
              <w:top w:w="60" w:type="dxa"/>
              <w:left w:w="100" w:type="dxa"/>
              <w:bottom w:w="60" w:type="dxa"/>
              <w:right w:w="100" w:type="dxa"/>
            </w:tcMar>
          </w:tcPr>
          <w:p w14:paraId="502C817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37</w:t>
            </w:r>
          </w:p>
        </w:tc>
        <w:tc>
          <w:tcPr>
            <w:tcW w:w="2094" w:type="dxa"/>
            <w:tcMar>
              <w:top w:w="60" w:type="dxa"/>
              <w:left w:w="100" w:type="dxa"/>
              <w:bottom w:w="60" w:type="dxa"/>
              <w:right w:w="100" w:type="dxa"/>
            </w:tcMar>
          </w:tcPr>
          <w:p w14:paraId="567001C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Ayen et al. 2025</w:t>
            </w:r>
          </w:p>
        </w:tc>
        <w:tc>
          <w:tcPr>
            <w:tcW w:w="4923" w:type="dxa"/>
            <w:tcMar>
              <w:top w:w="60" w:type="dxa"/>
              <w:left w:w="100" w:type="dxa"/>
              <w:bottom w:w="60" w:type="dxa"/>
              <w:right w:w="100" w:type="dxa"/>
            </w:tcMar>
          </w:tcPr>
          <w:p w14:paraId="2201350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Pott's disease presenting with bilateral psoas abscesses in a resource-poor setting: Case report and literature review</w:t>
            </w:r>
          </w:p>
        </w:tc>
        <w:tc>
          <w:tcPr>
            <w:tcW w:w="6537" w:type="dxa"/>
            <w:tcMar>
              <w:top w:w="60" w:type="dxa"/>
              <w:left w:w="100" w:type="dxa"/>
              <w:bottom w:w="60" w:type="dxa"/>
              <w:right w:w="100" w:type="dxa"/>
            </w:tcMar>
          </w:tcPr>
          <w:p w14:paraId="235CA33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pyridoxine as therapeutic agent.</w:t>
            </w:r>
          </w:p>
        </w:tc>
      </w:tr>
      <w:tr w:rsidR="00EA496D" w:rsidRPr="00F56AD6" w14:paraId="38FFAA06" w14:textId="77777777" w:rsidTr="00EA496D">
        <w:tc>
          <w:tcPr>
            <w:tcW w:w="846" w:type="dxa"/>
            <w:tcMar>
              <w:top w:w="60" w:type="dxa"/>
              <w:left w:w="100" w:type="dxa"/>
              <w:bottom w:w="60" w:type="dxa"/>
              <w:right w:w="100" w:type="dxa"/>
            </w:tcMar>
          </w:tcPr>
          <w:p w14:paraId="7B0A901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38</w:t>
            </w:r>
          </w:p>
        </w:tc>
        <w:tc>
          <w:tcPr>
            <w:tcW w:w="2094" w:type="dxa"/>
            <w:tcMar>
              <w:top w:w="60" w:type="dxa"/>
              <w:left w:w="100" w:type="dxa"/>
              <w:bottom w:w="60" w:type="dxa"/>
              <w:right w:w="100" w:type="dxa"/>
            </w:tcMar>
          </w:tcPr>
          <w:p w14:paraId="5F466FA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 et al. 2024</w:t>
            </w:r>
          </w:p>
        </w:tc>
        <w:tc>
          <w:tcPr>
            <w:tcW w:w="4923" w:type="dxa"/>
            <w:tcMar>
              <w:top w:w="60" w:type="dxa"/>
              <w:left w:w="100" w:type="dxa"/>
              <w:bottom w:w="60" w:type="dxa"/>
              <w:right w:w="100" w:type="dxa"/>
            </w:tcMar>
          </w:tcPr>
          <w:p w14:paraId="2C3788B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Characteristics of isoniazid-induced psychosis: a systematic review of case reports and case series</w:t>
            </w:r>
          </w:p>
        </w:tc>
        <w:tc>
          <w:tcPr>
            <w:tcW w:w="6537" w:type="dxa"/>
            <w:tcMar>
              <w:top w:w="60" w:type="dxa"/>
              <w:left w:w="100" w:type="dxa"/>
              <w:bottom w:w="60" w:type="dxa"/>
              <w:right w:w="100" w:type="dxa"/>
            </w:tcMar>
          </w:tcPr>
          <w:p w14:paraId="698546F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therapeutic effect to treat polyneuropathy from isoniazid.</w:t>
            </w:r>
          </w:p>
        </w:tc>
      </w:tr>
      <w:tr w:rsidR="00EA496D" w:rsidRPr="00F56AD6" w14:paraId="0C21A8E3" w14:textId="77777777" w:rsidTr="00EA496D">
        <w:tc>
          <w:tcPr>
            <w:tcW w:w="846" w:type="dxa"/>
            <w:tcMar>
              <w:top w:w="60" w:type="dxa"/>
              <w:left w:w="100" w:type="dxa"/>
              <w:bottom w:w="60" w:type="dxa"/>
              <w:right w:w="100" w:type="dxa"/>
            </w:tcMar>
          </w:tcPr>
          <w:p w14:paraId="432A888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39</w:t>
            </w:r>
          </w:p>
        </w:tc>
        <w:tc>
          <w:tcPr>
            <w:tcW w:w="2094" w:type="dxa"/>
            <w:tcMar>
              <w:top w:w="60" w:type="dxa"/>
              <w:left w:w="100" w:type="dxa"/>
              <w:bottom w:w="60" w:type="dxa"/>
              <w:right w:w="100" w:type="dxa"/>
            </w:tcMar>
          </w:tcPr>
          <w:p w14:paraId="51C4E03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Baart et al. 2023</w:t>
            </w:r>
          </w:p>
        </w:tc>
        <w:tc>
          <w:tcPr>
            <w:tcW w:w="4923" w:type="dxa"/>
            <w:tcMar>
              <w:top w:w="60" w:type="dxa"/>
              <w:left w:w="100" w:type="dxa"/>
              <w:bottom w:w="60" w:type="dxa"/>
              <w:right w:w="100" w:type="dxa"/>
            </w:tcMar>
          </w:tcPr>
          <w:p w14:paraId="08DB504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Efficacy and utility of a tool for both measurement of vitamin B6, B12, D, folate and iron status and assessment of diet quality in athletes</w:t>
            </w:r>
          </w:p>
        </w:tc>
        <w:tc>
          <w:tcPr>
            <w:tcW w:w="6537" w:type="dxa"/>
            <w:tcMar>
              <w:top w:w="60" w:type="dxa"/>
              <w:left w:w="100" w:type="dxa"/>
              <w:bottom w:w="60" w:type="dxa"/>
              <w:right w:w="100" w:type="dxa"/>
            </w:tcMar>
          </w:tcPr>
          <w:p w14:paraId="60A3EF5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tool to measure B6 status.</w:t>
            </w:r>
          </w:p>
        </w:tc>
      </w:tr>
      <w:tr w:rsidR="00EA496D" w:rsidRPr="00F56AD6" w14:paraId="212EBEC7" w14:textId="77777777" w:rsidTr="00EA496D">
        <w:tc>
          <w:tcPr>
            <w:tcW w:w="846" w:type="dxa"/>
            <w:tcMar>
              <w:top w:w="60" w:type="dxa"/>
              <w:left w:w="100" w:type="dxa"/>
              <w:bottom w:w="60" w:type="dxa"/>
              <w:right w:w="100" w:type="dxa"/>
            </w:tcMar>
          </w:tcPr>
          <w:p w14:paraId="0258BC7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40</w:t>
            </w:r>
          </w:p>
        </w:tc>
        <w:tc>
          <w:tcPr>
            <w:tcW w:w="2094" w:type="dxa"/>
            <w:tcMar>
              <w:top w:w="60" w:type="dxa"/>
              <w:left w:w="100" w:type="dxa"/>
              <w:bottom w:w="60" w:type="dxa"/>
              <w:right w:w="100" w:type="dxa"/>
            </w:tcMar>
          </w:tcPr>
          <w:p w14:paraId="2144182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Babor et al. 2023</w:t>
            </w:r>
          </w:p>
        </w:tc>
        <w:tc>
          <w:tcPr>
            <w:tcW w:w="4923" w:type="dxa"/>
            <w:tcMar>
              <w:top w:w="60" w:type="dxa"/>
              <w:left w:w="100" w:type="dxa"/>
              <w:bottom w:w="60" w:type="dxa"/>
              <w:right w:w="100" w:type="dxa"/>
            </w:tcMar>
          </w:tcPr>
          <w:p w14:paraId="4C60272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4'-Deoxypyridoxine disrupts vitamin B(6) homeostasis in Escherichia coli K12 through combined inhibition of cumulative B(6) uptake and PLP-dependent enzyme activity</w:t>
            </w:r>
          </w:p>
        </w:tc>
        <w:tc>
          <w:tcPr>
            <w:tcW w:w="6537" w:type="dxa"/>
            <w:tcMar>
              <w:top w:w="60" w:type="dxa"/>
              <w:left w:w="100" w:type="dxa"/>
              <w:bottom w:w="60" w:type="dxa"/>
              <w:right w:w="100" w:type="dxa"/>
            </w:tcMar>
          </w:tcPr>
          <w:p w14:paraId="1FC9F0F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population: e Coli K12.</w:t>
            </w:r>
          </w:p>
        </w:tc>
      </w:tr>
      <w:tr w:rsidR="00EA496D" w:rsidRPr="00F56AD6" w14:paraId="0AE9D6E8" w14:textId="77777777" w:rsidTr="00EA496D">
        <w:tc>
          <w:tcPr>
            <w:tcW w:w="846" w:type="dxa"/>
            <w:tcMar>
              <w:top w:w="60" w:type="dxa"/>
              <w:left w:w="100" w:type="dxa"/>
              <w:bottom w:w="60" w:type="dxa"/>
              <w:right w:w="100" w:type="dxa"/>
            </w:tcMar>
          </w:tcPr>
          <w:p w14:paraId="195999D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41</w:t>
            </w:r>
          </w:p>
        </w:tc>
        <w:tc>
          <w:tcPr>
            <w:tcW w:w="2094" w:type="dxa"/>
            <w:tcMar>
              <w:top w:w="60" w:type="dxa"/>
              <w:left w:w="100" w:type="dxa"/>
              <w:bottom w:w="60" w:type="dxa"/>
              <w:right w:w="100" w:type="dxa"/>
            </w:tcMar>
          </w:tcPr>
          <w:p w14:paraId="1D703DE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Badrinath et al. 2026</w:t>
            </w:r>
          </w:p>
        </w:tc>
        <w:tc>
          <w:tcPr>
            <w:tcW w:w="4923" w:type="dxa"/>
            <w:tcMar>
              <w:top w:w="60" w:type="dxa"/>
              <w:left w:w="100" w:type="dxa"/>
              <w:bottom w:w="60" w:type="dxa"/>
              <w:right w:w="100" w:type="dxa"/>
            </w:tcMar>
          </w:tcPr>
          <w:p w14:paraId="76047EF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Isoniazid Toxicity</w:t>
            </w:r>
          </w:p>
        </w:tc>
        <w:tc>
          <w:tcPr>
            <w:tcW w:w="6537" w:type="dxa"/>
            <w:tcMar>
              <w:top w:w="60" w:type="dxa"/>
              <w:left w:w="100" w:type="dxa"/>
              <w:bottom w:w="60" w:type="dxa"/>
              <w:right w:w="100" w:type="dxa"/>
            </w:tcMar>
          </w:tcPr>
          <w:p w14:paraId="2588C49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adverse health effect from B6 reported) - studies the adverse health effect from isoniazid.</w:t>
            </w:r>
          </w:p>
        </w:tc>
      </w:tr>
      <w:tr w:rsidR="00EA496D" w:rsidRPr="00F56AD6" w14:paraId="4175B53F" w14:textId="77777777" w:rsidTr="00EA496D">
        <w:tc>
          <w:tcPr>
            <w:tcW w:w="846" w:type="dxa"/>
            <w:tcMar>
              <w:top w:w="60" w:type="dxa"/>
              <w:left w:w="100" w:type="dxa"/>
              <w:bottom w:w="60" w:type="dxa"/>
              <w:right w:w="100" w:type="dxa"/>
            </w:tcMar>
          </w:tcPr>
          <w:p w14:paraId="47E628C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42</w:t>
            </w:r>
          </w:p>
        </w:tc>
        <w:tc>
          <w:tcPr>
            <w:tcW w:w="2094" w:type="dxa"/>
            <w:tcMar>
              <w:top w:w="60" w:type="dxa"/>
              <w:left w:w="100" w:type="dxa"/>
              <w:bottom w:w="60" w:type="dxa"/>
              <w:right w:w="100" w:type="dxa"/>
            </w:tcMar>
          </w:tcPr>
          <w:p w14:paraId="63B7DB8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Bahalul-Yarchi et al. 2025</w:t>
            </w:r>
          </w:p>
        </w:tc>
        <w:tc>
          <w:tcPr>
            <w:tcW w:w="4923" w:type="dxa"/>
            <w:tcMar>
              <w:top w:w="60" w:type="dxa"/>
              <w:left w:w="100" w:type="dxa"/>
              <w:bottom w:w="60" w:type="dxa"/>
              <w:right w:w="100" w:type="dxa"/>
            </w:tcMar>
          </w:tcPr>
          <w:p w14:paraId="1F6D6D1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Drugs and Nutrients in Epilepsy: Vitamin B6 and the Ketogenic Diet</w:t>
            </w:r>
          </w:p>
        </w:tc>
        <w:tc>
          <w:tcPr>
            <w:tcW w:w="6537" w:type="dxa"/>
            <w:tcMar>
              <w:top w:w="60" w:type="dxa"/>
              <w:left w:w="100" w:type="dxa"/>
              <w:bottom w:w="60" w:type="dxa"/>
              <w:right w:w="100" w:type="dxa"/>
            </w:tcMar>
          </w:tcPr>
          <w:p w14:paraId="43FFA55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discusses supplementing with B6.</w:t>
            </w:r>
          </w:p>
        </w:tc>
      </w:tr>
      <w:tr w:rsidR="00EA496D" w:rsidRPr="00F56AD6" w14:paraId="10BE9629" w14:textId="77777777" w:rsidTr="00EA496D">
        <w:tc>
          <w:tcPr>
            <w:tcW w:w="846" w:type="dxa"/>
            <w:tcMar>
              <w:top w:w="60" w:type="dxa"/>
              <w:left w:w="100" w:type="dxa"/>
              <w:bottom w:w="60" w:type="dxa"/>
              <w:right w:w="100" w:type="dxa"/>
            </w:tcMar>
          </w:tcPr>
          <w:p w14:paraId="5BB6FAC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43</w:t>
            </w:r>
          </w:p>
        </w:tc>
        <w:tc>
          <w:tcPr>
            <w:tcW w:w="2094" w:type="dxa"/>
            <w:tcMar>
              <w:top w:w="60" w:type="dxa"/>
              <w:left w:w="100" w:type="dxa"/>
              <w:bottom w:w="60" w:type="dxa"/>
              <w:right w:w="100" w:type="dxa"/>
            </w:tcMar>
          </w:tcPr>
          <w:p w14:paraId="15C00D7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Banihani 2026</w:t>
            </w:r>
          </w:p>
        </w:tc>
        <w:tc>
          <w:tcPr>
            <w:tcW w:w="4923" w:type="dxa"/>
            <w:tcMar>
              <w:top w:w="60" w:type="dxa"/>
              <w:left w:w="100" w:type="dxa"/>
              <w:bottom w:w="60" w:type="dxa"/>
              <w:right w:w="100" w:type="dxa"/>
            </w:tcMar>
          </w:tcPr>
          <w:p w14:paraId="03D198A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Role of Vitamin B</w:t>
            </w:r>
            <w:r w:rsidRPr="00F56AD6">
              <w:rPr>
                <w:rFonts w:ascii="Cambria Math" w:hAnsi="Cambria Math" w:cs="Cambria Math"/>
                <w:sz w:val="20"/>
              </w:rPr>
              <w:t>₆</w:t>
            </w:r>
            <w:r w:rsidRPr="00F56AD6">
              <w:rPr>
                <w:rFonts w:asciiTheme="minorHAnsi" w:hAnsiTheme="minorHAnsi" w:cstheme="minorHAnsi"/>
                <w:sz w:val="20"/>
              </w:rPr>
              <w:t xml:space="preserve"> in Testosterone Synthesis</w:t>
            </w:r>
          </w:p>
        </w:tc>
        <w:tc>
          <w:tcPr>
            <w:tcW w:w="6537" w:type="dxa"/>
            <w:tcMar>
              <w:top w:w="60" w:type="dxa"/>
              <w:left w:w="100" w:type="dxa"/>
              <w:bottom w:w="60" w:type="dxa"/>
              <w:right w:w="100" w:type="dxa"/>
            </w:tcMar>
          </w:tcPr>
          <w:p w14:paraId="1AD8F86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but highlighting the need to research B6 in testosterone synthesis.</w:t>
            </w:r>
          </w:p>
        </w:tc>
      </w:tr>
      <w:tr w:rsidR="00EA496D" w:rsidRPr="00F56AD6" w14:paraId="222F7069" w14:textId="77777777" w:rsidTr="00EA496D">
        <w:tc>
          <w:tcPr>
            <w:tcW w:w="846" w:type="dxa"/>
            <w:tcMar>
              <w:top w:w="60" w:type="dxa"/>
              <w:left w:w="100" w:type="dxa"/>
              <w:bottom w:w="60" w:type="dxa"/>
              <w:right w:w="100" w:type="dxa"/>
            </w:tcMar>
          </w:tcPr>
          <w:p w14:paraId="7A93575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44</w:t>
            </w:r>
          </w:p>
        </w:tc>
        <w:tc>
          <w:tcPr>
            <w:tcW w:w="2094" w:type="dxa"/>
            <w:tcMar>
              <w:top w:w="60" w:type="dxa"/>
              <w:left w:w="100" w:type="dxa"/>
              <w:bottom w:w="60" w:type="dxa"/>
              <w:right w:w="100" w:type="dxa"/>
            </w:tcMar>
          </w:tcPr>
          <w:p w14:paraId="018AAA8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Bao et al. 2025</w:t>
            </w:r>
          </w:p>
        </w:tc>
        <w:tc>
          <w:tcPr>
            <w:tcW w:w="4923" w:type="dxa"/>
            <w:tcMar>
              <w:top w:w="60" w:type="dxa"/>
              <w:left w:w="100" w:type="dxa"/>
              <w:bottom w:w="60" w:type="dxa"/>
              <w:right w:w="100" w:type="dxa"/>
            </w:tcMar>
          </w:tcPr>
          <w:p w14:paraId="3FBBE11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Dietary patterns, nutrients, and risk of expiratory airflow limitation in children and adolescents</w:t>
            </w:r>
          </w:p>
        </w:tc>
        <w:tc>
          <w:tcPr>
            <w:tcW w:w="6537" w:type="dxa"/>
            <w:tcMar>
              <w:top w:w="60" w:type="dxa"/>
              <w:left w:w="100" w:type="dxa"/>
              <w:bottom w:w="60" w:type="dxa"/>
              <w:right w:w="100" w:type="dxa"/>
            </w:tcMar>
          </w:tcPr>
          <w:p w14:paraId="25B815F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pyridoxine in diet helped protect lung function.</w:t>
            </w:r>
          </w:p>
        </w:tc>
      </w:tr>
      <w:tr w:rsidR="00EA496D" w:rsidRPr="00F56AD6" w14:paraId="0A03F4DB" w14:textId="77777777" w:rsidTr="00EA496D">
        <w:tc>
          <w:tcPr>
            <w:tcW w:w="846" w:type="dxa"/>
            <w:tcMar>
              <w:top w:w="60" w:type="dxa"/>
              <w:left w:w="100" w:type="dxa"/>
              <w:bottom w:w="60" w:type="dxa"/>
              <w:right w:w="100" w:type="dxa"/>
            </w:tcMar>
          </w:tcPr>
          <w:p w14:paraId="10F8312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45</w:t>
            </w:r>
          </w:p>
        </w:tc>
        <w:tc>
          <w:tcPr>
            <w:tcW w:w="2094" w:type="dxa"/>
            <w:tcMar>
              <w:top w:w="60" w:type="dxa"/>
              <w:left w:w="100" w:type="dxa"/>
              <w:bottom w:w="60" w:type="dxa"/>
              <w:right w:w="100" w:type="dxa"/>
            </w:tcMar>
          </w:tcPr>
          <w:p w14:paraId="1C828A2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Barros et al. 2023</w:t>
            </w:r>
          </w:p>
        </w:tc>
        <w:tc>
          <w:tcPr>
            <w:tcW w:w="4923" w:type="dxa"/>
            <w:tcMar>
              <w:top w:w="60" w:type="dxa"/>
              <w:left w:w="100" w:type="dxa"/>
              <w:bottom w:w="60" w:type="dxa"/>
              <w:right w:w="100" w:type="dxa"/>
            </w:tcMar>
          </w:tcPr>
          <w:p w14:paraId="56FB8E2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Dietary Intake of Micronutrients and Disease Severity in Patients with Amyotrophic Lateral Sclerosis</w:t>
            </w:r>
          </w:p>
        </w:tc>
        <w:tc>
          <w:tcPr>
            <w:tcW w:w="6537" w:type="dxa"/>
            <w:tcMar>
              <w:top w:w="60" w:type="dxa"/>
              <w:left w:w="100" w:type="dxa"/>
              <w:bottom w:w="60" w:type="dxa"/>
              <w:right w:w="100" w:type="dxa"/>
            </w:tcMar>
          </w:tcPr>
          <w:p w14:paraId="0B88612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lower B6 intake was associated with increased severity of disease.</w:t>
            </w:r>
          </w:p>
        </w:tc>
      </w:tr>
      <w:tr w:rsidR="00EA496D" w:rsidRPr="00F56AD6" w14:paraId="0B0A1490" w14:textId="77777777" w:rsidTr="00EA496D">
        <w:tc>
          <w:tcPr>
            <w:tcW w:w="846" w:type="dxa"/>
            <w:tcMar>
              <w:top w:w="60" w:type="dxa"/>
              <w:left w:w="100" w:type="dxa"/>
              <w:bottom w:w="60" w:type="dxa"/>
              <w:right w:w="100" w:type="dxa"/>
            </w:tcMar>
          </w:tcPr>
          <w:p w14:paraId="54D5274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46</w:t>
            </w:r>
          </w:p>
        </w:tc>
        <w:tc>
          <w:tcPr>
            <w:tcW w:w="2094" w:type="dxa"/>
            <w:tcMar>
              <w:top w:w="60" w:type="dxa"/>
              <w:left w:w="100" w:type="dxa"/>
              <w:bottom w:w="60" w:type="dxa"/>
              <w:right w:w="100" w:type="dxa"/>
            </w:tcMar>
          </w:tcPr>
          <w:p w14:paraId="1051F2E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Bartella et al. 2026</w:t>
            </w:r>
          </w:p>
        </w:tc>
        <w:tc>
          <w:tcPr>
            <w:tcW w:w="4923" w:type="dxa"/>
            <w:tcMar>
              <w:top w:w="60" w:type="dxa"/>
              <w:left w:w="100" w:type="dxa"/>
              <w:bottom w:w="60" w:type="dxa"/>
              <w:right w:w="100" w:type="dxa"/>
            </w:tcMar>
          </w:tcPr>
          <w:p w14:paraId="32E0E67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HPLC-Orbitrap-MS for the Determination of B-Vitamins in Fruit Juices and Food Supplements</w:t>
            </w:r>
          </w:p>
        </w:tc>
        <w:tc>
          <w:tcPr>
            <w:tcW w:w="6537" w:type="dxa"/>
            <w:tcMar>
              <w:top w:w="60" w:type="dxa"/>
              <w:left w:w="100" w:type="dxa"/>
              <w:bottom w:w="60" w:type="dxa"/>
              <w:right w:w="100" w:type="dxa"/>
            </w:tcMar>
          </w:tcPr>
          <w:p w14:paraId="78F5DC1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in fruit juice.</w:t>
            </w:r>
          </w:p>
        </w:tc>
      </w:tr>
      <w:tr w:rsidR="00EA496D" w:rsidRPr="00F56AD6" w14:paraId="7CF45722" w14:textId="77777777" w:rsidTr="00EA496D">
        <w:tc>
          <w:tcPr>
            <w:tcW w:w="846" w:type="dxa"/>
            <w:tcMar>
              <w:top w:w="60" w:type="dxa"/>
              <w:left w:w="100" w:type="dxa"/>
              <w:bottom w:w="60" w:type="dxa"/>
              <w:right w:w="100" w:type="dxa"/>
            </w:tcMar>
          </w:tcPr>
          <w:p w14:paraId="1CC38B7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47</w:t>
            </w:r>
          </w:p>
        </w:tc>
        <w:tc>
          <w:tcPr>
            <w:tcW w:w="2094" w:type="dxa"/>
            <w:tcMar>
              <w:top w:w="60" w:type="dxa"/>
              <w:left w:w="100" w:type="dxa"/>
              <w:bottom w:w="60" w:type="dxa"/>
              <w:right w:w="100" w:type="dxa"/>
            </w:tcMar>
          </w:tcPr>
          <w:p w14:paraId="14CB169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Barzegari et al. 2025</w:t>
            </w:r>
          </w:p>
        </w:tc>
        <w:tc>
          <w:tcPr>
            <w:tcW w:w="4923" w:type="dxa"/>
            <w:tcMar>
              <w:top w:w="60" w:type="dxa"/>
              <w:left w:w="100" w:type="dxa"/>
              <w:bottom w:w="60" w:type="dxa"/>
              <w:right w:w="100" w:type="dxa"/>
            </w:tcMar>
          </w:tcPr>
          <w:p w14:paraId="4E2DC8E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Effects of Vitamin B6 on the Expression and Development of Tolerance to Morphine Stimulating Effects on Locomotor Activity in Mice</w:t>
            </w:r>
          </w:p>
        </w:tc>
        <w:tc>
          <w:tcPr>
            <w:tcW w:w="6537" w:type="dxa"/>
            <w:tcMar>
              <w:top w:w="60" w:type="dxa"/>
              <w:left w:w="100" w:type="dxa"/>
              <w:bottom w:w="60" w:type="dxa"/>
              <w:right w:w="100" w:type="dxa"/>
            </w:tcMar>
          </w:tcPr>
          <w:p w14:paraId="4D8185B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vitamin B6 may be considered as a nutritional supplement in reducing morphine tolerance.</w:t>
            </w:r>
          </w:p>
        </w:tc>
      </w:tr>
      <w:tr w:rsidR="00EA496D" w:rsidRPr="00F56AD6" w14:paraId="1EF0F4D1" w14:textId="77777777" w:rsidTr="00EA496D">
        <w:tc>
          <w:tcPr>
            <w:tcW w:w="846" w:type="dxa"/>
            <w:tcMar>
              <w:top w:w="60" w:type="dxa"/>
              <w:left w:w="100" w:type="dxa"/>
              <w:bottom w:w="60" w:type="dxa"/>
              <w:right w:w="100" w:type="dxa"/>
            </w:tcMar>
          </w:tcPr>
          <w:p w14:paraId="44BFAB6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48</w:t>
            </w:r>
          </w:p>
        </w:tc>
        <w:tc>
          <w:tcPr>
            <w:tcW w:w="2094" w:type="dxa"/>
            <w:tcMar>
              <w:top w:w="60" w:type="dxa"/>
              <w:left w:w="100" w:type="dxa"/>
              <w:bottom w:w="60" w:type="dxa"/>
              <w:right w:w="100" w:type="dxa"/>
            </w:tcMar>
          </w:tcPr>
          <w:p w14:paraId="081ECE8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BasualdoAllende et al. 2024</w:t>
            </w:r>
          </w:p>
        </w:tc>
        <w:tc>
          <w:tcPr>
            <w:tcW w:w="4923" w:type="dxa"/>
            <w:tcMar>
              <w:top w:w="60" w:type="dxa"/>
              <w:left w:w="100" w:type="dxa"/>
              <w:bottom w:w="60" w:type="dxa"/>
              <w:right w:w="100" w:type="dxa"/>
            </w:tcMar>
          </w:tcPr>
          <w:p w14:paraId="20E5070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case series of low-level laser therapy treatment in patients with peripheral facial palsy</w:t>
            </w:r>
          </w:p>
        </w:tc>
        <w:tc>
          <w:tcPr>
            <w:tcW w:w="6537" w:type="dxa"/>
            <w:tcMar>
              <w:top w:w="60" w:type="dxa"/>
              <w:left w:w="100" w:type="dxa"/>
              <w:bottom w:w="60" w:type="dxa"/>
              <w:right w:w="100" w:type="dxa"/>
            </w:tcMar>
          </w:tcPr>
          <w:p w14:paraId="0D4B5B0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supplementation may improve facial palsy.</w:t>
            </w:r>
          </w:p>
        </w:tc>
      </w:tr>
      <w:tr w:rsidR="00EA496D" w:rsidRPr="00F56AD6" w14:paraId="7E130CC9" w14:textId="77777777" w:rsidTr="00EA496D">
        <w:tc>
          <w:tcPr>
            <w:tcW w:w="846" w:type="dxa"/>
            <w:tcMar>
              <w:top w:w="60" w:type="dxa"/>
              <w:left w:w="100" w:type="dxa"/>
              <w:bottom w:w="60" w:type="dxa"/>
              <w:right w:w="100" w:type="dxa"/>
            </w:tcMar>
          </w:tcPr>
          <w:p w14:paraId="1CECA96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49</w:t>
            </w:r>
          </w:p>
        </w:tc>
        <w:tc>
          <w:tcPr>
            <w:tcW w:w="2094" w:type="dxa"/>
            <w:tcMar>
              <w:top w:w="60" w:type="dxa"/>
              <w:left w:w="100" w:type="dxa"/>
              <w:bottom w:w="60" w:type="dxa"/>
              <w:right w:w="100" w:type="dxa"/>
            </w:tcMar>
          </w:tcPr>
          <w:p w14:paraId="3E2BA61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Bayzaei et al. 1993</w:t>
            </w:r>
          </w:p>
        </w:tc>
        <w:tc>
          <w:tcPr>
            <w:tcW w:w="4923" w:type="dxa"/>
            <w:tcMar>
              <w:top w:w="60" w:type="dxa"/>
              <w:left w:w="100" w:type="dxa"/>
              <w:bottom w:w="60" w:type="dxa"/>
              <w:right w:w="100" w:type="dxa"/>
            </w:tcMar>
          </w:tcPr>
          <w:p w14:paraId="2B8F99B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Tyrosinemia Type II</w:t>
            </w:r>
          </w:p>
        </w:tc>
        <w:tc>
          <w:tcPr>
            <w:tcW w:w="6537" w:type="dxa"/>
            <w:tcMar>
              <w:top w:w="60" w:type="dxa"/>
              <w:left w:w="100" w:type="dxa"/>
              <w:bottom w:w="60" w:type="dxa"/>
              <w:right w:w="100" w:type="dxa"/>
            </w:tcMar>
          </w:tcPr>
          <w:p w14:paraId="3F0A029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pyridoxine may be beneficial for skin treatment.</w:t>
            </w:r>
          </w:p>
        </w:tc>
      </w:tr>
      <w:tr w:rsidR="00EA496D" w:rsidRPr="00F56AD6" w14:paraId="1C87D474" w14:textId="77777777" w:rsidTr="00EA496D">
        <w:tc>
          <w:tcPr>
            <w:tcW w:w="846" w:type="dxa"/>
            <w:tcMar>
              <w:top w:w="60" w:type="dxa"/>
              <w:left w:w="100" w:type="dxa"/>
              <w:bottom w:w="60" w:type="dxa"/>
              <w:right w:w="100" w:type="dxa"/>
            </w:tcMar>
          </w:tcPr>
          <w:p w14:paraId="3BDE6D5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50</w:t>
            </w:r>
          </w:p>
        </w:tc>
        <w:tc>
          <w:tcPr>
            <w:tcW w:w="2094" w:type="dxa"/>
            <w:tcMar>
              <w:top w:w="60" w:type="dxa"/>
              <w:left w:w="100" w:type="dxa"/>
              <w:bottom w:w="60" w:type="dxa"/>
              <w:right w:w="100" w:type="dxa"/>
            </w:tcMar>
          </w:tcPr>
          <w:p w14:paraId="5F16437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Besag et al. 2023</w:t>
            </w:r>
          </w:p>
        </w:tc>
        <w:tc>
          <w:tcPr>
            <w:tcW w:w="4923" w:type="dxa"/>
            <w:tcMar>
              <w:top w:w="60" w:type="dxa"/>
              <w:left w:w="100" w:type="dxa"/>
              <w:bottom w:w="60" w:type="dxa"/>
              <w:right w:w="100" w:type="dxa"/>
            </w:tcMar>
          </w:tcPr>
          <w:p w14:paraId="74269B9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Current evidence for adjunct pyridoxine (vitamin B6) for the treatment of behavioral adverse effects associated with levetiracetam: A systematic review</w:t>
            </w:r>
          </w:p>
        </w:tc>
        <w:tc>
          <w:tcPr>
            <w:tcW w:w="6537" w:type="dxa"/>
            <w:tcMar>
              <w:top w:w="60" w:type="dxa"/>
              <w:left w:w="100" w:type="dxa"/>
              <w:bottom w:w="60" w:type="dxa"/>
              <w:right w:w="100" w:type="dxa"/>
            </w:tcMar>
          </w:tcPr>
          <w:p w14:paraId="082C09F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pyridoxine supplementation for treatment of adverse behaviour.</w:t>
            </w:r>
          </w:p>
        </w:tc>
      </w:tr>
      <w:tr w:rsidR="00EA496D" w:rsidRPr="00F56AD6" w14:paraId="7966A20E" w14:textId="77777777" w:rsidTr="00EA496D">
        <w:tc>
          <w:tcPr>
            <w:tcW w:w="846" w:type="dxa"/>
            <w:tcMar>
              <w:top w:w="60" w:type="dxa"/>
              <w:left w:w="100" w:type="dxa"/>
              <w:bottom w:w="60" w:type="dxa"/>
              <w:right w:w="100" w:type="dxa"/>
            </w:tcMar>
          </w:tcPr>
          <w:p w14:paraId="21EE19B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51</w:t>
            </w:r>
          </w:p>
        </w:tc>
        <w:tc>
          <w:tcPr>
            <w:tcW w:w="2094" w:type="dxa"/>
            <w:tcMar>
              <w:top w:w="60" w:type="dxa"/>
              <w:left w:w="100" w:type="dxa"/>
              <w:bottom w:w="60" w:type="dxa"/>
              <w:right w:w="100" w:type="dxa"/>
            </w:tcMar>
          </w:tcPr>
          <w:p w14:paraId="465C73F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Bhargava 2024</w:t>
            </w:r>
          </w:p>
        </w:tc>
        <w:tc>
          <w:tcPr>
            <w:tcW w:w="4923" w:type="dxa"/>
            <w:tcMar>
              <w:top w:w="60" w:type="dxa"/>
              <w:left w:w="100" w:type="dxa"/>
              <w:bottom w:w="60" w:type="dxa"/>
              <w:right w:w="100" w:type="dxa"/>
            </w:tcMar>
          </w:tcPr>
          <w:p w14:paraId="63D8B9D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3 HP regimen for tuberculosis preventive treatment: safety, dosage and related concerns during its large-scale implementation in countries like India</w:t>
            </w:r>
          </w:p>
        </w:tc>
        <w:tc>
          <w:tcPr>
            <w:tcW w:w="6537" w:type="dxa"/>
            <w:tcMar>
              <w:top w:w="60" w:type="dxa"/>
              <w:left w:w="100" w:type="dxa"/>
              <w:bottom w:w="60" w:type="dxa"/>
              <w:right w:w="100" w:type="dxa"/>
            </w:tcMar>
          </w:tcPr>
          <w:p w14:paraId="0C5D7BE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benefits of B6 supplementation alongside 3 HP.</w:t>
            </w:r>
          </w:p>
        </w:tc>
      </w:tr>
      <w:tr w:rsidR="00EA496D" w:rsidRPr="00F56AD6" w14:paraId="324F2D65" w14:textId="77777777" w:rsidTr="00EA496D">
        <w:tc>
          <w:tcPr>
            <w:tcW w:w="846" w:type="dxa"/>
            <w:tcMar>
              <w:top w:w="60" w:type="dxa"/>
              <w:left w:w="100" w:type="dxa"/>
              <w:bottom w:w="60" w:type="dxa"/>
              <w:right w:w="100" w:type="dxa"/>
            </w:tcMar>
          </w:tcPr>
          <w:p w14:paraId="7163F72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52</w:t>
            </w:r>
          </w:p>
        </w:tc>
        <w:tc>
          <w:tcPr>
            <w:tcW w:w="2094" w:type="dxa"/>
            <w:tcMar>
              <w:top w:w="60" w:type="dxa"/>
              <w:left w:w="100" w:type="dxa"/>
              <w:bottom w:w="60" w:type="dxa"/>
              <w:right w:w="100" w:type="dxa"/>
            </w:tcMar>
          </w:tcPr>
          <w:p w14:paraId="230EA8E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Bicalho-Silva et al. 2026</w:t>
            </w:r>
          </w:p>
        </w:tc>
        <w:tc>
          <w:tcPr>
            <w:tcW w:w="4923" w:type="dxa"/>
            <w:tcMar>
              <w:top w:w="60" w:type="dxa"/>
              <w:left w:w="100" w:type="dxa"/>
              <w:bottom w:w="60" w:type="dxa"/>
              <w:right w:w="100" w:type="dxa"/>
            </w:tcMar>
          </w:tcPr>
          <w:p w14:paraId="0472963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β-caryophyllene mitigates metabolic dysfunction in the testes of gerbils perinatally exposed to BPA</w:t>
            </w:r>
          </w:p>
        </w:tc>
        <w:tc>
          <w:tcPr>
            <w:tcW w:w="6537" w:type="dxa"/>
            <w:tcMar>
              <w:top w:w="60" w:type="dxa"/>
              <w:left w:w="100" w:type="dxa"/>
              <w:bottom w:w="60" w:type="dxa"/>
              <w:right w:w="100" w:type="dxa"/>
            </w:tcMar>
          </w:tcPr>
          <w:p w14:paraId="3AFA605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pyridoxine as a biomarker in testes.</w:t>
            </w:r>
          </w:p>
        </w:tc>
      </w:tr>
      <w:tr w:rsidR="00EA496D" w:rsidRPr="00F56AD6" w14:paraId="76202B40" w14:textId="77777777" w:rsidTr="00EA496D">
        <w:tc>
          <w:tcPr>
            <w:tcW w:w="846" w:type="dxa"/>
            <w:tcMar>
              <w:top w:w="60" w:type="dxa"/>
              <w:left w:w="100" w:type="dxa"/>
              <w:bottom w:w="60" w:type="dxa"/>
              <w:right w:w="100" w:type="dxa"/>
            </w:tcMar>
          </w:tcPr>
          <w:p w14:paraId="228D473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53</w:t>
            </w:r>
          </w:p>
        </w:tc>
        <w:tc>
          <w:tcPr>
            <w:tcW w:w="2094" w:type="dxa"/>
            <w:tcMar>
              <w:top w:w="60" w:type="dxa"/>
              <w:left w:w="100" w:type="dxa"/>
              <w:bottom w:w="60" w:type="dxa"/>
              <w:right w:w="100" w:type="dxa"/>
            </w:tcMar>
          </w:tcPr>
          <w:p w14:paraId="20F20CC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Bird et al. 2023</w:t>
            </w:r>
          </w:p>
        </w:tc>
        <w:tc>
          <w:tcPr>
            <w:tcW w:w="4923" w:type="dxa"/>
            <w:tcMar>
              <w:top w:w="60" w:type="dxa"/>
              <w:left w:w="100" w:type="dxa"/>
              <w:bottom w:w="60" w:type="dxa"/>
              <w:right w:w="100" w:type="dxa"/>
            </w:tcMar>
          </w:tcPr>
          <w:p w14:paraId="00E11B8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Micronutrient intakes in the Dutch diet: foods, fortified foods and supplements in a cross sectional study</w:t>
            </w:r>
          </w:p>
        </w:tc>
        <w:tc>
          <w:tcPr>
            <w:tcW w:w="6537" w:type="dxa"/>
            <w:tcMar>
              <w:top w:w="60" w:type="dxa"/>
              <w:left w:w="100" w:type="dxa"/>
              <w:bottom w:w="60" w:type="dxa"/>
              <w:right w:w="100" w:type="dxa"/>
            </w:tcMar>
          </w:tcPr>
          <w:p w14:paraId="56EA508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no B6 above the UL were found in Dutch population.</w:t>
            </w:r>
          </w:p>
        </w:tc>
      </w:tr>
      <w:tr w:rsidR="00EA496D" w:rsidRPr="00F56AD6" w14:paraId="47E500BC" w14:textId="77777777" w:rsidTr="00EA496D">
        <w:tc>
          <w:tcPr>
            <w:tcW w:w="846" w:type="dxa"/>
            <w:tcMar>
              <w:top w:w="60" w:type="dxa"/>
              <w:left w:w="100" w:type="dxa"/>
              <w:bottom w:w="60" w:type="dxa"/>
              <w:right w:w="100" w:type="dxa"/>
            </w:tcMar>
          </w:tcPr>
          <w:p w14:paraId="4B28243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54</w:t>
            </w:r>
          </w:p>
        </w:tc>
        <w:tc>
          <w:tcPr>
            <w:tcW w:w="2094" w:type="dxa"/>
            <w:tcMar>
              <w:top w:w="60" w:type="dxa"/>
              <w:left w:w="100" w:type="dxa"/>
              <w:bottom w:w="60" w:type="dxa"/>
              <w:right w:w="100" w:type="dxa"/>
            </w:tcMar>
          </w:tcPr>
          <w:p w14:paraId="5E03513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Bjørke-Monsen et al. 2026</w:t>
            </w:r>
          </w:p>
        </w:tc>
        <w:tc>
          <w:tcPr>
            <w:tcW w:w="4923" w:type="dxa"/>
            <w:tcMar>
              <w:top w:w="60" w:type="dxa"/>
              <w:left w:w="100" w:type="dxa"/>
              <w:bottom w:w="60" w:type="dxa"/>
              <w:right w:w="100" w:type="dxa"/>
            </w:tcMar>
          </w:tcPr>
          <w:p w14:paraId="40506E8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Exclusive Breastfeeding Is Not Ensuring an Adequate Vitamin B Status in Premature Infants with Very Low Birth Weight</w:t>
            </w:r>
          </w:p>
        </w:tc>
        <w:tc>
          <w:tcPr>
            <w:tcW w:w="6537" w:type="dxa"/>
            <w:tcMar>
              <w:top w:w="60" w:type="dxa"/>
              <w:left w:w="100" w:type="dxa"/>
              <w:bottom w:w="60" w:type="dxa"/>
              <w:right w:w="100" w:type="dxa"/>
            </w:tcMar>
          </w:tcPr>
          <w:p w14:paraId="68ACCA9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do babies get enough B6 from breastmilk.</w:t>
            </w:r>
          </w:p>
        </w:tc>
      </w:tr>
      <w:tr w:rsidR="00EA496D" w:rsidRPr="00F56AD6" w14:paraId="396EB3CB" w14:textId="77777777" w:rsidTr="00EA496D">
        <w:tc>
          <w:tcPr>
            <w:tcW w:w="846" w:type="dxa"/>
            <w:tcMar>
              <w:top w:w="60" w:type="dxa"/>
              <w:left w:w="100" w:type="dxa"/>
              <w:bottom w:w="60" w:type="dxa"/>
              <w:right w:w="100" w:type="dxa"/>
            </w:tcMar>
          </w:tcPr>
          <w:p w14:paraId="375A0C2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55</w:t>
            </w:r>
          </w:p>
        </w:tc>
        <w:tc>
          <w:tcPr>
            <w:tcW w:w="2094" w:type="dxa"/>
            <w:tcMar>
              <w:top w:w="60" w:type="dxa"/>
              <w:left w:w="100" w:type="dxa"/>
              <w:bottom w:w="60" w:type="dxa"/>
              <w:right w:w="100" w:type="dxa"/>
            </w:tcMar>
          </w:tcPr>
          <w:p w14:paraId="1490340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Bjørklund et al. 2022</w:t>
            </w:r>
          </w:p>
        </w:tc>
        <w:tc>
          <w:tcPr>
            <w:tcW w:w="4923" w:type="dxa"/>
            <w:tcMar>
              <w:top w:w="60" w:type="dxa"/>
              <w:left w:w="100" w:type="dxa"/>
              <w:bottom w:w="60" w:type="dxa"/>
              <w:right w:w="100" w:type="dxa"/>
            </w:tcMar>
          </w:tcPr>
          <w:p w14:paraId="7B294C9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role of B vitamins in stroke prevention</w:t>
            </w:r>
          </w:p>
        </w:tc>
        <w:tc>
          <w:tcPr>
            <w:tcW w:w="6537" w:type="dxa"/>
            <w:tcMar>
              <w:top w:w="60" w:type="dxa"/>
              <w:left w:w="100" w:type="dxa"/>
              <w:bottom w:w="60" w:type="dxa"/>
              <w:right w:w="100" w:type="dxa"/>
            </w:tcMar>
          </w:tcPr>
          <w:p w14:paraId="7A6CC28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role of B vitamins in stroke prevention.</w:t>
            </w:r>
          </w:p>
        </w:tc>
      </w:tr>
      <w:tr w:rsidR="00EA496D" w:rsidRPr="00F56AD6" w14:paraId="0CC9D92C" w14:textId="77777777" w:rsidTr="00EA496D">
        <w:tc>
          <w:tcPr>
            <w:tcW w:w="846" w:type="dxa"/>
            <w:tcMar>
              <w:top w:w="60" w:type="dxa"/>
              <w:left w:w="100" w:type="dxa"/>
              <w:bottom w:w="60" w:type="dxa"/>
              <w:right w:w="100" w:type="dxa"/>
            </w:tcMar>
          </w:tcPr>
          <w:p w14:paraId="66F43FF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56</w:t>
            </w:r>
          </w:p>
        </w:tc>
        <w:tc>
          <w:tcPr>
            <w:tcW w:w="2094" w:type="dxa"/>
            <w:tcMar>
              <w:top w:w="60" w:type="dxa"/>
              <w:left w:w="100" w:type="dxa"/>
              <w:bottom w:w="60" w:type="dxa"/>
              <w:right w:w="100" w:type="dxa"/>
            </w:tcMar>
          </w:tcPr>
          <w:p w14:paraId="4347FDE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Blau et al. 1993</w:t>
            </w:r>
          </w:p>
        </w:tc>
        <w:tc>
          <w:tcPr>
            <w:tcW w:w="4923" w:type="dxa"/>
            <w:tcMar>
              <w:top w:w="60" w:type="dxa"/>
              <w:left w:w="100" w:type="dxa"/>
              <w:bottom w:w="60" w:type="dxa"/>
              <w:right w:w="100" w:type="dxa"/>
            </w:tcMar>
          </w:tcPr>
          <w:p w14:paraId="3BE3EF0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Aromatic L-Amino Acid Decarboxylase Deficiency</w:t>
            </w:r>
          </w:p>
        </w:tc>
        <w:tc>
          <w:tcPr>
            <w:tcW w:w="6537" w:type="dxa"/>
            <w:tcMar>
              <w:top w:w="60" w:type="dxa"/>
              <w:left w:w="100" w:type="dxa"/>
              <w:bottom w:w="60" w:type="dxa"/>
              <w:right w:w="100" w:type="dxa"/>
            </w:tcMar>
          </w:tcPr>
          <w:p w14:paraId="3255487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included as treatment.</w:t>
            </w:r>
          </w:p>
        </w:tc>
      </w:tr>
      <w:tr w:rsidR="00EA496D" w:rsidRPr="00F56AD6" w14:paraId="19949A0D" w14:textId="77777777" w:rsidTr="00EA496D">
        <w:tc>
          <w:tcPr>
            <w:tcW w:w="846" w:type="dxa"/>
            <w:tcMar>
              <w:top w:w="60" w:type="dxa"/>
              <w:left w:w="100" w:type="dxa"/>
              <w:bottom w:w="60" w:type="dxa"/>
              <w:right w:w="100" w:type="dxa"/>
            </w:tcMar>
          </w:tcPr>
          <w:p w14:paraId="369D1B9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57</w:t>
            </w:r>
          </w:p>
        </w:tc>
        <w:tc>
          <w:tcPr>
            <w:tcW w:w="2094" w:type="dxa"/>
            <w:tcMar>
              <w:top w:w="60" w:type="dxa"/>
              <w:left w:w="100" w:type="dxa"/>
              <w:bottom w:w="60" w:type="dxa"/>
              <w:right w:w="100" w:type="dxa"/>
            </w:tcMar>
          </w:tcPr>
          <w:p w14:paraId="443848F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Blonk et al. 2024</w:t>
            </w:r>
          </w:p>
        </w:tc>
        <w:tc>
          <w:tcPr>
            <w:tcW w:w="4923" w:type="dxa"/>
            <w:tcMar>
              <w:top w:w="60" w:type="dxa"/>
              <w:left w:w="100" w:type="dxa"/>
              <w:bottom w:w="60" w:type="dxa"/>
              <w:right w:w="100" w:type="dxa"/>
            </w:tcMar>
          </w:tcPr>
          <w:p w14:paraId="3E5344A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Micronutrient deficiencies and anemia in the follow-up after gastroesophageal cancer surgery</w:t>
            </w:r>
          </w:p>
        </w:tc>
        <w:tc>
          <w:tcPr>
            <w:tcW w:w="6537" w:type="dxa"/>
            <w:tcMar>
              <w:top w:w="60" w:type="dxa"/>
              <w:left w:w="100" w:type="dxa"/>
              <w:bottom w:w="60" w:type="dxa"/>
              <w:right w:w="100" w:type="dxa"/>
            </w:tcMar>
          </w:tcPr>
          <w:p w14:paraId="1B7CB0B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should be supplemented after surgery.</w:t>
            </w:r>
          </w:p>
        </w:tc>
      </w:tr>
      <w:tr w:rsidR="00EA496D" w:rsidRPr="00F56AD6" w14:paraId="0CE05365" w14:textId="77777777" w:rsidTr="00EA496D">
        <w:tc>
          <w:tcPr>
            <w:tcW w:w="846" w:type="dxa"/>
            <w:tcMar>
              <w:top w:w="60" w:type="dxa"/>
              <w:left w:w="100" w:type="dxa"/>
              <w:bottom w:w="60" w:type="dxa"/>
              <w:right w:w="100" w:type="dxa"/>
            </w:tcMar>
          </w:tcPr>
          <w:p w14:paraId="74E6AD5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58</w:t>
            </w:r>
          </w:p>
        </w:tc>
        <w:tc>
          <w:tcPr>
            <w:tcW w:w="2094" w:type="dxa"/>
            <w:tcMar>
              <w:top w:w="60" w:type="dxa"/>
              <w:left w:w="100" w:type="dxa"/>
              <w:bottom w:w="60" w:type="dxa"/>
              <w:right w:w="100" w:type="dxa"/>
            </w:tcMar>
          </w:tcPr>
          <w:p w14:paraId="509449B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Bloomer et al. 2024</w:t>
            </w:r>
          </w:p>
        </w:tc>
        <w:tc>
          <w:tcPr>
            <w:tcW w:w="4923" w:type="dxa"/>
            <w:tcMar>
              <w:top w:w="60" w:type="dxa"/>
              <w:left w:w="100" w:type="dxa"/>
              <w:bottom w:w="60" w:type="dxa"/>
              <w:right w:w="100" w:type="dxa"/>
            </w:tcMar>
          </w:tcPr>
          <w:p w14:paraId="63DD591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Randomized Trial to Assess the Safety and Tolerability of Daily Intake of an Allulose Amino Acid-Based Hydration Beverage in Men and Women</w:t>
            </w:r>
          </w:p>
        </w:tc>
        <w:tc>
          <w:tcPr>
            <w:tcW w:w="6537" w:type="dxa"/>
            <w:tcMar>
              <w:top w:w="60" w:type="dxa"/>
              <w:left w:w="100" w:type="dxa"/>
              <w:bottom w:w="60" w:type="dxa"/>
              <w:right w:w="100" w:type="dxa"/>
            </w:tcMar>
          </w:tcPr>
          <w:p w14:paraId="3DAF65C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the product contained B6.</w:t>
            </w:r>
          </w:p>
        </w:tc>
      </w:tr>
      <w:tr w:rsidR="00EA496D" w:rsidRPr="00F56AD6" w14:paraId="38A52BA5" w14:textId="77777777" w:rsidTr="00EA496D">
        <w:tc>
          <w:tcPr>
            <w:tcW w:w="846" w:type="dxa"/>
            <w:tcMar>
              <w:top w:w="60" w:type="dxa"/>
              <w:left w:w="100" w:type="dxa"/>
              <w:bottom w:w="60" w:type="dxa"/>
              <w:right w:w="100" w:type="dxa"/>
            </w:tcMar>
          </w:tcPr>
          <w:p w14:paraId="14EC03D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59</w:t>
            </w:r>
          </w:p>
        </w:tc>
        <w:tc>
          <w:tcPr>
            <w:tcW w:w="2094" w:type="dxa"/>
            <w:tcMar>
              <w:top w:w="60" w:type="dxa"/>
              <w:left w:w="100" w:type="dxa"/>
              <w:bottom w:w="60" w:type="dxa"/>
              <w:right w:w="100" w:type="dxa"/>
            </w:tcMar>
          </w:tcPr>
          <w:p w14:paraId="3D5C00C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Bo et al. 2022</w:t>
            </w:r>
          </w:p>
        </w:tc>
        <w:tc>
          <w:tcPr>
            <w:tcW w:w="4923" w:type="dxa"/>
            <w:tcMar>
              <w:top w:w="60" w:type="dxa"/>
              <w:left w:w="100" w:type="dxa"/>
              <w:bottom w:w="60" w:type="dxa"/>
              <w:right w:w="100" w:type="dxa"/>
            </w:tcMar>
          </w:tcPr>
          <w:p w14:paraId="0D96E2E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Intakes of Folate, Vitamin B6, and Vitamin B12 in Relation to All-Cause and Cause-Specific Mortality: A National Population-Based Cohort</w:t>
            </w:r>
          </w:p>
        </w:tc>
        <w:tc>
          <w:tcPr>
            <w:tcW w:w="6537" w:type="dxa"/>
            <w:tcMar>
              <w:top w:w="60" w:type="dxa"/>
              <w:left w:w="100" w:type="dxa"/>
              <w:bottom w:w="60" w:type="dxa"/>
              <w:right w:w="100" w:type="dxa"/>
            </w:tcMar>
          </w:tcPr>
          <w:p w14:paraId="708BA77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reduced mortality rate from CVD.</w:t>
            </w:r>
          </w:p>
        </w:tc>
      </w:tr>
      <w:tr w:rsidR="00EA496D" w:rsidRPr="00F56AD6" w14:paraId="4F2D90FC" w14:textId="77777777" w:rsidTr="00EA496D">
        <w:tc>
          <w:tcPr>
            <w:tcW w:w="846" w:type="dxa"/>
            <w:tcMar>
              <w:top w:w="60" w:type="dxa"/>
              <w:left w:w="100" w:type="dxa"/>
              <w:bottom w:w="60" w:type="dxa"/>
              <w:right w:w="100" w:type="dxa"/>
            </w:tcMar>
          </w:tcPr>
          <w:p w14:paraId="33882C7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60</w:t>
            </w:r>
          </w:p>
        </w:tc>
        <w:tc>
          <w:tcPr>
            <w:tcW w:w="2094" w:type="dxa"/>
            <w:tcMar>
              <w:top w:w="60" w:type="dxa"/>
              <w:left w:w="100" w:type="dxa"/>
              <w:bottom w:w="60" w:type="dxa"/>
              <w:right w:w="100" w:type="dxa"/>
            </w:tcMar>
          </w:tcPr>
          <w:p w14:paraId="0A1F7F3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Bonino et al. 2025</w:t>
            </w:r>
          </w:p>
        </w:tc>
        <w:tc>
          <w:tcPr>
            <w:tcW w:w="4923" w:type="dxa"/>
            <w:tcMar>
              <w:top w:w="60" w:type="dxa"/>
              <w:left w:w="100" w:type="dxa"/>
              <w:bottom w:w="60" w:type="dxa"/>
              <w:right w:w="100" w:type="dxa"/>
            </w:tcMar>
          </w:tcPr>
          <w:p w14:paraId="755F551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Thiamine hydrochloride, riboflavin, pyridoxine hydrochloride, and biotin hard gelatin capsules prepared in advance and stored for the treatment of pediatric metabolic diseases: a safer alternative</w:t>
            </w:r>
          </w:p>
        </w:tc>
        <w:tc>
          <w:tcPr>
            <w:tcW w:w="6537" w:type="dxa"/>
            <w:tcMar>
              <w:top w:w="60" w:type="dxa"/>
              <w:left w:w="100" w:type="dxa"/>
              <w:bottom w:w="60" w:type="dxa"/>
              <w:right w:w="100" w:type="dxa"/>
            </w:tcMar>
          </w:tcPr>
          <w:p w14:paraId="6550287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do vitamin B6 gummies stay stable?</w:t>
            </w:r>
          </w:p>
        </w:tc>
      </w:tr>
      <w:tr w:rsidR="00EA496D" w:rsidRPr="00F56AD6" w14:paraId="3E3EC866" w14:textId="77777777" w:rsidTr="00EA496D">
        <w:tc>
          <w:tcPr>
            <w:tcW w:w="846" w:type="dxa"/>
            <w:tcMar>
              <w:top w:w="60" w:type="dxa"/>
              <w:left w:w="100" w:type="dxa"/>
              <w:bottom w:w="60" w:type="dxa"/>
              <w:right w:w="100" w:type="dxa"/>
            </w:tcMar>
          </w:tcPr>
          <w:p w14:paraId="221FE40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61</w:t>
            </w:r>
          </w:p>
        </w:tc>
        <w:tc>
          <w:tcPr>
            <w:tcW w:w="2094" w:type="dxa"/>
            <w:tcMar>
              <w:top w:w="60" w:type="dxa"/>
              <w:left w:w="100" w:type="dxa"/>
              <w:bottom w:w="60" w:type="dxa"/>
              <w:right w:w="100" w:type="dxa"/>
            </w:tcMar>
          </w:tcPr>
          <w:p w14:paraId="3C7B70C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Bottino et al. 2025</w:t>
            </w:r>
          </w:p>
        </w:tc>
        <w:tc>
          <w:tcPr>
            <w:tcW w:w="4923" w:type="dxa"/>
            <w:tcMar>
              <w:top w:w="60" w:type="dxa"/>
              <w:left w:w="100" w:type="dxa"/>
              <w:bottom w:w="60" w:type="dxa"/>
              <w:right w:w="100" w:type="dxa"/>
            </w:tcMar>
          </w:tcPr>
          <w:p w14:paraId="66A3524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Lactic acidosis, rhabdomyolysis, and hyperammonemia: Atypical presentation in a new patient with PDE-ALDH7A1 defect</w:t>
            </w:r>
          </w:p>
        </w:tc>
        <w:tc>
          <w:tcPr>
            <w:tcW w:w="6537" w:type="dxa"/>
            <w:tcMar>
              <w:top w:w="60" w:type="dxa"/>
              <w:left w:w="100" w:type="dxa"/>
              <w:bottom w:w="60" w:type="dxa"/>
              <w:right w:w="100" w:type="dxa"/>
            </w:tcMar>
          </w:tcPr>
          <w:p w14:paraId="22980D3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treatment with pyridoxine.</w:t>
            </w:r>
          </w:p>
        </w:tc>
      </w:tr>
      <w:tr w:rsidR="00EA496D" w:rsidRPr="00F56AD6" w14:paraId="12D62E98" w14:textId="77777777" w:rsidTr="00EA496D">
        <w:tc>
          <w:tcPr>
            <w:tcW w:w="846" w:type="dxa"/>
            <w:tcMar>
              <w:top w:w="60" w:type="dxa"/>
              <w:left w:w="100" w:type="dxa"/>
              <w:bottom w:w="60" w:type="dxa"/>
              <w:right w:w="100" w:type="dxa"/>
            </w:tcMar>
          </w:tcPr>
          <w:p w14:paraId="099AC25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62</w:t>
            </w:r>
          </w:p>
        </w:tc>
        <w:tc>
          <w:tcPr>
            <w:tcW w:w="2094" w:type="dxa"/>
            <w:tcMar>
              <w:top w:w="60" w:type="dxa"/>
              <w:left w:w="100" w:type="dxa"/>
              <w:bottom w:w="60" w:type="dxa"/>
              <w:right w:w="100" w:type="dxa"/>
            </w:tcMar>
          </w:tcPr>
          <w:p w14:paraId="111ED39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Boyer et al. 2022</w:t>
            </w:r>
          </w:p>
        </w:tc>
        <w:tc>
          <w:tcPr>
            <w:tcW w:w="4923" w:type="dxa"/>
            <w:tcMar>
              <w:top w:w="60" w:type="dxa"/>
              <w:left w:w="100" w:type="dxa"/>
              <w:bottom w:w="60" w:type="dxa"/>
              <w:right w:w="100" w:type="dxa"/>
            </w:tcMar>
          </w:tcPr>
          <w:p w14:paraId="66A8C42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Nutrition interventions in congenital disorders of glycosylation</w:t>
            </w:r>
          </w:p>
        </w:tc>
        <w:tc>
          <w:tcPr>
            <w:tcW w:w="6537" w:type="dxa"/>
            <w:tcMar>
              <w:top w:w="60" w:type="dxa"/>
              <w:left w:w="100" w:type="dxa"/>
              <w:bottom w:w="60" w:type="dxa"/>
              <w:right w:w="100" w:type="dxa"/>
            </w:tcMar>
          </w:tcPr>
          <w:p w14:paraId="737962F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as treatment option.</w:t>
            </w:r>
          </w:p>
        </w:tc>
      </w:tr>
      <w:tr w:rsidR="00EA496D" w:rsidRPr="00F56AD6" w14:paraId="36850789" w14:textId="77777777" w:rsidTr="00EA496D">
        <w:tc>
          <w:tcPr>
            <w:tcW w:w="846" w:type="dxa"/>
            <w:tcMar>
              <w:top w:w="60" w:type="dxa"/>
              <w:left w:w="100" w:type="dxa"/>
              <w:bottom w:w="60" w:type="dxa"/>
              <w:right w:w="100" w:type="dxa"/>
            </w:tcMar>
          </w:tcPr>
          <w:p w14:paraId="3DC62BC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63</w:t>
            </w:r>
          </w:p>
        </w:tc>
        <w:tc>
          <w:tcPr>
            <w:tcW w:w="2094" w:type="dxa"/>
            <w:tcMar>
              <w:top w:w="60" w:type="dxa"/>
              <w:left w:w="100" w:type="dxa"/>
              <w:bottom w:w="60" w:type="dxa"/>
              <w:right w:w="100" w:type="dxa"/>
            </w:tcMar>
          </w:tcPr>
          <w:p w14:paraId="768936D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Braadland et al. 2023</w:t>
            </w:r>
          </w:p>
        </w:tc>
        <w:tc>
          <w:tcPr>
            <w:tcW w:w="4923" w:type="dxa"/>
            <w:tcMar>
              <w:top w:w="60" w:type="dxa"/>
              <w:left w:w="100" w:type="dxa"/>
              <w:bottom w:w="60" w:type="dxa"/>
              <w:right w:w="100" w:type="dxa"/>
            </w:tcMar>
          </w:tcPr>
          <w:p w14:paraId="090AE5D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Clinical and biochemical impact of vitamin B6 deficiency in primary sclerosing cholangitis before and after liver transplantation</w:t>
            </w:r>
          </w:p>
        </w:tc>
        <w:tc>
          <w:tcPr>
            <w:tcW w:w="6537" w:type="dxa"/>
            <w:tcMar>
              <w:top w:w="60" w:type="dxa"/>
              <w:left w:w="100" w:type="dxa"/>
              <w:bottom w:w="60" w:type="dxa"/>
              <w:right w:w="100" w:type="dxa"/>
            </w:tcMar>
          </w:tcPr>
          <w:p w14:paraId="022091C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focuses on negatives of B6 deficiency.</w:t>
            </w:r>
          </w:p>
        </w:tc>
      </w:tr>
      <w:tr w:rsidR="00EA496D" w:rsidRPr="00F56AD6" w14:paraId="74E2029D" w14:textId="77777777" w:rsidTr="00EA496D">
        <w:tc>
          <w:tcPr>
            <w:tcW w:w="846" w:type="dxa"/>
            <w:tcMar>
              <w:top w:w="60" w:type="dxa"/>
              <w:left w:w="100" w:type="dxa"/>
              <w:bottom w:w="60" w:type="dxa"/>
              <w:right w:w="100" w:type="dxa"/>
            </w:tcMar>
          </w:tcPr>
          <w:p w14:paraId="287EEBD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64</w:t>
            </w:r>
          </w:p>
        </w:tc>
        <w:tc>
          <w:tcPr>
            <w:tcW w:w="2094" w:type="dxa"/>
            <w:tcMar>
              <w:top w:w="60" w:type="dxa"/>
              <w:left w:w="100" w:type="dxa"/>
              <w:bottom w:w="60" w:type="dxa"/>
              <w:right w:w="100" w:type="dxa"/>
            </w:tcMar>
          </w:tcPr>
          <w:p w14:paraId="282B46A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Brasky et al. 2023</w:t>
            </w:r>
          </w:p>
        </w:tc>
        <w:tc>
          <w:tcPr>
            <w:tcW w:w="4923" w:type="dxa"/>
            <w:tcMar>
              <w:top w:w="60" w:type="dxa"/>
              <w:left w:w="100" w:type="dxa"/>
              <w:bottom w:w="60" w:type="dxa"/>
              <w:right w:w="100" w:type="dxa"/>
            </w:tcMar>
          </w:tcPr>
          <w:p w14:paraId="1F41D4C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Supplemental B-Vitamins and Risk of Upper Gastrointestinal Cancers in the Women's Health Initiative</w:t>
            </w:r>
          </w:p>
        </w:tc>
        <w:tc>
          <w:tcPr>
            <w:tcW w:w="6537" w:type="dxa"/>
            <w:tcMar>
              <w:top w:w="60" w:type="dxa"/>
              <w:left w:w="100" w:type="dxa"/>
              <w:bottom w:w="60" w:type="dxa"/>
              <w:right w:w="100" w:type="dxa"/>
            </w:tcMar>
          </w:tcPr>
          <w:p w14:paraId="3B8B950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supplementation did not lead to adverse effects and increased risk of GI cancer.</w:t>
            </w:r>
          </w:p>
        </w:tc>
      </w:tr>
      <w:tr w:rsidR="00EA496D" w:rsidRPr="00F56AD6" w14:paraId="00666FB3" w14:textId="77777777" w:rsidTr="00EA496D">
        <w:tc>
          <w:tcPr>
            <w:tcW w:w="846" w:type="dxa"/>
            <w:tcMar>
              <w:top w:w="60" w:type="dxa"/>
              <w:left w:w="100" w:type="dxa"/>
              <w:bottom w:w="60" w:type="dxa"/>
              <w:right w:w="100" w:type="dxa"/>
            </w:tcMar>
          </w:tcPr>
          <w:p w14:paraId="1D8B3AA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65</w:t>
            </w:r>
          </w:p>
        </w:tc>
        <w:tc>
          <w:tcPr>
            <w:tcW w:w="2094" w:type="dxa"/>
            <w:tcMar>
              <w:top w:w="60" w:type="dxa"/>
              <w:left w:w="100" w:type="dxa"/>
              <w:bottom w:w="60" w:type="dxa"/>
              <w:right w:w="100" w:type="dxa"/>
            </w:tcMar>
          </w:tcPr>
          <w:p w14:paraId="01559E4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Bråtveit et al. 2024</w:t>
            </w:r>
          </w:p>
        </w:tc>
        <w:tc>
          <w:tcPr>
            <w:tcW w:w="4923" w:type="dxa"/>
            <w:tcMar>
              <w:top w:w="60" w:type="dxa"/>
              <w:left w:w="100" w:type="dxa"/>
              <w:bottom w:w="60" w:type="dxa"/>
              <w:right w:w="100" w:type="dxa"/>
            </w:tcMar>
          </w:tcPr>
          <w:p w14:paraId="4CA6484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 between dietary macronutrient composition and plasma one-carbon metabolites and B-vitamin cofactors in patients with stable angina pectoris</w:t>
            </w:r>
          </w:p>
        </w:tc>
        <w:tc>
          <w:tcPr>
            <w:tcW w:w="6537" w:type="dxa"/>
            <w:tcMar>
              <w:top w:w="60" w:type="dxa"/>
              <w:left w:w="100" w:type="dxa"/>
              <w:bottom w:w="60" w:type="dxa"/>
              <w:right w:w="100" w:type="dxa"/>
            </w:tcMar>
          </w:tcPr>
          <w:p w14:paraId="222F01D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just a bio - measurement in study.</w:t>
            </w:r>
          </w:p>
        </w:tc>
      </w:tr>
      <w:tr w:rsidR="00EA496D" w:rsidRPr="00F56AD6" w14:paraId="473AD502" w14:textId="77777777" w:rsidTr="00EA496D">
        <w:tc>
          <w:tcPr>
            <w:tcW w:w="846" w:type="dxa"/>
            <w:tcMar>
              <w:top w:w="60" w:type="dxa"/>
              <w:left w:w="100" w:type="dxa"/>
              <w:bottom w:w="60" w:type="dxa"/>
              <w:right w:w="100" w:type="dxa"/>
            </w:tcMar>
          </w:tcPr>
          <w:p w14:paraId="74D7CA4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66</w:t>
            </w:r>
          </w:p>
        </w:tc>
        <w:tc>
          <w:tcPr>
            <w:tcW w:w="2094" w:type="dxa"/>
            <w:tcMar>
              <w:top w:w="60" w:type="dxa"/>
              <w:left w:w="100" w:type="dxa"/>
              <w:bottom w:w="60" w:type="dxa"/>
              <w:right w:w="100" w:type="dxa"/>
            </w:tcMar>
          </w:tcPr>
          <w:p w14:paraId="157875C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Brenner et al. 2024</w:t>
            </w:r>
          </w:p>
        </w:tc>
        <w:tc>
          <w:tcPr>
            <w:tcW w:w="4923" w:type="dxa"/>
            <w:tcMar>
              <w:top w:w="60" w:type="dxa"/>
              <w:left w:w="100" w:type="dxa"/>
              <w:bottom w:w="60" w:type="dxa"/>
              <w:right w:w="100" w:type="dxa"/>
            </w:tcMar>
          </w:tcPr>
          <w:p w14:paraId="494BA6D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7,8-Dihydroxyflavone is a direct inhibitor of human and murine pyridoxal phosphatase</w:t>
            </w:r>
          </w:p>
        </w:tc>
        <w:tc>
          <w:tcPr>
            <w:tcW w:w="6537" w:type="dxa"/>
            <w:tcMar>
              <w:top w:w="60" w:type="dxa"/>
              <w:left w:w="100" w:type="dxa"/>
              <w:bottom w:w="60" w:type="dxa"/>
              <w:right w:w="100" w:type="dxa"/>
            </w:tcMar>
          </w:tcPr>
          <w:p w14:paraId="764B70F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addresses the need for B6 supplementation when inhibited by 7,8 - DHF.</w:t>
            </w:r>
          </w:p>
        </w:tc>
      </w:tr>
      <w:tr w:rsidR="00EA496D" w:rsidRPr="00F56AD6" w14:paraId="451A31D5" w14:textId="77777777" w:rsidTr="00EA496D">
        <w:tc>
          <w:tcPr>
            <w:tcW w:w="846" w:type="dxa"/>
            <w:tcMar>
              <w:top w:w="60" w:type="dxa"/>
              <w:left w:w="100" w:type="dxa"/>
              <w:bottom w:w="60" w:type="dxa"/>
              <w:right w:w="100" w:type="dxa"/>
            </w:tcMar>
          </w:tcPr>
          <w:p w14:paraId="370A76A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67</w:t>
            </w:r>
          </w:p>
        </w:tc>
        <w:tc>
          <w:tcPr>
            <w:tcW w:w="2094" w:type="dxa"/>
            <w:tcMar>
              <w:top w:w="60" w:type="dxa"/>
              <w:left w:w="100" w:type="dxa"/>
              <w:bottom w:w="60" w:type="dxa"/>
              <w:right w:w="100" w:type="dxa"/>
            </w:tcMar>
          </w:tcPr>
          <w:p w14:paraId="2775F49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Brossfield et al. 2025</w:t>
            </w:r>
          </w:p>
        </w:tc>
        <w:tc>
          <w:tcPr>
            <w:tcW w:w="4923" w:type="dxa"/>
            <w:tcMar>
              <w:top w:w="60" w:type="dxa"/>
              <w:left w:w="100" w:type="dxa"/>
              <w:bottom w:w="60" w:type="dxa"/>
              <w:right w:w="100" w:type="dxa"/>
            </w:tcMar>
          </w:tcPr>
          <w:p w14:paraId="73348F6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Effects of the AGE Inhibitor Pyridoxamine on Bone in Older Women With Type 2 Diabetes: A Randomized Clinical Trial</w:t>
            </w:r>
          </w:p>
        </w:tc>
        <w:tc>
          <w:tcPr>
            <w:tcW w:w="6537" w:type="dxa"/>
            <w:tcMar>
              <w:top w:w="60" w:type="dxa"/>
              <w:left w:w="100" w:type="dxa"/>
              <w:bottom w:w="60" w:type="dxa"/>
              <w:right w:w="100" w:type="dxa"/>
            </w:tcMar>
          </w:tcPr>
          <w:p w14:paraId="426F5B9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Pyridoxamine improved bone health (no adverse effects).</w:t>
            </w:r>
          </w:p>
        </w:tc>
      </w:tr>
      <w:tr w:rsidR="00EA496D" w:rsidRPr="00F56AD6" w14:paraId="007DA0DA" w14:textId="77777777" w:rsidTr="00EA496D">
        <w:tc>
          <w:tcPr>
            <w:tcW w:w="846" w:type="dxa"/>
            <w:tcMar>
              <w:top w:w="60" w:type="dxa"/>
              <w:left w:w="100" w:type="dxa"/>
              <w:bottom w:w="60" w:type="dxa"/>
              <w:right w:w="100" w:type="dxa"/>
            </w:tcMar>
          </w:tcPr>
          <w:p w14:paraId="18F6A12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68</w:t>
            </w:r>
          </w:p>
        </w:tc>
        <w:tc>
          <w:tcPr>
            <w:tcW w:w="2094" w:type="dxa"/>
            <w:tcMar>
              <w:top w:w="60" w:type="dxa"/>
              <w:left w:w="100" w:type="dxa"/>
              <w:bottom w:w="60" w:type="dxa"/>
              <w:right w:w="100" w:type="dxa"/>
            </w:tcMar>
          </w:tcPr>
          <w:p w14:paraId="4890464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Brown et al. 2025</w:t>
            </w:r>
          </w:p>
        </w:tc>
        <w:tc>
          <w:tcPr>
            <w:tcW w:w="4923" w:type="dxa"/>
            <w:tcMar>
              <w:top w:w="60" w:type="dxa"/>
              <w:left w:w="100" w:type="dxa"/>
              <w:bottom w:w="60" w:type="dxa"/>
              <w:right w:w="100" w:type="dxa"/>
            </w:tcMar>
          </w:tcPr>
          <w:p w14:paraId="61E5031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Neglected micronutrients-considering a broader set of vitamins and minerals in public health nutrition programs worldwide: a narrative review</w:t>
            </w:r>
          </w:p>
        </w:tc>
        <w:tc>
          <w:tcPr>
            <w:tcW w:w="6537" w:type="dxa"/>
            <w:tcMar>
              <w:top w:w="60" w:type="dxa"/>
              <w:left w:w="100" w:type="dxa"/>
              <w:bottom w:w="60" w:type="dxa"/>
              <w:right w:w="100" w:type="dxa"/>
            </w:tcMar>
          </w:tcPr>
          <w:p w14:paraId="29B42F0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discusses supplementation to prevent deficiency of B6.</w:t>
            </w:r>
          </w:p>
        </w:tc>
      </w:tr>
      <w:tr w:rsidR="00EA496D" w:rsidRPr="00F56AD6" w14:paraId="65F49FC9" w14:textId="77777777" w:rsidTr="00EA496D">
        <w:tc>
          <w:tcPr>
            <w:tcW w:w="846" w:type="dxa"/>
            <w:tcMar>
              <w:top w:w="60" w:type="dxa"/>
              <w:left w:w="100" w:type="dxa"/>
              <w:bottom w:w="60" w:type="dxa"/>
              <w:right w:w="100" w:type="dxa"/>
            </w:tcMar>
          </w:tcPr>
          <w:p w14:paraId="6E90753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69</w:t>
            </w:r>
          </w:p>
        </w:tc>
        <w:tc>
          <w:tcPr>
            <w:tcW w:w="2094" w:type="dxa"/>
            <w:tcMar>
              <w:top w:w="60" w:type="dxa"/>
              <w:left w:w="100" w:type="dxa"/>
              <w:bottom w:w="60" w:type="dxa"/>
              <w:right w:w="100" w:type="dxa"/>
            </w:tcMar>
          </w:tcPr>
          <w:p w14:paraId="36EE2E7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Buzatu et al. 2025</w:t>
            </w:r>
          </w:p>
        </w:tc>
        <w:tc>
          <w:tcPr>
            <w:tcW w:w="4923" w:type="dxa"/>
            <w:tcMar>
              <w:top w:w="60" w:type="dxa"/>
              <w:left w:w="100" w:type="dxa"/>
              <w:bottom w:w="60" w:type="dxa"/>
              <w:right w:w="100" w:type="dxa"/>
            </w:tcMar>
          </w:tcPr>
          <w:p w14:paraId="6A78EB3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Role of Vitamin B Complex in Periodontal Disease: A Systematic Review Examining Supplementation Outcomes, Age Differences in Children and Adults, and Aesthetic Changes</w:t>
            </w:r>
          </w:p>
        </w:tc>
        <w:tc>
          <w:tcPr>
            <w:tcW w:w="6537" w:type="dxa"/>
            <w:tcMar>
              <w:top w:w="60" w:type="dxa"/>
              <w:left w:w="100" w:type="dxa"/>
              <w:bottom w:w="60" w:type="dxa"/>
              <w:right w:w="100" w:type="dxa"/>
            </w:tcMar>
          </w:tcPr>
          <w:p w14:paraId="3BE5477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low B6 was linked to worse periodontal symptoms.</w:t>
            </w:r>
          </w:p>
        </w:tc>
      </w:tr>
      <w:tr w:rsidR="00EA496D" w:rsidRPr="00F56AD6" w14:paraId="23CC1ACF" w14:textId="77777777" w:rsidTr="00EA496D">
        <w:tc>
          <w:tcPr>
            <w:tcW w:w="846" w:type="dxa"/>
            <w:tcMar>
              <w:top w:w="60" w:type="dxa"/>
              <w:left w:w="100" w:type="dxa"/>
              <w:bottom w:w="60" w:type="dxa"/>
              <w:right w:w="100" w:type="dxa"/>
            </w:tcMar>
          </w:tcPr>
          <w:p w14:paraId="74A2DB4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70</w:t>
            </w:r>
          </w:p>
        </w:tc>
        <w:tc>
          <w:tcPr>
            <w:tcW w:w="2094" w:type="dxa"/>
            <w:tcMar>
              <w:top w:w="60" w:type="dxa"/>
              <w:left w:w="100" w:type="dxa"/>
              <w:bottom w:w="60" w:type="dxa"/>
              <w:right w:w="100" w:type="dxa"/>
            </w:tcMar>
          </w:tcPr>
          <w:p w14:paraId="26C2226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Bzikowska-Jura et al. 2023</w:t>
            </w:r>
          </w:p>
        </w:tc>
        <w:tc>
          <w:tcPr>
            <w:tcW w:w="4923" w:type="dxa"/>
            <w:tcMar>
              <w:top w:w="60" w:type="dxa"/>
              <w:left w:w="100" w:type="dxa"/>
              <w:bottom w:w="60" w:type="dxa"/>
              <w:right w:w="100" w:type="dxa"/>
            </w:tcMar>
          </w:tcPr>
          <w:p w14:paraId="00AEC8E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Maternal diet during breastfeeding in correlation to calcium and phosphorus concentrations in human milk</w:t>
            </w:r>
          </w:p>
        </w:tc>
        <w:tc>
          <w:tcPr>
            <w:tcW w:w="6537" w:type="dxa"/>
            <w:tcMar>
              <w:top w:w="60" w:type="dxa"/>
              <w:left w:w="100" w:type="dxa"/>
              <w:bottom w:w="60" w:type="dxa"/>
              <w:right w:w="100" w:type="dxa"/>
            </w:tcMar>
          </w:tcPr>
          <w:p w14:paraId="4C5CEBB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materal diet included pyridoxine.</w:t>
            </w:r>
          </w:p>
        </w:tc>
      </w:tr>
      <w:tr w:rsidR="00EA496D" w:rsidRPr="00F56AD6" w14:paraId="2682BEAD" w14:textId="77777777" w:rsidTr="00EA496D">
        <w:tc>
          <w:tcPr>
            <w:tcW w:w="846" w:type="dxa"/>
            <w:tcMar>
              <w:top w:w="60" w:type="dxa"/>
              <w:left w:w="100" w:type="dxa"/>
              <w:bottom w:w="60" w:type="dxa"/>
              <w:right w:w="100" w:type="dxa"/>
            </w:tcMar>
          </w:tcPr>
          <w:p w14:paraId="682D4D2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71</w:t>
            </w:r>
          </w:p>
        </w:tc>
        <w:tc>
          <w:tcPr>
            <w:tcW w:w="2094" w:type="dxa"/>
            <w:tcMar>
              <w:top w:w="60" w:type="dxa"/>
              <w:left w:w="100" w:type="dxa"/>
              <w:bottom w:w="60" w:type="dxa"/>
              <w:right w:w="100" w:type="dxa"/>
            </w:tcMar>
          </w:tcPr>
          <w:p w14:paraId="2CF5450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Cai et al. 2023</w:t>
            </w:r>
          </w:p>
        </w:tc>
        <w:tc>
          <w:tcPr>
            <w:tcW w:w="4923" w:type="dxa"/>
            <w:tcMar>
              <w:top w:w="60" w:type="dxa"/>
              <w:left w:w="100" w:type="dxa"/>
              <w:bottom w:w="60" w:type="dxa"/>
              <w:right w:w="100" w:type="dxa"/>
            </w:tcMar>
          </w:tcPr>
          <w:p w14:paraId="58660D6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Optimization of Gamma-Aminobutyric Acid Production by Lactiplantibacillus plantarum FRT7 from Chinese Paocai</w:t>
            </w:r>
          </w:p>
        </w:tc>
        <w:tc>
          <w:tcPr>
            <w:tcW w:w="6537" w:type="dxa"/>
            <w:tcMar>
              <w:top w:w="60" w:type="dxa"/>
              <w:left w:w="100" w:type="dxa"/>
              <w:bottom w:w="60" w:type="dxa"/>
              <w:right w:w="100" w:type="dxa"/>
            </w:tcMar>
          </w:tcPr>
          <w:p w14:paraId="5E1D564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setting - PLP used in synthesis.</w:t>
            </w:r>
          </w:p>
        </w:tc>
      </w:tr>
      <w:tr w:rsidR="00EA496D" w:rsidRPr="00F56AD6" w14:paraId="2A5D1A0D" w14:textId="77777777" w:rsidTr="00EA496D">
        <w:tc>
          <w:tcPr>
            <w:tcW w:w="846" w:type="dxa"/>
            <w:tcMar>
              <w:top w:w="60" w:type="dxa"/>
              <w:left w:w="100" w:type="dxa"/>
              <w:bottom w:w="60" w:type="dxa"/>
              <w:right w:w="100" w:type="dxa"/>
            </w:tcMar>
          </w:tcPr>
          <w:p w14:paraId="00D9BC2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72</w:t>
            </w:r>
          </w:p>
        </w:tc>
        <w:tc>
          <w:tcPr>
            <w:tcW w:w="2094" w:type="dxa"/>
            <w:tcMar>
              <w:top w:w="60" w:type="dxa"/>
              <w:left w:w="100" w:type="dxa"/>
              <w:bottom w:w="60" w:type="dxa"/>
              <w:right w:w="100" w:type="dxa"/>
            </w:tcMar>
          </w:tcPr>
          <w:p w14:paraId="3C130A3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Cai et al. 2024</w:t>
            </w:r>
          </w:p>
        </w:tc>
        <w:tc>
          <w:tcPr>
            <w:tcW w:w="4923" w:type="dxa"/>
            <w:tcMar>
              <w:top w:w="60" w:type="dxa"/>
              <w:left w:w="100" w:type="dxa"/>
              <w:bottom w:w="60" w:type="dxa"/>
              <w:right w:w="100" w:type="dxa"/>
            </w:tcMar>
          </w:tcPr>
          <w:p w14:paraId="417AC93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novel and apparent de novo ALAS2 missense variant associated with congenital sideroblastic anemia</w:t>
            </w:r>
          </w:p>
        </w:tc>
        <w:tc>
          <w:tcPr>
            <w:tcW w:w="6537" w:type="dxa"/>
            <w:tcMar>
              <w:top w:w="60" w:type="dxa"/>
              <w:left w:w="100" w:type="dxa"/>
              <w:bottom w:w="60" w:type="dxa"/>
              <w:right w:w="100" w:type="dxa"/>
            </w:tcMar>
          </w:tcPr>
          <w:p w14:paraId="1E8689B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anemia was B6 responsive and symptoms were helped by B6.</w:t>
            </w:r>
          </w:p>
        </w:tc>
      </w:tr>
      <w:tr w:rsidR="00EA496D" w:rsidRPr="00F56AD6" w14:paraId="0437192F" w14:textId="77777777" w:rsidTr="00EA496D">
        <w:tc>
          <w:tcPr>
            <w:tcW w:w="846" w:type="dxa"/>
            <w:tcMar>
              <w:top w:w="60" w:type="dxa"/>
              <w:left w:w="100" w:type="dxa"/>
              <w:bottom w:w="60" w:type="dxa"/>
              <w:right w:w="100" w:type="dxa"/>
            </w:tcMar>
          </w:tcPr>
          <w:p w14:paraId="50BD3AE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73</w:t>
            </w:r>
          </w:p>
        </w:tc>
        <w:tc>
          <w:tcPr>
            <w:tcW w:w="2094" w:type="dxa"/>
            <w:tcMar>
              <w:top w:w="60" w:type="dxa"/>
              <w:left w:w="100" w:type="dxa"/>
              <w:bottom w:w="60" w:type="dxa"/>
              <w:right w:w="100" w:type="dxa"/>
            </w:tcMar>
          </w:tcPr>
          <w:p w14:paraId="0689125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Calmarza et al. 2023</w:t>
            </w:r>
          </w:p>
        </w:tc>
        <w:tc>
          <w:tcPr>
            <w:tcW w:w="4923" w:type="dxa"/>
            <w:tcMar>
              <w:top w:w="60" w:type="dxa"/>
              <w:left w:w="100" w:type="dxa"/>
              <w:bottom w:w="60" w:type="dxa"/>
              <w:right w:w="100" w:type="dxa"/>
            </w:tcMar>
          </w:tcPr>
          <w:p w14:paraId="5390B74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Musculoskeletal pain and muscular weakness as the main symptoms of adult hypophosphatasia in a Spanish cohort: clinical characterization and identification of a new ALPL gene variant</w:t>
            </w:r>
          </w:p>
        </w:tc>
        <w:tc>
          <w:tcPr>
            <w:tcW w:w="6537" w:type="dxa"/>
            <w:tcMar>
              <w:top w:w="60" w:type="dxa"/>
              <w:left w:w="100" w:type="dxa"/>
              <w:bottom w:w="60" w:type="dxa"/>
              <w:right w:w="100" w:type="dxa"/>
            </w:tcMar>
          </w:tcPr>
          <w:p w14:paraId="71D49A7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or otherwise lacked a relevant vitamin B6 exposure.</w:t>
            </w:r>
          </w:p>
        </w:tc>
      </w:tr>
      <w:tr w:rsidR="00EA496D" w:rsidRPr="00F56AD6" w14:paraId="540B036F" w14:textId="77777777" w:rsidTr="00EA496D">
        <w:tc>
          <w:tcPr>
            <w:tcW w:w="846" w:type="dxa"/>
            <w:tcMar>
              <w:top w:w="60" w:type="dxa"/>
              <w:left w:w="100" w:type="dxa"/>
              <w:bottom w:w="60" w:type="dxa"/>
              <w:right w:w="100" w:type="dxa"/>
            </w:tcMar>
          </w:tcPr>
          <w:p w14:paraId="50CDD20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74</w:t>
            </w:r>
          </w:p>
        </w:tc>
        <w:tc>
          <w:tcPr>
            <w:tcW w:w="2094" w:type="dxa"/>
            <w:tcMar>
              <w:top w:w="60" w:type="dxa"/>
              <w:left w:w="100" w:type="dxa"/>
              <w:bottom w:w="60" w:type="dxa"/>
              <w:right w:w="100" w:type="dxa"/>
            </w:tcMar>
          </w:tcPr>
          <w:p w14:paraId="03001C7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Camacho et al. 2025</w:t>
            </w:r>
          </w:p>
        </w:tc>
        <w:tc>
          <w:tcPr>
            <w:tcW w:w="4923" w:type="dxa"/>
            <w:tcMar>
              <w:top w:w="60" w:type="dxa"/>
              <w:left w:w="100" w:type="dxa"/>
              <w:bottom w:w="60" w:type="dxa"/>
              <w:right w:w="100" w:type="dxa"/>
            </w:tcMar>
          </w:tcPr>
          <w:p w14:paraId="365179C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Pyridoxal and Salicylaldehyde Derivatives: Synthesis, Characterization, and Antifungal Potential Against Opportunistic Yeast Pathogens</w:t>
            </w:r>
          </w:p>
        </w:tc>
        <w:tc>
          <w:tcPr>
            <w:tcW w:w="6537" w:type="dxa"/>
            <w:tcMar>
              <w:top w:w="60" w:type="dxa"/>
              <w:left w:w="100" w:type="dxa"/>
              <w:bottom w:w="60" w:type="dxa"/>
              <w:right w:w="100" w:type="dxa"/>
            </w:tcMar>
          </w:tcPr>
          <w:p w14:paraId="6EB9414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pyridoxal derivates in antifungal medication.</w:t>
            </w:r>
          </w:p>
        </w:tc>
      </w:tr>
      <w:tr w:rsidR="00EA496D" w:rsidRPr="00F56AD6" w14:paraId="10C14A09" w14:textId="77777777" w:rsidTr="00EA496D">
        <w:tc>
          <w:tcPr>
            <w:tcW w:w="846" w:type="dxa"/>
            <w:tcMar>
              <w:top w:w="60" w:type="dxa"/>
              <w:left w:w="100" w:type="dxa"/>
              <w:bottom w:w="60" w:type="dxa"/>
              <w:right w:w="100" w:type="dxa"/>
            </w:tcMar>
          </w:tcPr>
          <w:p w14:paraId="458F98D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75</w:t>
            </w:r>
          </w:p>
        </w:tc>
        <w:tc>
          <w:tcPr>
            <w:tcW w:w="2094" w:type="dxa"/>
            <w:tcMar>
              <w:top w:w="60" w:type="dxa"/>
              <w:left w:w="100" w:type="dxa"/>
              <w:bottom w:w="60" w:type="dxa"/>
              <w:right w:w="100" w:type="dxa"/>
            </w:tcMar>
          </w:tcPr>
          <w:p w14:paraId="30E7FA1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Camargo et al. 2025</w:t>
            </w:r>
          </w:p>
        </w:tc>
        <w:tc>
          <w:tcPr>
            <w:tcW w:w="4923" w:type="dxa"/>
            <w:tcMar>
              <w:top w:w="60" w:type="dxa"/>
              <w:left w:w="100" w:type="dxa"/>
              <w:bottom w:w="60" w:type="dxa"/>
              <w:right w:w="100" w:type="dxa"/>
            </w:tcMar>
          </w:tcPr>
          <w:p w14:paraId="4E728A8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Comparison of Nutrient Intake Across Different Dietary Patterns in Brazilian Community-Dwelling Older Adults</w:t>
            </w:r>
          </w:p>
        </w:tc>
        <w:tc>
          <w:tcPr>
            <w:tcW w:w="6537" w:type="dxa"/>
            <w:tcMar>
              <w:top w:w="60" w:type="dxa"/>
              <w:left w:w="100" w:type="dxa"/>
              <w:bottom w:w="60" w:type="dxa"/>
              <w:right w:w="100" w:type="dxa"/>
            </w:tcMar>
          </w:tcPr>
          <w:p w14:paraId="1B39BAD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 certain diets improved the intake of B6.</w:t>
            </w:r>
          </w:p>
        </w:tc>
      </w:tr>
      <w:tr w:rsidR="00EA496D" w:rsidRPr="00F56AD6" w14:paraId="1628D465" w14:textId="77777777" w:rsidTr="00EA496D">
        <w:tc>
          <w:tcPr>
            <w:tcW w:w="846" w:type="dxa"/>
            <w:tcMar>
              <w:top w:w="60" w:type="dxa"/>
              <w:left w:w="100" w:type="dxa"/>
              <w:bottom w:w="60" w:type="dxa"/>
              <w:right w:w="100" w:type="dxa"/>
            </w:tcMar>
          </w:tcPr>
          <w:p w14:paraId="6241E7C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76</w:t>
            </w:r>
          </w:p>
        </w:tc>
        <w:tc>
          <w:tcPr>
            <w:tcW w:w="2094" w:type="dxa"/>
            <w:tcMar>
              <w:top w:w="60" w:type="dxa"/>
              <w:left w:w="100" w:type="dxa"/>
              <w:bottom w:w="60" w:type="dxa"/>
              <w:right w:w="100" w:type="dxa"/>
            </w:tcMar>
          </w:tcPr>
          <w:p w14:paraId="1565931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Cansino et al. 2023</w:t>
            </w:r>
          </w:p>
        </w:tc>
        <w:tc>
          <w:tcPr>
            <w:tcW w:w="4923" w:type="dxa"/>
            <w:tcMar>
              <w:top w:w="60" w:type="dxa"/>
              <w:left w:w="100" w:type="dxa"/>
              <w:bottom w:w="60" w:type="dxa"/>
              <w:right w:w="100" w:type="dxa"/>
            </w:tcMar>
          </w:tcPr>
          <w:p w14:paraId="74C88C0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Nutrient effects on working memory across the adult lifespan</w:t>
            </w:r>
          </w:p>
        </w:tc>
        <w:tc>
          <w:tcPr>
            <w:tcW w:w="6537" w:type="dxa"/>
            <w:tcMar>
              <w:top w:w="60" w:type="dxa"/>
              <w:left w:w="100" w:type="dxa"/>
              <w:bottom w:w="60" w:type="dxa"/>
              <w:right w:w="100" w:type="dxa"/>
            </w:tcMar>
          </w:tcPr>
          <w:p w14:paraId="4CAFFA7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memory correlates with B6 consumption.</w:t>
            </w:r>
          </w:p>
        </w:tc>
      </w:tr>
      <w:tr w:rsidR="00EA496D" w:rsidRPr="00F56AD6" w14:paraId="68134AB4" w14:textId="77777777" w:rsidTr="00EA496D">
        <w:tc>
          <w:tcPr>
            <w:tcW w:w="846" w:type="dxa"/>
            <w:tcMar>
              <w:top w:w="60" w:type="dxa"/>
              <w:left w:w="100" w:type="dxa"/>
              <w:bottom w:w="60" w:type="dxa"/>
              <w:right w:w="100" w:type="dxa"/>
            </w:tcMar>
          </w:tcPr>
          <w:p w14:paraId="3768D16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77</w:t>
            </w:r>
          </w:p>
        </w:tc>
        <w:tc>
          <w:tcPr>
            <w:tcW w:w="2094" w:type="dxa"/>
            <w:tcMar>
              <w:top w:w="60" w:type="dxa"/>
              <w:left w:w="100" w:type="dxa"/>
              <w:bottom w:w="60" w:type="dxa"/>
              <w:right w:w="100" w:type="dxa"/>
            </w:tcMar>
          </w:tcPr>
          <w:p w14:paraId="4B36246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CastruccioCastracani et al. 2025</w:t>
            </w:r>
          </w:p>
        </w:tc>
        <w:tc>
          <w:tcPr>
            <w:tcW w:w="4923" w:type="dxa"/>
            <w:tcMar>
              <w:top w:w="60" w:type="dxa"/>
              <w:left w:w="100" w:type="dxa"/>
              <w:bottom w:w="60" w:type="dxa"/>
              <w:right w:w="100" w:type="dxa"/>
            </w:tcMar>
          </w:tcPr>
          <w:p w14:paraId="7720326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An erythroid-specific lentiviral vector improves anemia and iron metabolism in a new model of XLSA</w:t>
            </w:r>
          </w:p>
        </w:tc>
        <w:tc>
          <w:tcPr>
            <w:tcW w:w="6537" w:type="dxa"/>
            <w:tcMar>
              <w:top w:w="60" w:type="dxa"/>
              <w:left w:w="100" w:type="dxa"/>
              <w:bottom w:w="60" w:type="dxa"/>
              <w:right w:w="100" w:type="dxa"/>
            </w:tcMar>
          </w:tcPr>
          <w:p w14:paraId="293B6EB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treatments are limited to pyridoxine and no adverse effects discussed.</w:t>
            </w:r>
          </w:p>
        </w:tc>
      </w:tr>
      <w:tr w:rsidR="00EA496D" w:rsidRPr="00F56AD6" w14:paraId="75E53307" w14:textId="77777777" w:rsidTr="00EA496D">
        <w:tc>
          <w:tcPr>
            <w:tcW w:w="846" w:type="dxa"/>
            <w:tcMar>
              <w:top w:w="60" w:type="dxa"/>
              <w:left w:w="100" w:type="dxa"/>
              <w:bottom w:w="60" w:type="dxa"/>
              <w:right w:w="100" w:type="dxa"/>
            </w:tcMar>
          </w:tcPr>
          <w:p w14:paraId="4725CEA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78</w:t>
            </w:r>
          </w:p>
        </w:tc>
        <w:tc>
          <w:tcPr>
            <w:tcW w:w="2094" w:type="dxa"/>
            <w:tcMar>
              <w:top w:w="60" w:type="dxa"/>
              <w:left w:w="100" w:type="dxa"/>
              <w:bottom w:w="60" w:type="dxa"/>
              <w:right w:w="100" w:type="dxa"/>
            </w:tcMar>
          </w:tcPr>
          <w:p w14:paraId="1074DE4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Chambliss et al. 2025</w:t>
            </w:r>
          </w:p>
        </w:tc>
        <w:tc>
          <w:tcPr>
            <w:tcW w:w="4923" w:type="dxa"/>
            <w:tcMar>
              <w:top w:w="60" w:type="dxa"/>
              <w:left w:w="100" w:type="dxa"/>
              <w:bottom w:w="60" w:type="dxa"/>
              <w:right w:w="100" w:type="dxa"/>
            </w:tcMar>
          </w:tcPr>
          <w:p w14:paraId="6E7FA02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Reported Awareness and Use of Pyridoxal-5'-Phosphate Supplementation in Alanine Aminotransferase and Aspartate Aminotransferase Assay Reagents: A Survey by the College of American Pathologists Clinical Chemistry Committee</w:t>
            </w:r>
          </w:p>
        </w:tc>
        <w:tc>
          <w:tcPr>
            <w:tcW w:w="6537" w:type="dxa"/>
            <w:tcMar>
              <w:top w:w="60" w:type="dxa"/>
              <w:left w:w="100" w:type="dxa"/>
              <w:bottom w:w="60" w:type="dxa"/>
              <w:right w:w="100" w:type="dxa"/>
            </w:tcMar>
          </w:tcPr>
          <w:p w14:paraId="312F127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study shows B6 benefits and hospital behaviour in ALT and AST reagents.</w:t>
            </w:r>
          </w:p>
        </w:tc>
      </w:tr>
      <w:tr w:rsidR="00EA496D" w:rsidRPr="00F56AD6" w14:paraId="6140ECD9" w14:textId="77777777" w:rsidTr="00EA496D">
        <w:tc>
          <w:tcPr>
            <w:tcW w:w="846" w:type="dxa"/>
            <w:tcMar>
              <w:top w:w="60" w:type="dxa"/>
              <w:left w:w="100" w:type="dxa"/>
              <w:bottom w:w="60" w:type="dxa"/>
              <w:right w:w="100" w:type="dxa"/>
            </w:tcMar>
          </w:tcPr>
          <w:p w14:paraId="74E389C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79</w:t>
            </w:r>
          </w:p>
        </w:tc>
        <w:tc>
          <w:tcPr>
            <w:tcW w:w="2094" w:type="dxa"/>
            <w:tcMar>
              <w:top w:w="60" w:type="dxa"/>
              <w:left w:w="100" w:type="dxa"/>
              <w:bottom w:w="60" w:type="dxa"/>
              <w:right w:w="100" w:type="dxa"/>
            </w:tcMar>
          </w:tcPr>
          <w:p w14:paraId="5829896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Chancharoenthana et al. 2026</w:t>
            </w:r>
          </w:p>
        </w:tc>
        <w:tc>
          <w:tcPr>
            <w:tcW w:w="4923" w:type="dxa"/>
            <w:tcMar>
              <w:top w:w="60" w:type="dxa"/>
              <w:left w:w="100" w:type="dxa"/>
              <w:bottom w:w="60" w:type="dxa"/>
              <w:right w:w="100" w:type="dxa"/>
            </w:tcMar>
          </w:tcPr>
          <w:p w14:paraId="4C894D3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Management of latent tuberculosis infection in patients with kidney disease</w:t>
            </w:r>
          </w:p>
        </w:tc>
        <w:tc>
          <w:tcPr>
            <w:tcW w:w="6537" w:type="dxa"/>
            <w:tcMar>
              <w:top w:w="60" w:type="dxa"/>
              <w:left w:w="100" w:type="dxa"/>
              <w:bottom w:w="60" w:type="dxa"/>
              <w:right w:w="100" w:type="dxa"/>
            </w:tcMar>
          </w:tcPr>
          <w:p w14:paraId="4A635F0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therapeutic effect of B6 supplementation.</w:t>
            </w:r>
          </w:p>
        </w:tc>
      </w:tr>
      <w:tr w:rsidR="00EA496D" w:rsidRPr="00F56AD6" w14:paraId="6B041E39" w14:textId="77777777" w:rsidTr="00EA496D">
        <w:tc>
          <w:tcPr>
            <w:tcW w:w="846" w:type="dxa"/>
            <w:tcMar>
              <w:top w:w="60" w:type="dxa"/>
              <w:left w:w="100" w:type="dxa"/>
              <w:bottom w:w="60" w:type="dxa"/>
              <w:right w:w="100" w:type="dxa"/>
            </w:tcMar>
          </w:tcPr>
          <w:p w14:paraId="12CB3D3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80</w:t>
            </w:r>
          </w:p>
        </w:tc>
        <w:tc>
          <w:tcPr>
            <w:tcW w:w="2094" w:type="dxa"/>
            <w:tcMar>
              <w:top w:w="60" w:type="dxa"/>
              <w:left w:w="100" w:type="dxa"/>
              <w:bottom w:w="60" w:type="dxa"/>
              <w:right w:w="100" w:type="dxa"/>
            </w:tcMar>
          </w:tcPr>
          <w:p w14:paraId="19F82E8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Chang 2023</w:t>
            </w:r>
          </w:p>
        </w:tc>
        <w:tc>
          <w:tcPr>
            <w:tcW w:w="4923" w:type="dxa"/>
            <w:tcMar>
              <w:top w:w="60" w:type="dxa"/>
              <w:left w:w="100" w:type="dxa"/>
              <w:bottom w:w="60" w:type="dxa"/>
              <w:right w:w="100" w:type="dxa"/>
            </w:tcMar>
          </w:tcPr>
          <w:p w14:paraId="611E298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Update current understanding of neurometabolic disorders related to lysine metabolism</w:t>
            </w:r>
          </w:p>
        </w:tc>
        <w:tc>
          <w:tcPr>
            <w:tcW w:w="6537" w:type="dxa"/>
            <w:tcMar>
              <w:top w:w="60" w:type="dxa"/>
              <w:left w:w="100" w:type="dxa"/>
              <w:bottom w:w="60" w:type="dxa"/>
              <w:right w:w="100" w:type="dxa"/>
            </w:tcMar>
          </w:tcPr>
          <w:p w14:paraId="5D2B8E6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 discusses treatment of pyridoxine dependant epilepsy.</w:t>
            </w:r>
          </w:p>
        </w:tc>
      </w:tr>
      <w:tr w:rsidR="00EA496D" w:rsidRPr="00F56AD6" w14:paraId="7BA00206" w14:textId="77777777" w:rsidTr="00EA496D">
        <w:tc>
          <w:tcPr>
            <w:tcW w:w="846" w:type="dxa"/>
            <w:tcMar>
              <w:top w:w="60" w:type="dxa"/>
              <w:left w:w="100" w:type="dxa"/>
              <w:bottom w:w="60" w:type="dxa"/>
              <w:right w:w="100" w:type="dxa"/>
            </w:tcMar>
          </w:tcPr>
          <w:p w14:paraId="1808721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81</w:t>
            </w:r>
          </w:p>
        </w:tc>
        <w:tc>
          <w:tcPr>
            <w:tcW w:w="2094" w:type="dxa"/>
            <w:tcMar>
              <w:top w:w="60" w:type="dxa"/>
              <w:left w:w="100" w:type="dxa"/>
              <w:bottom w:w="60" w:type="dxa"/>
              <w:right w:w="100" w:type="dxa"/>
            </w:tcMar>
          </w:tcPr>
          <w:p w14:paraId="170E6A5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Chen et al. 2025</w:t>
            </w:r>
          </w:p>
        </w:tc>
        <w:tc>
          <w:tcPr>
            <w:tcW w:w="4923" w:type="dxa"/>
            <w:tcMar>
              <w:top w:w="60" w:type="dxa"/>
              <w:left w:w="100" w:type="dxa"/>
              <w:bottom w:w="60" w:type="dxa"/>
              <w:right w:w="100" w:type="dxa"/>
            </w:tcMar>
          </w:tcPr>
          <w:p w14:paraId="1F11B6F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Computational Study on the Catalytic Mechanism of UstD Catalyzing the Synthesis of γ-Hydroxy-α-Amino Acids</w:t>
            </w:r>
          </w:p>
        </w:tc>
        <w:tc>
          <w:tcPr>
            <w:tcW w:w="6537" w:type="dxa"/>
            <w:tcMar>
              <w:top w:w="60" w:type="dxa"/>
              <w:left w:w="100" w:type="dxa"/>
              <w:bottom w:w="60" w:type="dxa"/>
              <w:right w:w="100" w:type="dxa"/>
            </w:tcMar>
          </w:tcPr>
          <w:p w14:paraId="05A3E54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setting - discusses mechanism of pyridoxine dependant UstD.</w:t>
            </w:r>
          </w:p>
        </w:tc>
      </w:tr>
      <w:tr w:rsidR="00EA496D" w:rsidRPr="00F56AD6" w14:paraId="3070CC0E" w14:textId="77777777" w:rsidTr="00EA496D">
        <w:tc>
          <w:tcPr>
            <w:tcW w:w="846" w:type="dxa"/>
            <w:tcMar>
              <w:top w:w="60" w:type="dxa"/>
              <w:left w:w="100" w:type="dxa"/>
              <w:bottom w:w="60" w:type="dxa"/>
              <w:right w:w="100" w:type="dxa"/>
            </w:tcMar>
          </w:tcPr>
          <w:p w14:paraId="447A9E9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82</w:t>
            </w:r>
          </w:p>
        </w:tc>
        <w:tc>
          <w:tcPr>
            <w:tcW w:w="2094" w:type="dxa"/>
            <w:tcMar>
              <w:top w:w="60" w:type="dxa"/>
              <w:left w:w="100" w:type="dxa"/>
              <w:bottom w:w="60" w:type="dxa"/>
              <w:right w:w="100" w:type="dxa"/>
            </w:tcMar>
          </w:tcPr>
          <w:p w14:paraId="2F22A47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Chen et al. 2022</w:t>
            </w:r>
          </w:p>
        </w:tc>
        <w:tc>
          <w:tcPr>
            <w:tcW w:w="4923" w:type="dxa"/>
            <w:tcMar>
              <w:top w:w="60" w:type="dxa"/>
              <w:left w:w="100" w:type="dxa"/>
              <w:bottom w:w="60" w:type="dxa"/>
              <w:right w:w="100" w:type="dxa"/>
            </w:tcMar>
          </w:tcPr>
          <w:p w14:paraId="5F0BC65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Metabolomic and transcriptomic responses of mouse testis to the dextran sulfate sodium induced colitis</w:t>
            </w:r>
          </w:p>
        </w:tc>
        <w:tc>
          <w:tcPr>
            <w:tcW w:w="6537" w:type="dxa"/>
            <w:tcMar>
              <w:top w:w="60" w:type="dxa"/>
              <w:left w:w="100" w:type="dxa"/>
              <w:bottom w:w="60" w:type="dxa"/>
              <w:right w:w="100" w:type="dxa"/>
            </w:tcMar>
          </w:tcPr>
          <w:p w14:paraId="61C3D28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levels decreased from induced IBD.</w:t>
            </w:r>
          </w:p>
        </w:tc>
      </w:tr>
      <w:tr w:rsidR="00EA496D" w:rsidRPr="00F56AD6" w14:paraId="053D62B3" w14:textId="77777777" w:rsidTr="00EA496D">
        <w:tc>
          <w:tcPr>
            <w:tcW w:w="846" w:type="dxa"/>
            <w:tcMar>
              <w:top w:w="60" w:type="dxa"/>
              <w:left w:w="100" w:type="dxa"/>
              <w:bottom w:w="60" w:type="dxa"/>
              <w:right w:w="100" w:type="dxa"/>
            </w:tcMar>
          </w:tcPr>
          <w:p w14:paraId="7250F95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83</w:t>
            </w:r>
          </w:p>
        </w:tc>
        <w:tc>
          <w:tcPr>
            <w:tcW w:w="2094" w:type="dxa"/>
            <w:tcMar>
              <w:top w:w="60" w:type="dxa"/>
              <w:left w:w="100" w:type="dxa"/>
              <w:bottom w:w="60" w:type="dxa"/>
              <w:right w:w="100" w:type="dxa"/>
            </w:tcMar>
          </w:tcPr>
          <w:p w14:paraId="277A910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Chen et al. 2024</w:t>
            </w:r>
          </w:p>
        </w:tc>
        <w:tc>
          <w:tcPr>
            <w:tcW w:w="4923" w:type="dxa"/>
            <w:tcMar>
              <w:top w:w="60" w:type="dxa"/>
              <w:left w:w="100" w:type="dxa"/>
              <w:bottom w:w="60" w:type="dxa"/>
              <w:right w:w="100" w:type="dxa"/>
            </w:tcMar>
          </w:tcPr>
          <w:p w14:paraId="241A1D9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 of methyl donor nutrients dietary intake and sleep disorders in the elderly revealed by the intestinal microbiome</w:t>
            </w:r>
          </w:p>
        </w:tc>
        <w:tc>
          <w:tcPr>
            <w:tcW w:w="6537" w:type="dxa"/>
            <w:tcMar>
              <w:top w:w="60" w:type="dxa"/>
              <w:left w:w="100" w:type="dxa"/>
              <w:bottom w:w="60" w:type="dxa"/>
              <w:right w:w="100" w:type="dxa"/>
            </w:tcMar>
          </w:tcPr>
          <w:p w14:paraId="18EE339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as part of MDN can help regulate sleep.</w:t>
            </w:r>
          </w:p>
        </w:tc>
      </w:tr>
      <w:tr w:rsidR="00EA496D" w:rsidRPr="00F56AD6" w14:paraId="7A57A753" w14:textId="77777777" w:rsidTr="00EA496D">
        <w:tc>
          <w:tcPr>
            <w:tcW w:w="846" w:type="dxa"/>
            <w:tcMar>
              <w:top w:w="60" w:type="dxa"/>
              <w:left w:w="100" w:type="dxa"/>
              <w:bottom w:w="60" w:type="dxa"/>
              <w:right w:w="100" w:type="dxa"/>
            </w:tcMar>
          </w:tcPr>
          <w:p w14:paraId="1F002DC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84</w:t>
            </w:r>
          </w:p>
        </w:tc>
        <w:tc>
          <w:tcPr>
            <w:tcW w:w="2094" w:type="dxa"/>
            <w:tcMar>
              <w:top w:w="60" w:type="dxa"/>
              <w:left w:w="100" w:type="dxa"/>
              <w:bottom w:w="60" w:type="dxa"/>
              <w:right w:w="100" w:type="dxa"/>
            </w:tcMar>
          </w:tcPr>
          <w:p w14:paraId="64E88FA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Chen et al. 2026</w:t>
            </w:r>
          </w:p>
        </w:tc>
        <w:tc>
          <w:tcPr>
            <w:tcW w:w="4923" w:type="dxa"/>
            <w:tcMar>
              <w:top w:w="60" w:type="dxa"/>
              <w:left w:w="100" w:type="dxa"/>
              <w:bottom w:w="60" w:type="dxa"/>
              <w:right w:w="100" w:type="dxa"/>
            </w:tcMar>
          </w:tcPr>
          <w:p w14:paraId="48DB85C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attenuates aortic dissection by inhibiting pathological remodeling of the aortic extracellular matrix</w:t>
            </w:r>
          </w:p>
        </w:tc>
        <w:tc>
          <w:tcPr>
            <w:tcW w:w="6537" w:type="dxa"/>
            <w:tcMar>
              <w:top w:w="60" w:type="dxa"/>
              <w:left w:w="100" w:type="dxa"/>
              <w:bottom w:w="60" w:type="dxa"/>
              <w:right w:w="100" w:type="dxa"/>
            </w:tcMar>
          </w:tcPr>
          <w:p w14:paraId="28A91A0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can prevent AD.</w:t>
            </w:r>
          </w:p>
        </w:tc>
      </w:tr>
      <w:tr w:rsidR="00EA496D" w:rsidRPr="00F56AD6" w14:paraId="320A7C04" w14:textId="77777777" w:rsidTr="00EA496D">
        <w:tc>
          <w:tcPr>
            <w:tcW w:w="846" w:type="dxa"/>
            <w:tcMar>
              <w:top w:w="60" w:type="dxa"/>
              <w:left w:w="100" w:type="dxa"/>
              <w:bottom w:w="60" w:type="dxa"/>
              <w:right w:w="100" w:type="dxa"/>
            </w:tcMar>
          </w:tcPr>
          <w:p w14:paraId="0FBB0AE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85</w:t>
            </w:r>
          </w:p>
        </w:tc>
        <w:tc>
          <w:tcPr>
            <w:tcW w:w="2094" w:type="dxa"/>
            <w:tcMar>
              <w:top w:w="60" w:type="dxa"/>
              <w:left w:w="100" w:type="dxa"/>
              <w:bottom w:w="60" w:type="dxa"/>
              <w:right w:w="100" w:type="dxa"/>
            </w:tcMar>
          </w:tcPr>
          <w:p w14:paraId="159CE04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Chen et al. 2024</w:t>
            </w:r>
          </w:p>
        </w:tc>
        <w:tc>
          <w:tcPr>
            <w:tcW w:w="4923" w:type="dxa"/>
            <w:tcMar>
              <w:top w:w="60" w:type="dxa"/>
              <w:left w:w="100" w:type="dxa"/>
              <w:bottom w:w="60" w:type="dxa"/>
              <w:right w:w="100" w:type="dxa"/>
            </w:tcMar>
          </w:tcPr>
          <w:p w14:paraId="3E54164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synthetic microbial consortium protects against obesity by regulating vitamin B6 metabolism</w:t>
            </w:r>
          </w:p>
        </w:tc>
        <w:tc>
          <w:tcPr>
            <w:tcW w:w="6537" w:type="dxa"/>
            <w:tcMar>
              <w:top w:w="60" w:type="dxa"/>
              <w:left w:w="100" w:type="dxa"/>
              <w:bottom w:w="60" w:type="dxa"/>
              <w:right w:w="100" w:type="dxa"/>
            </w:tcMar>
          </w:tcPr>
          <w:p w14:paraId="3AE659A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population: in vitro. Wrong exposure - regulating obesity with B6 metabolism.</w:t>
            </w:r>
          </w:p>
        </w:tc>
      </w:tr>
      <w:tr w:rsidR="00EA496D" w:rsidRPr="00F56AD6" w14:paraId="305DC530" w14:textId="77777777" w:rsidTr="00EA496D">
        <w:tc>
          <w:tcPr>
            <w:tcW w:w="846" w:type="dxa"/>
            <w:tcMar>
              <w:top w:w="60" w:type="dxa"/>
              <w:left w:w="100" w:type="dxa"/>
              <w:bottom w:w="60" w:type="dxa"/>
              <w:right w:w="100" w:type="dxa"/>
            </w:tcMar>
          </w:tcPr>
          <w:p w14:paraId="5744743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86</w:t>
            </w:r>
          </w:p>
        </w:tc>
        <w:tc>
          <w:tcPr>
            <w:tcW w:w="2094" w:type="dxa"/>
            <w:tcMar>
              <w:top w:w="60" w:type="dxa"/>
              <w:left w:w="100" w:type="dxa"/>
              <w:bottom w:w="60" w:type="dxa"/>
              <w:right w:w="100" w:type="dxa"/>
            </w:tcMar>
          </w:tcPr>
          <w:p w14:paraId="782AC50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Chen et al. 2025</w:t>
            </w:r>
          </w:p>
        </w:tc>
        <w:tc>
          <w:tcPr>
            <w:tcW w:w="4923" w:type="dxa"/>
            <w:tcMar>
              <w:top w:w="60" w:type="dxa"/>
              <w:left w:w="100" w:type="dxa"/>
              <w:bottom w:w="60" w:type="dxa"/>
              <w:right w:w="100" w:type="dxa"/>
            </w:tcMar>
          </w:tcPr>
          <w:p w14:paraId="1BD6A5F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Systems metabolic engineering and process optimization for efficient l-tyrosine production from high-purity glucose syrup in Escherichia coli</w:t>
            </w:r>
          </w:p>
        </w:tc>
        <w:tc>
          <w:tcPr>
            <w:tcW w:w="6537" w:type="dxa"/>
            <w:tcMar>
              <w:top w:w="60" w:type="dxa"/>
              <w:left w:w="100" w:type="dxa"/>
              <w:bottom w:w="60" w:type="dxa"/>
              <w:right w:w="100" w:type="dxa"/>
            </w:tcMar>
          </w:tcPr>
          <w:p w14:paraId="14A8F22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population: bacteria/ cell.</w:t>
            </w:r>
          </w:p>
        </w:tc>
      </w:tr>
      <w:tr w:rsidR="00EA496D" w:rsidRPr="00F56AD6" w14:paraId="59A08E17" w14:textId="77777777" w:rsidTr="00EA496D">
        <w:tc>
          <w:tcPr>
            <w:tcW w:w="846" w:type="dxa"/>
            <w:tcMar>
              <w:top w:w="60" w:type="dxa"/>
              <w:left w:w="100" w:type="dxa"/>
              <w:bottom w:w="60" w:type="dxa"/>
              <w:right w:w="100" w:type="dxa"/>
            </w:tcMar>
          </w:tcPr>
          <w:p w14:paraId="18629D2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87</w:t>
            </w:r>
          </w:p>
        </w:tc>
        <w:tc>
          <w:tcPr>
            <w:tcW w:w="2094" w:type="dxa"/>
            <w:tcMar>
              <w:top w:w="60" w:type="dxa"/>
              <w:left w:w="100" w:type="dxa"/>
              <w:bottom w:w="60" w:type="dxa"/>
              <w:right w:w="100" w:type="dxa"/>
            </w:tcMar>
          </w:tcPr>
          <w:p w14:paraId="1A349FE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Chen et al. 2023</w:t>
            </w:r>
          </w:p>
        </w:tc>
        <w:tc>
          <w:tcPr>
            <w:tcW w:w="4923" w:type="dxa"/>
            <w:tcMar>
              <w:top w:w="60" w:type="dxa"/>
              <w:left w:w="100" w:type="dxa"/>
              <w:bottom w:w="60" w:type="dxa"/>
              <w:right w:w="100" w:type="dxa"/>
            </w:tcMar>
          </w:tcPr>
          <w:p w14:paraId="6FE7A24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 of vitamins with hearing loss, vision disorder and sleep problem in the US general population</w:t>
            </w:r>
          </w:p>
        </w:tc>
        <w:tc>
          <w:tcPr>
            <w:tcW w:w="6537" w:type="dxa"/>
            <w:tcMar>
              <w:top w:w="60" w:type="dxa"/>
              <w:left w:w="100" w:type="dxa"/>
              <w:bottom w:w="60" w:type="dxa"/>
              <w:right w:w="100" w:type="dxa"/>
            </w:tcMar>
          </w:tcPr>
          <w:p w14:paraId="244A836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adverse effects) - B6 inversely related to health issues.</w:t>
            </w:r>
          </w:p>
        </w:tc>
      </w:tr>
      <w:tr w:rsidR="00EA496D" w:rsidRPr="00F56AD6" w14:paraId="7AEFCAF0" w14:textId="77777777" w:rsidTr="00EA496D">
        <w:tc>
          <w:tcPr>
            <w:tcW w:w="846" w:type="dxa"/>
            <w:tcMar>
              <w:top w:w="60" w:type="dxa"/>
              <w:left w:w="100" w:type="dxa"/>
              <w:bottom w:w="60" w:type="dxa"/>
              <w:right w:w="100" w:type="dxa"/>
            </w:tcMar>
          </w:tcPr>
          <w:p w14:paraId="7F77E99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88</w:t>
            </w:r>
          </w:p>
        </w:tc>
        <w:tc>
          <w:tcPr>
            <w:tcW w:w="2094" w:type="dxa"/>
            <w:tcMar>
              <w:top w:w="60" w:type="dxa"/>
              <w:left w:w="100" w:type="dxa"/>
              <w:bottom w:w="60" w:type="dxa"/>
              <w:right w:w="100" w:type="dxa"/>
            </w:tcMar>
          </w:tcPr>
          <w:p w14:paraId="3649FD0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Chen et al. 2026</w:t>
            </w:r>
          </w:p>
        </w:tc>
        <w:tc>
          <w:tcPr>
            <w:tcW w:w="4923" w:type="dxa"/>
            <w:tcMar>
              <w:top w:w="60" w:type="dxa"/>
              <w:left w:w="100" w:type="dxa"/>
              <w:bottom w:w="60" w:type="dxa"/>
              <w:right w:w="100" w:type="dxa"/>
            </w:tcMar>
          </w:tcPr>
          <w:p w14:paraId="4F7D036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case report of congenital sideroblastic anemia caused by a novel ALAS2 mutation in conjunction with thalassemia</w:t>
            </w:r>
          </w:p>
        </w:tc>
        <w:tc>
          <w:tcPr>
            <w:tcW w:w="6537" w:type="dxa"/>
            <w:tcMar>
              <w:top w:w="60" w:type="dxa"/>
              <w:left w:w="100" w:type="dxa"/>
              <w:bottom w:w="60" w:type="dxa"/>
              <w:right w:w="100" w:type="dxa"/>
            </w:tcMar>
          </w:tcPr>
          <w:p w14:paraId="09F79A8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the population responded to B6 therapy.</w:t>
            </w:r>
          </w:p>
        </w:tc>
      </w:tr>
      <w:tr w:rsidR="00EA496D" w:rsidRPr="00F56AD6" w14:paraId="4943EE7D" w14:textId="77777777" w:rsidTr="00EA496D">
        <w:tc>
          <w:tcPr>
            <w:tcW w:w="846" w:type="dxa"/>
            <w:tcMar>
              <w:top w:w="60" w:type="dxa"/>
              <w:left w:w="100" w:type="dxa"/>
              <w:bottom w:w="60" w:type="dxa"/>
              <w:right w:w="100" w:type="dxa"/>
            </w:tcMar>
          </w:tcPr>
          <w:p w14:paraId="5C49453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89</w:t>
            </w:r>
          </w:p>
        </w:tc>
        <w:tc>
          <w:tcPr>
            <w:tcW w:w="2094" w:type="dxa"/>
            <w:tcMar>
              <w:top w:w="60" w:type="dxa"/>
              <w:left w:w="100" w:type="dxa"/>
              <w:bottom w:w="60" w:type="dxa"/>
              <w:right w:w="100" w:type="dxa"/>
            </w:tcMar>
          </w:tcPr>
          <w:p w14:paraId="01F1E5F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Cheng et al. 2025</w:t>
            </w:r>
          </w:p>
        </w:tc>
        <w:tc>
          <w:tcPr>
            <w:tcW w:w="4923" w:type="dxa"/>
            <w:tcMar>
              <w:top w:w="60" w:type="dxa"/>
              <w:left w:w="100" w:type="dxa"/>
              <w:bottom w:w="60" w:type="dxa"/>
              <w:right w:w="100" w:type="dxa"/>
            </w:tcMar>
          </w:tcPr>
          <w:p w14:paraId="380F0B8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Exploring the effects of Tianma Gouteng granules on L-NAME-induced hypertensive rats based on 16S rDNA gene sequencing and metabolomics</w:t>
            </w:r>
          </w:p>
        </w:tc>
        <w:tc>
          <w:tcPr>
            <w:tcW w:w="6537" w:type="dxa"/>
            <w:tcMar>
              <w:top w:w="60" w:type="dxa"/>
              <w:left w:w="100" w:type="dxa"/>
              <w:bottom w:w="60" w:type="dxa"/>
              <w:right w:w="100" w:type="dxa"/>
            </w:tcMar>
          </w:tcPr>
          <w:p w14:paraId="343AA7C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metabolism affected by TG.</w:t>
            </w:r>
          </w:p>
        </w:tc>
      </w:tr>
      <w:tr w:rsidR="00EA496D" w:rsidRPr="00F56AD6" w14:paraId="46B4867E" w14:textId="77777777" w:rsidTr="00EA496D">
        <w:tc>
          <w:tcPr>
            <w:tcW w:w="846" w:type="dxa"/>
            <w:tcMar>
              <w:top w:w="60" w:type="dxa"/>
              <w:left w:w="100" w:type="dxa"/>
              <w:bottom w:w="60" w:type="dxa"/>
              <w:right w:w="100" w:type="dxa"/>
            </w:tcMar>
          </w:tcPr>
          <w:p w14:paraId="4E20FFC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90</w:t>
            </w:r>
          </w:p>
        </w:tc>
        <w:tc>
          <w:tcPr>
            <w:tcW w:w="2094" w:type="dxa"/>
            <w:tcMar>
              <w:top w:w="60" w:type="dxa"/>
              <w:left w:w="100" w:type="dxa"/>
              <w:bottom w:w="60" w:type="dxa"/>
              <w:right w:w="100" w:type="dxa"/>
            </w:tcMar>
          </w:tcPr>
          <w:p w14:paraId="63019BB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Cheng et al. 2023</w:t>
            </w:r>
          </w:p>
        </w:tc>
        <w:tc>
          <w:tcPr>
            <w:tcW w:w="4923" w:type="dxa"/>
            <w:tcMar>
              <w:top w:w="60" w:type="dxa"/>
              <w:left w:w="100" w:type="dxa"/>
              <w:bottom w:w="60" w:type="dxa"/>
              <w:right w:w="100" w:type="dxa"/>
            </w:tcMar>
          </w:tcPr>
          <w:p w14:paraId="4FBF58D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 between B-vitamins intake and frailty among patients with chronic obstructive pulmonary disease</w:t>
            </w:r>
          </w:p>
        </w:tc>
        <w:tc>
          <w:tcPr>
            <w:tcW w:w="6537" w:type="dxa"/>
            <w:tcMar>
              <w:top w:w="60" w:type="dxa"/>
              <w:left w:w="100" w:type="dxa"/>
              <w:bottom w:w="60" w:type="dxa"/>
              <w:right w:w="100" w:type="dxa"/>
            </w:tcMar>
          </w:tcPr>
          <w:p w14:paraId="7AC084D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 less B6 increased chance of frailty.</w:t>
            </w:r>
          </w:p>
        </w:tc>
      </w:tr>
      <w:tr w:rsidR="00EA496D" w:rsidRPr="00F56AD6" w14:paraId="3D962CCC" w14:textId="77777777" w:rsidTr="00EA496D">
        <w:tc>
          <w:tcPr>
            <w:tcW w:w="846" w:type="dxa"/>
            <w:tcMar>
              <w:top w:w="60" w:type="dxa"/>
              <w:left w:w="100" w:type="dxa"/>
              <w:bottom w:w="60" w:type="dxa"/>
              <w:right w:w="100" w:type="dxa"/>
            </w:tcMar>
          </w:tcPr>
          <w:p w14:paraId="169862B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91</w:t>
            </w:r>
          </w:p>
        </w:tc>
        <w:tc>
          <w:tcPr>
            <w:tcW w:w="2094" w:type="dxa"/>
            <w:tcMar>
              <w:top w:w="60" w:type="dxa"/>
              <w:left w:w="100" w:type="dxa"/>
              <w:bottom w:w="60" w:type="dxa"/>
              <w:right w:w="100" w:type="dxa"/>
            </w:tcMar>
          </w:tcPr>
          <w:p w14:paraId="6F10099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Cheraghmakani et al. 2022</w:t>
            </w:r>
          </w:p>
        </w:tc>
        <w:tc>
          <w:tcPr>
            <w:tcW w:w="4923" w:type="dxa"/>
            <w:tcMar>
              <w:top w:w="60" w:type="dxa"/>
              <w:left w:w="100" w:type="dxa"/>
              <w:bottom w:w="60" w:type="dxa"/>
              <w:right w:w="100" w:type="dxa"/>
            </w:tcMar>
          </w:tcPr>
          <w:p w14:paraId="554D543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Pyridoxine for treatment of levetiracetam-induced behavioral adverse events: A randomized double-blind placebo-controlled trial</w:t>
            </w:r>
          </w:p>
        </w:tc>
        <w:tc>
          <w:tcPr>
            <w:tcW w:w="6537" w:type="dxa"/>
            <w:tcMar>
              <w:top w:w="60" w:type="dxa"/>
              <w:left w:w="100" w:type="dxa"/>
              <w:bottom w:w="60" w:type="dxa"/>
              <w:right w:w="100" w:type="dxa"/>
            </w:tcMar>
          </w:tcPr>
          <w:p w14:paraId="12A4211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blind study on whether the pyridoxine medication relieves psychiatric symptoms.</w:t>
            </w:r>
          </w:p>
        </w:tc>
      </w:tr>
      <w:tr w:rsidR="00EA496D" w:rsidRPr="00F56AD6" w14:paraId="01D842A1" w14:textId="77777777" w:rsidTr="00EA496D">
        <w:tc>
          <w:tcPr>
            <w:tcW w:w="846" w:type="dxa"/>
            <w:tcMar>
              <w:top w:w="60" w:type="dxa"/>
              <w:left w:w="100" w:type="dxa"/>
              <w:bottom w:w="60" w:type="dxa"/>
              <w:right w:w="100" w:type="dxa"/>
            </w:tcMar>
          </w:tcPr>
          <w:p w14:paraId="454165D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92</w:t>
            </w:r>
          </w:p>
        </w:tc>
        <w:tc>
          <w:tcPr>
            <w:tcW w:w="2094" w:type="dxa"/>
            <w:tcMar>
              <w:top w:w="60" w:type="dxa"/>
              <w:left w:w="100" w:type="dxa"/>
              <w:bottom w:w="60" w:type="dxa"/>
              <w:right w:w="100" w:type="dxa"/>
            </w:tcMar>
          </w:tcPr>
          <w:p w14:paraId="78ED2A9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Chi et al. 2022</w:t>
            </w:r>
          </w:p>
        </w:tc>
        <w:tc>
          <w:tcPr>
            <w:tcW w:w="4923" w:type="dxa"/>
            <w:tcMar>
              <w:top w:w="60" w:type="dxa"/>
              <w:left w:w="100" w:type="dxa"/>
              <w:bottom w:w="60" w:type="dxa"/>
              <w:right w:w="100" w:type="dxa"/>
            </w:tcMar>
          </w:tcPr>
          <w:p w14:paraId="3D86FCB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Drosophila carrying epilepsy-associated variants in the vitamin B6 metabolism gene PNPO display allele- and diet-dependent phenotypes</w:t>
            </w:r>
          </w:p>
        </w:tc>
        <w:tc>
          <w:tcPr>
            <w:tcW w:w="6537" w:type="dxa"/>
            <w:tcMar>
              <w:top w:w="60" w:type="dxa"/>
              <w:left w:w="100" w:type="dxa"/>
              <w:bottom w:w="60" w:type="dxa"/>
              <w:right w:w="100" w:type="dxa"/>
            </w:tcMar>
          </w:tcPr>
          <w:p w14:paraId="7E9A55B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pLP supplementation reduced seizures in flies.</w:t>
            </w:r>
          </w:p>
        </w:tc>
      </w:tr>
      <w:tr w:rsidR="00EA496D" w:rsidRPr="00F56AD6" w14:paraId="2AF2BDAE" w14:textId="77777777" w:rsidTr="00EA496D">
        <w:tc>
          <w:tcPr>
            <w:tcW w:w="846" w:type="dxa"/>
            <w:tcMar>
              <w:top w:w="60" w:type="dxa"/>
              <w:left w:w="100" w:type="dxa"/>
              <w:bottom w:w="60" w:type="dxa"/>
              <w:right w:w="100" w:type="dxa"/>
            </w:tcMar>
          </w:tcPr>
          <w:p w14:paraId="6080BD7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93</w:t>
            </w:r>
          </w:p>
        </w:tc>
        <w:tc>
          <w:tcPr>
            <w:tcW w:w="2094" w:type="dxa"/>
            <w:tcMar>
              <w:top w:w="60" w:type="dxa"/>
              <w:left w:w="100" w:type="dxa"/>
              <w:bottom w:w="60" w:type="dxa"/>
              <w:right w:w="100" w:type="dxa"/>
            </w:tcMar>
          </w:tcPr>
          <w:p w14:paraId="45F1EAD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Chidambaram et al. 2023</w:t>
            </w:r>
          </w:p>
        </w:tc>
        <w:tc>
          <w:tcPr>
            <w:tcW w:w="4923" w:type="dxa"/>
            <w:tcMar>
              <w:top w:w="60" w:type="dxa"/>
              <w:left w:w="100" w:type="dxa"/>
              <w:bottom w:w="60" w:type="dxa"/>
              <w:right w:w="100" w:type="dxa"/>
            </w:tcMar>
          </w:tcPr>
          <w:p w14:paraId="6CCBB5D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Pyridoxine Therapy: Not Just the Dose, the Duration Matters Too</w:t>
            </w:r>
          </w:p>
        </w:tc>
        <w:tc>
          <w:tcPr>
            <w:tcW w:w="6537" w:type="dxa"/>
            <w:tcMar>
              <w:top w:w="60" w:type="dxa"/>
              <w:left w:w="100" w:type="dxa"/>
              <w:bottom w:w="60" w:type="dxa"/>
              <w:right w:w="100" w:type="dxa"/>
            </w:tcMar>
          </w:tcPr>
          <w:p w14:paraId="5E0CC51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benefits of pyridoxine in PDE patients.</w:t>
            </w:r>
          </w:p>
        </w:tc>
      </w:tr>
      <w:tr w:rsidR="00EA496D" w:rsidRPr="00F56AD6" w14:paraId="147977FE" w14:textId="77777777" w:rsidTr="00EA496D">
        <w:tc>
          <w:tcPr>
            <w:tcW w:w="846" w:type="dxa"/>
            <w:tcMar>
              <w:top w:w="60" w:type="dxa"/>
              <w:left w:w="100" w:type="dxa"/>
              <w:bottom w:w="60" w:type="dxa"/>
              <w:right w:w="100" w:type="dxa"/>
            </w:tcMar>
          </w:tcPr>
          <w:p w14:paraId="3D63956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94</w:t>
            </w:r>
          </w:p>
        </w:tc>
        <w:tc>
          <w:tcPr>
            <w:tcW w:w="2094" w:type="dxa"/>
            <w:tcMar>
              <w:top w:w="60" w:type="dxa"/>
              <w:left w:w="100" w:type="dxa"/>
              <w:bottom w:w="60" w:type="dxa"/>
              <w:right w:w="100" w:type="dxa"/>
            </w:tcMar>
          </w:tcPr>
          <w:p w14:paraId="3066638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Chu et al. 2024</w:t>
            </w:r>
          </w:p>
        </w:tc>
        <w:tc>
          <w:tcPr>
            <w:tcW w:w="4923" w:type="dxa"/>
            <w:tcMar>
              <w:top w:w="60" w:type="dxa"/>
              <w:left w:w="100" w:type="dxa"/>
              <w:bottom w:w="60" w:type="dxa"/>
              <w:right w:w="100" w:type="dxa"/>
            </w:tcMar>
          </w:tcPr>
          <w:p w14:paraId="63063D1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Factors influencing vitamin B6 status in domestic cats: age, disease, and body condition score</w:t>
            </w:r>
          </w:p>
        </w:tc>
        <w:tc>
          <w:tcPr>
            <w:tcW w:w="6537" w:type="dxa"/>
            <w:tcMar>
              <w:top w:w="60" w:type="dxa"/>
              <w:left w:w="100" w:type="dxa"/>
              <w:bottom w:w="60" w:type="dxa"/>
              <w:right w:w="100" w:type="dxa"/>
            </w:tcMar>
          </w:tcPr>
          <w:p w14:paraId="0161800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discusses B6 deficiency.</w:t>
            </w:r>
          </w:p>
        </w:tc>
      </w:tr>
      <w:tr w:rsidR="00EA496D" w:rsidRPr="00F56AD6" w14:paraId="21AD37DF" w14:textId="77777777" w:rsidTr="00EA496D">
        <w:tc>
          <w:tcPr>
            <w:tcW w:w="846" w:type="dxa"/>
            <w:tcMar>
              <w:top w:w="60" w:type="dxa"/>
              <w:left w:w="100" w:type="dxa"/>
              <w:bottom w:w="60" w:type="dxa"/>
              <w:right w:w="100" w:type="dxa"/>
            </w:tcMar>
          </w:tcPr>
          <w:p w14:paraId="12FD10E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95</w:t>
            </w:r>
          </w:p>
        </w:tc>
        <w:tc>
          <w:tcPr>
            <w:tcW w:w="2094" w:type="dxa"/>
            <w:tcMar>
              <w:top w:w="60" w:type="dxa"/>
              <w:left w:w="100" w:type="dxa"/>
              <w:bottom w:w="60" w:type="dxa"/>
              <w:right w:w="100" w:type="dxa"/>
            </w:tcMar>
          </w:tcPr>
          <w:p w14:paraId="117D89A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Chun et al. 2024</w:t>
            </w:r>
          </w:p>
        </w:tc>
        <w:tc>
          <w:tcPr>
            <w:tcW w:w="4923" w:type="dxa"/>
            <w:tcMar>
              <w:top w:w="60" w:type="dxa"/>
              <w:left w:w="100" w:type="dxa"/>
              <w:bottom w:w="60" w:type="dxa"/>
              <w:right w:w="100" w:type="dxa"/>
            </w:tcMar>
          </w:tcPr>
          <w:p w14:paraId="1815A75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Traditional Korean diet high in one-carbon nutrients increases global DNA methylation: implication for epigenetic diet</w:t>
            </w:r>
          </w:p>
        </w:tc>
        <w:tc>
          <w:tcPr>
            <w:tcW w:w="6537" w:type="dxa"/>
            <w:tcMar>
              <w:top w:w="60" w:type="dxa"/>
              <w:left w:w="100" w:type="dxa"/>
              <w:bottom w:w="60" w:type="dxa"/>
              <w:right w:w="100" w:type="dxa"/>
            </w:tcMar>
          </w:tcPr>
          <w:p w14:paraId="11C084A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k (plant - based) group consumed more B6 in their diet.</w:t>
            </w:r>
          </w:p>
        </w:tc>
      </w:tr>
      <w:tr w:rsidR="00EA496D" w:rsidRPr="00F56AD6" w14:paraId="6EA3CD7A" w14:textId="77777777" w:rsidTr="00EA496D">
        <w:tc>
          <w:tcPr>
            <w:tcW w:w="846" w:type="dxa"/>
            <w:tcMar>
              <w:top w:w="60" w:type="dxa"/>
              <w:left w:w="100" w:type="dxa"/>
              <w:bottom w:w="60" w:type="dxa"/>
              <w:right w:w="100" w:type="dxa"/>
            </w:tcMar>
          </w:tcPr>
          <w:p w14:paraId="0D452F4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96</w:t>
            </w:r>
          </w:p>
        </w:tc>
        <w:tc>
          <w:tcPr>
            <w:tcW w:w="2094" w:type="dxa"/>
            <w:tcMar>
              <w:top w:w="60" w:type="dxa"/>
              <w:left w:w="100" w:type="dxa"/>
              <w:bottom w:w="60" w:type="dxa"/>
              <w:right w:w="100" w:type="dxa"/>
            </w:tcMar>
          </w:tcPr>
          <w:p w14:paraId="3232AC8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Cifelli et al. 2022</w:t>
            </w:r>
          </w:p>
        </w:tc>
        <w:tc>
          <w:tcPr>
            <w:tcW w:w="4923" w:type="dxa"/>
            <w:tcMar>
              <w:top w:w="60" w:type="dxa"/>
              <w:left w:w="100" w:type="dxa"/>
              <w:bottom w:w="60" w:type="dxa"/>
              <w:right w:w="100" w:type="dxa"/>
            </w:tcMar>
          </w:tcPr>
          <w:p w14:paraId="5D11024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 between Intake of Total Dairy and Individual Dairy Foods and Markers of Folate, Vitamin B(6) and Vitamin B(12) Status in the U.S. Population</w:t>
            </w:r>
          </w:p>
        </w:tc>
        <w:tc>
          <w:tcPr>
            <w:tcW w:w="6537" w:type="dxa"/>
            <w:tcMar>
              <w:top w:w="60" w:type="dxa"/>
              <w:left w:w="100" w:type="dxa"/>
              <w:bottom w:w="60" w:type="dxa"/>
              <w:right w:w="100" w:type="dxa"/>
            </w:tcMar>
          </w:tcPr>
          <w:p w14:paraId="709065F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dairy consumption reduced risk of B6 deficiency.</w:t>
            </w:r>
          </w:p>
        </w:tc>
      </w:tr>
      <w:tr w:rsidR="00EA496D" w:rsidRPr="00F56AD6" w14:paraId="60C9A736" w14:textId="77777777" w:rsidTr="00EA496D">
        <w:tc>
          <w:tcPr>
            <w:tcW w:w="846" w:type="dxa"/>
            <w:tcMar>
              <w:top w:w="60" w:type="dxa"/>
              <w:left w:w="100" w:type="dxa"/>
              <w:bottom w:w="60" w:type="dxa"/>
              <w:right w:w="100" w:type="dxa"/>
            </w:tcMar>
          </w:tcPr>
          <w:p w14:paraId="1D0EB62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97</w:t>
            </w:r>
          </w:p>
        </w:tc>
        <w:tc>
          <w:tcPr>
            <w:tcW w:w="2094" w:type="dxa"/>
            <w:tcMar>
              <w:top w:w="60" w:type="dxa"/>
              <w:left w:w="100" w:type="dxa"/>
              <w:bottom w:w="60" w:type="dxa"/>
              <w:right w:w="100" w:type="dxa"/>
            </w:tcMar>
          </w:tcPr>
          <w:p w14:paraId="586E171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Clements et al. 2022</w:t>
            </w:r>
          </w:p>
        </w:tc>
        <w:tc>
          <w:tcPr>
            <w:tcW w:w="4923" w:type="dxa"/>
            <w:tcMar>
              <w:top w:w="60" w:type="dxa"/>
              <w:left w:w="100" w:type="dxa"/>
              <w:bottom w:w="60" w:type="dxa"/>
              <w:right w:w="100" w:type="dxa"/>
            </w:tcMar>
          </w:tcPr>
          <w:p w14:paraId="12786D9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2-Year Randomized Controlled Trial With Low-Dose B-Vitamin Supplementation Shows Benefits on Bone Mineral Density in Adults With Lower B12 Status</w:t>
            </w:r>
          </w:p>
        </w:tc>
        <w:tc>
          <w:tcPr>
            <w:tcW w:w="6537" w:type="dxa"/>
            <w:tcMar>
              <w:top w:w="60" w:type="dxa"/>
              <w:left w:w="100" w:type="dxa"/>
              <w:bottom w:w="60" w:type="dxa"/>
              <w:right w:w="100" w:type="dxa"/>
            </w:tcMar>
          </w:tcPr>
          <w:p w14:paraId="31107E4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not excess B6 intake but LOW DOSE.</w:t>
            </w:r>
          </w:p>
        </w:tc>
      </w:tr>
      <w:tr w:rsidR="00EA496D" w:rsidRPr="00F56AD6" w14:paraId="3A57E0A4" w14:textId="77777777" w:rsidTr="00EA496D">
        <w:tc>
          <w:tcPr>
            <w:tcW w:w="846" w:type="dxa"/>
            <w:tcMar>
              <w:top w:w="60" w:type="dxa"/>
              <w:left w:w="100" w:type="dxa"/>
              <w:bottom w:w="60" w:type="dxa"/>
              <w:right w:w="100" w:type="dxa"/>
            </w:tcMar>
          </w:tcPr>
          <w:p w14:paraId="3320A3A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98</w:t>
            </w:r>
          </w:p>
        </w:tc>
        <w:tc>
          <w:tcPr>
            <w:tcW w:w="2094" w:type="dxa"/>
            <w:tcMar>
              <w:top w:w="60" w:type="dxa"/>
              <w:left w:w="100" w:type="dxa"/>
              <w:bottom w:w="60" w:type="dxa"/>
              <w:right w:w="100" w:type="dxa"/>
            </w:tcMar>
          </w:tcPr>
          <w:p w14:paraId="0632F9C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Cominacini et al. 2025</w:t>
            </w:r>
          </w:p>
        </w:tc>
        <w:tc>
          <w:tcPr>
            <w:tcW w:w="4923" w:type="dxa"/>
            <w:tcMar>
              <w:top w:w="60" w:type="dxa"/>
              <w:left w:w="100" w:type="dxa"/>
              <w:bottom w:w="60" w:type="dxa"/>
              <w:right w:w="100" w:type="dxa"/>
            </w:tcMar>
          </w:tcPr>
          <w:p w14:paraId="6CA47B3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Unlocking Relief: Investigating the Impact of a Fixed Combination of Acetyl-L-Carnitine and Palmitoylethanolamide on Traumatic Acute Low Back Pain</w:t>
            </w:r>
          </w:p>
        </w:tc>
        <w:tc>
          <w:tcPr>
            <w:tcW w:w="6537" w:type="dxa"/>
            <w:tcMar>
              <w:top w:w="60" w:type="dxa"/>
              <w:left w:w="100" w:type="dxa"/>
              <w:bottom w:w="60" w:type="dxa"/>
              <w:right w:w="100" w:type="dxa"/>
            </w:tcMar>
          </w:tcPr>
          <w:p w14:paraId="7D18C55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may help reduce lower back pain.</w:t>
            </w:r>
          </w:p>
        </w:tc>
      </w:tr>
      <w:tr w:rsidR="00EA496D" w:rsidRPr="00F56AD6" w14:paraId="18C4B6D1" w14:textId="77777777" w:rsidTr="00EA496D">
        <w:tc>
          <w:tcPr>
            <w:tcW w:w="846" w:type="dxa"/>
            <w:tcMar>
              <w:top w:w="60" w:type="dxa"/>
              <w:left w:w="100" w:type="dxa"/>
              <w:bottom w:w="60" w:type="dxa"/>
              <w:right w:w="100" w:type="dxa"/>
            </w:tcMar>
          </w:tcPr>
          <w:p w14:paraId="5851D06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99</w:t>
            </w:r>
          </w:p>
        </w:tc>
        <w:tc>
          <w:tcPr>
            <w:tcW w:w="2094" w:type="dxa"/>
            <w:tcMar>
              <w:top w:w="60" w:type="dxa"/>
              <w:left w:w="100" w:type="dxa"/>
              <w:bottom w:w="60" w:type="dxa"/>
              <w:right w:w="100" w:type="dxa"/>
            </w:tcMar>
          </w:tcPr>
          <w:p w14:paraId="55B54E5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CorreaGuzmán et al. 2022</w:t>
            </w:r>
          </w:p>
        </w:tc>
        <w:tc>
          <w:tcPr>
            <w:tcW w:w="4923" w:type="dxa"/>
            <w:tcMar>
              <w:top w:w="60" w:type="dxa"/>
              <w:left w:w="100" w:type="dxa"/>
              <w:bottom w:w="60" w:type="dxa"/>
              <w:right w:w="100" w:type="dxa"/>
            </w:tcMar>
          </w:tcPr>
          <w:p w14:paraId="278C608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Validation of an instrument to assess food diversity in women of childbearing age in Medellín, Colombia</w:t>
            </w:r>
          </w:p>
        </w:tc>
        <w:tc>
          <w:tcPr>
            <w:tcW w:w="6537" w:type="dxa"/>
            <w:tcMar>
              <w:top w:w="60" w:type="dxa"/>
              <w:left w:w="100" w:type="dxa"/>
              <w:bottom w:w="60" w:type="dxa"/>
              <w:right w:w="100" w:type="dxa"/>
            </w:tcMar>
          </w:tcPr>
          <w:p w14:paraId="4F5F5EC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instrument to measure deficiencies.</w:t>
            </w:r>
          </w:p>
        </w:tc>
      </w:tr>
      <w:tr w:rsidR="00EA496D" w:rsidRPr="00F56AD6" w14:paraId="31381CF1" w14:textId="77777777" w:rsidTr="00EA496D">
        <w:tc>
          <w:tcPr>
            <w:tcW w:w="846" w:type="dxa"/>
            <w:tcMar>
              <w:top w:w="60" w:type="dxa"/>
              <w:left w:w="100" w:type="dxa"/>
              <w:bottom w:w="60" w:type="dxa"/>
              <w:right w:w="100" w:type="dxa"/>
            </w:tcMar>
          </w:tcPr>
          <w:p w14:paraId="4DA6295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100</w:t>
            </w:r>
          </w:p>
        </w:tc>
        <w:tc>
          <w:tcPr>
            <w:tcW w:w="2094" w:type="dxa"/>
            <w:tcMar>
              <w:top w:w="60" w:type="dxa"/>
              <w:left w:w="100" w:type="dxa"/>
              <w:bottom w:w="60" w:type="dxa"/>
              <w:right w:w="100" w:type="dxa"/>
            </w:tcMar>
          </w:tcPr>
          <w:p w14:paraId="7A8C0DD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Costeira et al. 2023</w:t>
            </w:r>
          </w:p>
        </w:tc>
        <w:tc>
          <w:tcPr>
            <w:tcW w:w="4923" w:type="dxa"/>
            <w:tcMar>
              <w:top w:w="60" w:type="dxa"/>
              <w:left w:w="100" w:type="dxa"/>
              <w:bottom w:w="60" w:type="dxa"/>
              <w:right w:w="100" w:type="dxa"/>
            </w:tcMar>
          </w:tcPr>
          <w:p w14:paraId="69FD111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Metabolomic biomarkers of habitual B vitamin intakes unveil novel differentially methylated positions in the human epigenome</w:t>
            </w:r>
          </w:p>
        </w:tc>
        <w:tc>
          <w:tcPr>
            <w:tcW w:w="6537" w:type="dxa"/>
            <w:tcMar>
              <w:top w:w="60" w:type="dxa"/>
              <w:left w:w="100" w:type="dxa"/>
              <w:bottom w:w="60" w:type="dxa"/>
              <w:right w:w="100" w:type="dxa"/>
            </w:tcMar>
          </w:tcPr>
          <w:p w14:paraId="2C8624A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effect of B6 on the human epigenome (not relevant to dose).</w:t>
            </w:r>
          </w:p>
        </w:tc>
      </w:tr>
      <w:tr w:rsidR="00EA496D" w:rsidRPr="00F56AD6" w14:paraId="4FC3DF87" w14:textId="77777777" w:rsidTr="00EA496D">
        <w:tc>
          <w:tcPr>
            <w:tcW w:w="846" w:type="dxa"/>
            <w:tcMar>
              <w:top w:w="60" w:type="dxa"/>
              <w:left w:w="100" w:type="dxa"/>
              <w:bottom w:w="60" w:type="dxa"/>
              <w:right w:w="100" w:type="dxa"/>
            </w:tcMar>
          </w:tcPr>
          <w:p w14:paraId="50BB04F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101</w:t>
            </w:r>
          </w:p>
        </w:tc>
        <w:tc>
          <w:tcPr>
            <w:tcW w:w="2094" w:type="dxa"/>
            <w:tcMar>
              <w:top w:w="60" w:type="dxa"/>
              <w:left w:w="100" w:type="dxa"/>
              <w:bottom w:w="60" w:type="dxa"/>
              <w:right w:w="100" w:type="dxa"/>
            </w:tcMar>
          </w:tcPr>
          <w:p w14:paraId="31BA798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Coughlin 2023</w:t>
            </w:r>
          </w:p>
        </w:tc>
        <w:tc>
          <w:tcPr>
            <w:tcW w:w="4923" w:type="dxa"/>
            <w:tcMar>
              <w:top w:w="60" w:type="dxa"/>
              <w:left w:w="100" w:type="dxa"/>
              <w:bottom w:w="60" w:type="dxa"/>
              <w:right w:w="100" w:type="dxa"/>
            </w:tcMar>
          </w:tcPr>
          <w:p w14:paraId="59D43AC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Pyridoxine-dependent epilepsy: Current perspectives and questions for future research</w:t>
            </w:r>
          </w:p>
        </w:tc>
        <w:tc>
          <w:tcPr>
            <w:tcW w:w="6537" w:type="dxa"/>
            <w:tcMar>
              <w:top w:w="60" w:type="dxa"/>
              <w:left w:w="100" w:type="dxa"/>
              <w:bottom w:w="60" w:type="dxa"/>
              <w:right w:w="100" w:type="dxa"/>
            </w:tcMar>
          </w:tcPr>
          <w:p w14:paraId="3DDFDA3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no adverse health effects from pyridoxine, pyridoxine used as treatment for PDE.</w:t>
            </w:r>
          </w:p>
        </w:tc>
      </w:tr>
      <w:tr w:rsidR="00EA496D" w:rsidRPr="00F56AD6" w14:paraId="2C3D733B" w14:textId="77777777" w:rsidTr="00EA496D">
        <w:tc>
          <w:tcPr>
            <w:tcW w:w="846" w:type="dxa"/>
            <w:tcMar>
              <w:top w:w="60" w:type="dxa"/>
              <w:left w:w="100" w:type="dxa"/>
              <w:bottom w:w="60" w:type="dxa"/>
              <w:right w:w="100" w:type="dxa"/>
            </w:tcMar>
          </w:tcPr>
          <w:p w14:paraId="28630C9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102</w:t>
            </w:r>
          </w:p>
        </w:tc>
        <w:tc>
          <w:tcPr>
            <w:tcW w:w="2094" w:type="dxa"/>
            <w:tcMar>
              <w:top w:w="60" w:type="dxa"/>
              <w:left w:w="100" w:type="dxa"/>
              <w:bottom w:w="60" w:type="dxa"/>
              <w:right w:w="100" w:type="dxa"/>
            </w:tcMar>
          </w:tcPr>
          <w:p w14:paraId="7AE5FE4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Coughlin et al. 2022</w:t>
            </w:r>
          </w:p>
        </w:tc>
        <w:tc>
          <w:tcPr>
            <w:tcW w:w="4923" w:type="dxa"/>
            <w:tcMar>
              <w:top w:w="60" w:type="dxa"/>
              <w:left w:w="100" w:type="dxa"/>
              <w:bottom w:w="60" w:type="dxa"/>
              <w:right w:w="100" w:type="dxa"/>
            </w:tcMar>
          </w:tcPr>
          <w:p w14:paraId="6459B1D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 Between Lysine Reduction Therapies and Cognitive Outcomes in Patients With Pyridoxine-Dependent Epilepsy</w:t>
            </w:r>
          </w:p>
        </w:tc>
        <w:tc>
          <w:tcPr>
            <w:tcW w:w="6537" w:type="dxa"/>
            <w:tcMar>
              <w:top w:w="60" w:type="dxa"/>
              <w:left w:w="100" w:type="dxa"/>
              <w:bottom w:w="60" w:type="dxa"/>
              <w:right w:w="100" w:type="dxa"/>
            </w:tcMar>
          </w:tcPr>
          <w:p w14:paraId="6007F48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pyridoxine treatment in first 6 months helped development.</w:t>
            </w:r>
          </w:p>
        </w:tc>
      </w:tr>
      <w:tr w:rsidR="00EA496D" w:rsidRPr="00F56AD6" w14:paraId="4E69128C" w14:textId="77777777" w:rsidTr="00EA496D">
        <w:tc>
          <w:tcPr>
            <w:tcW w:w="846" w:type="dxa"/>
            <w:tcMar>
              <w:top w:w="60" w:type="dxa"/>
              <w:left w:w="100" w:type="dxa"/>
              <w:bottom w:w="60" w:type="dxa"/>
              <w:right w:w="100" w:type="dxa"/>
            </w:tcMar>
          </w:tcPr>
          <w:p w14:paraId="4C7A662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103</w:t>
            </w:r>
          </w:p>
        </w:tc>
        <w:tc>
          <w:tcPr>
            <w:tcW w:w="2094" w:type="dxa"/>
            <w:tcMar>
              <w:top w:w="60" w:type="dxa"/>
              <w:left w:w="100" w:type="dxa"/>
              <w:bottom w:w="60" w:type="dxa"/>
              <w:right w:w="100" w:type="dxa"/>
            </w:tcMar>
          </w:tcPr>
          <w:p w14:paraId="0EAD466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Crawford et al. 2023</w:t>
            </w:r>
          </w:p>
        </w:tc>
        <w:tc>
          <w:tcPr>
            <w:tcW w:w="4923" w:type="dxa"/>
            <w:tcMar>
              <w:top w:w="60" w:type="dxa"/>
              <w:left w:w="100" w:type="dxa"/>
              <w:bottom w:w="60" w:type="dxa"/>
              <w:right w:w="100" w:type="dxa"/>
            </w:tcMar>
          </w:tcPr>
          <w:p w14:paraId="2872904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Micronutrient Gaps and Supplement Use in a Diverse Cohort of Pregnant Women</w:t>
            </w:r>
          </w:p>
        </w:tc>
        <w:tc>
          <w:tcPr>
            <w:tcW w:w="6537" w:type="dxa"/>
            <w:tcMar>
              <w:top w:w="60" w:type="dxa"/>
              <w:left w:w="100" w:type="dxa"/>
              <w:bottom w:w="60" w:type="dxa"/>
              <w:right w:w="100" w:type="dxa"/>
            </w:tcMar>
          </w:tcPr>
          <w:p w14:paraId="4E1673E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study finds dietary intake of micronutrients and minerals in pregnant women.</w:t>
            </w:r>
          </w:p>
        </w:tc>
      </w:tr>
      <w:tr w:rsidR="00EA496D" w:rsidRPr="00F56AD6" w14:paraId="4D0F53CE" w14:textId="77777777" w:rsidTr="00EA496D">
        <w:tc>
          <w:tcPr>
            <w:tcW w:w="846" w:type="dxa"/>
            <w:tcMar>
              <w:top w:w="60" w:type="dxa"/>
              <w:left w:w="100" w:type="dxa"/>
              <w:bottom w:w="60" w:type="dxa"/>
              <w:right w:w="100" w:type="dxa"/>
            </w:tcMar>
          </w:tcPr>
          <w:p w14:paraId="2FF9767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104</w:t>
            </w:r>
          </w:p>
        </w:tc>
        <w:tc>
          <w:tcPr>
            <w:tcW w:w="2094" w:type="dxa"/>
            <w:tcMar>
              <w:top w:w="60" w:type="dxa"/>
              <w:left w:w="100" w:type="dxa"/>
              <w:bottom w:w="60" w:type="dxa"/>
              <w:right w:w="100" w:type="dxa"/>
            </w:tcMar>
          </w:tcPr>
          <w:p w14:paraId="104201B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Crowther et al. 2023</w:t>
            </w:r>
          </w:p>
        </w:tc>
        <w:tc>
          <w:tcPr>
            <w:tcW w:w="4923" w:type="dxa"/>
            <w:tcMar>
              <w:top w:w="60" w:type="dxa"/>
              <w:left w:w="100" w:type="dxa"/>
              <w:bottom w:w="60" w:type="dxa"/>
              <w:right w:w="100" w:type="dxa"/>
            </w:tcMar>
          </w:tcPr>
          <w:p w14:paraId="4F482DC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Metabolomics analysis of antiquitin deficiency in cultured human cells and plasma: Relevance to pyridoxine-dependent epilepsy</w:t>
            </w:r>
          </w:p>
        </w:tc>
        <w:tc>
          <w:tcPr>
            <w:tcW w:w="6537" w:type="dxa"/>
            <w:tcMar>
              <w:top w:w="60" w:type="dxa"/>
              <w:left w:w="100" w:type="dxa"/>
              <w:bottom w:w="60" w:type="dxa"/>
              <w:right w:w="100" w:type="dxa"/>
            </w:tcMar>
          </w:tcPr>
          <w:p w14:paraId="1F103D6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pyridoxine dependant epilepsy.</w:t>
            </w:r>
          </w:p>
        </w:tc>
      </w:tr>
      <w:tr w:rsidR="00EA496D" w:rsidRPr="00F56AD6" w14:paraId="05390CCA" w14:textId="77777777" w:rsidTr="00EA496D">
        <w:tc>
          <w:tcPr>
            <w:tcW w:w="846" w:type="dxa"/>
            <w:tcMar>
              <w:top w:w="60" w:type="dxa"/>
              <w:left w:w="100" w:type="dxa"/>
              <w:bottom w:w="60" w:type="dxa"/>
              <w:right w:w="100" w:type="dxa"/>
            </w:tcMar>
          </w:tcPr>
          <w:p w14:paraId="600EEE0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105</w:t>
            </w:r>
          </w:p>
        </w:tc>
        <w:tc>
          <w:tcPr>
            <w:tcW w:w="2094" w:type="dxa"/>
            <w:tcMar>
              <w:top w:w="60" w:type="dxa"/>
              <w:left w:w="100" w:type="dxa"/>
              <w:bottom w:w="60" w:type="dxa"/>
              <w:right w:w="100" w:type="dxa"/>
            </w:tcMar>
          </w:tcPr>
          <w:p w14:paraId="37CFA8B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Cui et al. 2023</w:t>
            </w:r>
          </w:p>
        </w:tc>
        <w:tc>
          <w:tcPr>
            <w:tcW w:w="4923" w:type="dxa"/>
            <w:tcMar>
              <w:top w:w="60" w:type="dxa"/>
              <w:left w:w="100" w:type="dxa"/>
              <w:bottom w:w="60" w:type="dxa"/>
              <w:right w:w="100" w:type="dxa"/>
            </w:tcMar>
          </w:tcPr>
          <w:p w14:paraId="34874FB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Can vitamin B6 alleviate the adverse reactions of quadruple anti-Helicobacter pylori regimen? : randomized controlled trial</w:t>
            </w:r>
          </w:p>
        </w:tc>
        <w:tc>
          <w:tcPr>
            <w:tcW w:w="6537" w:type="dxa"/>
            <w:tcMar>
              <w:top w:w="60" w:type="dxa"/>
              <w:left w:w="100" w:type="dxa"/>
              <w:bottom w:w="60" w:type="dxa"/>
              <w:right w:w="100" w:type="dxa"/>
            </w:tcMar>
          </w:tcPr>
          <w:p w14:paraId="4609E8E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supplementation benefitted the regimen.</w:t>
            </w:r>
          </w:p>
        </w:tc>
      </w:tr>
      <w:tr w:rsidR="00EA496D" w:rsidRPr="00F56AD6" w14:paraId="207F0952" w14:textId="77777777" w:rsidTr="00EA496D">
        <w:tc>
          <w:tcPr>
            <w:tcW w:w="846" w:type="dxa"/>
            <w:tcMar>
              <w:top w:w="60" w:type="dxa"/>
              <w:left w:w="100" w:type="dxa"/>
              <w:bottom w:w="60" w:type="dxa"/>
              <w:right w:w="100" w:type="dxa"/>
            </w:tcMar>
          </w:tcPr>
          <w:p w14:paraId="78AC423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106</w:t>
            </w:r>
          </w:p>
        </w:tc>
        <w:tc>
          <w:tcPr>
            <w:tcW w:w="2094" w:type="dxa"/>
            <w:tcMar>
              <w:top w:w="60" w:type="dxa"/>
              <w:left w:w="100" w:type="dxa"/>
              <w:bottom w:w="60" w:type="dxa"/>
              <w:right w:w="100" w:type="dxa"/>
            </w:tcMar>
          </w:tcPr>
          <w:p w14:paraId="03748DC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Cuyubamba et al. 2025</w:t>
            </w:r>
          </w:p>
        </w:tc>
        <w:tc>
          <w:tcPr>
            <w:tcW w:w="4923" w:type="dxa"/>
            <w:tcMar>
              <w:top w:w="60" w:type="dxa"/>
              <w:left w:w="100" w:type="dxa"/>
              <w:bottom w:w="60" w:type="dxa"/>
              <w:right w:w="100" w:type="dxa"/>
            </w:tcMar>
          </w:tcPr>
          <w:p w14:paraId="29709AE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Combination of Neurotropic Vitamins B1, B6, and B12 Enhances Neural Cell Maturation and Connectivity Superior to Single B Vitamins</w:t>
            </w:r>
          </w:p>
        </w:tc>
        <w:tc>
          <w:tcPr>
            <w:tcW w:w="6537" w:type="dxa"/>
            <w:tcMar>
              <w:top w:w="60" w:type="dxa"/>
              <w:left w:w="100" w:type="dxa"/>
              <w:bottom w:w="60" w:type="dxa"/>
              <w:right w:w="100" w:type="dxa"/>
            </w:tcMar>
          </w:tcPr>
          <w:p w14:paraId="5FF3A14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benefits of combined B supplementation on Peritheral neuropathy compared to B12 treatment alone.</w:t>
            </w:r>
          </w:p>
        </w:tc>
      </w:tr>
      <w:tr w:rsidR="00EA496D" w:rsidRPr="00F56AD6" w14:paraId="1D602EA5" w14:textId="77777777" w:rsidTr="00EA496D">
        <w:tc>
          <w:tcPr>
            <w:tcW w:w="846" w:type="dxa"/>
            <w:tcMar>
              <w:top w:w="60" w:type="dxa"/>
              <w:left w:w="100" w:type="dxa"/>
              <w:bottom w:w="60" w:type="dxa"/>
              <w:right w:w="100" w:type="dxa"/>
            </w:tcMar>
          </w:tcPr>
          <w:p w14:paraId="4495512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107</w:t>
            </w:r>
          </w:p>
        </w:tc>
        <w:tc>
          <w:tcPr>
            <w:tcW w:w="2094" w:type="dxa"/>
            <w:tcMar>
              <w:top w:w="60" w:type="dxa"/>
              <w:left w:w="100" w:type="dxa"/>
              <w:bottom w:w="60" w:type="dxa"/>
              <w:right w:w="100" w:type="dxa"/>
            </w:tcMar>
          </w:tcPr>
          <w:p w14:paraId="2F5802A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D'Ambrosio 2022</w:t>
            </w:r>
          </w:p>
        </w:tc>
        <w:tc>
          <w:tcPr>
            <w:tcW w:w="4923" w:type="dxa"/>
            <w:tcMar>
              <w:top w:w="60" w:type="dxa"/>
              <w:left w:w="100" w:type="dxa"/>
              <w:bottom w:w="60" w:type="dxa"/>
              <w:right w:w="100" w:type="dxa"/>
            </w:tcMar>
          </w:tcPr>
          <w:p w14:paraId="5E6A188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Lumasiran in the Management of Patients with Primary Hyperoxaluria Type 1: From Bench to Bedside</w:t>
            </w:r>
          </w:p>
        </w:tc>
        <w:tc>
          <w:tcPr>
            <w:tcW w:w="6537" w:type="dxa"/>
            <w:tcMar>
              <w:top w:w="60" w:type="dxa"/>
              <w:left w:w="100" w:type="dxa"/>
              <w:bottom w:w="60" w:type="dxa"/>
              <w:right w:w="100" w:type="dxa"/>
            </w:tcMar>
          </w:tcPr>
          <w:p w14:paraId="273AFF4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pyridoxine used to be used to treat PH1.</w:t>
            </w:r>
          </w:p>
        </w:tc>
      </w:tr>
      <w:tr w:rsidR="00EA496D" w:rsidRPr="00F56AD6" w14:paraId="5A22E25B" w14:textId="77777777" w:rsidTr="00EA496D">
        <w:tc>
          <w:tcPr>
            <w:tcW w:w="846" w:type="dxa"/>
            <w:tcMar>
              <w:top w:w="60" w:type="dxa"/>
              <w:left w:w="100" w:type="dxa"/>
              <w:bottom w:w="60" w:type="dxa"/>
              <w:right w:w="100" w:type="dxa"/>
            </w:tcMar>
          </w:tcPr>
          <w:p w14:paraId="0DEA405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108</w:t>
            </w:r>
          </w:p>
        </w:tc>
        <w:tc>
          <w:tcPr>
            <w:tcW w:w="2094" w:type="dxa"/>
            <w:tcMar>
              <w:top w:w="60" w:type="dxa"/>
              <w:left w:w="100" w:type="dxa"/>
              <w:bottom w:w="60" w:type="dxa"/>
              <w:right w:w="100" w:type="dxa"/>
            </w:tcMar>
          </w:tcPr>
          <w:p w14:paraId="6EB31F9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D'Haese et al. 2024</w:t>
            </w:r>
          </w:p>
        </w:tc>
        <w:tc>
          <w:tcPr>
            <w:tcW w:w="4923" w:type="dxa"/>
            <w:tcMar>
              <w:top w:w="60" w:type="dxa"/>
              <w:left w:w="100" w:type="dxa"/>
              <w:bottom w:w="60" w:type="dxa"/>
              <w:right w:w="100" w:type="dxa"/>
            </w:tcMar>
          </w:tcPr>
          <w:p w14:paraId="68D104A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Pyridoxamine Alleviates Cardiac Fibrosis and Oxidative Stress in Western Diet-Induced Prediabetic Rats</w:t>
            </w:r>
          </w:p>
        </w:tc>
        <w:tc>
          <w:tcPr>
            <w:tcW w:w="6537" w:type="dxa"/>
            <w:tcMar>
              <w:top w:w="60" w:type="dxa"/>
              <w:left w:w="100" w:type="dxa"/>
              <w:bottom w:w="60" w:type="dxa"/>
              <w:right w:w="100" w:type="dxa"/>
            </w:tcMar>
          </w:tcPr>
          <w:p w14:paraId="35AD730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less risk of cardiac disease with B6 supplementation.</w:t>
            </w:r>
          </w:p>
        </w:tc>
      </w:tr>
      <w:tr w:rsidR="00EA496D" w:rsidRPr="00F56AD6" w14:paraId="73D13795" w14:textId="77777777" w:rsidTr="00EA496D">
        <w:tc>
          <w:tcPr>
            <w:tcW w:w="846" w:type="dxa"/>
            <w:tcMar>
              <w:top w:w="60" w:type="dxa"/>
              <w:left w:w="100" w:type="dxa"/>
              <w:bottom w:w="60" w:type="dxa"/>
              <w:right w:w="100" w:type="dxa"/>
            </w:tcMar>
          </w:tcPr>
          <w:p w14:paraId="07529ED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109</w:t>
            </w:r>
          </w:p>
        </w:tc>
        <w:tc>
          <w:tcPr>
            <w:tcW w:w="2094" w:type="dxa"/>
            <w:tcMar>
              <w:top w:w="60" w:type="dxa"/>
              <w:left w:w="100" w:type="dxa"/>
              <w:bottom w:w="60" w:type="dxa"/>
              <w:right w:w="100" w:type="dxa"/>
            </w:tcMar>
          </w:tcPr>
          <w:p w14:paraId="07A4798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Dahir et al. 2024</w:t>
            </w:r>
          </w:p>
        </w:tc>
        <w:tc>
          <w:tcPr>
            <w:tcW w:w="4923" w:type="dxa"/>
            <w:tcMar>
              <w:top w:w="60" w:type="dxa"/>
              <w:left w:w="100" w:type="dxa"/>
              <w:bottom w:w="60" w:type="dxa"/>
              <w:right w:w="100" w:type="dxa"/>
            </w:tcMar>
          </w:tcPr>
          <w:p w14:paraId="4BD6ADD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Safety, pharmacokinetics, and pharmacodynamics of efzimfotase alfa, a second-generation enzyme replacement therapy: phase 1, dose-escalation study in adults with hypophosphatasia</w:t>
            </w:r>
          </w:p>
        </w:tc>
        <w:tc>
          <w:tcPr>
            <w:tcW w:w="6537" w:type="dxa"/>
            <w:tcMar>
              <w:top w:w="60" w:type="dxa"/>
              <w:left w:w="100" w:type="dxa"/>
              <w:bottom w:w="60" w:type="dxa"/>
              <w:right w:w="100" w:type="dxa"/>
            </w:tcMar>
          </w:tcPr>
          <w:p w14:paraId="05D9139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as a biomarker and mentioned as a treatment for HPP.</w:t>
            </w:r>
          </w:p>
        </w:tc>
      </w:tr>
      <w:tr w:rsidR="00EA496D" w:rsidRPr="00F56AD6" w14:paraId="026F3D61" w14:textId="77777777" w:rsidTr="00EA496D">
        <w:tc>
          <w:tcPr>
            <w:tcW w:w="846" w:type="dxa"/>
            <w:tcMar>
              <w:top w:w="60" w:type="dxa"/>
              <w:left w:w="100" w:type="dxa"/>
              <w:bottom w:w="60" w:type="dxa"/>
              <w:right w:w="100" w:type="dxa"/>
            </w:tcMar>
          </w:tcPr>
          <w:p w14:paraId="3C4E440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110</w:t>
            </w:r>
          </w:p>
        </w:tc>
        <w:tc>
          <w:tcPr>
            <w:tcW w:w="2094" w:type="dxa"/>
            <w:tcMar>
              <w:top w:w="60" w:type="dxa"/>
              <w:left w:w="100" w:type="dxa"/>
              <w:bottom w:w="60" w:type="dxa"/>
              <w:right w:w="100" w:type="dxa"/>
            </w:tcMar>
          </w:tcPr>
          <w:p w14:paraId="2194351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Dattagupta et al. 2022</w:t>
            </w:r>
          </w:p>
        </w:tc>
        <w:tc>
          <w:tcPr>
            <w:tcW w:w="4923" w:type="dxa"/>
            <w:tcMar>
              <w:top w:w="60" w:type="dxa"/>
              <w:left w:w="100" w:type="dxa"/>
              <w:bottom w:w="60" w:type="dxa"/>
              <w:right w:w="100" w:type="dxa"/>
            </w:tcMar>
          </w:tcPr>
          <w:p w14:paraId="4DC5221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Case of Spondylodysplastic Ehlers-Danlos Syndrome With Comorbid Hypophosphatasia</w:t>
            </w:r>
          </w:p>
        </w:tc>
        <w:tc>
          <w:tcPr>
            <w:tcW w:w="6537" w:type="dxa"/>
            <w:tcMar>
              <w:top w:w="60" w:type="dxa"/>
              <w:left w:w="100" w:type="dxa"/>
              <w:bottom w:w="60" w:type="dxa"/>
              <w:right w:w="100" w:type="dxa"/>
            </w:tcMar>
          </w:tcPr>
          <w:p w14:paraId="1EBAE1A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measurement can be used as a diagnosis for syndrome.</w:t>
            </w:r>
          </w:p>
        </w:tc>
      </w:tr>
      <w:tr w:rsidR="00EA496D" w:rsidRPr="00F56AD6" w14:paraId="040A7526" w14:textId="77777777" w:rsidTr="00EA496D">
        <w:tc>
          <w:tcPr>
            <w:tcW w:w="846" w:type="dxa"/>
            <w:tcMar>
              <w:top w:w="60" w:type="dxa"/>
              <w:left w:w="100" w:type="dxa"/>
              <w:bottom w:w="60" w:type="dxa"/>
              <w:right w:w="100" w:type="dxa"/>
            </w:tcMar>
          </w:tcPr>
          <w:p w14:paraId="00925BD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111</w:t>
            </w:r>
          </w:p>
        </w:tc>
        <w:tc>
          <w:tcPr>
            <w:tcW w:w="2094" w:type="dxa"/>
            <w:tcMar>
              <w:top w:w="60" w:type="dxa"/>
              <w:left w:w="100" w:type="dxa"/>
              <w:bottom w:w="60" w:type="dxa"/>
              <w:right w:w="100" w:type="dxa"/>
            </w:tcMar>
          </w:tcPr>
          <w:p w14:paraId="09D9803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Dattilo et al. 2022</w:t>
            </w:r>
          </w:p>
        </w:tc>
        <w:tc>
          <w:tcPr>
            <w:tcW w:w="4923" w:type="dxa"/>
            <w:tcMar>
              <w:top w:w="60" w:type="dxa"/>
              <w:left w:w="100" w:type="dxa"/>
              <w:bottom w:w="60" w:type="dxa"/>
              <w:right w:w="100" w:type="dxa"/>
            </w:tcMar>
          </w:tcPr>
          <w:p w14:paraId="781901F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Modulation of Human Hydrogen Sulfide Metabolism by Micronutrients, Preliminary Data</w:t>
            </w:r>
          </w:p>
        </w:tc>
        <w:tc>
          <w:tcPr>
            <w:tcW w:w="6537" w:type="dxa"/>
            <w:tcMar>
              <w:top w:w="60" w:type="dxa"/>
              <w:left w:w="100" w:type="dxa"/>
              <w:bottom w:w="60" w:type="dxa"/>
              <w:right w:w="100" w:type="dxa"/>
            </w:tcMar>
          </w:tcPr>
          <w:p w14:paraId="726E143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 outcome (no adverse effects to excess B6) - B6 supplementation was beneficial.</w:t>
            </w:r>
          </w:p>
        </w:tc>
      </w:tr>
      <w:tr w:rsidR="00EA496D" w:rsidRPr="00F56AD6" w14:paraId="0EC25C2B" w14:textId="77777777" w:rsidTr="00EA496D">
        <w:tc>
          <w:tcPr>
            <w:tcW w:w="846" w:type="dxa"/>
            <w:tcMar>
              <w:top w:w="60" w:type="dxa"/>
              <w:left w:w="100" w:type="dxa"/>
              <w:bottom w:w="60" w:type="dxa"/>
              <w:right w:w="100" w:type="dxa"/>
            </w:tcMar>
          </w:tcPr>
          <w:p w14:paraId="203CED5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112</w:t>
            </w:r>
          </w:p>
        </w:tc>
        <w:tc>
          <w:tcPr>
            <w:tcW w:w="2094" w:type="dxa"/>
            <w:tcMar>
              <w:top w:w="60" w:type="dxa"/>
              <w:left w:w="100" w:type="dxa"/>
              <w:bottom w:w="60" w:type="dxa"/>
              <w:right w:w="100" w:type="dxa"/>
            </w:tcMar>
          </w:tcPr>
          <w:p w14:paraId="5C695DA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deCarvalho et al. 2022</w:t>
            </w:r>
          </w:p>
        </w:tc>
        <w:tc>
          <w:tcPr>
            <w:tcW w:w="4923" w:type="dxa"/>
            <w:tcMar>
              <w:top w:w="60" w:type="dxa"/>
              <w:left w:w="100" w:type="dxa"/>
              <w:bottom w:w="60" w:type="dxa"/>
              <w:right w:w="100" w:type="dxa"/>
            </w:tcMar>
          </w:tcPr>
          <w:p w14:paraId="513B652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Management of Hyperhomocysteinemia, Low Vitamin Levels, and Low Cortisol in Cannabis Users: A Report of 2 Cases</w:t>
            </w:r>
          </w:p>
        </w:tc>
        <w:tc>
          <w:tcPr>
            <w:tcW w:w="6537" w:type="dxa"/>
            <w:tcMar>
              <w:top w:w="60" w:type="dxa"/>
              <w:left w:w="100" w:type="dxa"/>
              <w:bottom w:w="60" w:type="dxa"/>
              <w:right w:w="100" w:type="dxa"/>
            </w:tcMar>
          </w:tcPr>
          <w:p w14:paraId="6EA36E1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management effect on cannabis users.</w:t>
            </w:r>
          </w:p>
        </w:tc>
      </w:tr>
      <w:tr w:rsidR="00EA496D" w:rsidRPr="00F56AD6" w14:paraId="690388F7" w14:textId="77777777" w:rsidTr="00EA496D">
        <w:tc>
          <w:tcPr>
            <w:tcW w:w="846" w:type="dxa"/>
            <w:tcMar>
              <w:top w:w="60" w:type="dxa"/>
              <w:left w:w="100" w:type="dxa"/>
              <w:bottom w:w="60" w:type="dxa"/>
              <w:right w:w="100" w:type="dxa"/>
            </w:tcMar>
          </w:tcPr>
          <w:p w14:paraId="515696F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113</w:t>
            </w:r>
          </w:p>
        </w:tc>
        <w:tc>
          <w:tcPr>
            <w:tcW w:w="2094" w:type="dxa"/>
            <w:tcMar>
              <w:top w:w="60" w:type="dxa"/>
              <w:left w:w="100" w:type="dxa"/>
              <w:bottom w:w="60" w:type="dxa"/>
              <w:right w:w="100" w:type="dxa"/>
            </w:tcMar>
          </w:tcPr>
          <w:p w14:paraId="01E973A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dePuyraimond et al. 2026</w:t>
            </w:r>
          </w:p>
        </w:tc>
        <w:tc>
          <w:tcPr>
            <w:tcW w:w="4923" w:type="dxa"/>
            <w:tcMar>
              <w:top w:w="60" w:type="dxa"/>
              <w:left w:w="100" w:type="dxa"/>
              <w:bottom w:w="60" w:type="dxa"/>
              <w:right w:w="100" w:type="dxa"/>
            </w:tcMar>
          </w:tcPr>
          <w:p w14:paraId="740731F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Should PNPO Deficiency Be Treated In Utero? Clinical Findings From Prenatal Pyridoxine Therapy</w:t>
            </w:r>
          </w:p>
        </w:tc>
        <w:tc>
          <w:tcPr>
            <w:tcW w:w="6537" w:type="dxa"/>
            <w:tcMar>
              <w:top w:w="60" w:type="dxa"/>
              <w:left w:w="100" w:type="dxa"/>
              <w:bottom w:w="60" w:type="dxa"/>
              <w:right w:w="100" w:type="dxa"/>
            </w:tcMar>
          </w:tcPr>
          <w:p w14:paraId="531508E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therapeutic effect of B6 on PNPO in utero.</w:t>
            </w:r>
          </w:p>
        </w:tc>
      </w:tr>
      <w:tr w:rsidR="00EA496D" w:rsidRPr="00F56AD6" w14:paraId="736391E3" w14:textId="77777777" w:rsidTr="00EA496D">
        <w:tc>
          <w:tcPr>
            <w:tcW w:w="846" w:type="dxa"/>
            <w:tcMar>
              <w:top w:w="60" w:type="dxa"/>
              <w:left w:w="100" w:type="dxa"/>
              <w:bottom w:w="60" w:type="dxa"/>
              <w:right w:w="100" w:type="dxa"/>
            </w:tcMar>
          </w:tcPr>
          <w:p w14:paraId="47AA600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114</w:t>
            </w:r>
          </w:p>
        </w:tc>
        <w:tc>
          <w:tcPr>
            <w:tcW w:w="2094" w:type="dxa"/>
            <w:tcMar>
              <w:top w:w="60" w:type="dxa"/>
              <w:left w:w="100" w:type="dxa"/>
              <w:bottom w:w="60" w:type="dxa"/>
              <w:right w:w="100" w:type="dxa"/>
            </w:tcMar>
          </w:tcPr>
          <w:p w14:paraId="6E32760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DeSimoni et al. 2024</w:t>
            </w:r>
          </w:p>
        </w:tc>
        <w:tc>
          <w:tcPr>
            <w:tcW w:w="4923" w:type="dxa"/>
            <w:tcMar>
              <w:top w:w="60" w:type="dxa"/>
              <w:left w:w="100" w:type="dxa"/>
              <w:bottom w:w="60" w:type="dxa"/>
              <w:right w:w="100" w:type="dxa"/>
            </w:tcMar>
          </w:tcPr>
          <w:p w14:paraId="20E7F9E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Role of antioxidants supplementation in the treatment of atopic dermatitis: a critical narrative review</w:t>
            </w:r>
          </w:p>
        </w:tc>
        <w:tc>
          <w:tcPr>
            <w:tcW w:w="6537" w:type="dxa"/>
            <w:tcMar>
              <w:top w:w="60" w:type="dxa"/>
              <w:left w:w="100" w:type="dxa"/>
              <w:bottom w:w="60" w:type="dxa"/>
              <w:right w:w="100" w:type="dxa"/>
            </w:tcMar>
          </w:tcPr>
          <w:p w14:paraId="7E6B3F2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/exposure (not adverse effects to excess B6) - pyridoxine used as a treatment.</w:t>
            </w:r>
          </w:p>
        </w:tc>
      </w:tr>
      <w:tr w:rsidR="00EA496D" w:rsidRPr="00F56AD6" w14:paraId="6B237008" w14:textId="77777777" w:rsidTr="00EA496D">
        <w:tc>
          <w:tcPr>
            <w:tcW w:w="846" w:type="dxa"/>
            <w:tcMar>
              <w:top w:w="60" w:type="dxa"/>
              <w:left w:w="100" w:type="dxa"/>
              <w:bottom w:w="60" w:type="dxa"/>
              <w:right w:w="100" w:type="dxa"/>
            </w:tcMar>
          </w:tcPr>
          <w:p w14:paraId="4DE0AB1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115</w:t>
            </w:r>
          </w:p>
        </w:tc>
        <w:tc>
          <w:tcPr>
            <w:tcW w:w="2094" w:type="dxa"/>
            <w:tcMar>
              <w:top w:w="60" w:type="dxa"/>
              <w:left w:w="100" w:type="dxa"/>
              <w:bottom w:w="60" w:type="dxa"/>
              <w:right w:w="100" w:type="dxa"/>
            </w:tcMar>
          </w:tcPr>
          <w:p w14:paraId="3F0FCA4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De-Mul et al. 2024</w:t>
            </w:r>
          </w:p>
        </w:tc>
        <w:tc>
          <w:tcPr>
            <w:tcW w:w="4923" w:type="dxa"/>
            <w:tcMar>
              <w:top w:w="60" w:type="dxa"/>
              <w:left w:w="100" w:type="dxa"/>
              <w:bottom w:w="60" w:type="dxa"/>
              <w:right w:w="100" w:type="dxa"/>
            </w:tcMar>
          </w:tcPr>
          <w:p w14:paraId="5BCEC4A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[Management of patients with kidney stones]</w:t>
            </w:r>
          </w:p>
        </w:tc>
        <w:tc>
          <w:tcPr>
            <w:tcW w:w="6537" w:type="dxa"/>
            <w:tcMar>
              <w:top w:w="60" w:type="dxa"/>
              <w:left w:w="100" w:type="dxa"/>
              <w:bottom w:w="60" w:type="dxa"/>
              <w:right w:w="100" w:type="dxa"/>
            </w:tcMar>
          </w:tcPr>
          <w:p w14:paraId="265A23F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was sometimes used as a treatment (B6 mentioned as context).</w:t>
            </w:r>
          </w:p>
        </w:tc>
      </w:tr>
      <w:tr w:rsidR="00EA496D" w:rsidRPr="00F56AD6" w14:paraId="5C068969" w14:textId="77777777" w:rsidTr="00EA496D">
        <w:tc>
          <w:tcPr>
            <w:tcW w:w="846" w:type="dxa"/>
            <w:tcMar>
              <w:top w:w="60" w:type="dxa"/>
              <w:left w:w="100" w:type="dxa"/>
              <w:bottom w:w="60" w:type="dxa"/>
              <w:right w:w="100" w:type="dxa"/>
            </w:tcMar>
          </w:tcPr>
          <w:p w14:paraId="498DDBE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116</w:t>
            </w:r>
          </w:p>
        </w:tc>
        <w:tc>
          <w:tcPr>
            <w:tcW w:w="2094" w:type="dxa"/>
            <w:tcMar>
              <w:top w:w="60" w:type="dxa"/>
              <w:left w:w="100" w:type="dxa"/>
              <w:bottom w:w="60" w:type="dxa"/>
              <w:right w:w="100" w:type="dxa"/>
            </w:tcMar>
          </w:tcPr>
          <w:p w14:paraId="623A875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Delgado-García et al. 2024</w:t>
            </w:r>
          </w:p>
        </w:tc>
        <w:tc>
          <w:tcPr>
            <w:tcW w:w="4923" w:type="dxa"/>
            <w:tcMar>
              <w:top w:w="60" w:type="dxa"/>
              <w:left w:w="100" w:type="dxa"/>
              <w:bottom w:w="60" w:type="dxa"/>
              <w:right w:w="100" w:type="dxa"/>
            </w:tcMar>
          </w:tcPr>
          <w:p w14:paraId="7A66B43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Randomized Control Trial of Dexketoprofen/Vitamin B (Thiamine, Pyridoxine and Cyanocobalamin) Fixed-Dose Combination in Post-Traumatic Grade I-II Cervical Sprains</w:t>
            </w:r>
          </w:p>
        </w:tc>
        <w:tc>
          <w:tcPr>
            <w:tcW w:w="6537" w:type="dxa"/>
            <w:tcMar>
              <w:top w:w="60" w:type="dxa"/>
              <w:left w:w="100" w:type="dxa"/>
              <w:bottom w:w="60" w:type="dxa"/>
              <w:right w:w="100" w:type="dxa"/>
            </w:tcMar>
          </w:tcPr>
          <w:p w14:paraId="511CE19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supplementation was used as an analgesic.</w:t>
            </w:r>
          </w:p>
        </w:tc>
      </w:tr>
      <w:tr w:rsidR="00EA496D" w:rsidRPr="00F56AD6" w14:paraId="1C3EAC95" w14:textId="77777777" w:rsidTr="00EA496D">
        <w:tc>
          <w:tcPr>
            <w:tcW w:w="846" w:type="dxa"/>
            <w:tcMar>
              <w:top w:w="60" w:type="dxa"/>
              <w:left w:w="100" w:type="dxa"/>
              <w:bottom w:w="60" w:type="dxa"/>
              <w:right w:w="100" w:type="dxa"/>
            </w:tcMar>
          </w:tcPr>
          <w:p w14:paraId="01D2662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117</w:t>
            </w:r>
          </w:p>
        </w:tc>
        <w:tc>
          <w:tcPr>
            <w:tcW w:w="2094" w:type="dxa"/>
            <w:tcMar>
              <w:top w:w="60" w:type="dxa"/>
              <w:left w:w="100" w:type="dxa"/>
              <w:bottom w:w="60" w:type="dxa"/>
              <w:right w:w="100" w:type="dxa"/>
            </w:tcMar>
          </w:tcPr>
          <w:p w14:paraId="7FA593F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Deng et al. 2022</w:t>
            </w:r>
          </w:p>
        </w:tc>
        <w:tc>
          <w:tcPr>
            <w:tcW w:w="4923" w:type="dxa"/>
            <w:tcMar>
              <w:top w:w="60" w:type="dxa"/>
              <w:left w:w="100" w:type="dxa"/>
              <w:bottom w:w="60" w:type="dxa"/>
              <w:right w:w="100" w:type="dxa"/>
            </w:tcMar>
          </w:tcPr>
          <w:p w14:paraId="0E29AA7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Antenna effect of pyridoxal phosphate on the fluorescence of mitoxantrone-silicon nanoparticles and its application in alkaline phosphatase assay</w:t>
            </w:r>
          </w:p>
        </w:tc>
        <w:tc>
          <w:tcPr>
            <w:tcW w:w="6537" w:type="dxa"/>
            <w:tcMar>
              <w:top w:w="60" w:type="dxa"/>
              <w:left w:w="100" w:type="dxa"/>
              <w:bottom w:w="60" w:type="dxa"/>
              <w:right w:w="100" w:type="dxa"/>
            </w:tcMar>
          </w:tcPr>
          <w:p w14:paraId="6F7CA7C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pyridoxal as feature in chemical experiment.</w:t>
            </w:r>
          </w:p>
        </w:tc>
      </w:tr>
      <w:tr w:rsidR="00EA496D" w:rsidRPr="00F56AD6" w14:paraId="2D967414" w14:textId="77777777" w:rsidTr="00EA496D">
        <w:tc>
          <w:tcPr>
            <w:tcW w:w="846" w:type="dxa"/>
            <w:tcMar>
              <w:top w:w="60" w:type="dxa"/>
              <w:left w:w="100" w:type="dxa"/>
              <w:bottom w:w="60" w:type="dxa"/>
              <w:right w:w="100" w:type="dxa"/>
            </w:tcMar>
          </w:tcPr>
          <w:p w14:paraId="2B6F97B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118</w:t>
            </w:r>
          </w:p>
        </w:tc>
        <w:tc>
          <w:tcPr>
            <w:tcW w:w="2094" w:type="dxa"/>
            <w:tcMar>
              <w:top w:w="60" w:type="dxa"/>
              <w:left w:w="100" w:type="dxa"/>
              <w:bottom w:w="60" w:type="dxa"/>
              <w:right w:w="100" w:type="dxa"/>
            </w:tcMar>
          </w:tcPr>
          <w:p w14:paraId="731B005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Deruelle et al. 2022</w:t>
            </w:r>
          </w:p>
        </w:tc>
        <w:tc>
          <w:tcPr>
            <w:tcW w:w="4923" w:type="dxa"/>
            <w:tcMar>
              <w:top w:w="60" w:type="dxa"/>
              <w:left w:w="100" w:type="dxa"/>
              <w:bottom w:w="60" w:type="dxa"/>
              <w:right w:w="100" w:type="dxa"/>
            </w:tcMar>
          </w:tcPr>
          <w:p w14:paraId="6DE82B4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[Expert consensus from the College of French Gynecologists and Obstetricians: Management of nausea and vomiting of pregnancy and hyperemesis gravidarum]</w:t>
            </w:r>
          </w:p>
        </w:tc>
        <w:tc>
          <w:tcPr>
            <w:tcW w:w="6537" w:type="dxa"/>
            <w:tcMar>
              <w:top w:w="60" w:type="dxa"/>
              <w:left w:w="100" w:type="dxa"/>
              <w:bottom w:w="60" w:type="dxa"/>
              <w:right w:w="100" w:type="dxa"/>
            </w:tcMar>
          </w:tcPr>
          <w:p w14:paraId="7ED0DC0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touches on benefit of B6 in this specific case.</w:t>
            </w:r>
          </w:p>
        </w:tc>
      </w:tr>
      <w:tr w:rsidR="00EA496D" w:rsidRPr="00F56AD6" w14:paraId="4CD48933" w14:textId="77777777" w:rsidTr="00EA496D">
        <w:tc>
          <w:tcPr>
            <w:tcW w:w="846" w:type="dxa"/>
            <w:tcMar>
              <w:top w:w="60" w:type="dxa"/>
              <w:left w:w="100" w:type="dxa"/>
              <w:bottom w:w="60" w:type="dxa"/>
              <w:right w:w="100" w:type="dxa"/>
            </w:tcMar>
          </w:tcPr>
          <w:p w14:paraId="7FEFF44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119</w:t>
            </w:r>
          </w:p>
        </w:tc>
        <w:tc>
          <w:tcPr>
            <w:tcW w:w="2094" w:type="dxa"/>
            <w:tcMar>
              <w:top w:w="60" w:type="dxa"/>
              <w:left w:w="100" w:type="dxa"/>
              <w:bottom w:w="60" w:type="dxa"/>
              <w:right w:w="100" w:type="dxa"/>
            </w:tcMar>
          </w:tcPr>
          <w:p w14:paraId="337A95B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Dhanshri 2023</w:t>
            </w:r>
          </w:p>
        </w:tc>
        <w:tc>
          <w:tcPr>
            <w:tcW w:w="4923" w:type="dxa"/>
            <w:tcMar>
              <w:top w:w="60" w:type="dxa"/>
              <w:left w:w="100" w:type="dxa"/>
              <w:bottom w:w="60" w:type="dxa"/>
              <w:right w:w="100" w:type="dxa"/>
            </w:tcMar>
          </w:tcPr>
          <w:p w14:paraId="00CF66F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Fluorescence Turn-on Detection of Alkaline Phosphatase Activity and Al(3+) Using Vitamin B(6) Cofactor Conjugated GSH Capped Mn-doped ZnS Quantum Dots</w:t>
            </w:r>
          </w:p>
        </w:tc>
        <w:tc>
          <w:tcPr>
            <w:tcW w:w="6537" w:type="dxa"/>
            <w:tcMar>
              <w:top w:w="60" w:type="dxa"/>
              <w:left w:w="100" w:type="dxa"/>
              <w:bottom w:w="60" w:type="dxa"/>
              <w:right w:w="100" w:type="dxa"/>
            </w:tcMar>
          </w:tcPr>
          <w:p w14:paraId="2FAE4D3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pyridoxal effect in fluorescence.</w:t>
            </w:r>
          </w:p>
        </w:tc>
      </w:tr>
      <w:tr w:rsidR="00EA496D" w:rsidRPr="00F56AD6" w14:paraId="0C7B8DAD" w14:textId="77777777" w:rsidTr="00EA496D">
        <w:tc>
          <w:tcPr>
            <w:tcW w:w="846" w:type="dxa"/>
            <w:tcMar>
              <w:top w:w="60" w:type="dxa"/>
              <w:left w:w="100" w:type="dxa"/>
              <w:bottom w:w="60" w:type="dxa"/>
              <w:right w:w="100" w:type="dxa"/>
            </w:tcMar>
          </w:tcPr>
          <w:p w14:paraId="10A04F8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120</w:t>
            </w:r>
          </w:p>
        </w:tc>
        <w:tc>
          <w:tcPr>
            <w:tcW w:w="2094" w:type="dxa"/>
            <w:tcMar>
              <w:top w:w="60" w:type="dxa"/>
              <w:left w:w="100" w:type="dxa"/>
              <w:bottom w:w="60" w:type="dxa"/>
              <w:right w:w="100" w:type="dxa"/>
            </w:tcMar>
          </w:tcPr>
          <w:p w14:paraId="711859C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DiasDuartedeCarvalhoSouza et al. 2024</w:t>
            </w:r>
          </w:p>
        </w:tc>
        <w:tc>
          <w:tcPr>
            <w:tcW w:w="4923" w:type="dxa"/>
            <w:tcMar>
              <w:top w:w="60" w:type="dxa"/>
              <w:left w:w="100" w:type="dxa"/>
              <w:bottom w:w="60" w:type="dxa"/>
              <w:right w:w="100" w:type="dxa"/>
            </w:tcMar>
          </w:tcPr>
          <w:p w14:paraId="4E389EF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Dietary Inflammatory Index is associated with diet quality and nutrient intake during the gestational period</w:t>
            </w:r>
          </w:p>
        </w:tc>
        <w:tc>
          <w:tcPr>
            <w:tcW w:w="6537" w:type="dxa"/>
            <w:tcMar>
              <w:top w:w="60" w:type="dxa"/>
              <w:left w:w="100" w:type="dxa"/>
              <w:bottom w:w="60" w:type="dxa"/>
              <w:right w:w="100" w:type="dxa"/>
            </w:tcMar>
          </w:tcPr>
          <w:p w14:paraId="6D37B08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setting - pyridoxine as a measurement of diet quality.</w:t>
            </w:r>
          </w:p>
        </w:tc>
      </w:tr>
      <w:tr w:rsidR="00EA496D" w:rsidRPr="00F56AD6" w14:paraId="1C6175DE" w14:textId="77777777" w:rsidTr="00EA496D">
        <w:tc>
          <w:tcPr>
            <w:tcW w:w="846" w:type="dxa"/>
            <w:tcMar>
              <w:top w:w="60" w:type="dxa"/>
              <w:left w:w="100" w:type="dxa"/>
              <w:bottom w:w="60" w:type="dxa"/>
              <w:right w:w="100" w:type="dxa"/>
            </w:tcMar>
          </w:tcPr>
          <w:p w14:paraId="7AF6D18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121</w:t>
            </w:r>
          </w:p>
        </w:tc>
        <w:tc>
          <w:tcPr>
            <w:tcW w:w="2094" w:type="dxa"/>
            <w:tcMar>
              <w:top w:w="60" w:type="dxa"/>
              <w:left w:w="100" w:type="dxa"/>
              <w:bottom w:w="60" w:type="dxa"/>
              <w:right w:w="100" w:type="dxa"/>
            </w:tcMar>
          </w:tcPr>
          <w:p w14:paraId="69D1244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Dias et al. 2025</w:t>
            </w:r>
          </w:p>
        </w:tc>
        <w:tc>
          <w:tcPr>
            <w:tcW w:w="4923" w:type="dxa"/>
            <w:tcMar>
              <w:top w:w="60" w:type="dxa"/>
              <w:left w:w="100" w:type="dxa"/>
              <w:bottom w:w="60" w:type="dxa"/>
              <w:right w:w="100" w:type="dxa"/>
            </w:tcMar>
          </w:tcPr>
          <w:p w14:paraId="1769719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Biological properties of vitamins of the B-complex, part 2 - vitamins B(6) and B(7) (biotin, vitamin H)</w:t>
            </w:r>
          </w:p>
        </w:tc>
        <w:tc>
          <w:tcPr>
            <w:tcW w:w="6537" w:type="dxa"/>
            <w:tcMar>
              <w:top w:w="60" w:type="dxa"/>
              <w:left w:w="100" w:type="dxa"/>
              <w:bottom w:w="60" w:type="dxa"/>
              <w:right w:w="100" w:type="dxa"/>
            </w:tcMar>
          </w:tcPr>
          <w:p w14:paraId="43367CE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only briefly discusses symptoms of B6 toxicity not likely to go into dosing.</w:t>
            </w:r>
          </w:p>
        </w:tc>
      </w:tr>
      <w:tr w:rsidR="00EA496D" w:rsidRPr="00F56AD6" w14:paraId="1E55029C" w14:textId="77777777" w:rsidTr="00EA496D">
        <w:tc>
          <w:tcPr>
            <w:tcW w:w="846" w:type="dxa"/>
            <w:tcMar>
              <w:top w:w="60" w:type="dxa"/>
              <w:left w:w="100" w:type="dxa"/>
              <w:bottom w:w="60" w:type="dxa"/>
              <w:right w:w="100" w:type="dxa"/>
            </w:tcMar>
          </w:tcPr>
          <w:p w14:paraId="61F38CF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122</w:t>
            </w:r>
          </w:p>
        </w:tc>
        <w:tc>
          <w:tcPr>
            <w:tcW w:w="2094" w:type="dxa"/>
            <w:tcMar>
              <w:top w:w="60" w:type="dxa"/>
              <w:left w:w="100" w:type="dxa"/>
              <w:bottom w:w="60" w:type="dxa"/>
              <w:right w:w="100" w:type="dxa"/>
            </w:tcMar>
          </w:tcPr>
          <w:p w14:paraId="5774500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Didangelos et al. 2024</w:t>
            </w:r>
          </w:p>
        </w:tc>
        <w:tc>
          <w:tcPr>
            <w:tcW w:w="4923" w:type="dxa"/>
            <w:tcMar>
              <w:top w:w="60" w:type="dxa"/>
              <w:left w:w="100" w:type="dxa"/>
              <w:bottom w:w="60" w:type="dxa"/>
              <w:right w:w="100" w:type="dxa"/>
            </w:tcMar>
          </w:tcPr>
          <w:p w14:paraId="242EE40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Efficacy and Safety of the Combination of Palmitoylethanolamide, Superoxide Dismutase, Alpha Lipoic Acid, Vitamins B12, B1, B6, E, Mg, Zn and Nicotinamide for 6 Months in People with Diabetic Neuropathy</w:t>
            </w:r>
          </w:p>
        </w:tc>
        <w:tc>
          <w:tcPr>
            <w:tcW w:w="6537" w:type="dxa"/>
            <w:tcMar>
              <w:top w:w="60" w:type="dxa"/>
              <w:left w:w="100" w:type="dxa"/>
              <w:bottom w:w="60" w:type="dxa"/>
              <w:right w:w="100" w:type="dxa"/>
            </w:tcMar>
          </w:tcPr>
          <w:p w14:paraId="35EE9EF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combination of vitamins helped prevent diabetic neuropathy.</w:t>
            </w:r>
          </w:p>
        </w:tc>
      </w:tr>
      <w:tr w:rsidR="00EA496D" w:rsidRPr="00F56AD6" w14:paraId="5CD22348" w14:textId="77777777" w:rsidTr="00EA496D">
        <w:tc>
          <w:tcPr>
            <w:tcW w:w="846" w:type="dxa"/>
            <w:tcMar>
              <w:top w:w="60" w:type="dxa"/>
              <w:left w:w="100" w:type="dxa"/>
              <w:bottom w:w="60" w:type="dxa"/>
              <w:right w:w="100" w:type="dxa"/>
            </w:tcMar>
          </w:tcPr>
          <w:p w14:paraId="3E51D9D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123</w:t>
            </w:r>
          </w:p>
        </w:tc>
        <w:tc>
          <w:tcPr>
            <w:tcW w:w="2094" w:type="dxa"/>
            <w:tcMar>
              <w:top w:w="60" w:type="dxa"/>
              <w:left w:w="100" w:type="dxa"/>
              <w:bottom w:w="60" w:type="dxa"/>
              <w:right w:w="100" w:type="dxa"/>
            </w:tcMar>
          </w:tcPr>
          <w:p w14:paraId="651EC54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Ding et al. 2023</w:t>
            </w:r>
          </w:p>
        </w:tc>
        <w:tc>
          <w:tcPr>
            <w:tcW w:w="4923" w:type="dxa"/>
            <w:tcMar>
              <w:top w:w="60" w:type="dxa"/>
              <w:left w:w="100" w:type="dxa"/>
              <w:bottom w:w="60" w:type="dxa"/>
              <w:right w:w="100" w:type="dxa"/>
            </w:tcMar>
          </w:tcPr>
          <w:p w14:paraId="6883FDA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Pyridoxal 5'-phosphate alleviates prenatal pyridaben exposure-induced anxiety-like behaviors in offspring</w:t>
            </w:r>
          </w:p>
        </w:tc>
        <w:tc>
          <w:tcPr>
            <w:tcW w:w="6537" w:type="dxa"/>
            <w:tcMar>
              <w:top w:w="60" w:type="dxa"/>
              <w:left w:w="100" w:type="dxa"/>
              <w:bottom w:w="60" w:type="dxa"/>
              <w:right w:w="100" w:type="dxa"/>
            </w:tcMar>
          </w:tcPr>
          <w:p w14:paraId="2AA6D1F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 may disrupt B6 metabolism in offspring.</w:t>
            </w:r>
          </w:p>
        </w:tc>
      </w:tr>
      <w:tr w:rsidR="00EA496D" w:rsidRPr="00F56AD6" w14:paraId="76892764" w14:textId="77777777" w:rsidTr="00EA496D">
        <w:tc>
          <w:tcPr>
            <w:tcW w:w="846" w:type="dxa"/>
            <w:tcMar>
              <w:top w:w="60" w:type="dxa"/>
              <w:left w:w="100" w:type="dxa"/>
              <w:bottom w:w="60" w:type="dxa"/>
              <w:right w:w="100" w:type="dxa"/>
            </w:tcMar>
          </w:tcPr>
          <w:p w14:paraId="04A07B9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124</w:t>
            </w:r>
          </w:p>
        </w:tc>
        <w:tc>
          <w:tcPr>
            <w:tcW w:w="2094" w:type="dxa"/>
            <w:tcMar>
              <w:top w:w="60" w:type="dxa"/>
              <w:left w:w="100" w:type="dxa"/>
              <w:bottom w:w="60" w:type="dxa"/>
              <w:right w:w="100" w:type="dxa"/>
            </w:tcMar>
          </w:tcPr>
          <w:p w14:paraId="1BB2220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Dkhillon et al. 2023</w:t>
            </w:r>
          </w:p>
        </w:tc>
        <w:tc>
          <w:tcPr>
            <w:tcW w:w="4923" w:type="dxa"/>
            <w:tcMar>
              <w:top w:w="60" w:type="dxa"/>
              <w:left w:w="100" w:type="dxa"/>
              <w:bottom w:w="60" w:type="dxa"/>
              <w:right w:w="100" w:type="dxa"/>
            </w:tcMar>
          </w:tcPr>
          <w:p w14:paraId="1BD1308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 Vitamins as Adjunctive Treatment for Chronic Heart Failure</w:t>
            </w:r>
          </w:p>
        </w:tc>
        <w:tc>
          <w:tcPr>
            <w:tcW w:w="6537" w:type="dxa"/>
            <w:tcMar>
              <w:top w:w="60" w:type="dxa"/>
              <w:left w:w="100" w:type="dxa"/>
              <w:bottom w:w="60" w:type="dxa"/>
              <w:right w:w="100" w:type="dxa"/>
            </w:tcMar>
          </w:tcPr>
          <w:p w14:paraId="433F82C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improved heart function.</w:t>
            </w:r>
          </w:p>
        </w:tc>
      </w:tr>
      <w:tr w:rsidR="00EA496D" w:rsidRPr="00F56AD6" w14:paraId="076FEE33" w14:textId="77777777" w:rsidTr="00EA496D">
        <w:tc>
          <w:tcPr>
            <w:tcW w:w="846" w:type="dxa"/>
            <w:tcMar>
              <w:top w:w="60" w:type="dxa"/>
              <w:left w:w="100" w:type="dxa"/>
              <w:bottom w:w="60" w:type="dxa"/>
              <w:right w:w="100" w:type="dxa"/>
            </w:tcMar>
          </w:tcPr>
          <w:p w14:paraId="06B9276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125</w:t>
            </w:r>
          </w:p>
        </w:tc>
        <w:tc>
          <w:tcPr>
            <w:tcW w:w="2094" w:type="dxa"/>
            <w:tcMar>
              <w:top w:w="60" w:type="dxa"/>
              <w:left w:w="100" w:type="dxa"/>
              <w:bottom w:w="60" w:type="dxa"/>
              <w:right w:w="100" w:type="dxa"/>
            </w:tcMar>
          </w:tcPr>
          <w:p w14:paraId="08289E6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Donge et al. 2025</w:t>
            </w:r>
          </w:p>
        </w:tc>
        <w:tc>
          <w:tcPr>
            <w:tcW w:w="4923" w:type="dxa"/>
            <w:tcMar>
              <w:top w:w="60" w:type="dxa"/>
              <w:left w:w="100" w:type="dxa"/>
              <w:bottom w:w="60" w:type="dxa"/>
              <w:right w:w="100" w:type="dxa"/>
            </w:tcMar>
          </w:tcPr>
          <w:p w14:paraId="19520AB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Advancing Neonatal Screening for Pyridoxine-Dependent Epilepsy-ALDH7A1 Through Combined Analysis of 2-OPP, 6-Oxo-Pipecolate and Pipecolate in a Butylated FIA-MS/MS Workflow</w:t>
            </w:r>
          </w:p>
        </w:tc>
        <w:tc>
          <w:tcPr>
            <w:tcW w:w="6537" w:type="dxa"/>
            <w:tcMar>
              <w:top w:w="60" w:type="dxa"/>
              <w:left w:w="100" w:type="dxa"/>
              <w:bottom w:w="60" w:type="dxa"/>
              <w:right w:w="100" w:type="dxa"/>
            </w:tcMar>
          </w:tcPr>
          <w:p w14:paraId="7B730AB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good response to high dose B6 in PDE patients.</w:t>
            </w:r>
          </w:p>
        </w:tc>
      </w:tr>
      <w:tr w:rsidR="00EA496D" w:rsidRPr="00F56AD6" w14:paraId="414E1152" w14:textId="77777777" w:rsidTr="00EA496D">
        <w:tc>
          <w:tcPr>
            <w:tcW w:w="846" w:type="dxa"/>
            <w:tcMar>
              <w:top w:w="60" w:type="dxa"/>
              <w:left w:w="100" w:type="dxa"/>
              <w:bottom w:w="60" w:type="dxa"/>
              <w:right w:w="100" w:type="dxa"/>
            </w:tcMar>
          </w:tcPr>
          <w:p w14:paraId="6C11BF9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126</w:t>
            </w:r>
          </w:p>
        </w:tc>
        <w:tc>
          <w:tcPr>
            <w:tcW w:w="2094" w:type="dxa"/>
            <w:tcMar>
              <w:top w:w="60" w:type="dxa"/>
              <w:left w:w="100" w:type="dxa"/>
              <w:bottom w:w="60" w:type="dxa"/>
              <w:right w:w="100" w:type="dxa"/>
            </w:tcMar>
          </w:tcPr>
          <w:p w14:paraId="7FF0E6D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Dou et al. 2025</w:t>
            </w:r>
          </w:p>
        </w:tc>
        <w:tc>
          <w:tcPr>
            <w:tcW w:w="4923" w:type="dxa"/>
            <w:tcMar>
              <w:top w:w="60" w:type="dxa"/>
              <w:left w:w="100" w:type="dxa"/>
              <w:bottom w:w="60" w:type="dxa"/>
              <w:right w:w="100" w:type="dxa"/>
            </w:tcMar>
          </w:tcPr>
          <w:p w14:paraId="57D59DC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Synergistic Effect Evaluation and Mechanism Investigation of Vitamin B6 and B12 in Models of Neuroinflammation</w:t>
            </w:r>
          </w:p>
        </w:tc>
        <w:tc>
          <w:tcPr>
            <w:tcW w:w="6537" w:type="dxa"/>
            <w:tcMar>
              <w:top w:w="60" w:type="dxa"/>
              <w:left w:w="100" w:type="dxa"/>
              <w:bottom w:w="60" w:type="dxa"/>
              <w:right w:w="100" w:type="dxa"/>
            </w:tcMar>
          </w:tcPr>
          <w:p w14:paraId="3913A28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using nanocarriers to more effectively deliver B6.</w:t>
            </w:r>
          </w:p>
        </w:tc>
      </w:tr>
      <w:tr w:rsidR="00EA496D" w:rsidRPr="00F56AD6" w14:paraId="454641E3" w14:textId="77777777" w:rsidTr="00EA496D">
        <w:tc>
          <w:tcPr>
            <w:tcW w:w="846" w:type="dxa"/>
            <w:tcMar>
              <w:top w:w="60" w:type="dxa"/>
              <w:left w:w="100" w:type="dxa"/>
              <w:bottom w:w="60" w:type="dxa"/>
              <w:right w:w="100" w:type="dxa"/>
            </w:tcMar>
          </w:tcPr>
          <w:p w14:paraId="6AFB443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127</w:t>
            </w:r>
          </w:p>
        </w:tc>
        <w:tc>
          <w:tcPr>
            <w:tcW w:w="2094" w:type="dxa"/>
            <w:tcMar>
              <w:top w:w="60" w:type="dxa"/>
              <w:left w:w="100" w:type="dxa"/>
              <w:bottom w:w="60" w:type="dxa"/>
              <w:right w:w="100" w:type="dxa"/>
            </w:tcMar>
          </w:tcPr>
          <w:p w14:paraId="4473D7A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Douglas et al. 2025</w:t>
            </w:r>
          </w:p>
        </w:tc>
        <w:tc>
          <w:tcPr>
            <w:tcW w:w="4923" w:type="dxa"/>
            <w:tcMar>
              <w:top w:w="60" w:type="dxa"/>
              <w:left w:w="100" w:type="dxa"/>
              <w:bottom w:w="60" w:type="dxa"/>
              <w:right w:w="100" w:type="dxa"/>
            </w:tcMar>
          </w:tcPr>
          <w:p w14:paraId="2B240E6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Acute kidney failure from ingestion of "wood bleach" beekeeping miticide</w:t>
            </w:r>
          </w:p>
        </w:tc>
        <w:tc>
          <w:tcPr>
            <w:tcW w:w="6537" w:type="dxa"/>
            <w:tcMar>
              <w:top w:w="60" w:type="dxa"/>
              <w:left w:w="100" w:type="dxa"/>
              <w:bottom w:w="60" w:type="dxa"/>
              <w:right w:w="100" w:type="dxa"/>
            </w:tcMar>
          </w:tcPr>
          <w:p w14:paraId="214A951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pyridoxal used as treatment for toxicity.</w:t>
            </w:r>
          </w:p>
        </w:tc>
      </w:tr>
      <w:tr w:rsidR="00EA496D" w:rsidRPr="00F56AD6" w14:paraId="2AD8B45F" w14:textId="77777777" w:rsidTr="00EA496D">
        <w:tc>
          <w:tcPr>
            <w:tcW w:w="846" w:type="dxa"/>
            <w:tcMar>
              <w:top w:w="60" w:type="dxa"/>
              <w:left w:w="100" w:type="dxa"/>
              <w:bottom w:w="60" w:type="dxa"/>
              <w:right w:w="100" w:type="dxa"/>
            </w:tcMar>
          </w:tcPr>
          <w:p w14:paraId="335A739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128</w:t>
            </w:r>
          </w:p>
        </w:tc>
        <w:tc>
          <w:tcPr>
            <w:tcW w:w="2094" w:type="dxa"/>
            <w:tcMar>
              <w:top w:w="60" w:type="dxa"/>
              <w:left w:w="100" w:type="dxa"/>
              <w:bottom w:w="60" w:type="dxa"/>
              <w:right w:w="100" w:type="dxa"/>
            </w:tcMar>
          </w:tcPr>
          <w:p w14:paraId="30111E5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Du et al. 2025</w:t>
            </w:r>
          </w:p>
        </w:tc>
        <w:tc>
          <w:tcPr>
            <w:tcW w:w="4923" w:type="dxa"/>
            <w:tcMar>
              <w:top w:w="60" w:type="dxa"/>
              <w:left w:w="100" w:type="dxa"/>
              <w:bottom w:w="60" w:type="dxa"/>
              <w:right w:w="100" w:type="dxa"/>
            </w:tcMar>
          </w:tcPr>
          <w:p w14:paraId="1BC5586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Advanced Applications of Vitamin B Complex in Plastic and Cosmetic Surgery: Mechanisms and Therapeutic Benefits</w:t>
            </w:r>
          </w:p>
        </w:tc>
        <w:tc>
          <w:tcPr>
            <w:tcW w:w="6537" w:type="dxa"/>
            <w:tcMar>
              <w:top w:w="60" w:type="dxa"/>
              <w:left w:w="100" w:type="dxa"/>
              <w:bottom w:w="60" w:type="dxa"/>
              <w:right w:w="100" w:type="dxa"/>
            </w:tcMar>
          </w:tcPr>
          <w:p w14:paraId="7CDC4F3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supplementation helps in cosmetic procedures.</w:t>
            </w:r>
          </w:p>
        </w:tc>
      </w:tr>
      <w:tr w:rsidR="00EA496D" w:rsidRPr="00F56AD6" w14:paraId="31ED94CC" w14:textId="77777777" w:rsidTr="00EA496D">
        <w:tc>
          <w:tcPr>
            <w:tcW w:w="846" w:type="dxa"/>
            <w:tcMar>
              <w:top w:w="60" w:type="dxa"/>
              <w:left w:w="100" w:type="dxa"/>
              <w:bottom w:w="60" w:type="dxa"/>
              <w:right w:w="100" w:type="dxa"/>
            </w:tcMar>
          </w:tcPr>
          <w:p w14:paraId="568C78D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129</w:t>
            </w:r>
          </w:p>
        </w:tc>
        <w:tc>
          <w:tcPr>
            <w:tcW w:w="2094" w:type="dxa"/>
            <w:tcMar>
              <w:top w:w="60" w:type="dxa"/>
              <w:left w:w="100" w:type="dxa"/>
              <w:bottom w:w="60" w:type="dxa"/>
              <w:right w:w="100" w:type="dxa"/>
            </w:tcMar>
          </w:tcPr>
          <w:p w14:paraId="660522F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Du 2025</w:t>
            </w:r>
          </w:p>
        </w:tc>
        <w:tc>
          <w:tcPr>
            <w:tcW w:w="4923" w:type="dxa"/>
            <w:tcMar>
              <w:top w:w="60" w:type="dxa"/>
              <w:left w:w="100" w:type="dxa"/>
              <w:bottom w:w="60" w:type="dxa"/>
              <w:right w:w="100" w:type="dxa"/>
            </w:tcMar>
          </w:tcPr>
          <w:p w14:paraId="6E1AC9B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 between vitamin B(6) status and eczema in children and adolescents: results from the NHANES database</w:t>
            </w:r>
          </w:p>
        </w:tc>
        <w:tc>
          <w:tcPr>
            <w:tcW w:w="6537" w:type="dxa"/>
            <w:tcMar>
              <w:top w:w="60" w:type="dxa"/>
              <w:left w:w="100" w:type="dxa"/>
              <w:bottom w:w="60" w:type="dxa"/>
              <w:right w:w="100" w:type="dxa"/>
            </w:tcMar>
          </w:tcPr>
          <w:p w14:paraId="14B9AB4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quick metabolism of B6 can increase risk of eczema.</w:t>
            </w:r>
          </w:p>
        </w:tc>
      </w:tr>
      <w:tr w:rsidR="00EA496D" w:rsidRPr="00F56AD6" w14:paraId="1F02E148" w14:textId="77777777" w:rsidTr="00EA496D">
        <w:tc>
          <w:tcPr>
            <w:tcW w:w="846" w:type="dxa"/>
            <w:tcMar>
              <w:top w:w="60" w:type="dxa"/>
              <w:left w:w="100" w:type="dxa"/>
              <w:bottom w:w="60" w:type="dxa"/>
              <w:right w:w="100" w:type="dxa"/>
            </w:tcMar>
          </w:tcPr>
          <w:p w14:paraId="0272183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130</w:t>
            </w:r>
          </w:p>
        </w:tc>
        <w:tc>
          <w:tcPr>
            <w:tcW w:w="2094" w:type="dxa"/>
            <w:tcMar>
              <w:top w:w="60" w:type="dxa"/>
              <w:left w:w="100" w:type="dxa"/>
              <w:bottom w:w="60" w:type="dxa"/>
              <w:right w:w="100" w:type="dxa"/>
            </w:tcMar>
          </w:tcPr>
          <w:p w14:paraId="6E1717F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Duan et al. 2025</w:t>
            </w:r>
          </w:p>
        </w:tc>
        <w:tc>
          <w:tcPr>
            <w:tcW w:w="4923" w:type="dxa"/>
            <w:tcMar>
              <w:top w:w="60" w:type="dxa"/>
              <w:left w:w="100" w:type="dxa"/>
              <w:bottom w:w="60" w:type="dxa"/>
              <w:right w:w="100" w:type="dxa"/>
            </w:tcMar>
          </w:tcPr>
          <w:p w14:paraId="06FE7A5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Effects of a food supplement containing phosphatidylserine on cognitive function in Chinese older adults with mild cognitive impairment: A randomized double-blind, placebo-controlled trial</w:t>
            </w:r>
          </w:p>
        </w:tc>
        <w:tc>
          <w:tcPr>
            <w:tcW w:w="6537" w:type="dxa"/>
            <w:tcMar>
              <w:top w:w="60" w:type="dxa"/>
              <w:left w:w="100" w:type="dxa"/>
              <w:bottom w:w="60" w:type="dxa"/>
              <w:right w:w="100" w:type="dxa"/>
            </w:tcMar>
          </w:tcPr>
          <w:p w14:paraId="6BA7CA2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improved symptoms.</w:t>
            </w:r>
          </w:p>
        </w:tc>
      </w:tr>
      <w:tr w:rsidR="00EA496D" w:rsidRPr="00F56AD6" w14:paraId="0815B1F0" w14:textId="77777777" w:rsidTr="00EA496D">
        <w:tc>
          <w:tcPr>
            <w:tcW w:w="846" w:type="dxa"/>
            <w:tcMar>
              <w:top w:w="60" w:type="dxa"/>
              <w:left w:w="100" w:type="dxa"/>
              <w:bottom w:w="60" w:type="dxa"/>
              <w:right w:w="100" w:type="dxa"/>
            </w:tcMar>
          </w:tcPr>
          <w:p w14:paraId="4C895A1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131</w:t>
            </w:r>
          </w:p>
        </w:tc>
        <w:tc>
          <w:tcPr>
            <w:tcW w:w="2094" w:type="dxa"/>
            <w:tcMar>
              <w:top w:w="60" w:type="dxa"/>
              <w:left w:w="100" w:type="dxa"/>
              <w:bottom w:w="60" w:type="dxa"/>
              <w:right w:w="100" w:type="dxa"/>
            </w:tcMar>
          </w:tcPr>
          <w:p w14:paraId="4C52743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Ducamp et al. 2024</w:t>
            </w:r>
          </w:p>
        </w:tc>
        <w:tc>
          <w:tcPr>
            <w:tcW w:w="4923" w:type="dxa"/>
            <w:tcMar>
              <w:top w:w="60" w:type="dxa"/>
              <w:left w:w="100" w:type="dxa"/>
              <w:bottom w:w="60" w:type="dxa"/>
              <w:right w:w="100" w:type="dxa"/>
            </w:tcMar>
          </w:tcPr>
          <w:p w14:paraId="1240EA2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Murine models of erythroid 5ALA synthesis disorders and their conditional synthetic lethal dependency on pyridoxine</w:t>
            </w:r>
          </w:p>
        </w:tc>
        <w:tc>
          <w:tcPr>
            <w:tcW w:w="6537" w:type="dxa"/>
            <w:tcMar>
              <w:top w:w="60" w:type="dxa"/>
              <w:left w:w="100" w:type="dxa"/>
              <w:bottom w:w="60" w:type="dxa"/>
              <w:right w:w="100" w:type="dxa"/>
            </w:tcMar>
          </w:tcPr>
          <w:p w14:paraId="5F6385E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discusses harm from B6 deficiency.</w:t>
            </w:r>
          </w:p>
        </w:tc>
      </w:tr>
      <w:tr w:rsidR="00EA496D" w:rsidRPr="00F56AD6" w14:paraId="6D019D73" w14:textId="77777777" w:rsidTr="00EA496D">
        <w:tc>
          <w:tcPr>
            <w:tcW w:w="846" w:type="dxa"/>
            <w:tcMar>
              <w:top w:w="60" w:type="dxa"/>
              <w:left w:w="100" w:type="dxa"/>
              <w:bottom w:w="60" w:type="dxa"/>
              <w:right w:w="100" w:type="dxa"/>
            </w:tcMar>
          </w:tcPr>
          <w:p w14:paraId="4357F9B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132</w:t>
            </w:r>
          </w:p>
        </w:tc>
        <w:tc>
          <w:tcPr>
            <w:tcW w:w="2094" w:type="dxa"/>
            <w:tcMar>
              <w:top w:w="60" w:type="dxa"/>
              <w:left w:w="100" w:type="dxa"/>
              <w:bottom w:w="60" w:type="dxa"/>
              <w:right w:w="100" w:type="dxa"/>
            </w:tcMar>
          </w:tcPr>
          <w:p w14:paraId="2112A2F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Edwards et al. 2024</w:t>
            </w:r>
          </w:p>
        </w:tc>
        <w:tc>
          <w:tcPr>
            <w:tcW w:w="4923" w:type="dxa"/>
            <w:tcMar>
              <w:top w:w="60" w:type="dxa"/>
              <w:left w:w="100" w:type="dxa"/>
              <w:bottom w:w="60" w:type="dxa"/>
              <w:right w:w="100" w:type="dxa"/>
            </w:tcMar>
          </w:tcPr>
          <w:p w14:paraId="6301AE6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Effects of an Acute Dose of Zinc Monomethionine Asparate and Magnesium Asparate (ZMA) on Subsequent Sleep and Next-Day Morning Performance (Countermovement Jumps, Repeated Sprints and Stroop Test)</w:t>
            </w:r>
          </w:p>
        </w:tc>
        <w:tc>
          <w:tcPr>
            <w:tcW w:w="6537" w:type="dxa"/>
            <w:tcMar>
              <w:top w:w="60" w:type="dxa"/>
              <w:left w:w="100" w:type="dxa"/>
              <w:bottom w:w="60" w:type="dxa"/>
              <w:right w:w="100" w:type="dxa"/>
            </w:tcMar>
          </w:tcPr>
          <w:p w14:paraId="528C576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level was not deficient from medication (ZMA).</w:t>
            </w:r>
          </w:p>
        </w:tc>
      </w:tr>
      <w:tr w:rsidR="00EA496D" w:rsidRPr="00F56AD6" w14:paraId="42AE7D9D" w14:textId="77777777" w:rsidTr="00EA496D">
        <w:tc>
          <w:tcPr>
            <w:tcW w:w="846" w:type="dxa"/>
            <w:tcMar>
              <w:top w:w="60" w:type="dxa"/>
              <w:left w:w="100" w:type="dxa"/>
              <w:bottom w:w="60" w:type="dxa"/>
              <w:right w:w="100" w:type="dxa"/>
            </w:tcMar>
          </w:tcPr>
          <w:p w14:paraId="720223D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133</w:t>
            </w:r>
          </w:p>
        </w:tc>
        <w:tc>
          <w:tcPr>
            <w:tcW w:w="2094" w:type="dxa"/>
            <w:tcMar>
              <w:top w:w="60" w:type="dxa"/>
              <w:left w:w="100" w:type="dxa"/>
              <w:bottom w:w="60" w:type="dxa"/>
              <w:right w:w="100" w:type="dxa"/>
            </w:tcMar>
          </w:tcPr>
          <w:p w14:paraId="57269C1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Edwards et al. 2023</w:t>
            </w:r>
          </w:p>
        </w:tc>
        <w:tc>
          <w:tcPr>
            <w:tcW w:w="4923" w:type="dxa"/>
            <w:tcMar>
              <w:top w:w="60" w:type="dxa"/>
              <w:left w:w="100" w:type="dxa"/>
              <w:bottom w:w="60" w:type="dxa"/>
              <w:right w:w="100" w:type="dxa"/>
            </w:tcMar>
          </w:tcPr>
          <w:p w14:paraId="7F3F113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Dietary factors potentially impacting thiaminase I-mediated thiamine deficiency</w:t>
            </w:r>
          </w:p>
        </w:tc>
        <w:tc>
          <w:tcPr>
            <w:tcW w:w="6537" w:type="dxa"/>
            <w:tcMar>
              <w:top w:w="60" w:type="dxa"/>
              <w:left w:w="100" w:type="dxa"/>
              <w:bottom w:w="60" w:type="dxa"/>
              <w:right w:w="100" w:type="dxa"/>
            </w:tcMar>
          </w:tcPr>
          <w:p w14:paraId="31847CA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mentions pyridoxine effect on thiamine in fish.</w:t>
            </w:r>
          </w:p>
        </w:tc>
      </w:tr>
      <w:tr w:rsidR="00EA496D" w:rsidRPr="00F56AD6" w14:paraId="422593D3" w14:textId="77777777" w:rsidTr="00EA496D">
        <w:tc>
          <w:tcPr>
            <w:tcW w:w="846" w:type="dxa"/>
            <w:tcMar>
              <w:top w:w="60" w:type="dxa"/>
              <w:left w:w="100" w:type="dxa"/>
              <w:bottom w:w="60" w:type="dxa"/>
              <w:right w:w="100" w:type="dxa"/>
            </w:tcMar>
          </w:tcPr>
          <w:p w14:paraId="3B15C84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134</w:t>
            </w:r>
          </w:p>
        </w:tc>
        <w:tc>
          <w:tcPr>
            <w:tcW w:w="2094" w:type="dxa"/>
            <w:tcMar>
              <w:top w:w="60" w:type="dxa"/>
              <w:left w:w="100" w:type="dxa"/>
              <w:bottom w:w="60" w:type="dxa"/>
              <w:right w:w="100" w:type="dxa"/>
            </w:tcMar>
          </w:tcPr>
          <w:p w14:paraId="4DB20AC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Ehrmann et al. 2024</w:t>
            </w:r>
          </w:p>
        </w:tc>
        <w:tc>
          <w:tcPr>
            <w:tcW w:w="4923" w:type="dxa"/>
            <w:tcMar>
              <w:top w:w="60" w:type="dxa"/>
              <w:left w:w="100" w:type="dxa"/>
              <w:bottom w:w="60" w:type="dxa"/>
              <w:right w:w="100" w:type="dxa"/>
            </w:tcMar>
          </w:tcPr>
          <w:p w14:paraId="4253BE0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Engineering Saccharomyces cerevisiae for fast vitamin-independent aerobic growth</w:t>
            </w:r>
          </w:p>
        </w:tc>
        <w:tc>
          <w:tcPr>
            <w:tcW w:w="6537" w:type="dxa"/>
            <w:tcMar>
              <w:top w:w="60" w:type="dxa"/>
              <w:left w:w="100" w:type="dxa"/>
              <w:bottom w:w="60" w:type="dxa"/>
              <w:right w:w="100" w:type="dxa"/>
            </w:tcMar>
          </w:tcPr>
          <w:p w14:paraId="21AE98B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growth rate of cultures with/out B6 (Wrong population).</w:t>
            </w:r>
          </w:p>
        </w:tc>
      </w:tr>
      <w:tr w:rsidR="00EA496D" w:rsidRPr="00F56AD6" w14:paraId="7B3A00EF" w14:textId="77777777" w:rsidTr="00EA496D">
        <w:tc>
          <w:tcPr>
            <w:tcW w:w="846" w:type="dxa"/>
            <w:tcMar>
              <w:top w:w="60" w:type="dxa"/>
              <w:left w:w="100" w:type="dxa"/>
              <w:bottom w:w="60" w:type="dxa"/>
              <w:right w:w="100" w:type="dxa"/>
            </w:tcMar>
          </w:tcPr>
          <w:p w14:paraId="36A4DC5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135</w:t>
            </w:r>
          </w:p>
        </w:tc>
        <w:tc>
          <w:tcPr>
            <w:tcW w:w="2094" w:type="dxa"/>
            <w:tcMar>
              <w:top w:w="60" w:type="dxa"/>
              <w:left w:w="100" w:type="dxa"/>
              <w:bottom w:w="60" w:type="dxa"/>
              <w:right w:w="100" w:type="dxa"/>
            </w:tcMar>
          </w:tcPr>
          <w:p w14:paraId="6DA5FBE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Ekundayo et al. 2024</w:t>
            </w:r>
          </w:p>
        </w:tc>
        <w:tc>
          <w:tcPr>
            <w:tcW w:w="4923" w:type="dxa"/>
            <w:tcMar>
              <w:top w:w="60" w:type="dxa"/>
              <w:left w:w="100" w:type="dxa"/>
              <w:bottom w:w="60" w:type="dxa"/>
              <w:right w:w="100" w:type="dxa"/>
            </w:tcMar>
          </w:tcPr>
          <w:p w14:paraId="13BCAD6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Synergistic Effect of Donepezil and Neurotropic B Vitamins on Dysregulated Antioxidant, Inflammation and Neurotransmitter Status in Aluminium Chloride-Induced Neurotoxicity in Rats</w:t>
            </w:r>
          </w:p>
        </w:tc>
        <w:tc>
          <w:tcPr>
            <w:tcW w:w="6537" w:type="dxa"/>
            <w:tcMar>
              <w:top w:w="60" w:type="dxa"/>
              <w:left w:w="100" w:type="dxa"/>
              <w:bottom w:w="60" w:type="dxa"/>
              <w:right w:w="100" w:type="dxa"/>
            </w:tcMar>
          </w:tcPr>
          <w:p w14:paraId="4854E09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increased therapeutic effects of donepezil.</w:t>
            </w:r>
          </w:p>
        </w:tc>
      </w:tr>
      <w:tr w:rsidR="00EA496D" w:rsidRPr="00F56AD6" w14:paraId="12D4337C" w14:textId="77777777" w:rsidTr="00EA496D">
        <w:tc>
          <w:tcPr>
            <w:tcW w:w="846" w:type="dxa"/>
            <w:tcMar>
              <w:top w:w="60" w:type="dxa"/>
              <w:left w:w="100" w:type="dxa"/>
              <w:bottom w:w="60" w:type="dxa"/>
              <w:right w:w="100" w:type="dxa"/>
            </w:tcMar>
          </w:tcPr>
          <w:p w14:paraId="7B42D47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136</w:t>
            </w:r>
          </w:p>
        </w:tc>
        <w:tc>
          <w:tcPr>
            <w:tcW w:w="2094" w:type="dxa"/>
            <w:tcMar>
              <w:top w:w="60" w:type="dxa"/>
              <w:left w:w="100" w:type="dxa"/>
              <w:bottom w:w="60" w:type="dxa"/>
              <w:right w:w="100" w:type="dxa"/>
            </w:tcMar>
          </w:tcPr>
          <w:p w14:paraId="4DDE055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ElMesmoudi et al. 2022</w:t>
            </w:r>
          </w:p>
        </w:tc>
        <w:tc>
          <w:tcPr>
            <w:tcW w:w="4923" w:type="dxa"/>
            <w:tcMar>
              <w:top w:w="60" w:type="dxa"/>
              <w:left w:w="100" w:type="dxa"/>
              <w:bottom w:w="60" w:type="dxa"/>
              <w:right w:w="100" w:type="dxa"/>
            </w:tcMar>
          </w:tcPr>
          <w:p w14:paraId="597FBD4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Validation of a quantitative web-based food frequency questionnaire to assess dietary intake in the adult Emirati population</w:t>
            </w:r>
          </w:p>
        </w:tc>
        <w:tc>
          <w:tcPr>
            <w:tcW w:w="6537" w:type="dxa"/>
            <w:tcMar>
              <w:top w:w="60" w:type="dxa"/>
              <w:left w:w="100" w:type="dxa"/>
              <w:bottom w:w="60" w:type="dxa"/>
              <w:right w:w="100" w:type="dxa"/>
            </w:tcMar>
          </w:tcPr>
          <w:p w14:paraId="148D7BD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not directly relevant to excess vitamin B6 toxicity or UL derivation; method validation study on diet questionnaire.</w:t>
            </w:r>
          </w:p>
        </w:tc>
      </w:tr>
      <w:tr w:rsidR="00EA496D" w:rsidRPr="00F56AD6" w14:paraId="1C994794" w14:textId="77777777" w:rsidTr="00EA496D">
        <w:tc>
          <w:tcPr>
            <w:tcW w:w="846" w:type="dxa"/>
            <w:tcMar>
              <w:top w:w="60" w:type="dxa"/>
              <w:left w:w="100" w:type="dxa"/>
              <w:bottom w:w="60" w:type="dxa"/>
              <w:right w:w="100" w:type="dxa"/>
            </w:tcMar>
          </w:tcPr>
          <w:p w14:paraId="71C7C9C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137</w:t>
            </w:r>
          </w:p>
        </w:tc>
        <w:tc>
          <w:tcPr>
            <w:tcW w:w="2094" w:type="dxa"/>
            <w:tcMar>
              <w:top w:w="60" w:type="dxa"/>
              <w:left w:w="100" w:type="dxa"/>
              <w:bottom w:w="60" w:type="dxa"/>
              <w:right w:w="100" w:type="dxa"/>
            </w:tcMar>
          </w:tcPr>
          <w:p w14:paraId="1893C35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Elebiju et al. 2024</w:t>
            </w:r>
          </w:p>
        </w:tc>
        <w:tc>
          <w:tcPr>
            <w:tcW w:w="4923" w:type="dxa"/>
            <w:tcMar>
              <w:top w:w="60" w:type="dxa"/>
              <w:left w:w="100" w:type="dxa"/>
              <w:bottom w:w="60" w:type="dxa"/>
              <w:right w:w="100" w:type="dxa"/>
            </w:tcMar>
          </w:tcPr>
          <w:p w14:paraId="77B8919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In Silico Design of Potential Small-Molecule Antibiotic Adjuvants against Salmonella typhimurium Ortho Acetyl Sulphydrylase Synthase to Address Antimicrobial Resistance</w:t>
            </w:r>
          </w:p>
        </w:tc>
        <w:tc>
          <w:tcPr>
            <w:tcW w:w="6537" w:type="dxa"/>
            <w:tcMar>
              <w:top w:w="60" w:type="dxa"/>
              <w:left w:w="100" w:type="dxa"/>
              <w:bottom w:w="60" w:type="dxa"/>
              <w:right w:w="100" w:type="dxa"/>
            </w:tcMar>
          </w:tcPr>
          <w:p w14:paraId="7EB5B97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not directly relevant to excess vitamin B6 toxicity or UL derivation; pLP binding used as a comparison to different binder (brief mention).</w:t>
            </w:r>
          </w:p>
        </w:tc>
      </w:tr>
      <w:tr w:rsidR="00EA496D" w:rsidRPr="00F56AD6" w14:paraId="4DBC3CCA" w14:textId="77777777" w:rsidTr="00EA496D">
        <w:tc>
          <w:tcPr>
            <w:tcW w:w="846" w:type="dxa"/>
            <w:tcMar>
              <w:top w:w="60" w:type="dxa"/>
              <w:left w:w="100" w:type="dxa"/>
              <w:bottom w:w="60" w:type="dxa"/>
              <w:right w:w="100" w:type="dxa"/>
            </w:tcMar>
          </w:tcPr>
          <w:p w14:paraId="3F5BAC8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138</w:t>
            </w:r>
          </w:p>
        </w:tc>
        <w:tc>
          <w:tcPr>
            <w:tcW w:w="2094" w:type="dxa"/>
            <w:tcMar>
              <w:top w:w="60" w:type="dxa"/>
              <w:left w:w="100" w:type="dxa"/>
              <w:bottom w:w="60" w:type="dxa"/>
              <w:right w:w="100" w:type="dxa"/>
            </w:tcMar>
          </w:tcPr>
          <w:p w14:paraId="3AF717A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Elgharably et al. 2023</w:t>
            </w:r>
          </w:p>
        </w:tc>
        <w:tc>
          <w:tcPr>
            <w:tcW w:w="4923" w:type="dxa"/>
            <w:tcMar>
              <w:top w:w="60" w:type="dxa"/>
              <w:left w:w="100" w:type="dxa"/>
              <w:bottom w:w="60" w:type="dxa"/>
              <w:right w:w="100" w:type="dxa"/>
            </w:tcMar>
          </w:tcPr>
          <w:p w14:paraId="3454371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 group levels and supplementations in dermatology</w:t>
            </w:r>
          </w:p>
        </w:tc>
        <w:tc>
          <w:tcPr>
            <w:tcW w:w="6537" w:type="dxa"/>
            <w:tcMar>
              <w:top w:w="60" w:type="dxa"/>
              <w:left w:w="100" w:type="dxa"/>
              <w:bottom w:w="60" w:type="dxa"/>
              <w:right w:w="100" w:type="dxa"/>
            </w:tcMar>
          </w:tcPr>
          <w:p w14:paraId="1DD349A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deficiency should be assessed when treating skin conditions.</w:t>
            </w:r>
          </w:p>
        </w:tc>
      </w:tr>
      <w:tr w:rsidR="00EA496D" w:rsidRPr="00F56AD6" w14:paraId="7EBF70D9" w14:textId="77777777" w:rsidTr="00EA496D">
        <w:tc>
          <w:tcPr>
            <w:tcW w:w="846" w:type="dxa"/>
            <w:tcMar>
              <w:top w:w="60" w:type="dxa"/>
              <w:left w:w="100" w:type="dxa"/>
              <w:bottom w:w="60" w:type="dxa"/>
              <w:right w:w="100" w:type="dxa"/>
            </w:tcMar>
          </w:tcPr>
          <w:p w14:paraId="4974FE0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139</w:t>
            </w:r>
          </w:p>
        </w:tc>
        <w:tc>
          <w:tcPr>
            <w:tcW w:w="2094" w:type="dxa"/>
            <w:tcMar>
              <w:top w:w="60" w:type="dxa"/>
              <w:left w:w="100" w:type="dxa"/>
              <w:bottom w:w="60" w:type="dxa"/>
              <w:right w:w="100" w:type="dxa"/>
            </w:tcMar>
          </w:tcPr>
          <w:p w14:paraId="28423AE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Elhusseiny et al. 2023</w:t>
            </w:r>
          </w:p>
        </w:tc>
        <w:tc>
          <w:tcPr>
            <w:tcW w:w="4923" w:type="dxa"/>
            <w:tcMar>
              <w:top w:w="60" w:type="dxa"/>
              <w:left w:w="100" w:type="dxa"/>
              <w:bottom w:w="60" w:type="dxa"/>
              <w:right w:w="100" w:type="dxa"/>
            </w:tcMar>
          </w:tcPr>
          <w:p w14:paraId="0FDB243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Regression of treatment-resistant gyrate atrophy-associated intraretinal cystic spaces using long-term diet restriction: A case report</w:t>
            </w:r>
          </w:p>
        </w:tc>
        <w:tc>
          <w:tcPr>
            <w:tcW w:w="6537" w:type="dxa"/>
            <w:tcMar>
              <w:top w:w="60" w:type="dxa"/>
              <w:left w:w="100" w:type="dxa"/>
              <w:bottom w:w="60" w:type="dxa"/>
              <w:right w:w="100" w:type="dxa"/>
            </w:tcMar>
          </w:tcPr>
          <w:p w14:paraId="6507FE9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supplementation helped the child.</w:t>
            </w:r>
          </w:p>
        </w:tc>
      </w:tr>
      <w:tr w:rsidR="00EA496D" w:rsidRPr="00F56AD6" w14:paraId="5ADFD30A" w14:textId="77777777" w:rsidTr="00EA496D">
        <w:tc>
          <w:tcPr>
            <w:tcW w:w="846" w:type="dxa"/>
            <w:tcMar>
              <w:top w:w="60" w:type="dxa"/>
              <w:left w:w="100" w:type="dxa"/>
              <w:bottom w:w="60" w:type="dxa"/>
              <w:right w:w="100" w:type="dxa"/>
            </w:tcMar>
          </w:tcPr>
          <w:p w14:paraId="11592E4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140</w:t>
            </w:r>
          </w:p>
        </w:tc>
        <w:tc>
          <w:tcPr>
            <w:tcW w:w="2094" w:type="dxa"/>
            <w:tcMar>
              <w:top w:w="60" w:type="dxa"/>
              <w:left w:w="100" w:type="dxa"/>
              <w:bottom w:w="60" w:type="dxa"/>
              <w:right w:w="100" w:type="dxa"/>
            </w:tcMar>
          </w:tcPr>
          <w:p w14:paraId="2551B7A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Elkhateeb et al. 2023</w:t>
            </w:r>
          </w:p>
        </w:tc>
        <w:tc>
          <w:tcPr>
            <w:tcW w:w="4923" w:type="dxa"/>
            <w:tcMar>
              <w:top w:w="60" w:type="dxa"/>
              <w:left w:w="100" w:type="dxa"/>
              <w:bottom w:w="60" w:type="dxa"/>
              <w:right w:w="100" w:type="dxa"/>
            </w:tcMar>
          </w:tcPr>
          <w:p w14:paraId="4AFF7BA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Paracetamol toxicity in classic homocystinuria: Effect of N-acetylcysteine on total homocysteine</w:t>
            </w:r>
          </w:p>
        </w:tc>
        <w:tc>
          <w:tcPr>
            <w:tcW w:w="6537" w:type="dxa"/>
            <w:tcMar>
              <w:top w:w="60" w:type="dxa"/>
              <w:left w:w="100" w:type="dxa"/>
              <w:bottom w:w="60" w:type="dxa"/>
              <w:right w:w="100" w:type="dxa"/>
            </w:tcMar>
          </w:tcPr>
          <w:p w14:paraId="4637846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the woman's disease was pyridoxine unresponsive but this was not the focus.</w:t>
            </w:r>
          </w:p>
        </w:tc>
      </w:tr>
      <w:tr w:rsidR="00EA496D" w:rsidRPr="00F56AD6" w14:paraId="2A649515" w14:textId="77777777" w:rsidTr="00EA496D">
        <w:tc>
          <w:tcPr>
            <w:tcW w:w="846" w:type="dxa"/>
            <w:tcMar>
              <w:top w:w="60" w:type="dxa"/>
              <w:left w:w="100" w:type="dxa"/>
              <w:bottom w:w="60" w:type="dxa"/>
              <w:right w:w="100" w:type="dxa"/>
            </w:tcMar>
          </w:tcPr>
          <w:p w14:paraId="57AFFC2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141</w:t>
            </w:r>
          </w:p>
        </w:tc>
        <w:tc>
          <w:tcPr>
            <w:tcW w:w="2094" w:type="dxa"/>
            <w:tcMar>
              <w:top w:w="60" w:type="dxa"/>
              <w:left w:w="100" w:type="dxa"/>
              <w:bottom w:w="60" w:type="dxa"/>
              <w:right w:w="100" w:type="dxa"/>
            </w:tcMar>
          </w:tcPr>
          <w:p w14:paraId="15683B2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Ellis et al. 2026</w:t>
            </w:r>
          </w:p>
        </w:tc>
        <w:tc>
          <w:tcPr>
            <w:tcW w:w="4923" w:type="dxa"/>
            <w:tcMar>
              <w:top w:w="60" w:type="dxa"/>
              <w:left w:w="100" w:type="dxa"/>
              <w:bottom w:w="60" w:type="dxa"/>
              <w:right w:w="100" w:type="dxa"/>
            </w:tcMar>
          </w:tcPr>
          <w:p w14:paraId="5AB1433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Inpatient initiation of tuberculosis preventive therapy with 1 month of isoniazid and rifapentine for adults with advanced HIV disease and cryptococcal meningitis (IMPROVE): a non-inferiority, randomised controlled trial</w:t>
            </w:r>
          </w:p>
        </w:tc>
        <w:tc>
          <w:tcPr>
            <w:tcW w:w="6537" w:type="dxa"/>
            <w:tcMar>
              <w:top w:w="60" w:type="dxa"/>
              <w:left w:w="100" w:type="dxa"/>
              <w:bottom w:w="60" w:type="dxa"/>
              <w:right w:w="100" w:type="dxa"/>
            </w:tcMar>
          </w:tcPr>
          <w:p w14:paraId="5D6C9A3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taken at 25 mg/kg was taken alongside medication and no adverse effects reported from B6.</w:t>
            </w:r>
          </w:p>
        </w:tc>
      </w:tr>
      <w:tr w:rsidR="00EA496D" w:rsidRPr="00F56AD6" w14:paraId="1EC37E3A" w14:textId="77777777" w:rsidTr="00EA496D">
        <w:tc>
          <w:tcPr>
            <w:tcW w:w="846" w:type="dxa"/>
            <w:tcMar>
              <w:top w:w="60" w:type="dxa"/>
              <w:left w:w="100" w:type="dxa"/>
              <w:bottom w:w="60" w:type="dxa"/>
              <w:right w:w="100" w:type="dxa"/>
            </w:tcMar>
          </w:tcPr>
          <w:p w14:paraId="6FB8187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142</w:t>
            </w:r>
          </w:p>
        </w:tc>
        <w:tc>
          <w:tcPr>
            <w:tcW w:w="2094" w:type="dxa"/>
            <w:tcMar>
              <w:top w:w="60" w:type="dxa"/>
              <w:left w:w="100" w:type="dxa"/>
              <w:bottom w:w="60" w:type="dxa"/>
              <w:right w:w="100" w:type="dxa"/>
            </w:tcMar>
          </w:tcPr>
          <w:p w14:paraId="048EDB1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Ene et al. 2023</w:t>
            </w:r>
          </w:p>
        </w:tc>
        <w:tc>
          <w:tcPr>
            <w:tcW w:w="4923" w:type="dxa"/>
            <w:tcMar>
              <w:top w:w="60" w:type="dxa"/>
              <w:left w:w="100" w:type="dxa"/>
              <w:bottom w:w="60" w:type="dxa"/>
              <w:right w:w="100" w:type="dxa"/>
            </w:tcMar>
          </w:tcPr>
          <w:p w14:paraId="777860D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effectiveness of citrates and pyridoxine in the treatment of kidney stones</w:t>
            </w:r>
          </w:p>
        </w:tc>
        <w:tc>
          <w:tcPr>
            <w:tcW w:w="6537" w:type="dxa"/>
            <w:tcMar>
              <w:top w:w="60" w:type="dxa"/>
              <w:left w:w="100" w:type="dxa"/>
              <w:bottom w:w="60" w:type="dxa"/>
              <w:right w:w="100" w:type="dxa"/>
            </w:tcMar>
          </w:tcPr>
          <w:p w14:paraId="6028F81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pyridoxines may prevent kidney stones.</w:t>
            </w:r>
          </w:p>
        </w:tc>
      </w:tr>
      <w:tr w:rsidR="00EA496D" w:rsidRPr="00F56AD6" w14:paraId="64732B22" w14:textId="77777777" w:rsidTr="00EA496D">
        <w:tc>
          <w:tcPr>
            <w:tcW w:w="846" w:type="dxa"/>
            <w:tcMar>
              <w:top w:w="60" w:type="dxa"/>
              <w:left w:w="100" w:type="dxa"/>
              <w:bottom w:w="60" w:type="dxa"/>
              <w:right w:w="100" w:type="dxa"/>
            </w:tcMar>
          </w:tcPr>
          <w:p w14:paraId="4CCE3D0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143</w:t>
            </w:r>
          </w:p>
        </w:tc>
        <w:tc>
          <w:tcPr>
            <w:tcW w:w="2094" w:type="dxa"/>
            <w:tcMar>
              <w:top w:w="60" w:type="dxa"/>
              <w:left w:w="100" w:type="dxa"/>
              <w:bottom w:w="60" w:type="dxa"/>
              <w:right w:w="100" w:type="dxa"/>
            </w:tcMar>
          </w:tcPr>
          <w:p w14:paraId="1F090E9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Eom et al. 2022</w:t>
            </w:r>
          </w:p>
        </w:tc>
        <w:tc>
          <w:tcPr>
            <w:tcW w:w="4923" w:type="dxa"/>
            <w:tcMar>
              <w:top w:w="60" w:type="dxa"/>
              <w:left w:w="100" w:type="dxa"/>
              <w:bottom w:w="60" w:type="dxa"/>
              <w:right w:w="100" w:type="dxa"/>
            </w:tcMar>
          </w:tcPr>
          <w:p w14:paraId="39817BC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Metabolic profiling of serum and urine in lactating dairy cows affected by subclinical ketosis using proton nuclear magnetic resonance spectroscopy</w:t>
            </w:r>
          </w:p>
        </w:tc>
        <w:tc>
          <w:tcPr>
            <w:tcW w:w="6537" w:type="dxa"/>
            <w:tcMar>
              <w:top w:w="60" w:type="dxa"/>
              <w:left w:w="100" w:type="dxa"/>
              <w:bottom w:w="60" w:type="dxa"/>
              <w:right w:w="100" w:type="dxa"/>
            </w:tcMar>
          </w:tcPr>
          <w:p w14:paraId="3776D26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setting - pyridoxine as a biomarker.</w:t>
            </w:r>
          </w:p>
        </w:tc>
      </w:tr>
      <w:tr w:rsidR="00EA496D" w:rsidRPr="00F56AD6" w14:paraId="1A228477" w14:textId="77777777" w:rsidTr="00EA496D">
        <w:tc>
          <w:tcPr>
            <w:tcW w:w="846" w:type="dxa"/>
            <w:tcMar>
              <w:top w:w="60" w:type="dxa"/>
              <w:left w:w="100" w:type="dxa"/>
              <w:bottom w:w="60" w:type="dxa"/>
              <w:right w:w="100" w:type="dxa"/>
            </w:tcMar>
          </w:tcPr>
          <w:p w14:paraId="314AB68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144</w:t>
            </w:r>
          </w:p>
        </w:tc>
        <w:tc>
          <w:tcPr>
            <w:tcW w:w="2094" w:type="dxa"/>
            <w:tcMar>
              <w:top w:w="60" w:type="dxa"/>
              <w:left w:w="100" w:type="dxa"/>
              <w:bottom w:w="60" w:type="dxa"/>
              <w:right w:w="100" w:type="dxa"/>
            </w:tcMar>
          </w:tcPr>
          <w:p w14:paraId="1A48561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Faccin et al. 2023</w:t>
            </w:r>
          </w:p>
        </w:tc>
        <w:tc>
          <w:tcPr>
            <w:tcW w:w="4923" w:type="dxa"/>
            <w:tcMar>
              <w:top w:w="60" w:type="dxa"/>
              <w:left w:w="100" w:type="dxa"/>
              <w:bottom w:w="60" w:type="dxa"/>
              <w:right w:w="100" w:type="dxa"/>
            </w:tcMar>
          </w:tcPr>
          <w:p w14:paraId="641AB6E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Industry survey of added vitamins and trace minerals in U.S. swine diets</w:t>
            </w:r>
          </w:p>
        </w:tc>
        <w:tc>
          <w:tcPr>
            <w:tcW w:w="6537" w:type="dxa"/>
            <w:tcMar>
              <w:top w:w="60" w:type="dxa"/>
              <w:left w:w="100" w:type="dxa"/>
              <w:bottom w:w="60" w:type="dxa"/>
              <w:right w:w="100" w:type="dxa"/>
            </w:tcMar>
          </w:tcPr>
          <w:p w14:paraId="6FE75E8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amount of pyridoxine in swine diets.</w:t>
            </w:r>
          </w:p>
        </w:tc>
      </w:tr>
      <w:tr w:rsidR="00EA496D" w:rsidRPr="00F56AD6" w14:paraId="58CECD98" w14:textId="77777777" w:rsidTr="00EA496D">
        <w:tc>
          <w:tcPr>
            <w:tcW w:w="846" w:type="dxa"/>
            <w:tcMar>
              <w:top w:w="60" w:type="dxa"/>
              <w:left w:w="100" w:type="dxa"/>
              <w:bottom w:w="60" w:type="dxa"/>
              <w:right w:w="100" w:type="dxa"/>
            </w:tcMar>
          </w:tcPr>
          <w:p w14:paraId="394082D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145</w:t>
            </w:r>
          </w:p>
        </w:tc>
        <w:tc>
          <w:tcPr>
            <w:tcW w:w="2094" w:type="dxa"/>
            <w:tcMar>
              <w:top w:w="60" w:type="dxa"/>
              <w:left w:w="100" w:type="dxa"/>
              <w:bottom w:w="60" w:type="dxa"/>
              <w:right w:w="100" w:type="dxa"/>
            </w:tcMar>
          </w:tcPr>
          <w:p w14:paraId="7AE8B2D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Falsaperla et al. 2025</w:t>
            </w:r>
          </w:p>
        </w:tc>
        <w:tc>
          <w:tcPr>
            <w:tcW w:w="4923" w:type="dxa"/>
            <w:tcMar>
              <w:top w:w="60" w:type="dxa"/>
              <w:left w:w="100" w:type="dxa"/>
              <w:bottom w:w="60" w:type="dxa"/>
              <w:right w:w="100" w:type="dxa"/>
            </w:tcMar>
          </w:tcPr>
          <w:p w14:paraId="4C21030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Is Vitamin B6 a Precision Therapy for Neonatal Seizures?</w:t>
            </w:r>
          </w:p>
        </w:tc>
        <w:tc>
          <w:tcPr>
            <w:tcW w:w="6537" w:type="dxa"/>
            <w:tcMar>
              <w:top w:w="60" w:type="dxa"/>
              <w:left w:w="100" w:type="dxa"/>
              <w:bottom w:w="60" w:type="dxa"/>
              <w:right w:w="100" w:type="dxa"/>
            </w:tcMar>
          </w:tcPr>
          <w:p w14:paraId="297DC3D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therapeutic effects of B6.</w:t>
            </w:r>
          </w:p>
        </w:tc>
      </w:tr>
      <w:tr w:rsidR="00EA496D" w:rsidRPr="00F56AD6" w14:paraId="14A9F032" w14:textId="77777777" w:rsidTr="00EA496D">
        <w:tc>
          <w:tcPr>
            <w:tcW w:w="846" w:type="dxa"/>
            <w:tcMar>
              <w:top w:w="60" w:type="dxa"/>
              <w:left w:w="100" w:type="dxa"/>
              <w:bottom w:w="60" w:type="dxa"/>
              <w:right w:w="100" w:type="dxa"/>
            </w:tcMar>
          </w:tcPr>
          <w:p w14:paraId="10B22CC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146</w:t>
            </w:r>
          </w:p>
        </w:tc>
        <w:tc>
          <w:tcPr>
            <w:tcW w:w="2094" w:type="dxa"/>
            <w:tcMar>
              <w:top w:w="60" w:type="dxa"/>
              <w:left w:w="100" w:type="dxa"/>
              <w:bottom w:w="60" w:type="dxa"/>
              <w:right w:w="100" w:type="dxa"/>
            </w:tcMar>
          </w:tcPr>
          <w:p w14:paraId="1E6D22C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Fang et al. 2024</w:t>
            </w:r>
          </w:p>
        </w:tc>
        <w:tc>
          <w:tcPr>
            <w:tcW w:w="4923" w:type="dxa"/>
            <w:tcMar>
              <w:top w:w="60" w:type="dxa"/>
              <w:left w:w="100" w:type="dxa"/>
              <w:bottom w:w="60" w:type="dxa"/>
              <w:right w:w="100" w:type="dxa"/>
            </w:tcMar>
          </w:tcPr>
          <w:p w14:paraId="5BDC7E5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alleviates osteoarthritis by suppressing inflammation and apoptosis</w:t>
            </w:r>
          </w:p>
        </w:tc>
        <w:tc>
          <w:tcPr>
            <w:tcW w:w="6537" w:type="dxa"/>
            <w:tcMar>
              <w:top w:w="60" w:type="dxa"/>
              <w:left w:w="100" w:type="dxa"/>
              <w:bottom w:w="60" w:type="dxa"/>
              <w:right w:w="100" w:type="dxa"/>
            </w:tcMar>
          </w:tcPr>
          <w:p w14:paraId="34E6C89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alleviates osteoarthritis.</w:t>
            </w:r>
          </w:p>
        </w:tc>
      </w:tr>
      <w:tr w:rsidR="00EA496D" w:rsidRPr="00F56AD6" w14:paraId="1A18A4DB" w14:textId="77777777" w:rsidTr="00EA496D">
        <w:tc>
          <w:tcPr>
            <w:tcW w:w="846" w:type="dxa"/>
            <w:tcMar>
              <w:top w:w="60" w:type="dxa"/>
              <w:left w:w="100" w:type="dxa"/>
              <w:bottom w:w="60" w:type="dxa"/>
              <w:right w:w="100" w:type="dxa"/>
            </w:tcMar>
          </w:tcPr>
          <w:p w14:paraId="56706F8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147</w:t>
            </w:r>
          </w:p>
        </w:tc>
        <w:tc>
          <w:tcPr>
            <w:tcW w:w="2094" w:type="dxa"/>
            <w:tcMar>
              <w:top w:w="60" w:type="dxa"/>
              <w:left w:w="100" w:type="dxa"/>
              <w:bottom w:w="60" w:type="dxa"/>
              <w:right w:w="100" w:type="dxa"/>
            </w:tcMar>
          </w:tcPr>
          <w:p w14:paraId="32726A5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Felippe et al. 2026</w:t>
            </w:r>
          </w:p>
        </w:tc>
        <w:tc>
          <w:tcPr>
            <w:tcW w:w="4923" w:type="dxa"/>
            <w:tcMar>
              <w:top w:w="60" w:type="dxa"/>
              <w:left w:w="100" w:type="dxa"/>
              <w:bottom w:w="60" w:type="dxa"/>
              <w:right w:w="100" w:type="dxa"/>
            </w:tcMar>
          </w:tcPr>
          <w:p w14:paraId="6A65D06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(Pyridoxal 5' Phosphate) antagonises carotid body P2X3 receptors in hypertension</w:t>
            </w:r>
          </w:p>
        </w:tc>
        <w:tc>
          <w:tcPr>
            <w:tcW w:w="6537" w:type="dxa"/>
            <w:tcMar>
              <w:top w:w="60" w:type="dxa"/>
              <w:left w:w="100" w:type="dxa"/>
              <w:bottom w:w="60" w:type="dxa"/>
              <w:right w:w="100" w:type="dxa"/>
            </w:tcMar>
          </w:tcPr>
          <w:p w14:paraId="5EF9395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may have a calming effect on the nervous system.</w:t>
            </w:r>
          </w:p>
        </w:tc>
      </w:tr>
      <w:tr w:rsidR="00EA496D" w:rsidRPr="00F56AD6" w14:paraId="77DA25B4" w14:textId="77777777" w:rsidTr="00EA496D">
        <w:tc>
          <w:tcPr>
            <w:tcW w:w="846" w:type="dxa"/>
            <w:tcMar>
              <w:top w:w="60" w:type="dxa"/>
              <w:left w:w="100" w:type="dxa"/>
              <w:bottom w:w="60" w:type="dxa"/>
              <w:right w:w="100" w:type="dxa"/>
            </w:tcMar>
          </w:tcPr>
          <w:p w14:paraId="3E79238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148</w:t>
            </w:r>
          </w:p>
        </w:tc>
        <w:tc>
          <w:tcPr>
            <w:tcW w:w="2094" w:type="dxa"/>
            <w:tcMar>
              <w:top w:w="60" w:type="dxa"/>
              <w:left w:w="100" w:type="dxa"/>
              <w:bottom w:w="60" w:type="dxa"/>
              <w:right w:w="100" w:type="dxa"/>
            </w:tcMar>
          </w:tcPr>
          <w:p w14:paraId="4854ADD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Feng et al. 2024</w:t>
            </w:r>
          </w:p>
        </w:tc>
        <w:tc>
          <w:tcPr>
            <w:tcW w:w="4923" w:type="dxa"/>
            <w:tcMar>
              <w:top w:w="60" w:type="dxa"/>
              <w:left w:w="100" w:type="dxa"/>
              <w:bottom w:w="60" w:type="dxa"/>
              <w:right w:w="100" w:type="dxa"/>
            </w:tcMar>
          </w:tcPr>
          <w:p w14:paraId="739DC2A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Bacterial vitamin B6 is required for post-embryonic development in C. elegans</w:t>
            </w:r>
          </w:p>
        </w:tc>
        <w:tc>
          <w:tcPr>
            <w:tcW w:w="6537" w:type="dxa"/>
            <w:tcMar>
              <w:top w:w="60" w:type="dxa"/>
              <w:left w:w="100" w:type="dxa"/>
              <w:bottom w:w="60" w:type="dxa"/>
              <w:right w:w="100" w:type="dxa"/>
            </w:tcMar>
          </w:tcPr>
          <w:p w14:paraId="06409D2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derivative as an important player in post - embryonic development.</w:t>
            </w:r>
          </w:p>
        </w:tc>
      </w:tr>
      <w:tr w:rsidR="00EA496D" w:rsidRPr="00F56AD6" w14:paraId="140C5909" w14:textId="77777777" w:rsidTr="00EA496D">
        <w:tc>
          <w:tcPr>
            <w:tcW w:w="846" w:type="dxa"/>
            <w:tcMar>
              <w:top w:w="60" w:type="dxa"/>
              <w:left w:w="100" w:type="dxa"/>
              <w:bottom w:w="60" w:type="dxa"/>
              <w:right w:w="100" w:type="dxa"/>
            </w:tcMar>
          </w:tcPr>
          <w:p w14:paraId="06E5553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149</w:t>
            </w:r>
          </w:p>
        </w:tc>
        <w:tc>
          <w:tcPr>
            <w:tcW w:w="2094" w:type="dxa"/>
            <w:tcMar>
              <w:top w:w="60" w:type="dxa"/>
              <w:left w:w="100" w:type="dxa"/>
              <w:bottom w:w="60" w:type="dxa"/>
              <w:right w:w="100" w:type="dxa"/>
            </w:tcMar>
          </w:tcPr>
          <w:p w14:paraId="2703DFE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Field et al. 2022</w:t>
            </w:r>
          </w:p>
        </w:tc>
        <w:tc>
          <w:tcPr>
            <w:tcW w:w="4923" w:type="dxa"/>
            <w:tcMar>
              <w:top w:w="60" w:type="dxa"/>
              <w:left w:w="100" w:type="dxa"/>
              <w:bottom w:w="60" w:type="dxa"/>
              <w:right w:w="100" w:type="dxa"/>
            </w:tcMar>
          </w:tcPr>
          <w:p w14:paraId="5AB1531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High-dose Vitamin B6 supplementation reduces anxiety and strengthens visual surround suppression</w:t>
            </w:r>
          </w:p>
        </w:tc>
        <w:tc>
          <w:tcPr>
            <w:tcW w:w="6537" w:type="dxa"/>
            <w:tcMar>
              <w:top w:w="60" w:type="dxa"/>
              <w:left w:w="100" w:type="dxa"/>
              <w:bottom w:w="60" w:type="dxa"/>
              <w:right w:w="100" w:type="dxa"/>
            </w:tcMar>
          </w:tcPr>
          <w:p w14:paraId="5FCE9A8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reduces anxiety and helps produce GABA.</w:t>
            </w:r>
          </w:p>
        </w:tc>
      </w:tr>
      <w:tr w:rsidR="00EA496D" w:rsidRPr="00F56AD6" w14:paraId="66FCC8FF" w14:textId="77777777" w:rsidTr="00EA496D">
        <w:tc>
          <w:tcPr>
            <w:tcW w:w="846" w:type="dxa"/>
            <w:tcMar>
              <w:top w:w="60" w:type="dxa"/>
              <w:left w:w="100" w:type="dxa"/>
              <w:bottom w:w="60" w:type="dxa"/>
              <w:right w:w="100" w:type="dxa"/>
            </w:tcMar>
          </w:tcPr>
          <w:p w14:paraId="38C0762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150</w:t>
            </w:r>
          </w:p>
        </w:tc>
        <w:tc>
          <w:tcPr>
            <w:tcW w:w="2094" w:type="dxa"/>
            <w:tcMar>
              <w:top w:w="60" w:type="dxa"/>
              <w:left w:w="100" w:type="dxa"/>
              <w:bottom w:w="60" w:type="dxa"/>
              <w:right w:w="100" w:type="dxa"/>
            </w:tcMar>
          </w:tcPr>
          <w:p w14:paraId="4A808AE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Filipic et al. 2026</w:t>
            </w:r>
          </w:p>
        </w:tc>
        <w:tc>
          <w:tcPr>
            <w:tcW w:w="4923" w:type="dxa"/>
            <w:tcMar>
              <w:top w:w="60" w:type="dxa"/>
              <w:left w:w="100" w:type="dxa"/>
              <w:bottom w:w="60" w:type="dxa"/>
              <w:right w:w="100" w:type="dxa"/>
            </w:tcMar>
          </w:tcPr>
          <w:p w14:paraId="405CD11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Branched-chain amino acid transferase 2 (BCAT2) deficiency: A case series and systematic review</w:t>
            </w:r>
          </w:p>
        </w:tc>
        <w:tc>
          <w:tcPr>
            <w:tcW w:w="6537" w:type="dxa"/>
            <w:tcMar>
              <w:top w:w="60" w:type="dxa"/>
              <w:left w:w="100" w:type="dxa"/>
              <w:bottom w:w="60" w:type="dxa"/>
              <w:right w:w="100" w:type="dxa"/>
            </w:tcMar>
          </w:tcPr>
          <w:p w14:paraId="43CE937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supplementation trialled to help.</w:t>
            </w:r>
          </w:p>
        </w:tc>
      </w:tr>
      <w:tr w:rsidR="00EA496D" w:rsidRPr="00F56AD6" w14:paraId="4115B840" w14:textId="77777777" w:rsidTr="00EA496D">
        <w:tc>
          <w:tcPr>
            <w:tcW w:w="846" w:type="dxa"/>
            <w:tcMar>
              <w:top w:w="60" w:type="dxa"/>
              <w:left w:w="100" w:type="dxa"/>
              <w:bottom w:w="60" w:type="dxa"/>
              <w:right w:w="100" w:type="dxa"/>
            </w:tcMar>
          </w:tcPr>
          <w:p w14:paraId="0AB7CD6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151</w:t>
            </w:r>
          </w:p>
        </w:tc>
        <w:tc>
          <w:tcPr>
            <w:tcW w:w="2094" w:type="dxa"/>
            <w:tcMar>
              <w:top w:w="60" w:type="dxa"/>
              <w:left w:w="100" w:type="dxa"/>
              <w:bottom w:w="60" w:type="dxa"/>
              <w:right w:w="100" w:type="dxa"/>
            </w:tcMar>
          </w:tcPr>
          <w:p w14:paraId="484EEDE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Flores-Torres et al. 2023</w:t>
            </w:r>
          </w:p>
        </w:tc>
        <w:tc>
          <w:tcPr>
            <w:tcW w:w="4923" w:type="dxa"/>
            <w:tcMar>
              <w:top w:w="60" w:type="dxa"/>
              <w:left w:w="100" w:type="dxa"/>
              <w:bottom w:w="60" w:type="dxa"/>
              <w:right w:w="100" w:type="dxa"/>
            </w:tcMar>
          </w:tcPr>
          <w:p w14:paraId="1709DE2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Long-Term Intake of Folate, Vitamin B6, and Vitamin B12 and the Incidence of Parkinson's Disease in a Sample of U.S. Women and Men</w:t>
            </w:r>
          </w:p>
        </w:tc>
        <w:tc>
          <w:tcPr>
            <w:tcW w:w="6537" w:type="dxa"/>
            <w:tcMar>
              <w:top w:w="60" w:type="dxa"/>
              <w:left w:w="100" w:type="dxa"/>
              <w:bottom w:w="60" w:type="dxa"/>
              <w:right w:w="100" w:type="dxa"/>
            </w:tcMar>
          </w:tcPr>
          <w:p w14:paraId="709C8E8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study was trying to find the benefit of B6 on reducing PD however this was not found.</w:t>
            </w:r>
          </w:p>
        </w:tc>
      </w:tr>
      <w:tr w:rsidR="00EA496D" w:rsidRPr="00F56AD6" w14:paraId="70743367" w14:textId="77777777" w:rsidTr="00EA496D">
        <w:tc>
          <w:tcPr>
            <w:tcW w:w="846" w:type="dxa"/>
            <w:tcMar>
              <w:top w:w="60" w:type="dxa"/>
              <w:left w:w="100" w:type="dxa"/>
              <w:bottom w:w="60" w:type="dxa"/>
              <w:right w:w="100" w:type="dxa"/>
            </w:tcMar>
          </w:tcPr>
          <w:p w14:paraId="794A40F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152</w:t>
            </w:r>
          </w:p>
        </w:tc>
        <w:tc>
          <w:tcPr>
            <w:tcW w:w="2094" w:type="dxa"/>
            <w:tcMar>
              <w:top w:w="60" w:type="dxa"/>
              <w:left w:w="100" w:type="dxa"/>
              <w:bottom w:w="60" w:type="dxa"/>
              <w:right w:w="100" w:type="dxa"/>
            </w:tcMar>
          </w:tcPr>
          <w:p w14:paraId="30AC56F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Fortin et al. 2023</w:t>
            </w:r>
          </w:p>
        </w:tc>
        <w:tc>
          <w:tcPr>
            <w:tcW w:w="4923" w:type="dxa"/>
            <w:tcMar>
              <w:top w:w="60" w:type="dxa"/>
              <w:left w:w="100" w:type="dxa"/>
              <w:bottom w:w="60" w:type="dxa"/>
              <w:right w:w="100" w:type="dxa"/>
            </w:tcMar>
          </w:tcPr>
          <w:p w14:paraId="5E923EE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Pearls &amp; Oy-sters: Delayed Response to Pyridoxine in Pyridoxine-Dependent Epilepsy</w:t>
            </w:r>
          </w:p>
        </w:tc>
        <w:tc>
          <w:tcPr>
            <w:tcW w:w="6537" w:type="dxa"/>
            <w:tcMar>
              <w:top w:w="60" w:type="dxa"/>
              <w:left w:w="100" w:type="dxa"/>
              <w:bottom w:w="60" w:type="dxa"/>
              <w:right w:w="100" w:type="dxa"/>
            </w:tcMar>
          </w:tcPr>
          <w:p w14:paraId="2B838AE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supplementation helped prevent seizures.</w:t>
            </w:r>
          </w:p>
        </w:tc>
      </w:tr>
      <w:tr w:rsidR="00EA496D" w:rsidRPr="00F56AD6" w14:paraId="0C6BC369" w14:textId="77777777" w:rsidTr="00EA496D">
        <w:tc>
          <w:tcPr>
            <w:tcW w:w="846" w:type="dxa"/>
            <w:tcMar>
              <w:top w:w="60" w:type="dxa"/>
              <w:left w:w="100" w:type="dxa"/>
              <w:bottom w:w="60" w:type="dxa"/>
              <w:right w:w="100" w:type="dxa"/>
            </w:tcMar>
          </w:tcPr>
          <w:p w14:paraId="34E4E9C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153</w:t>
            </w:r>
          </w:p>
        </w:tc>
        <w:tc>
          <w:tcPr>
            <w:tcW w:w="2094" w:type="dxa"/>
            <w:tcMar>
              <w:top w:w="60" w:type="dxa"/>
              <w:left w:w="100" w:type="dxa"/>
              <w:bottom w:w="60" w:type="dxa"/>
              <w:right w:w="100" w:type="dxa"/>
            </w:tcMar>
          </w:tcPr>
          <w:p w14:paraId="4CEA798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Freercks et al. 2026</w:t>
            </w:r>
          </w:p>
        </w:tc>
        <w:tc>
          <w:tcPr>
            <w:tcW w:w="4923" w:type="dxa"/>
            <w:tcMar>
              <w:top w:w="60" w:type="dxa"/>
              <w:left w:w="100" w:type="dxa"/>
              <w:bottom w:w="60" w:type="dxa"/>
              <w:right w:w="100" w:type="dxa"/>
            </w:tcMar>
          </w:tcPr>
          <w:p w14:paraId="5A45D76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Safety and Effectiveness of Long-Term Isoniazid Treatment for the Prevention of Tuberculosis in High-Risk Dialysis Patients</w:t>
            </w:r>
          </w:p>
        </w:tc>
        <w:tc>
          <w:tcPr>
            <w:tcW w:w="6537" w:type="dxa"/>
            <w:tcMar>
              <w:top w:w="60" w:type="dxa"/>
              <w:left w:w="100" w:type="dxa"/>
              <w:bottom w:w="60" w:type="dxa"/>
              <w:right w:w="100" w:type="dxa"/>
            </w:tcMar>
          </w:tcPr>
          <w:p w14:paraId="4465B20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side effects were treated with B6.</w:t>
            </w:r>
          </w:p>
        </w:tc>
      </w:tr>
      <w:tr w:rsidR="00EA496D" w:rsidRPr="00F56AD6" w14:paraId="779F72F6" w14:textId="77777777" w:rsidTr="00EA496D">
        <w:tc>
          <w:tcPr>
            <w:tcW w:w="846" w:type="dxa"/>
            <w:tcMar>
              <w:top w:w="60" w:type="dxa"/>
              <w:left w:w="100" w:type="dxa"/>
              <w:bottom w:w="60" w:type="dxa"/>
              <w:right w:w="100" w:type="dxa"/>
            </w:tcMar>
          </w:tcPr>
          <w:p w14:paraId="1D34593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154</w:t>
            </w:r>
          </w:p>
        </w:tc>
        <w:tc>
          <w:tcPr>
            <w:tcW w:w="2094" w:type="dxa"/>
            <w:tcMar>
              <w:top w:w="60" w:type="dxa"/>
              <w:left w:w="100" w:type="dxa"/>
              <w:bottom w:w="60" w:type="dxa"/>
              <w:right w:w="100" w:type="dxa"/>
            </w:tcMar>
          </w:tcPr>
          <w:p w14:paraId="7C4EF35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Fu et al. 2025</w:t>
            </w:r>
          </w:p>
        </w:tc>
        <w:tc>
          <w:tcPr>
            <w:tcW w:w="4923" w:type="dxa"/>
            <w:tcMar>
              <w:top w:w="60" w:type="dxa"/>
              <w:left w:w="100" w:type="dxa"/>
              <w:bottom w:w="60" w:type="dxa"/>
              <w:right w:w="100" w:type="dxa"/>
            </w:tcMar>
          </w:tcPr>
          <w:p w14:paraId="7BDAF79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cell-autonomous role for the vitamin B6 metabolism gene PNPO in Drosophila GABAergic neurons</w:t>
            </w:r>
          </w:p>
        </w:tc>
        <w:tc>
          <w:tcPr>
            <w:tcW w:w="6537" w:type="dxa"/>
            <w:tcMar>
              <w:top w:w="60" w:type="dxa"/>
              <w:left w:w="100" w:type="dxa"/>
              <w:bottom w:w="60" w:type="dxa"/>
              <w:right w:w="100" w:type="dxa"/>
            </w:tcMar>
          </w:tcPr>
          <w:p w14:paraId="1A59871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mechanisms to active vitamer in PNPO genes.</w:t>
            </w:r>
          </w:p>
        </w:tc>
      </w:tr>
      <w:tr w:rsidR="00EA496D" w:rsidRPr="00F56AD6" w14:paraId="62115146" w14:textId="77777777" w:rsidTr="00EA496D">
        <w:tc>
          <w:tcPr>
            <w:tcW w:w="846" w:type="dxa"/>
            <w:tcMar>
              <w:top w:w="60" w:type="dxa"/>
              <w:left w:w="100" w:type="dxa"/>
              <w:bottom w:w="60" w:type="dxa"/>
              <w:right w:w="100" w:type="dxa"/>
            </w:tcMar>
          </w:tcPr>
          <w:p w14:paraId="3B0A34C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155</w:t>
            </w:r>
          </w:p>
        </w:tc>
        <w:tc>
          <w:tcPr>
            <w:tcW w:w="2094" w:type="dxa"/>
            <w:tcMar>
              <w:top w:w="60" w:type="dxa"/>
              <w:left w:w="100" w:type="dxa"/>
              <w:bottom w:w="60" w:type="dxa"/>
              <w:right w:w="100" w:type="dxa"/>
            </w:tcMar>
          </w:tcPr>
          <w:p w14:paraId="1196FE2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Fulmali 2022</w:t>
            </w:r>
          </w:p>
        </w:tc>
        <w:tc>
          <w:tcPr>
            <w:tcW w:w="4923" w:type="dxa"/>
            <w:tcMar>
              <w:top w:w="60" w:type="dxa"/>
              <w:left w:w="100" w:type="dxa"/>
              <w:bottom w:w="60" w:type="dxa"/>
              <w:right w:w="100" w:type="dxa"/>
            </w:tcMar>
          </w:tcPr>
          <w:p w14:paraId="68A1B5F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Phosphate moiety in FDA-approved pharmaceutical salts and prodrugs</w:t>
            </w:r>
          </w:p>
        </w:tc>
        <w:tc>
          <w:tcPr>
            <w:tcW w:w="6537" w:type="dxa"/>
            <w:tcMar>
              <w:top w:w="60" w:type="dxa"/>
              <w:left w:w="100" w:type="dxa"/>
              <w:bottom w:w="60" w:type="dxa"/>
              <w:right w:w="100" w:type="dxa"/>
            </w:tcMar>
          </w:tcPr>
          <w:p w14:paraId="1ECE0E8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pyridoxal phosphate mentioned in passing as a prodrug.</w:t>
            </w:r>
          </w:p>
        </w:tc>
      </w:tr>
      <w:tr w:rsidR="00EA496D" w:rsidRPr="00F56AD6" w14:paraId="36E67BA3" w14:textId="77777777" w:rsidTr="00EA496D">
        <w:tc>
          <w:tcPr>
            <w:tcW w:w="846" w:type="dxa"/>
            <w:tcMar>
              <w:top w:w="60" w:type="dxa"/>
              <w:left w:w="100" w:type="dxa"/>
              <w:bottom w:w="60" w:type="dxa"/>
              <w:right w:w="100" w:type="dxa"/>
            </w:tcMar>
          </w:tcPr>
          <w:p w14:paraId="4D67D5A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156</w:t>
            </w:r>
          </w:p>
        </w:tc>
        <w:tc>
          <w:tcPr>
            <w:tcW w:w="2094" w:type="dxa"/>
            <w:tcMar>
              <w:top w:w="60" w:type="dxa"/>
              <w:left w:w="100" w:type="dxa"/>
              <w:bottom w:w="60" w:type="dxa"/>
              <w:right w:w="100" w:type="dxa"/>
            </w:tcMar>
          </w:tcPr>
          <w:p w14:paraId="237C3EB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Gaither et al. 2026</w:t>
            </w:r>
          </w:p>
        </w:tc>
        <w:tc>
          <w:tcPr>
            <w:tcW w:w="4923" w:type="dxa"/>
            <w:tcMar>
              <w:top w:w="60" w:type="dxa"/>
              <w:left w:w="100" w:type="dxa"/>
              <w:bottom w:w="60" w:type="dxa"/>
              <w:right w:w="100" w:type="dxa"/>
            </w:tcMar>
          </w:tcPr>
          <w:p w14:paraId="707F8EA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Consensus Guideline for Care of Patients in the Prehospital and Aerospace Settings with Exposures to Hydrazine and Hydrazine Derivatives</w:t>
            </w:r>
          </w:p>
        </w:tc>
        <w:tc>
          <w:tcPr>
            <w:tcW w:w="6537" w:type="dxa"/>
            <w:tcMar>
              <w:top w:w="60" w:type="dxa"/>
              <w:left w:w="100" w:type="dxa"/>
              <w:bottom w:w="60" w:type="dxa"/>
              <w:right w:w="100" w:type="dxa"/>
            </w:tcMar>
          </w:tcPr>
          <w:p w14:paraId="6891A7F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therapeutic effect for exposure to hydrazine.</w:t>
            </w:r>
          </w:p>
        </w:tc>
      </w:tr>
      <w:tr w:rsidR="00EA496D" w:rsidRPr="00F56AD6" w14:paraId="153A70BE" w14:textId="77777777" w:rsidTr="00EA496D">
        <w:tc>
          <w:tcPr>
            <w:tcW w:w="846" w:type="dxa"/>
            <w:tcMar>
              <w:top w:w="60" w:type="dxa"/>
              <w:left w:w="100" w:type="dxa"/>
              <w:bottom w:w="60" w:type="dxa"/>
              <w:right w:w="100" w:type="dxa"/>
            </w:tcMar>
          </w:tcPr>
          <w:p w14:paraId="4321F72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157</w:t>
            </w:r>
          </w:p>
        </w:tc>
        <w:tc>
          <w:tcPr>
            <w:tcW w:w="2094" w:type="dxa"/>
            <w:tcMar>
              <w:top w:w="60" w:type="dxa"/>
              <w:left w:w="100" w:type="dxa"/>
              <w:bottom w:w="60" w:type="dxa"/>
              <w:right w:w="100" w:type="dxa"/>
            </w:tcMar>
          </w:tcPr>
          <w:p w14:paraId="091466D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Gálvez et al. 2023</w:t>
            </w:r>
          </w:p>
        </w:tc>
        <w:tc>
          <w:tcPr>
            <w:tcW w:w="4923" w:type="dxa"/>
            <w:tcMar>
              <w:top w:w="60" w:type="dxa"/>
              <w:left w:w="100" w:type="dxa"/>
              <w:bottom w:w="60" w:type="dxa"/>
              <w:right w:w="100" w:type="dxa"/>
            </w:tcMar>
          </w:tcPr>
          <w:p w14:paraId="6EB9483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Gastroparesis associated to isoniazid. First description</w:t>
            </w:r>
          </w:p>
        </w:tc>
        <w:tc>
          <w:tcPr>
            <w:tcW w:w="6537" w:type="dxa"/>
            <w:tcMar>
              <w:top w:w="60" w:type="dxa"/>
              <w:left w:w="100" w:type="dxa"/>
              <w:bottom w:w="60" w:type="dxa"/>
              <w:right w:w="100" w:type="dxa"/>
            </w:tcMar>
          </w:tcPr>
          <w:p w14:paraId="5514ACE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pyridoxine supplementation has therapeutic effect.</w:t>
            </w:r>
          </w:p>
        </w:tc>
      </w:tr>
      <w:tr w:rsidR="00EA496D" w:rsidRPr="00F56AD6" w14:paraId="2B765150" w14:textId="77777777" w:rsidTr="00EA496D">
        <w:tc>
          <w:tcPr>
            <w:tcW w:w="846" w:type="dxa"/>
            <w:tcMar>
              <w:top w:w="60" w:type="dxa"/>
              <w:left w:w="100" w:type="dxa"/>
              <w:bottom w:w="60" w:type="dxa"/>
              <w:right w:w="100" w:type="dxa"/>
            </w:tcMar>
          </w:tcPr>
          <w:p w14:paraId="7E03D36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158</w:t>
            </w:r>
          </w:p>
        </w:tc>
        <w:tc>
          <w:tcPr>
            <w:tcW w:w="2094" w:type="dxa"/>
            <w:tcMar>
              <w:top w:w="60" w:type="dxa"/>
              <w:left w:w="100" w:type="dxa"/>
              <w:bottom w:w="60" w:type="dxa"/>
              <w:right w:w="100" w:type="dxa"/>
            </w:tcMar>
          </w:tcPr>
          <w:p w14:paraId="73D31BD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Gálvez-Navas et al. 2024</w:t>
            </w:r>
          </w:p>
        </w:tc>
        <w:tc>
          <w:tcPr>
            <w:tcW w:w="4923" w:type="dxa"/>
            <w:tcMar>
              <w:top w:w="60" w:type="dxa"/>
              <w:left w:w="100" w:type="dxa"/>
              <w:bottom w:w="60" w:type="dxa"/>
              <w:right w:w="100" w:type="dxa"/>
            </w:tcMar>
          </w:tcPr>
          <w:p w14:paraId="04DF20A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Molecular Mechanisms Linking Genes and Vitamins of the Complex B Related to One-Carbon Metabolism in Breast Cancer: An In Silico Functional Database Study</w:t>
            </w:r>
          </w:p>
        </w:tc>
        <w:tc>
          <w:tcPr>
            <w:tcW w:w="6537" w:type="dxa"/>
            <w:tcMar>
              <w:top w:w="60" w:type="dxa"/>
              <w:left w:w="100" w:type="dxa"/>
              <w:bottom w:w="60" w:type="dxa"/>
              <w:right w:w="100" w:type="dxa"/>
            </w:tcMar>
          </w:tcPr>
          <w:p w14:paraId="7EF5818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/outcome (no toxicity of B6 intake) - B vitamin supplementation is vital in the one carbon metabolism process than that can prevent cancer.</w:t>
            </w:r>
          </w:p>
        </w:tc>
      </w:tr>
      <w:tr w:rsidR="00EA496D" w:rsidRPr="00F56AD6" w14:paraId="0A3A9AAA" w14:textId="77777777" w:rsidTr="00EA496D">
        <w:tc>
          <w:tcPr>
            <w:tcW w:w="846" w:type="dxa"/>
            <w:tcMar>
              <w:top w:w="60" w:type="dxa"/>
              <w:left w:w="100" w:type="dxa"/>
              <w:bottom w:w="60" w:type="dxa"/>
              <w:right w:w="100" w:type="dxa"/>
            </w:tcMar>
          </w:tcPr>
          <w:p w14:paraId="751A31E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159</w:t>
            </w:r>
          </w:p>
        </w:tc>
        <w:tc>
          <w:tcPr>
            <w:tcW w:w="2094" w:type="dxa"/>
            <w:tcMar>
              <w:top w:w="60" w:type="dxa"/>
              <w:left w:w="100" w:type="dxa"/>
              <w:bottom w:w="60" w:type="dxa"/>
              <w:right w:w="100" w:type="dxa"/>
            </w:tcMar>
          </w:tcPr>
          <w:p w14:paraId="08F9E5A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Gao et al. 2023</w:t>
            </w:r>
          </w:p>
        </w:tc>
        <w:tc>
          <w:tcPr>
            <w:tcW w:w="4923" w:type="dxa"/>
            <w:tcMar>
              <w:top w:w="60" w:type="dxa"/>
              <w:left w:w="100" w:type="dxa"/>
              <w:bottom w:w="60" w:type="dxa"/>
              <w:right w:w="100" w:type="dxa"/>
            </w:tcMar>
          </w:tcPr>
          <w:p w14:paraId="75EB22A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Lacticaseibacillus rhamnosus Probio-M9 enhanced the antitumor response to anti-PD-1 therapy by modulating intestinal metabolites</w:t>
            </w:r>
          </w:p>
        </w:tc>
        <w:tc>
          <w:tcPr>
            <w:tcW w:w="6537" w:type="dxa"/>
            <w:tcMar>
              <w:top w:w="60" w:type="dxa"/>
              <w:left w:w="100" w:type="dxa"/>
              <w:bottom w:w="60" w:type="dxa"/>
              <w:right w:w="100" w:type="dxa"/>
            </w:tcMar>
          </w:tcPr>
          <w:p w14:paraId="589C963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pyridoxine concentration as a bioresponse.</w:t>
            </w:r>
          </w:p>
        </w:tc>
      </w:tr>
      <w:tr w:rsidR="00EA496D" w:rsidRPr="00F56AD6" w14:paraId="444BD208" w14:textId="77777777" w:rsidTr="00EA496D">
        <w:tc>
          <w:tcPr>
            <w:tcW w:w="846" w:type="dxa"/>
            <w:tcMar>
              <w:top w:w="60" w:type="dxa"/>
              <w:left w:w="100" w:type="dxa"/>
              <w:bottom w:w="60" w:type="dxa"/>
              <w:right w:w="100" w:type="dxa"/>
            </w:tcMar>
          </w:tcPr>
          <w:p w14:paraId="054C1C7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160</w:t>
            </w:r>
          </w:p>
        </w:tc>
        <w:tc>
          <w:tcPr>
            <w:tcW w:w="2094" w:type="dxa"/>
            <w:tcMar>
              <w:top w:w="60" w:type="dxa"/>
              <w:left w:w="100" w:type="dxa"/>
              <w:bottom w:w="60" w:type="dxa"/>
              <w:right w:w="100" w:type="dxa"/>
            </w:tcMar>
          </w:tcPr>
          <w:p w14:paraId="53ECB74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Gao et al. 2022</w:t>
            </w:r>
          </w:p>
        </w:tc>
        <w:tc>
          <w:tcPr>
            <w:tcW w:w="4923" w:type="dxa"/>
            <w:tcMar>
              <w:top w:w="60" w:type="dxa"/>
              <w:left w:w="100" w:type="dxa"/>
              <w:bottom w:w="60" w:type="dxa"/>
              <w:right w:w="100" w:type="dxa"/>
            </w:tcMar>
          </w:tcPr>
          <w:p w14:paraId="3B3F110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 xml:space="preserve">Genome-wide identification of SHMT family genes in cucumber (Cucumis sativus L.) and functional </w:t>
            </w:r>
            <w:r w:rsidRPr="00F56AD6">
              <w:rPr>
                <w:rFonts w:asciiTheme="minorHAnsi" w:hAnsiTheme="minorHAnsi" w:cstheme="minorHAnsi"/>
                <w:sz w:val="20"/>
              </w:rPr>
              <w:lastRenderedPageBreak/>
              <w:t>analyses of CsSHMTs in response to hormones and abiotic stresses</w:t>
            </w:r>
          </w:p>
        </w:tc>
        <w:tc>
          <w:tcPr>
            <w:tcW w:w="6537" w:type="dxa"/>
            <w:tcMar>
              <w:top w:w="60" w:type="dxa"/>
              <w:left w:w="100" w:type="dxa"/>
              <w:bottom w:w="60" w:type="dxa"/>
              <w:right w:w="100" w:type="dxa"/>
            </w:tcMar>
          </w:tcPr>
          <w:p w14:paraId="7D7D204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Excluded due to wrong population: plants.</w:t>
            </w:r>
          </w:p>
        </w:tc>
      </w:tr>
      <w:tr w:rsidR="00EA496D" w:rsidRPr="00F56AD6" w14:paraId="75E6561E" w14:textId="77777777" w:rsidTr="00EA496D">
        <w:tc>
          <w:tcPr>
            <w:tcW w:w="846" w:type="dxa"/>
            <w:tcMar>
              <w:top w:w="60" w:type="dxa"/>
              <w:left w:w="100" w:type="dxa"/>
              <w:bottom w:w="60" w:type="dxa"/>
              <w:right w:w="100" w:type="dxa"/>
            </w:tcMar>
          </w:tcPr>
          <w:p w14:paraId="2BC5442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161</w:t>
            </w:r>
          </w:p>
        </w:tc>
        <w:tc>
          <w:tcPr>
            <w:tcW w:w="2094" w:type="dxa"/>
            <w:tcMar>
              <w:top w:w="60" w:type="dxa"/>
              <w:left w:w="100" w:type="dxa"/>
              <w:bottom w:w="60" w:type="dxa"/>
              <w:right w:w="100" w:type="dxa"/>
            </w:tcMar>
          </w:tcPr>
          <w:p w14:paraId="49D4CF2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Gao et al. 2025</w:t>
            </w:r>
          </w:p>
        </w:tc>
        <w:tc>
          <w:tcPr>
            <w:tcW w:w="4923" w:type="dxa"/>
            <w:tcMar>
              <w:top w:w="60" w:type="dxa"/>
              <w:left w:w="100" w:type="dxa"/>
              <w:bottom w:w="60" w:type="dxa"/>
              <w:right w:w="100" w:type="dxa"/>
            </w:tcMar>
          </w:tcPr>
          <w:p w14:paraId="041B16F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High-performance biocatalyst Nicotiana attenuata α-glucan phosphorylase facilitates the robust synthesis of amylose from cellobiose</w:t>
            </w:r>
          </w:p>
        </w:tc>
        <w:tc>
          <w:tcPr>
            <w:tcW w:w="6537" w:type="dxa"/>
            <w:tcMar>
              <w:top w:w="60" w:type="dxa"/>
              <w:left w:w="100" w:type="dxa"/>
              <w:bottom w:w="60" w:type="dxa"/>
              <w:right w:w="100" w:type="dxa"/>
            </w:tcMar>
          </w:tcPr>
          <w:p w14:paraId="1E4C730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catalysis is affected in study.</w:t>
            </w:r>
          </w:p>
        </w:tc>
      </w:tr>
      <w:tr w:rsidR="00EA496D" w:rsidRPr="00F56AD6" w14:paraId="531AA271" w14:textId="77777777" w:rsidTr="00EA496D">
        <w:tc>
          <w:tcPr>
            <w:tcW w:w="846" w:type="dxa"/>
            <w:tcMar>
              <w:top w:w="60" w:type="dxa"/>
              <w:left w:w="100" w:type="dxa"/>
              <w:bottom w:w="60" w:type="dxa"/>
              <w:right w:w="100" w:type="dxa"/>
            </w:tcMar>
          </w:tcPr>
          <w:p w14:paraId="2082B70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162</w:t>
            </w:r>
          </w:p>
        </w:tc>
        <w:tc>
          <w:tcPr>
            <w:tcW w:w="2094" w:type="dxa"/>
            <w:tcMar>
              <w:top w:w="60" w:type="dxa"/>
              <w:left w:w="100" w:type="dxa"/>
              <w:bottom w:w="60" w:type="dxa"/>
              <w:right w:w="100" w:type="dxa"/>
            </w:tcMar>
          </w:tcPr>
          <w:p w14:paraId="51B48AB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Gao et al. 2025</w:t>
            </w:r>
          </w:p>
        </w:tc>
        <w:tc>
          <w:tcPr>
            <w:tcW w:w="4923" w:type="dxa"/>
            <w:tcMar>
              <w:top w:w="60" w:type="dxa"/>
              <w:left w:w="100" w:type="dxa"/>
              <w:bottom w:w="60" w:type="dxa"/>
              <w:right w:w="100" w:type="dxa"/>
            </w:tcMar>
          </w:tcPr>
          <w:p w14:paraId="163B76E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Application of Quantitative (1)H-NMR for the Determination of Melatonin and Vitamin B6 in Commercial Melatonin Products</w:t>
            </w:r>
          </w:p>
        </w:tc>
        <w:tc>
          <w:tcPr>
            <w:tcW w:w="6537" w:type="dxa"/>
            <w:tcMar>
              <w:top w:w="60" w:type="dxa"/>
              <w:left w:w="100" w:type="dxa"/>
              <w:bottom w:w="60" w:type="dxa"/>
              <w:right w:w="100" w:type="dxa"/>
            </w:tcMar>
          </w:tcPr>
          <w:p w14:paraId="024CB07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determining the amount of B6 in melatonin products.</w:t>
            </w:r>
          </w:p>
        </w:tc>
      </w:tr>
      <w:tr w:rsidR="00EA496D" w:rsidRPr="00F56AD6" w14:paraId="388C61B5" w14:textId="77777777" w:rsidTr="00EA496D">
        <w:tc>
          <w:tcPr>
            <w:tcW w:w="846" w:type="dxa"/>
            <w:tcMar>
              <w:top w:w="60" w:type="dxa"/>
              <w:left w:w="100" w:type="dxa"/>
              <w:bottom w:w="60" w:type="dxa"/>
              <w:right w:w="100" w:type="dxa"/>
            </w:tcMar>
          </w:tcPr>
          <w:p w14:paraId="3FD6A16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163</w:t>
            </w:r>
          </w:p>
        </w:tc>
        <w:tc>
          <w:tcPr>
            <w:tcW w:w="2094" w:type="dxa"/>
            <w:tcMar>
              <w:top w:w="60" w:type="dxa"/>
              <w:left w:w="100" w:type="dxa"/>
              <w:bottom w:w="60" w:type="dxa"/>
              <w:right w:w="100" w:type="dxa"/>
            </w:tcMar>
          </w:tcPr>
          <w:p w14:paraId="27FA701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Gao et al. 2026</w:t>
            </w:r>
          </w:p>
        </w:tc>
        <w:tc>
          <w:tcPr>
            <w:tcW w:w="4923" w:type="dxa"/>
            <w:tcMar>
              <w:top w:w="60" w:type="dxa"/>
              <w:left w:w="100" w:type="dxa"/>
              <w:bottom w:w="60" w:type="dxa"/>
              <w:right w:w="100" w:type="dxa"/>
            </w:tcMar>
          </w:tcPr>
          <w:p w14:paraId="4DAAF85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 between serum PLP levels and the natural resolution of nausea and vomiting in pregnancy: a secondary analysis</w:t>
            </w:r>
          </w:p>
        </w:tc>
        <w:tc>
          <w:tcPr>
            <w:tcW w:w="6537" w:type="dxa"/>
            <w:tcMar>
              <w:top w:w="60" w:type="dxa"/>
              <w:left w:w="100" w:type="dxa"/>
              <w:bottom w:w="60" w:type="dxa"/>
              <w:right w:w="100" w:type="dxa"/>
            </w:tcMar>
          </w:tcPr>
          <w:p w14:paraId="3307426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specific study - PLP as biomarker for NVP would be hard to obtain info on UL.</w:t>
            </w:r>
          </w:p>
        </w:tc>
      </w:tr>
      <w:tr w:rsidR="00EA496D" w:rsidRPr="00F56AD6" w14:paraId="23AAD86E" w14:textId="77777777" w:rsidTr="00EA496D">
        <w:tc>
          <w:tcPr>
            <w:tcW w:w="846" w:type="dxa"/>
            <w:tcMar>
              <w:top w:w="60" w:type="dxa"/>
              <w:left w:w="100" w:type="dxa"/>
              <w:bottom w:w="60" w:type="dxa"/>
              <w:right w:w="100" w:type="dxa"/>
            </w:tcMar>
          </w:tcPr>
          <w:p w14:paraId="7C8D3E3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164</w:t>
            </w:r>
          </w:p>
        </w:tc>
        <w:tc>
          <w:tcPr>
            <w:tcW w:w="2094" w:type="dxa"/>
            <w:tcMar>
              <w:top w:w="60" w:type="dxa"/>
              <w:left w:w="100" w:type="dxa"/>
              <w:bottom w:w="60" w:type="dxa"/>
              <w:right w:w="100" w:type="dxa"/>
            </w:tcMar>
          </w:tcPr>
          <w:p w14:paraId="519969B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Garg et al. 2026</w:t>
            </w:r>
          </w:p>
        </w:tc>
        <w:tc>
          <w:tcPr>
            <w:tcW w:w="4923" w:type="dxa"/>
            <w:tcMar>
              <w:top w:w="60" w:type="dxa"/>
              <w:left w:w="100" w:type="dxa"/>
              <w:bottom w:w="60" w:type="dxa"/>
              <w:right w:w="100" w:type="dxa"/>
            </w:tcMar>
          </w:tcPr>
          <w:p w14:paraId="0578D31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Hippophae rhamnoides: Way to Ameliorate Depressive Augury by Cyanocobalamin</w:t>
            </w:r>
          </w:p>
        </w:tc>
        <w:tc>
          <w:tcPr>
            <w:tcW w:w="6537" w:type="dxa"/>
            <w:tcMar>
              <w:top w:w="60" w:type="dxa"/>
              <w:left w:w="100" w:type="dxa"/>
              <w:bottom w:w="60" w:type="dxa"/>
              <w:right w:w="100" w:type="dxa"/>
            </w:tcMar>
          </w:tcPr>
          <w:p w14:paraId="0746014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correlation of vitamin B12 on depression.</w:t>
            </w:r>
          </w:p>
        </w:tc>
      </w:tr>
      <w:tr w:rsidR="00EA496D" w:rsidRPr="00F56AD6" w14:paraId="31DE1F47" w14:textId="77777777" w:rsidTr="00EA496D">
        <w:tc>
          <w:tcPr>
            <w:tcW w:w="846" w:type="dxa"/>
            <w:tcMar>
              <w:top w:w="60" w:type="dxa"/>
              <w:left w:w="100" w:type="dxa"/>
              <w:bottom w:w="60" w:type="dxa"/>
              <w:right w:w="100" w:type="dxa"/>
            </w:tcMar>
          </w:tcPr>
          <w:p w14:paraId="6C3DC82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165</w:t>
            </w:r>
          </w:p>
        </w:tc>
        <w:tc>
          <w:tcPr>
            <w:tcW w:w="2094" w:type="dxa"/>
            <w:tcMar>
              <w:top w:w="60" w:type="dxa"/>
              <w:left w:w="100" w:type="dxa"/>
              <w:bottom w:w="60" w:type="dxa"/>
              <w:right w:w="100" w:type="dxa"/>
            </w:tcMar>
          </w:tcPr>
          <w:p w14:paraId="19356CD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Geusens et al. 2026</w:t>
            </w:r>
          </w:p>
        </w:tc>
        <w:tc>
          <w:tcPr>
            <w:tcW w:w="4923" w:type="dxa"/>
            <w:tcMar>
              <w:top w:w="60" w:type="dxa"/>
              <w:left w:w="100" w:type="dxa"/>
              <w:bottom w:w="60" w:type="dxa"/>
              <w:right w:w="100" w:type="dxa"/>
            </w:tcMar>
          </w:tcPr>
          <w:p w14:paraId="319D761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YouTube as a source of (mis)information for morning sickness self-help - A content analysis and literature review of recommendations for nausea and vomiting in pregnancy</w:t>
            </w:r>
          </w:p>
        </w:tc>
        <w:tc>
          <w:tcPr>
            <w:tcW w:w="6537" w:type="dxa"/>
            <w:tcMar>
              <w:top w:w="60" w:type="dxa"/>
              <w:left w:w="100" w:type="dxa"/>
              <w:bottom w:w="60" w:type="dxa"/>
              <w:right w:w="100" w:type="dxa"/>
            </w:tcMar>
          </w:tcPr>
          <w:p w14:paraId="00C8C94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misinformation for pregnancy symptoms in YouTube.</w:t>
            </w:r>
          </w:p>
        </w:tc>
      </w:tr>
      <w:tr w:rsidR="00EA496D" w:rsidRPr="00F56AD6" w14:paraId="14F96635" w14:textId="77777777" w:rsidTr="00EA496D">
        <w:tc>
          <w:tcPr>
            <w:tcW w:w="846" w:type="dxa"/>
            <w:tcMar>
              <w:top w:w="60" w:type="dxa"/>
              <w:left w:w="100" w:type="dxa"/>
              <w:bottom w:w="60" w:type="dxa"/>
              <w:right w:w="100" w:type="dxa"/>
            </w:tcMar>
          </w:tcPr>
          <w:p w14:paraId="3162BE0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166</w:t>
            </w:r>
          </w:p>
        </w:tc>
        <w:tc>
          <w:tcPr>
            <w:tcW w:w="2094" w:type="dxa"/>
            <w:tcMar>
              <w:top w:w="60" w:type="dxa"/>
              <w:left w:w="100" w:type="dxa"/>
              <w:bottom w:w="60" w:type="dxa"/>
              <w:right w:w="100" w:type="dxa"/>
            </w:tcMar>
          </w:tcPr>
          <w:p w14:paraId="3420488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Gholizadeh et al. 2022</w:t>
            </w:r>
          </w:p>
        </w:tc>
        <w:tc>
          <w:tcPr>
            <w:tcW w:w="4923" w:type="dxa"/>
            <w:tcMar>
              <w:top w:w="60" w:type="dxa"/>
              <w:left w:w="100" w:type="dxa"/>
              <w:bottom w:w="60" w:type="dxa"/>
              <w:right w:w="100" w:type="dxa"/>
            </w:tcMar>
          </w:tcPr>
          <w:p w14:paraId="558C280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Production performance, egg quality and some blood parameters of heat-stressed laying hens as affected by dietary supplemental Vit B6, Mg and Zn</w:t>
            </w:r>
          </w:p>
        </w:tc>
        <w:tc>
          <w:tcPr>
            <w:tcW w:w="6537" w:type="dxa"/>
            <w:tcMar>
              <w:top w:w="60" w:type="dxa"/>
              <w:left w:w="100" w:type="dxa"/>
              <w:bottom w:w="60" w:type="dxa"/>
              <w:right w:w="100" w:type="dxa"/>
            </w:tcMar>
          </w:tcPr>
          <w:p w14:paraId="7CE915E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helped performance of egg laying hens.</w:t>
            </w:r>
          </w:p>
        </w:tc>
      </w:tr>
      <w:tr w:rsidR="00EA496D" w:rsidRPr="00F56AD6" w14:paraId="19068A90" w14:textId="77777777" w:rsidTr="00EA496D">
        <w:tc>
          <w:tcPr>
            <w:tcW w:w="846" w:type="dxa"/>
            <w:tcMar>
              <w:top w:w="60" w:type="dxa"/>
              <w:left w:w="100" w:type="dxa"/>
              <w:bottom w:w="60" w:type="dxa"/>
              <w:right w:w="100" w:type="dxa"/>
            </w:tcMar>
          </w:tcPr>
          <w:p w14:paraId="3ED2B05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167</w:t>
            </w:r>
          </w:p>
        </w:tc>
        <w:tc>
          <w:tcPr>
            <w:tcW w:w="2094" w:type="dxa"/>
            <w:tcMar>
              <w:top w:w="60" w:type="dxa"/>
              <w:left w:w="100" w:type="dxa"/>
              <w:bottom w:w="60" w:type="dxa"/>
              <w:right w:w="100" w:type="dxa"/>
            </w:tcMar>
          </w:tcPr>
          <w:p w14:paraId="33C385B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Ghosh et al. 2023</w:t>
            </w:r>
          </w:p>
        </w:tc>
        <w:tc>
          <w:tcPr>
            <w:tcW w:w="4923" w:type="dxa"/>
            <w:tcMar>
              <w:top w:w="60" w:type="dxa"/>
              <w:left w:w="100" w:type="dxa"/>
              <w:bottom w:w="60" w:type="dxa"/>
              <w:right w:w="100" w:type="dxa"/>
            </w:tcMar>
          </w:tcPr>
          <w:p w14:paraId="6EEEB43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In vivo 'turn on' fluorescence detection of free cysteine in zebrafish kidney and liver</w:t>
            </w:r>
          </w:p>
        </w:tc>
        <w:tc>
          <w:tcPr>
            <w:tcW w:w="6537" w:type="dxa"/>
            <w:tcMar>
              <w:top w:w="60" w:type="dxa"/>
              <w:left w:w="100" w:type="dxa"/>
              <w:bottom w:w="60" w:type="dxa"/>
              <w:right w:w="100" w:type="dxa"/>
            </w:tcMar>
          </w:tcPr>
          <w:p w14:paraId="5683CAC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setting - pyridoxal as part of the system to detect free cysteine.</w:t>
            </w:r>
          </w:p>
        </w:tc>
      </w:tr>
      <w:tr w:rsidR="00EA496D" w:rsidRPr="00F56AD6" w14:paraId="56EE12D8" w14:textId="77777777" w:rsidTr="00EA496D">
        <w:tc>
          <w:tcPr>
            <w:tcW w:w="846" w:type="dxa"/>
            <w:tcMar>
              <w:top w:w="60" w:type="dxa"/>
              <w:left w:w="100" w:type="dxa"/>
              <w:bottom w:w="60" w:type="dxa"/>
              <w:right w:w="100" w:type="dxa"/>
            </w:tcMar>
          </w:tcPr>
          <w:p w14:paraId="2AFE631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168</w:t>
            </w:r>
          </w:p>
        </w:tc>
        <w:tc>
          <w:tcPr>
            <w:tcW w:w="2094" w:type="dxa"/>
            <w:tcMar>
              <w:top w:w="60" w:type="dxa"/>
              <w:left w:w="100" w:type="dxa"/>
              <w:bottom w:w="60" w:type="dxa"/>
              <w:right w:w="100" w:type="dxa"/>
            </w:tcMar>
          </w:tcPr>
          <w:p w14:paraId="7C2D679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Ghosh et al. 2026</w:t>
            </w:r>
          </w:p>
        </w:tc>
        <w:tc>
          <w:tcPr>
            <w:tcW w:w="4923" w:type="dxa"/>
            <w:tcMar>
              <w:top w:w="60" w:type="dxa"/>
              <w:left w:w="100" w:type="dxa"/>
              <w:bottom w:w="60" w:type="dxa"/>
              <w:right w:w="100" w:type="dxa"/>
            </w:tcMar>
          </w:tcPr>
          <w:p w14:paraId="74EAEE3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 vitamins in dermatology</w:t>
            </w:r>
          </w:p>
        </w:tc>
        <w:tc>
          <w:tcPr>
            <w:tcW w:w="6537" w:type="dxa"/>
            <w:tcMar>
              <w:top w:w="60" w:type="dxa"/>
              <w:left w:w="100" w:type="dxa"/>
              <w:bottom w:w="60" w:type="dxa"/>
              <w:right w:w="100" w:type="dxa"/>
            </w:tcMar>
          </w:tcPr>
          <w:p w14:paraId="73C13A7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 vitamins have dermatological benefits.</w:t>
            </w:r>
          </w:p>
        </w:tc>
      </w:tr>
      <w:tr w:rsidR="00EA496D" w:rsidRPr="00F56AD6" w14:paraId="6FF2F045" w14:textId="77777777" w:rsidTr="00EA496D">
        <w:tc>
          <w:tcPr>
            <w:tcW w:w="846" w:type="dxa"/>
            <w:tcMar>
              <w:top w:w="60" w:type="dxa"/>
              <w:left w:w="100" w:type="dxa"/>
              <w:bottom w:w="60" w:type="dxa"/>
              <w:right w:w="100" w:type="dxa"/>
            </w:tcMar>
          </w:tcPr>
          <w:p w14:paraId="0655DA4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169</w:t>
            </w:r>
          </w:p>
        </w:tc>
        <w:tc>
          <w:tcPr>
            <w:tcW w:w="2094" w:type="dxa"/>
            <w:tcMar>
              <w:top w:w="60" w:type="dxa"/>
              <w:left w:w="100" w:type="dxa"/>
              <w:bottom w:w="60" w:type="dxa"/>
              <w:right w:w="100" w:type="dxa"/>
            </w:tcMar>
          </w:tcPr>
          <w:p w14:paraId="26A3F8F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Ghosh-Jerath et al. 2022</w:t>
            </w:r>
          </w:p>
        </w:tc>
        <w:tc>
          <w:tcPr>
            <w:tcW w:w="4923" w:type="dxa"/>
            <w:tcMar>
              <w:top w:w="60" w:type="dxa"/>
              <w:left w:w="100" w:type="dxa"/>
              <w:bottom w:w="60" w:type="dxa"/>
              <w:right w:w="100" w:type="dxa"/>
            </w:tcMar>
          </w:tcPr>
          <w:p w14:paraId="7B93CCE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Indigenous Foods to Address Malnutrition: An Inquiry into the Diets and Nutritional Status of Women in the Indigenous Community of Munda Tribes of Jharkhand, India</w:t>
            </w:r>
          </w:p>
        </w:tc>
        <w:tc>
          <w:tcPr>
            <w:tcW w:w="6537" w:type="dxa"/>
            <w:tcMar>
              <w:top w:w="60" w:type="dxa"/>
              <w:left w:w="100" w:type="dxa"/>
              <w:bottom w:w="60" w:type="dxa"/>
              <w:right w:w="100" w:type="dxa"/>
            </w:tcMar>
          </w:tcPr>
          <w:p w14:paraId="7029000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pyridoxine levels were normal in population.</w:t>
            </w:r>
          </w:p>
        </w:tc>
      </w:tr>
      <w:tr w:rsidR="00EA496D" w:rsidRPr="00F56AD6" w14:paraId="39AEDCF4" w14:textId="77777777" w:rsidTr="00EA496D">
        <w:tc>
          <w:tcPr>
            <w:tcW w:w="846" w:type="dxa"/>
            <w:tcMar>
              <w:top w:w="60" w:type="dxa"/>
              <w:left w:w="100" w:type="dxa"/>
              <w:bottom w:w="60" w:type="dxa"/>
              <w:right w:w="100" w:type="dxa"/>
            </w:tcMar>
          </w:tcPr>
          <w:p w14:paraId="55F87E4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170</w:t>
            </w:r>
          </w:p>
        </w:tc>
        <w:tc>
          <w:tcPr>
            <w:tcW w:w="2094" w:type="dxa"/>
            <w:tcMar>
              <w:top w:w="60" w:type="dxa"/>
              <w:left w:w="100" w:type="dxa"/>
              <w:bottom w:w="60" w:type="dxa"/>
              <w:right w:w="100" w:type="dxa"/>
            </w:tcMar>
          </w:tcPr>
          <w:p w14:paraId="3911435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Giudici et al. 2023</w:t>
            </w:r>
          </w:p>
        </w:tc>
        <w:tc>
          <w:tcPr>
            <w:tcW w:w="4923" w:type="dxa"/>
            <w:tcMar>
              <w:top w:w="60" w:type="dxa"/>
              <w:left w:w="100" w:type="dxa"/>
              <w:bottom w:w="60" w:type="dxa"/>
              <w:right w:w="100" w:type="dxa"/>
            </w:tcMar>
          </w:tcPr>
          <w:p w14:paraId="6650F00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Effect of a 1-Year Nutritional Blend Supplementation on Plasma p-tau181 and GFAP Levels among Community-Dwelling Older Adults: A Secondary Analysis of the Nolan Trial</w:t>
            </w:r>
          </w:p>
        </w:tc>
        <w:tc>
          <w:tcPr>
            <w:tcW w:w="6537" w:type="dxa"/>
            <w:tcMar>
              <w:top w:w="60" w:type="dxa"/>
              <w:left w:w="100" w:type="dxa"/>
              <w:bottom w:w="60" w:type="dxa"/>
              <w:right w:w="100" w:type="dxa"/>
            </w:tcMar>
          </w:tcPr>
          <w:p w14:paraId="4A15998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 Wrong exposure - in fact B6 did not affect the progression of Alzheimer's.</w:t>
            </w:r>
          </w:p>
        </w:tc>
      </w:tr>
      <w:tr w:rsidR="00EA496D" w:rsidRPr="00F56AD6" w14:paraId="22D5661E" w14:textId="77777777" w:rsidTr="00EA496D">
        <w:tc>
          <w:tcPr>
            <w:tcW w:w="846" w:type="dxa"/>
            <w:tcMar>
              <w:top w:w="60" w:type="dxa"/>
              <w:left w:w="100" w:type="dxa"/>
              <w:bottom w:w="60" w:type="dxa"/>
              <w:right w:w="100" w:type="dxa"/>
            </w:tcMar>
          </w:tcPr>
          <w:p w14:paraId="045F567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171</w:t>
            </w:r>
          </w:p>
        </w:tc>
        <w:tc>
          <w:tcPr>
            <w:tcW w:w="2094" w:type="dxa"/>
            <w:tcMar>
              <w:top w:w="60" w:type="dxa"/>
              <w:left w:w="100" w:type="dxa"/>
              <w:bottom w:w="60" w:type="dxa"/>
              <w:right w:w="100" w:type="dxa"/>
            </w:tcMar>
          </w:tcPr>
          <w:p w14:paraId="58857E5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Głąbska et al. 2022</w:t>
            </w:r>
          </w:p>
        </w:tc>
        <w:tc>
          <w:tcPr>
            <w:tcW w:w="4923" w:type="dxa"/>
            <w:tcMar>
              <w:top w:w="60" w:type="dxa"/>
              <w:left w:w="100" w:type="dxa"/>
              <w:bottom w:w="60" w:type="dxa"/>
              <w:right w:w="100" w:type="dxa"/>
            </w:tcMar>
          </w:tcPr>
          <w:p w14:paraId="144D427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Analysis of the Nutritional Value of the Diets Presented in Women's and Sports Magazines before and during the COVID-19 Pandemic</w:t>
            </w:r>
          </w:p>
        </w:tc>
        <w:tc>
          <w:tcPr>
            <w:tcW w:w="6537" w:type="dxa"/>
            <w:tcMar>
              <w:top w:w="60" w:type="dxa"/>
              <w:left w:w="100" w:type="dxa"/>
              <w:bottom w:w="60" w:type="dxa"/>
              <w:right w:w="100" w:type="dxa"/>
            </w:tcMar>
          </w:tcPr>
          <w:p w14:paraId="72FB040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setting - B6 amount in meals in magazines.</w:t>
            </w:r>
          </w:p>
        </w:tc>
      </w:tr>
      <w:tr w:rsidR="00EA496D" w:rsidRPr="00F56AD6" w14:paraId="45BB4D62" w14:textId="77777777" w:rsidTr="00EA496D">
        <w:tc>
          <w:tcPr>
            <w:tcW w:w="846" w:type="dxa"/>
            <w:tcMar>
              <w:top w:w="60" w:type="dxa"/>
              <w:left w:w="100" w:type="dxa"/>
              <w:bottom w:w="60" w:type="dxa"/>
              <w:right w:w="100" w:type="dxa"/>
            </w:tcMar>
          </w:tcPr>
          <w:p w14:paraId="6FBB58F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172</w:t>
            </w:r>
          </w:p>
        </w:tc>
        <w:tc>
          <w:tcPr>
            <w:tcW w:w="2094" w:type="dxa"/>
            <w:tcMar>
              <w:top w:w="60" w:type="dxa"/>
              <w:left w:w="100" w:type="dxa"/>
              <w:bottom w:w="60" w:type="dxa"/>
              <w:right w:w="100" w:type="dxa"/>
            </w:tcMar>
          </w:tcPr>
          <w:p w14:paraId="01504A2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Gnocchini et al. 2022</w:t>
            </w:r>
          </w:p>
        </w:tc>
        <w:tc>
          <w:tcPr>
            <w:tcW w:w="4923" w:type="dxa"/>
            <w:tcMar>
              <w:top w:w="60" w:type="dxa"/>
              <w:left w:w="100" w:type="dxa"/>
              <w:bottom w:w="60" w:type="dxa"/>
              <w:right w:w="100" w:type="dxa"/>
            </w:tcMar>
          </w:tcPr>
          <w:p w14:paraId="0038A48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Deficiency Promotes Loss of Heterozygosity (LOH) at the Drosophila warts (wts) Locus</w:t>
            </w:r>
          </w:p>
        </w:tc>
        <w:tc>
          <w:tcPr>
            <w:tcW w:w="6537" w:type="dxa"/>
            <w:tcMar>
              <w:top w:w="60" w:type="dxa"/>
              <w:left w:w="100" w:type="dxa"/>
              <w:bottom w:w="60" w:type="dxa"/>
              <w:right w:w="100" w:type="dxa"/>
            </w:tcMar>
          </w:tcPr>
          <w:p w14:paraId="180CFFB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deficiency may promote loss of Heterozygosity.</w:t>
            </w:r>
          </w:p>
        </w:tc>
      </w:tr>
      <w:tr w:rsidR="00EA496D" w:rsidRPr="00F56AD6" w14:paraId="544254E5" w14:textId="77777777" w:rsidTr="00EA496D">
        <w:tc>
          <w:tcPr>
            <w:tcW w:w="846" w:type="dxa"/>
            <w:tcMar>
              <w:top w:w="60" w:type="dxa"/>
              <w:left w:w="100" w:type="dxa"/>
              <w:bottom w:w="60" w:type="dxa"/>
              <w:right w:w="100" w:type="dxa"/>
            </w:tcMar>
          </w:tcPr>
          <w:p w14:paraId="3D948FA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173</w:t>
            </w:r>
          </w:p>
        </w:tc>
        <w:tc>
          <w:tcPr>
            <w:tcW w:w="2094" w:type="dxa"/>
            <w:tcMar>
              <w:top w:w="60" w:type="dxa"/>
              <w:left w:w="100" w:type="dxa"/>
              <w:bottom w:w="60" w:type="dxa"/>
              <w:right w:w="100" w:type="dxa"/>
            </w:tcMar>
          </w:tcPr>
          <w:p w14:paraId="0756E3F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Godfrey et al. 2023</w:t>
            </w:r>
          </w:p>
        </w:tc>
        <w:tc>
          <w:tcPr>
            <w:tcW w:w="4923" w:type="dxa"/>
            <w:tcMar>
              <w:top w:w="60" w:type="dxa"/>
              <w:left w:w="100" w:type="dxa"/>
              <w:bottom w:w="60" w:type="dxa"/>
              <w:right w:w="100" w:type="dxa"/>
            </w:tcMar>
          </w:tcPr>
          <w:p w14:paraId="2B74315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 xml:space="preserve">Maternal B-vitamin and vitamin D status before, during, and after pregnancy and the influence of supplementation preconception and during </w:t>
            </w:r>
            <w:r w:rsidRPr="00F56AD6">
              <w:rPr>
                <w:rFonts w:asciiTheme="minorHAnsi" w:hAnsiTheme="minorHAnsi" w:cstheme="minorHAnsi"/>
                <w:sz w:val="20"/>
              </w:rPr>
              <w:lastRenderedPageBreak/>
              <w:t>pregnancy: Prespecified secondary analysis of the NiPPeR double-blind randomized controlled trial</w:t>
            </w:r>
          </w:p>
        </w:tc>
        <w:tc>
          <w:tcPr>
            <w:tcW w:w="6537" w:type="dxa"/>
            <w:tcMar>
              <w:top w:w="60" w:type="dxa"/>
              <w:left w:w="100" w:type="dxa"/>
              <w:bottom w:w="60" w:type="dxa"/>
              <w:right w:w="100" w:type="dxa"/>
            </w:tcMar>
          </w:tcPr>
          <w:p w14:paraId="2396337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Excluded due to wrong exposure: the study did not assess excess vitamin B6 intake; deficiency not toxicity.</w:t>
            </w:r>
          </w:p>
        </w:tc>
      </w:tr>
      <w:tr w:rsidR="00EA496D" w:rsidRPr="00F56AD6" w14:paraId="2CCCB186" w14:textId="77777777" w:rsidTr="00EA496D">
        <w:tc>
          <w:tcPr>
            <w:tcW w:w="846" w:type="dxa"/>
            <w:tcMar>
              <w:top w:w="60" w:type="dxa"/>
              <w:left w:w="100" w:type="dxa"/>
              <w:bottom w:w="60" w:type="dxa"/>
              <w:right w:w="100" w:type="dxa"/>
            </w:tcMar>
          </w:tcPr>
          <w:p w14:paraId="0FBFB32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174</w:t>
            </w:r>
          </w:p>
        </w:tc>
        <w:tc>
          <w:tcPr>
            <w:tcW w:w="2094" w:type="dxa"/>
            <w:tcMar>
              <w:top w:w="60" w:type="dxa"/>
              <w:left w:w="100" w:type="dxa"/>
              <w:bottom w:w="60" w:type="dxa"/>
              <w:right w:w="100" w:type="dxa"/>
            </w:tcMar>
          </w:tcPr>
          <w:p w14:paraId="4848B07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Goedeke et al. 2024</w:t>
            </w:r>
          </w:p>
        </w:tc>
        <w:tc>
          <w:tcPr>
            <w:tcW w:w="4923" w:type="dxa"/>
            <w:tcMar>
              <w:top w:w="60" w:type="dxa"/>
              <w:left w:w="100" w:type="dxa"/>
              <w:bottom w:w="60" w:type="dxa"/>
              <w:right w:w="100" w:type="dxa"/>
            </w:tcMar>
          </w:tcPr>
          <w:p w14:paraId="27A6A22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Assessing the Nutrient Composition of a Carnivore Diet: A Case Study Model</w:t>
            </w:r>
          </w:p>
        </w:tc>
        <w:tc>
          <w:tcPr>
            <w:tcW w:w="6537" w:type="dxa"/>
            <w:tcMar>
              <w:top w:w="60" w:type="dxa"/>
              <w:left w:w="100" w:type="dxa"/>
              <w:bottom w:w="60" w:type="dxa"/>
              <w:right w:w="100" w:type="dxa"/>
            </w:tcMar>
          </w:tcPr>
          <w:p w14:paraId="3EA721E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carnivore diet met RDI for B6.</w:t>
            </w:r>
          </w:p>
        </w:tc>
      </w:tr>
      <w:tr w:rsidR="00EA496D" w:rsidRPr="00F56AD6" w14:paraId="763479BA" w14:textId="77777777" w:rsidTr="00EA496D">
        <w:tc>
          <w:tcPr>
            <w:tcW w:w="846" w:type="dxa"/>
            <w:tcMar>
              <w:top w:w="60" w:type="dxa"/>
              <w:left w:w="100" w:type="dxa"/>
              <w:bottom w:w="60" w:type="dxa"/>
              <w:right w:w="100" w:type="dxa"/>
            </w:tcMar>
          </w:tcPr>
          <w:p w14:paraId="43C33F4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175</w:t>
            </w:r>
          </w:p>
        </w:tc>
        <w:tc>
          <w:tcPr>
            <w:tcW w:w="2094" w:type="dxa"/>
            <w:tcMar>
              <w:top w:w="60" w:type="dxa"/>
              <w:left w:w="100" w:type="dxa"/>
              <w:bottom w:w="60" w:type="dxa"/>
              <w:right w:w="100" w:type="dxa"/>
            </w:tcMar>
          </w:tcPr>
          <w:p w14:paraId="345EE88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Göktaş 2024</w:t>
            </w:r>
          </w:p>
        </w:tc>
        <w:tc>
          <w:tcPr>
            <w:tcW w:w="4923" w:type="dxa"/>
            <w:tcMar>
              <w:top w:w="60" w:type="dxa"/>
              <w:left w:w="100" w:type="dxa"/>
              <w:bottom w:w="60" w:type="dxa"/>
              <w:right w:w="100" w:type="dxa"/>
            </w:tcMar>
          </w:tcPr>
          <w:p w14:paraId="380B27D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Adherence to medical treatment for Wilson's disease in children and adolescents: a cohort study from Turkey</w:t>
            </w:r>
          </w:p>
        </w:tc>
        <w:tc>
          <w:tcPr>
            <w:tcW w:w="6537" w:type="dxa"/>
            <w:tcMar>
              <w:top w:w="60" w:type="dxa"/>
              <w:left w:w="100" w:type="dxa"/>
              <w:bottom w:w="60" w:type="dxa"/>
              <w:right w:w="100" w:type="dxa"/>
            </w:tcMar>
          </w:tcPr>
          <w:p w14:paraId="1F03F75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does not study effects of B6.</w:t>
            </w:r>
          </w:p>
        </w:tc>
      </w:tr>
      <w:tr w:rsidR="00EA496D" w:rsidRPr="00F56AD6" w14:paraId="002E4C64" w14:textId="77777777" w:rsidTr="00EA496D">
        <w:tc>
          <w:tcPr>
            <w:tcW w:w="846" w:type="dxa"/>
            <w:tcMar>
              <w:top w:w="60" w:type="dxa"/>
              <w:left w:w="100" w:type="dxa"/>
              <w:bottom w:w="60" w:type="dxa"/>
              <w:right w:w="100" w:type="dxa"/>
            </w:tcMar>
          </w:tcPr>
          <w:p w14:paraId="562ECC7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176</w:t>
            </w:r>
          </w:p>
        </w:tc>
        <w:tc>
          <w:tcPr>
            <w:tcW w:w="2094" w:type="dxa"/>
            <w:tcMar>
              <w:top w:w="60" w:type="dxa"/>
              <w:left w:w="100" w:type="dxa"/>
              <w:bottom w:w="60" w:type="dxa"/>
              <w:right w:w="100" w:type="dxa"/>
            </w:tcMar>
          </w:tcPr>
          <w:p w14:paraId="5C666FF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Goorden et al. 2025</w:t>
            </w:r>
          </w:p>
        </w:tc>
        <w:tc>
          <w:tcPr>
            <w:tcW w:w="4923" w:type="dxa"/>
            <w:tcMar>
              <w:top w:w="60" w:type="dxa"/>
              <w:left w:w="100" w:type="dxa"/>
              <w:bottom w:w="60" w:type="dxa"/>
              <w:right w:w="100" w:type="dxa"/>
            </w:tcMar>
          </w:tcPr>
          <w:p w14:paraId="60E1E07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Two new cases of KYNU deficiency: Further delineation of the phenotypic and biochemical spectrum and exploration of treatment options</w:t>
            </w:r>
          </w:p>
        </w:tc>
        <w:tc>
          <w:tcPr>
            <w:tcW w:w="6537" w:type="dxa"/>
            <w:tcMar>
              <w:top w:w="60" w:type="dxa"/>
              <w:left w:w="100" w:type="dxa"/>
              <w:bottom w:w="60" w:type="dxa"/>
              <w:right w:w="100" w:type="dxa"/>
            </w:tcMar>
          </w:tcPr>
          <w:p w14:paraId="546D4CF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supplementation mya be used as medication.</w:t>
            </w:r>
          </w:p>
        </w:tc>
      </w:tr>
      <w:tr w:rsidR="00EA496D" w:rsidRPr="00F56AD6" w14:paraId="7B0D1A73" w14:textId="77777777" w:rsidTr="00EA496D">
        <w:tc>
          <w:tcPr>
            <w:tcW w:w="846" w:type="dxa"/>
            <w:tcMar>
              <w:top w:w="60" w:type="dxa"/>
              <w:left w:w="100" w:type="dxa"/>
              <w:bottom w:w="60" w:type="dxa"/>
              <w:right w:w="100" w:type="dxa"/>
            </w:tcMar>
          </w:tcPr>
          <w:p w14:paraId="0B3555B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177</w:t>
            </w:r>
          </w:p>
        </w:tc>
        <w:tc>
          <w:tcPr>
            <w:tcW w:w="2094" w:type="dxa"/>
            <w:tcMar>
              <w:top w:w="60" w:type="dxa"/>
              <w:left w:w="100" w:type="dxa"/>
              <w:bottom w:w="60" w:type="dxa"/>
              <w:right w:w="100" w:type="dxa"/>
            </w:tcMar>
          </w:tcPr>
          <w:p w14:paraId="18255E7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Gopinath et al. 2023</w:t>
            </w:r>
          </w:p>
        </w:tc>
        <w:tc>
          <w:tcPr>
            <w:tcW w:w="4923" w:type="dxa"/>
            <w:tcMar>
              <w:top w:w="60" w:type="dxa"/>
              <w:left w:w="100" w:type="dxa"/>
              <w:bottom w:w="60" w:type="dxa"/>
              <w:right w:w="100" w:type="dxa"/>
            </w:tcMar>
          </w:tcPr>
          <w:p w14:paraId="6CA4CF8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Reduced serum pyridoxine and 25-hydroxyvitamin D levels in adults with chronic pruritic dermatoses</w:t>
            </w:r>
          </w:p>
        </w:tc>
        <w:tc>
          <w:tcPr>
            <w:tcW w:w="6537" w:type="dxa"/>
            <w:tcMar>
              <w:top w:w="60" w:type="dxa"/>
              <w:left w:w="100" w:type="dxa"/>
              <w:bottom w:w="60" w:type="dxa"/>
              <w:right w:w="100" w:type="dxa"/>
            </w:tcMar>
          </w:tcPr>
          <w:p w14:paraId="09BB8C9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 Wrong outcome (no adverse effects from B6) - low B6 is harmful and B6 supplementation may help patients with CPD.</w:t>
            </w:r>
          </w:p>
        </w:tc>
      </w:tr>
      <w:tr w:rsidR="00EA496D" w:rsidRPr="00F56AD6" w14:paraId="58CA6F6B" w14:textId="77777777" w:rsidTr="00EA496D">
        <w:tc>
          <w:tcPr>
            <w:tcW w:w="846" w:type="dxa"/>
            <w:tcMar>
              <w:top w:w="60" w:type="dxa"/>
              <w:left w:w="100" w:type="dxa"/>
              <w:bottom w:w="60" w:type="dxa"/>
              <w:right w:w="100" w:type="dxa"/>
            </w:tcMar>
          </w:tcPr>
          <w:p w14:paraId="40BCA45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178</w:t>
            </w:r>
          </w:p>
        </w:tc>
        <w:tc>
          <w:tcPr>
            <w:tcW w:w="2094" w:type="dxa"/>
            <w:tcMar>
              <w:top w:w="60" w:type="dxa"/>
              <w:left w:w="100" w:type="dxa"/>
              <w:bottom w:w="60" w:type="dxa"/>
              <w:right w:w="100" w:type="dxa"/>
            </w:tcMar>
          </w:tcPr>
          <w:p w14:paraId="1FF878B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Groborz et al. 2025</w:t>
            </w:r>
          </w:p>
        </w:tc>
        <w:tc>
          <w:tcPr>
            <w:tcW w:w="4923" w:type="dxa"/>
            <w:tcMar>
              <w:top w:w="60" w:type="dxa"/>
              <w:left w:w="100" w:type="dxa"/>
              <w:bottom w:w="60" w:type="dxa"/>
              <w:right w:w="100" w:type="dxa"/>
            </w:tcMar>
          </w:tcPr>
          <w:p w14:paraId="1A3AD9C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New insights into the mechanisms and prevention of central nervous system oxygen toxicity: A prospective review</w:t>
            </w:r>
          </w:p>
        </w:tc>
        <w:tc>
          <w:tcPr>
            <w:tcW w:w="6537" w:type="dxa"/>
            <w:tcMar>
              <w:top w:w="60" w:type="dxa"/>
              <w:left w:w="100" w:type="dxa"/>
              <w:bottom w:w="60" w:type="dxa"/>
              <w:right w:w="100" w:type="dxa"/>
            </w:tcMar>
          </w:tcPr>
          <w:p w14:paraId="5EC2232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administration to be administered alongside HBOT to help therapeutic effects.</w:t>
            </w:r>
          </w:p>
        </w:tc>
      </w:tr>
      <w:tr w:rsidR="00EA496D" w:rsidRPr="00F56AD6" w14:paraId="498D1280" w14:textId="77777777" w:rsidTr="00EA496D">
        <w:tc>
          <w:tcPr>
            <w:tcW w:w="846" w:type="dxa"/>
            <w:tcMar>
              <w:top w:w="60" w:type="dxa"/>
              <w:left w:w="100" w:type="dxa"/>
              <w:bottom w:w="60" w:type="dxa"/>
              <w:right w:w="100" w:type="dxa"/>
            </w:tcMar>
          </w:tcPr>
          <w:p w14:paraId="6921522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179</w:t>
            </w:r>
          </w:p>
        </w:tc>
        <w:tc>
          <w:tcPr>
            <w:tcW w:w="2094" w:type="dxa"/>
            <w:tcMar>
              <w:top w:w="60" w:type="dxa"/>
              <w:left w:w="100" w:type="dxa"/>
              <w:bottom w:w="60" w:type="dxa"/>
              <w:right w:w="100" w:type="dxa"/>
            </w:tcMar>
          </w:tcPr>
          <w:p w14:paraId="3E5AA7A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Gu et al. 2026</w:t>
            </w:r>
          </w:p>
        </w:tc>
        <w:tc>
          <w:tcPr>
            <w:tcW w:w="4923" w:type="dxa"/>
            <w:tcMar>
              <w:top w:w="60" w:type="dxa"/>
              <w:left w:w="100" w:type="dxa"/>
              <w:bottom w:w="60" w:type="dxa"/>
              <w:right w:w="100" w:type="dxa"/>
            </w:tcMar>
          </w:tcPr>
          <w:p w14:paraId="36DE453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lung microbial signature for postoperative recurrence in stage I-II non-small cell lung cancer</w:t>
            </w:r>
          </w:p>
        </w:tc>
        <w:tc>
          <w:tcPr>
            <w:tcW w:w="6537" w:type="dxa"/>
            <w:tcMar>
              <w:top w:w="60" w:type="dxa"/>
              <w:left w:w="100" w:type="dxa"/>
              <w:bottom w:w="60" w:type="dxa"/>
              <w:right w:w="100" w:type="dxa"/>
            </w:tcMar>
          </w:tcPr>
          <w:p w14:paraId="0812853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mentions B6 metabolic pathways in relation to cancer.</w:t>
            </w:r>
          </w:p>
        </w:tc>
      </w:tr>
      <w:tr w:rsidR="00EA496D" w:rsidRPr="00F56AD6" w14:paraId="12CF2334" w14:textId="77777777" w:rsidTr="00EA496D">
        <w:tc>
          <w:tcPr>
            <w:tcW w:w="846" w:type="dxa"/>
            <w:tcMar>
              <w:top w:w="60" w:type="dxa"/>
              <w:left w:w="100" w:type="dxa"/>
              <w:bottom w:w="60" w:type="dxa"/>
              <w:right w:w="100" w:type="dxa"/>
            </w:tcMar>
          </w:tcPr>
          <w:p w14:paraId="440BA6F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180</w:t>
            </w:r>
          </w:p>
        </w:tc>
        <w:tc>
          <w:tcPr>
            <w:tcW w:w="2094" w:type="dxa"/>
            <w:tcMar>
              <w:top w:w="60" w:type="dxa"/>
              <w:left w:w="100" w:type="dxa"/>
              <w:bottom w:w="60" w:type="dxa"/>
              <w:right w:w="100" w:type="dxa"/>
            </w:tcMar>
          </w:tcPr>
          <w:p w14:paraId="0E1061B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Gu et al. 2024</w:t>
            </w:r>
          </w:p>
        </w:tc>
        <w:tc>
          <w:tcPr>
            <w:tcW w:w="4923" w:type="dxa"/>
            <w:tcMar>
              <w:top w:w="60" w:type="dxa"/>
              <w:left w:w="100" w:type="dxa"/>
              <w:bottom w:w="60" w:type="dxa"/>
              <w:right w:w="100" w:type="dxa"/>
            </w:tcMar>
          </w:tcPr>
          <w:p w14:paraId="25816E1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Intestinal commensal bacteria promote Bactrocera dorsalis larval development through the vitamin B6 synthesis pathway</w:t>
            </w:r>
          </w:p>
        </w:tc>
        <w:tc>
          <w:tcPr>
            <w:tcW w:w="6537" w:type="dxa"/>
            <w:tcMar>
              <w:top w:w="60" w:type="dxa"/>
              <w:left w:w="100" w:type="dxa"/>
              <w:bottom w:w="60" w:type="dxa"/>
              <w:right w:w="100" w:type="dxa"/>
            </w:tcMar>
          </w:tcPr>
          <w:p w14:paraId="716A370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beneficial to larval growth.</w:t>
            </w:r>
          </w:p>
        </w:tc>
      </w:tr>
      <w:tr w:rsidR="00EA496D" w:rsidRPr="00F56AD6" w14:paraId="4303C6A2" w14:textId="77777777" w:rsidTr="00EA496D">
        <w:tc>
          <w:tcPr>
            <w:tcW w:w="846" w:type="dxa"/>
            <w:tcMar>
              <w:top w:w="60" w:type="dxa"/>
              <w:left w:w="100" w:type="dxa"/>
              <w:bottom w:w="60" w:type="dxa"/>
              <w:right w:w="100" w:type="dxa"/>
            </w:tcMar>
          </w:tcPr>
          <w:p w14:paraId="2F8632F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181</w:t>
            </w:r>
          </w:p>
        </w:tc>
        <w:tc>
          <w:tcPr>
            <w:tcW w:w="2094" w:type="dxa"/>
            <w:tcMar>
              <w:top w:w="60" w:type="dxa"/>
              <w:left w:w="100" w:type="dxa"/>
              <w:bottom w:w="60" w:type="dxa"/>
              <w:right w:w="100" w:type="dxa"/>
            </w:tcMar>
          </w:tcPr>
          <w:p w14:paraId="4A5E2CF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Gundogan et al. 2022</w:t>
            </w:r>
          </w:p>
        </w:tc>
        <w:tc>
          <w:tcPr>
            <w:tcW w:w="4923" w:type="dxa"/>
            <w:tcMar>
              <w:top w:w="60" w:type="dxa"/>
              <w:left w:w="100" w:type="dxa"/>
              <w:bottom w:w="60" w:type="dxa"/>
              <w:right w:w="100" w:type="dxa"/>
            </w:tcMar>
          </w:tcPr>
          <w:p w14:paraId="19EF9D2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Serum micronutrient levels in critically ill patients receiving continuous renal replacement therapy: A prospective, observational study</w:t>
            </w:r>
          </w:p>
        </w:tc>
        <w:tc>
          <w:tcPr>
            <w:tcW w:w="6537" w:type="dxa"/>
            <w:tcMar>
              <w:top w:w="60" w:type="dxa"/>
              <w:left w:w="100" w:type="dxa"/>
              <w:bottom w:w="60" w:type="dxa"/>
              <w:right w:w="100" w:type="dxa"/>
            </w:tcMar>
          </w:tcPr>
          <w:p w14:paraId="186DAFF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levels measured after renal replacement therapy.</w:t>
            </w:r>
          </w:p>
        </w:tc>
      </w:tr>
      <w:tr w:rsidR="00EA496D" w:rsidRPr="00F56AD6" w14:paraId="59D91CA8" w14:textId="77777777" w:rsidTr="00EA496D">
        <w:tc>
          <w:tcPr>
            <w:tcW w:w="846" w:type="dxa"/>
            <w:tcMar>
              <w:top w:w="60" w:type="dxa"/>
              <w:left w:w="100" w:type="dxa"/>
              <w:bottom w:w="60" w:type="dxa"/>
              <w:right w:w="100" w:type="dxa"/>
            </w:tcMar>
          </w:tcPr>
          <w:p w14:paraId="02E8080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182</w:t>
            </w:r>
          </w:p>
        </w:tc>
        <w:tc>
          <w:tcPr>
            <w:tcW w:w="2094" w:type="dxa"/>
            <w:tcMar>
              <w:top w:w="60" w:type="dxa"/>
              <w:left w:w="100" w:type="dxa"/>
              <w:bottom w:w="60" w:type="dxa"/>
              <w:right w:w="100" w:type="dxa"/>
            </w:tcMar>
          </w:tcPr>
          <w:p w14:paraId="1A88997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Gunes et al. 2024</w:t>
            </w:r>
          </w:p>
        </w:tc>
        <w:tc>
          <w:tcPr>
            <w:tcW w:w="4923" w:type="dxa"/>
            <w:tcMar>
              <w:top w:w="60" w:type="dxa"/>
              <w:left w:w="100" w:type="dxa"/>
              <w:bottom w:w="60" w:type="dxa"/>
              <w:right w:w="100" w:type="dxa"/>
            </w:tcMar>
          </w:tcPr>
          <w:p w14:paraId="0574F29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Assessment of Impact of Dietary Patterns on Obstructive Sleep Apnea Patients</w:t>
            </w:r>
          </w:p>
        </w:tc>
        <w:tc>
          <w:tcPr>
            <w:tcW w:w="6537" w:type="dxa"/>
            <w:tcMar>
              <w:top w:w="60" w:type="dxa"/>
              <w:left w:w="100" w:type="dxa"/>
              <w:bottom w:w="60" w:type="dxa"/>
              <w:right w:w="100" w:type="dxa"/>
            </w:tcMar>
          </w:tcPr>
          <w:p w14:paraId="728B020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relating sleep apnea to nutritional patterns (involving B6).</w:t>
            </w:r>
          </w:p>
        </w:tc>
      </w:tr>
      <w:tr w:rsidR="00EA496D" w:rsidRPr="00F56AD6" w14:paraId="1A9AC994" w14:textId="77777777" w:rsidTr="00EA496D">
        <w:tc>
          <w:tcPr>
            <w:tcW w:w="846" w:type="dxa"/>
            <w:tcMar>
              <w:top w:w="60" w:type="dxa"/>
              <w:left w:w="100" w:type="dxa"/>
              <w:bottom w:w="60" w:type="dxa"/>
              <w:right w:w="100" w:type="dxa"/>
            </w:tcMar>
          </w:tcPr>
          <w:p w14:paraId="792D44B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183</w:t>
            </w:r>
          </w:p>
        </w:tc>
        <w:tc>
          <w:tcPr>
            <w:tcW w:w="2094" w:type="dxa"/>
            <w:tcMar>
              <w:top w:w="60" w:type="dxa"/>
              <w:left w:w="100" w:type="dxa"/>
              <w:bottom w:w="60" w:type="dxa"/>
              <w:right w:w="100" w:type="dxa"/>
            </w:tcMar>
          </w:tcPr>
          <w:p w14:paraId="58B187E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Guo et al. 2026</w:t>
            </w:r>
          </w:p>
        </w:tc>
        <w:tc>
          <w:tcPr>
            <w:tcW w:w="4923" w:type="dxa"/>
            <w:tcMar>
              <w:top w:w="60" w:type="dxa"/>
              <w:left w:w="100" w:type="dxa"/>
              <w:bottom w:w="60" w:type="dxa"/>
              <w:right w:w="100" w:type="dxa"/>
            </w:tcMar>
          </w:tcPr>
          <w:p w14:paraId="2DB792F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Combined B-vitamin supplementation on homocysteine and vascular outcomes in coronary heart disease: a meta-analysis</w:t>
            </w:r>
          </w:p>
        </w:tc>
        <w:tc>
          <w:tcPr>
            <w:tcW w:w="6537" w:type="dxa"/>
            <w:tcMar>
              <w:top w:w="60" w:type="dxa"/>
              <w:left w:w="100" w:type="dxa"/>
              <w:bottom w:w="60" w:type="dxa"/>
              <w:right w:w="100" w:type="dxa"/>
            </w:tcMar>
          </w:tcPr>
          <w:p w14:paraId="768D023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 vitamin supplementation reduced symptoms of CHD.</w:t>
            </w:r>
          </w:p>
        </w:tc>
      </w:tr>
      <w:tr w:rsidR="00EA496D" w:rsidRPr="00F56AD6" w14:paraId="0A328415" w14:textId="77777777" w:rsidTr="00EA496D">
        <w:tc>
          <w:tcPr>
            <w:tcW w:w="846" w:type="dxa"/>
            <w:tcMar>
              <w:top w:w="60" w:type="dxa"/>
              <w:left w:w="100" w:type="dxa"/>
              <w:bottom w:w="60" w:type="dxa"/>
              <w:right w:w="100" w:type="dxa"/>
            </w:tcMar>
          </w:tcPr>
          <w:p w14:paraId="3F34054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184</w:t>
            </w:r>
          </w:p>
        </w:tc>
        <w:tc>
          <w:tcPr>
            <w:tcW w:w="2094" w:type="dxa"/>
            <w:tcMar>
              <w:top w:w="60" w:type="dxa"/>
              <w:left w:w="100" w:type="dxa"/>
              <w:bottom w:w="60" w:type="dxa"/>
              <w:right w:w="100" w:type="dxa"/>
            </w:tcMar>
          </w:tcPr>
          <w:p w14:paraId="49BAB4A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Guo et al. 2025</w:t>
            </w:r>
          </w:p>
        </w:tc>
        <w:tc>
          <w:tcPr>
            <w:tcW w:w="4923" w:type="dxa"/>
            <w:tcMar>
              <w:top w:w="60" w:type="dxa"/>
              <w:left w:w="100" w:type="dxa"/>
              <w:bottom w:w="60" w:type="dxa"/>
              <w:right w:w="100" w:type="dxa"/>
            </w:tcMar>
          </w:tcPr>
          <w:p w14:paraId="1AB1584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MC-LR triggers trophoblast ferroptosis at the maternal-fetal interface by directly targeting PKM2 to reprogram metabolism</w:t>
            </w:r>
          </w:p>
        </w:tc>
        <w:tc>
          <w:tcPr>
            <w:tcW w:w="6537" w:type="dxa"/>
            <w:tcMar>
              <w:top w:w="60" w:type="dxa"/>
              <w:left w:w="100" w:type="dxa"/>
              <w:bottom w:w="60" w:type="dxa"/>
              <w:right w:w="100" w:type="dxa"/>
            </w:tcMar>
          </w:tcPr>
          <w:p w14:paraId="2094DEC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pyridoxine restored liver function.</w:t>
            </w:r>
          </w:p>
        </w:tc>
      </w:tr>
      <w:tr w:rsidR="00EA496D" w:rsidRPr="00F56AD6" w14:paraId="39C93DD8" w14:textId="77777777" w:rsidTr="00EA496D">
        <w:tc>
          <w:tcPr>
            <w:tcW w:w="846" w:type="dxa"/>
            <w:tcMar>
              <w:top w:w="60" w:type="dxa"/>
              <w:left w:w="100" w:type="dxa"/>
              <w:bottom w:w="60" w:type="dxa"/>
              <w:right w:w="100" w:type="dxa"/>
            </w:tcMar>
          </w:tcPr>
          <w:p w14:paraId="4F01D7A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185</w:t>
            </w:r>
          </w:p>
        </w:tc>
        <w:tc>
          <w:tcPr>
            <w:tcW w:w="2094" w:type="dxa"/>
            <w:tcMar>
              <w:top w:w="60" w:type="dxa"/>
              <w:left w:w="100" w:type="dxa"/>
              <w:bottom w:w="60" w:type="dxa"/>
              <w:right w:w="100" w:type="dxa"/>
            </w:tcMar>
          </w:tcPr>
          <w:p w14:paraId="14BBA44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Gupta et al. 2024</w:t>
            </w:r>
          </w:p>
        </w:tc>
        <w:tc>
          <w:tcPr>
            <w:tcW w:w="4923" w:type="dxa"/>
            <w:tcMar>
              <w:top w:w="60" w:type="dxa"/>
              <w:left w:w="100" w:type="dxa"/>
              <w:bottom w:w="60" w:type="dxa"/>
              <w:right w:w="100" w:type="dxa"/>
            </w:tcMar>
          </w:tcPr>
          <w:p w14:paraId="7D98D8A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retrospective study to assess adolescent nutritional deficiencies and the association with post-COVID-19 status</w:t>
            </w:r>
          </w:p>
        </w:tc>
        <w:tc>
          <w:tcPr>
            <w:tcW w:w="6537" w:type="dxa"/>
            <w:tcMar>
              <w:top w:w="60" w:type="dxa"/>
              <w:left w:w="100" w:type="dxa"/>
              <w:bottom w:w="60" w:type="dxa"/>
              <w:right w:w="100" w:type="dxa"/>
            </w:tcMar>
          </w:tcPr>
          <w:p w14:paraId="6BBC81B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adolescence don't get enough B6.</w:t>
            </w:r>
          </w:p>
        </w:tc>
      </w:tr>
      <w:tr w:rsidR="00EA496D" w:rsidRPr="00F56AD6" w14:paraId="0A473C2C" w14:textId="77777777" w:rsidTr="00EA496D">
        <w:tc>
          <w:tcPr>
            <w:tcW w:w="846" w:type="dxa"/>
            <w:tcMar>
              <w:top w:w="60" w:type="dxa"/>
              <w:left w:w="100" w:type="dxa"/>
              <w:bottom w:w="60" w:type="dxa"/>
              <w:right w:w="100" w:type="dxa"/>
            </w:tcMar>
          </w:tcPr>
          <w:p w14:paraId="785664C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186</w:t>
            </w:r>
          </w:p>
        </w:tc>
        <w:tc>
          <w:tcPr>
            <w:tcW w:w="2094" w:type="dxa"/>
            <w:tcMar>
              <w:top w:w="60" w:type="dxa"/>
              <w:left w:w="100" w:type="dxa"/>
              <w:bottom w:w="60" w:type="dxa"/>
              <w:right w:w="100" w:type="dxa"/>
            </w:tcMar>
          </w:tcPr>
          <w:p w14:paraId="25641F6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Gupta et al. 2022</w:t>
            </w:r>
          </w:p>
        </w:tc>
        <w:tc>
          <w:tcPr>
            <w:tcW w:w="4923" w:type="dxa"/>
            <w:tcMar>
              <w:top w:w="60" w:type="dxa"/>
              <w:left w:w="100" w:type="dxa"/>
              <w:bottom w:w="60" w:type="dxa"/>
              <w:right w:w="100" w:type="dxa"/>
            </w:tcMar>
          </w:tcPr>
          <w:p w14:paraId="0D164DE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Treatment of primary hyperoxaluria type 1</w:t>
            </w:r>
          </w:p>
        </w:tc>
        <w:tc>
          <w:tcPr>
            <w:tcW w:w="6537" w:type="dxa"/>
            <w:tcMar>
              <w:top w:w="60" w:type="dxa"/>
              <w:left w:w="100" w:type="dxa"/>
              <w:bottom w:w="60" w:type="dxa"/>
              <w:right w:w="100" w:type="dxa"/>
            </w:tcMar>
          </w:tcPr>
          <w:p w14:paraId="2BB6437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talks about patients having pyridoxine sensitivity.</w:t>
            </w:r>
          </w:p>
        </w:tc>
      </w:tr>
      <w:tr w:rsidR="00EA496D" w:rsidRPr="00F56AD6" w14:paraId="6C367E1E" w14:textId="77777777" w:rsidTr="00EA496D">
        <w:tc>
          <w:tcPr>
            <w:tcW w:w="846" w:type="dxa"/>
            <w:tcMar>
              <w:top w:w="60" w:type="dxa"/>
              <w:left w:w="100" w:type="dxa"/>
              <w:bottom w:w="60" w:type="dxa"/>
              <w:right w:w="100" w:type="dxa"/>
            </w:tcMar>
          </w:tcPr>
          <w:p w14:paraId="69DC14D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187</w:t>
            </w:r>
          </w:p>
        </w:tc>
        <w:tc>
          <w:tcPr>
            <w:tcW w:w="2094" w:type="dxa"/>
            <w:tcMar>
              <w:top w:w="60" w:type="dxa"/>
              <w:left w:w="100" w:type="dxa"/>
              <w:bottom w:w="60" w:type="dxa"/>
              <w:right w:w="100" w:type="dxa"/>
            </w:tcMar>
          </w:tcPr>
          <w:p w14:paraId="3B18401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Haesen et al. 2024</w:t>
            </w:r>
          </w:p>
        </w:tc>
        <w:tc>
          <w:tcPr>
            <w:tcW w:w="4923" w:type="dxa"/>
            <w:tcMar>
              <w:top w:w="60" w:type="dxa"/>
              <w:left w:w="100" w:type="dxa"/>
              <w:bottom w:w="60" w:type="dxa"/>
              <w:right w:w="100" w:type="dxa"/>
            </w:tcMar>
          </w:tcPr>
          <w:p w14:paraId="2C5E9C5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Pyridoxamine Attenuates Doxorubicin-Induced Cardiomyopathy without Affecting Its Antitumor Effect on Rat Mammary Tumor Cells</w:t>
            </w:r>
          </w:p>
        </w:tc>
        <w:tc>
          <w:tcPr>
            <w:tcW w:w="6537" w:type="dxa"/>
            <w:tcMar>
              <w:top w:w="60" w:type="dxa"/>
              <w:left w:w="100" w:type="dxa"/>
              <w:bottom w:w="60" w:type="dxa"/>
              <w:right w:w="100" w:type="dxa"/>
            </w:tcMar>
          </w:tcPr>
          <w:p w14:paraId="44A0E9C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pyridoxamine may improve heart function.</w:t>
            </w:r>
          </w:p>
        </w:tc>
      </w:tr>
      <w:tr w:rsidR="00EA496D" w:rsidRPr="00F56AD6" w14:paraId="0B0D0113" w14:textId="77777777" w:rsidTr="00EA496D">
        <w:tc>
          <w:tcPr>
            <w:tcW w:w="846" w:type="dxa"/>
            <w:tcMar>
              <w:top w:w="60" w:type="dxa"/>
              <w:left w:w="100" w:type="dxa"/>
              <w:bottom w:w="60" w:type="dxa"/>
              <w:right w:w="100" w:type="dxa"/>
            </w:tcMar>
          </w:tcPr>
          <w:p w14:paraId="01912F8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188</w:t>
            </w:r>
          </w:p>
        </w:tc>
        <w:tc>
          <w:tcPr>
            <w:tcW w:w="2094" w:type="dxa"/>
            <w:tcMar>
              <w:top w:w="60" w:type="dxa"/>
              <w:left w:w="100" w:type="dxa"/>
              <w:bottom w:w="60" w:type="dxa"/>
              <w:right w:w="100" w:type="dxa"/>
            </w:tcMar>
          </w:tcPr>
          <w:p w14:paraId="39D8ED7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Hake et al. 2023</w:t>
            </w:r>
          </w:p>
        </w:tc>
        <w:tc>
          <w:tcPr>
            <w:tcW w:w="4923" w:type="dxa"/>
            <w:tcMar>
              <w:top w:w="60" w:type="dxa"/>
              <w:left w:w="100" w:type="dxa"/>
              <w:bottom w:w="60" w:type="dxa"/>
              <w:right w:w="100" w:type="dxa"/>
            </w:tcMar>
          </w:tcPr>
          <w:p w14:paraId="5219BFA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Combined strategy employing MutMap and RNA-seq reveals genomic regions and genes associated with complete panicle exsertion in rice</w:t>
            </w:r>
          </w:p>
        </w:tc>
        <w:tc>
          <w:tcPr>
            <w:tcW w:w="6537" w:type="dxa"/>
            <w:tcMar>
              <w:top w:w="60" w:type="dxa"/>
              <w:left w:w="100" w:type="dxa"/>
              <w:bottom w:w="60" w:type="dxa"/>
              <w:right w:w="100" w:type="dxa"/>
            </w:tcMar>
          </w:tcPr>
          <w:p w14:paraId="40DA201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population: rice.</w:t>
            </w:r>
          </w:p>
        </w:tc>
      </w:tr>
      <w:tr w:rsidR="00EA496D" w:rsidRPr="00F56AD6" w14:paraId="193036E3" w14:textId="77777777" w:rsidTr="00EA496D">
        <w:tc>
          <w:tcPr>
            <w:tcW w:w="846" w:type="dxa"/>
            <w:tcMar>
              <w:top w:w="60" w:type="dxa"/>
              <w:left w:w="100" w:type="dxa"/>
              <w:bottom w:w="60" w:type="dxa"/>
              <w:right w:w="100" w:type="dxa"/>
            </w:tcMar>
          </w:tcPr>
          <w:p w14:paraId="0CEEE1A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189</w:t>
            </w:r>
          </w:p>
        </w:tc>
        <w:tc>
          <w:tcPr>
            <w:tcW w:w="2094" w:type="dxa"/>
            <w:tcMar>
              <w:top w:w="60" w:type="dxa"/>
              <w:left w:w="100" w:type="dxa"/>
              <w:bottom w:w="60" w:type="dxa"/>
              <w:right w:w="100" w:type="dxa"/>
            </w:tcMar>
          </w:tcPr>
          <w:p w14:paraId="4353ED3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Hakola et al. 2024</w:t>
            </w:r>
          </w:p>
        </w:tc>
        <w:tc>
          <w:tcPr>
            <w:tcW w:w="4923" w:type="dxa"/>
            <w:tcMar>
              <w:top w:w="60" w:type="dxa"/>
              <w:left w:w="100" w:type="dxa"/>
              <w:bottom w:w="60" w:type="dxa"/>
              <w:right w:w="100" w:type="dxa"/>
            </w:tcMar>
          </w:tcPr>
          <w:p w14:paraId="05C0CC4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Intake of B vitamins and the risk of developing islet autoimmunity and type 1 diabetes in the TEDDY study</w:t>
            </w:r>
          </w:p>
        </w:tc>
        <w:tc>
          <w:tcPr>
            <w:tcW w:w="6537" w:type="dxa"/>
            <w:tcMar>
              <w:top w:w="60" w:type="dxa"/>
              <w:left w:w="100" w:type="dxa"/>
              <w:bottom w:w="60" w:type="dxa"/>
              <w:right w:w="100" w:type="dxa"/>
            </w:tcMar>
          </w:tcPr>
          <w:p w14:paraId="506A4D9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led to lower risk of developing autoimmunity changes that lead to type 1 diabetes.</w:t>
            </w:r>
          </w:p>
        </w:tc>
      </w:tr>
      <w:tr w:rsidR="00EA496D" w:rsidRPr="00F56AD6" w14:paraId="14D39C13" w14:textId="77777777" w:rsidTr="00EA496D">
        <w:tc>
          <w:tcPr>
            <w:tcW w:w="846" w:type="dxa"/>
            <w:tcMar>
              <w:top w:w="60" w:type="dxa"/>
              <w:left w:w="100" w:type="dxa"/>
              <w:bottom w:w="60" w:type="dxa"/>
              <w:right w:w="100" w:type="dxa"/>
            </w:tcMar>
          </w:tcPr>
          <w:p w14:paraId="69B6547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190</w:t>
            </w:r>
          </w:p>
        </w:tc>
        <w:tc>
          <w:tcPr>
            <w:tcW w:w="2094" w:type="dxa"/>
            <w:tcMar>
              <w:top w:w="60" w:type="dxa"/>
              <w:left w:w="100" w:type="dxa"/>
              <w:bottom w:w="60" w:type="dxa"/>
              <w:right w:w="100" w:type="dxa"/>
            </w:tcMar>
          </w:tcPr>
          <w:p w14:paraId="12D252D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Hamouda et al. 2022</w:t>
            </w:r>
          </w:p>
        </w:tc>
        <w:tc>
          <w:tcPr>
            <w:tcW w:w="4923" w:type="dxa"/>
            <w:tcMar>
              <w:top w:w="60" w:type="dxa"/>
              <w:left w:w="100" w:type="dxa"/>
              <w:bottom w:w="60" w:type="dxa"/>
              <w:right w:w="100" w:type="dxa"/>
            </w:tcMar>
          </w:tcPr>
          <w:p w14:paraId="29BFAE4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Assessment of Antioxidant and Anticancer Activities of Microgreen Alga Chlorella vulgaris and Its Blend with Different Vitamins</w:t>
            </w:r>
          </w:p>
        </w:tc>
        <w:tc>
          <w:tcPr>
            <w:tcW w:w="6537" w:type="dxa"/>
            <w:tcMar>
              <w:top w:w="60" w:type="dxa"/>
              <w:left w:w="100" w:type="dxa"/>
              <w:bottom w:w="60" w:type="dxa"/>
              <w:right w:w="100" w:type="dxa"/>
            </w:tcMar>
          </w:tcPr>
          <w:p w14:paraId="398DED4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population: in vitro. Wrong exposure - not excess intake.</w:t>
            </w:r>
          </w:p>
        </w:tc>
      </w:tr>
      <w:tr w:rsidR="00EA496D" w:rsidRPr="00F56AD6" w14:paraId="111C69EC" w14:textId="77777777" w:rsidTr="00EA496D">
        <w:tc>
          <w:tcPr>
            <w:tcW w:w="846" w:type="dxa"/>
            <w:tcMar>
              <w:top w:w="60" w:type="dxa"/>
              <w:left w:w="100" w:type="dxa"/>
              <w:bottom w:w="60" w:type="dxa"/>
              <w:right w:w="100" w:type="dxa"/>
            </w:tcMar>
          </w:tcPr>
          <w:p w14:paraId="151746F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191</w:t>
            </w:r>
          </w:p>
        </w:tc>
        <w:tc>
          <w:tcPr>
            <w:tcW w:w="2094" w:type="dxa"/>
            <w:tcMar>
              <w:top w:w="60" w:type="dxa"/>
              <w:left w:w="100" w:type="dxa"/>
              <w:bottom w:w="60" w:type="dxa"/>
              <w:right w:w="100" w:type="dxa"/>
            </w:tcMar>
          </w:tcPr>
          <w:p w14:paraId="390B39B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Han et al. 2025</w:t>
            </w:r>
          </w:p>
        </w:tc>
        <w:tc>
          <w:tcPr>
            <w:tcW w:w="4923" w:type="dxa"/>
            <w:tcMar>
              <w:top w:w="60" w:type="dxa"/>
              <w:left w:w="100" w:type="dxa"/>
              <w:bottom w:w="60" w:type="dxa"/>
              <w:right w:w="100" w:type="dxa"/>
            </w:tcMar>
          </w:tcPr>
          <w:p w14:paraId="7EB116B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Exploring neuropsychiatric manifestations of vitamin B complex deficiencies</w:t>
            </w:r>
          </w:p>
        </w:tc>
        <w:tc>
          <w:tcPr>
            <w:tcW w:w="6537" w:type="dxa"/>
            <w:tcMar>
              <w:top w:w="60" w:type="dxa"/>
              <w:left w:w="100" w:type="dxa"/>
              <w:bottom w:w="60" w:type="dxa"/>
              <w:right w:w="100" w:type="dxa"/>
            </w:tcMar>
          </w:tcPr>
          <w:p w14:paraId="6AC1350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discussing importance of supplementation in deficiencies rather than risks of toxicity.</w:t>
            </w:r>
          </w:p>
        </w:tc>
      </w:tr>
      <w:tr w:rsidR="00EA496D" w:rsidRPr="00F56AD6" w14:paraId="2AAC77A7" w14:textId="77777777" w:rsidTr="00EA496D">
        <w:tc>
          <w:tcPr>
            <w:tcW w:w="846" w:type="dxa"/>
            <w:tcMar>
              <w:top w:w="60" w:type="dxa"/>
              <w:left w:w="100" w:type="dxa"/>
              <w:bottom w:w="60" w:type="dxa"/>
              <w:right w:w="100" w:type="dxa"/>
            </w:tcMar>
          </w:tcPr>
          <w:p w14:paraId="0A18397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192</w:t>
            </w:r>
          </w:p>
        </w:tc>
        <w:tc>
          <w:tcPr>
            <w:tcW w:w="2094" w:type="dxa"/>
            <w:tcMar>
              <w:top w:w="60" w:type="dxa"/>
              <w:left w:w="100" w:type="dxa"/>
              <w:bottom w:w="60" w:type="dxa"/>
              <w:right w:w="100" w:type="dxa"/>
            </w:tcMar>
          </w:tcPr>
          <w:p w14:paraId="5E6021B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Hansen et al. 2025</w:t>
            </w:r>
          </w:p>
        </w:tc>
        <w:tc>
          <w:tcPr>
            <w:tcW w:w="4923" w:type="dxa"/>
            <w:tcMar>
              <w:top w:w="60" w:type="dxa"/>
              <w:left w:w="100" w:type="dxa"/>
              <w:bottom w:w="60" w:type="dxa"/>
              <w:right w:w="100" w:type="dxa"/>
            </w:tcMar>
          </w:tcPr>
          <w:p w14:paraId="28FAC49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Acute non-alcoholic nutritional neuropathies in high-income countries - a systematic review</w:t>
            </w:r>
          </w:p>
        </w:tc>
        <w:tc>
          <w:tcPr>
            <w:tcW w:w="6537" w:type="dxa"/>
            <w:tcMar>
              <w:top w:w="60" w:type="dxa"/>
              <w:left w:w="100" w:type="dxa"/>
              <w:bottom w:w="60" w:type="dxa"/>
              <w:right w:w="100" w:type="dxa"/>
            </w:tcMar>
          </w:tcPr>
          <w:p w14:paraId="3753F36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nutritional neuropathy patients were B6 deficient.</w:t>
            </w:r>
          </w:p>
        </w:tc>
      </w:tr>
      <w:tr w:rsidR="00EA496D" w:rsidRPr="00F56AD6" w14:paraId="04DE357E" w14:textId="77777777" w:rsidTr="00EA496D">
        <w:tc>
          <w:tcPr>
            <w:tcW w:w="846" w:type="dxa"/>
            <w:tcMar>
              <w:top w:w="60" w:type="dxa"/>
              <w:left w:w="100" w:type="dxa"/>
              <w:bottom w:w="60" w:type="dxa"/>
              <w:right w:w="100" w:type="dxa"/>
            </w:tcMar>
          </w:tcPr>
          <w:p w14:paraId="357709F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193</w:t>
            </w:r>
          </w:p>
        </w:tc>
        <w:tc>
          <w:tcPr>
            <w:tcW w:w="2094" w:type="dxa"/>
            <w:tcMar>
              <w:top w:w="60" w:type="dxa"/>
              <w:left w:w="100" w:type="dxa"/>
              <w:bottom w:w="60" w:type="dxa"/>
              <w:right w:w="100" w:type="dxa"/>
            </w:tcMar>
          </w:tcPr>
          <w:p w14:paraId="32C67A2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Harb et al. 2023</w:t>
            </w:r>
          </w:p>
        </w:tc>
        <w:tc>
          <w:tcPr>
            <w:tcW w:w="4923" w:type="dxa"/>
            <w:tcMar>
              <w:top w:w="60" w:type="dxa"/>
              <w:left w:w="100" w:type="dxa"/>
              <w:bottom w:w="60" w:type="dxa"/>
              <w:right w:w="100" w:type="dxa"/>
            </w:tcMar>
          </w:tcPr>
          <w:p w14:paraId="0349558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Micronutrient inadequacy and urinary stone disease: an analysis of the National Health and Nutrition Examination Survey 2007-2018</w:t>
            </w:r>
          </w:p>
        </w:tc>
        <w:tc>
          <w:tcPr>
            <w:tcW w:w="6537" w:type="dxa"/>
            <w:tcMar>
              <w:top w:w="60" w:type="dxa"/>
              <w:left w:w="100" w:type="dxa"/>
              <w:bottom w:w="60" w:type="dxa"/>
              <w:right w:w="100" w:type="dxa"/>
            </w:tcMar>
          </w:tcPr>
          <w:p w14:paraId="2F6305B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inadequate amount of B6 lead to health complications.</w:t>
            </w:r>
          </w:p>
        </w:tc>
      </w:tr>
      <w:tr w:rsidR="00EA496D" w:rsidRPr="00F56AD6" w14:paraId="6FAB522F" w14:textId="77777777" w:rsidTr="00EA496D">
        <w:tc>
          <w:tcPr>
            <w:tcW w:w="846" w:type="dxa"/>
            <w:tcMar>
              <w:top w:w="60" w:type="dxa"/>
              <w:left w:w="100" w:type="dxa"/>
              <w:bottom w:w="60" w:type="dxa"/>
              <w:right w:w="100" w:type="dxa"/>
            </w:tcMar>
          </w:tcPr>
          <w:p w14:paraId="5BB6D34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194</w:t>
            </w:r>
          </w:p>
        </w:tc>
        <w:tc>
          <w:tcPr>
            <w:tcW w:w="2094" w:type="dxa"/>
            <w:tcMar>
              <w:top w:w="60" w:type="dxa"/>
              <w:left w:w="100" w:type="dxa"/>
              <w:bottom w:w="60" w:type="dxa"/>
              <w:right w:w="100" w:type="dxa"/>
            </w:tcMar>
          </w:tcPr>
          <w:p w14:paraId="0FD32C1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Hashim et al. 2026</w:t>
            </w:r>
          </w:p>
        </w:tc>
        <w:tc>
          <w:tcPr>
            <w:tcW w:w="4923" w:type="dxa"/>
            <w:tcMar>
              <w:top w:w="60" w:type="dxa"/>
              <w:left w:w="100" w:type="dxa"/>
              <w:bottom w:w="60" w:type="dxa"/>
              <w:right w:w="100" w:type="dxa"/>
            </w:tcMar>
          </w:tcPr>
          <w:p w14:paraId="334F798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Comprehensive Review of L-Lysine: Chemistry, Occurrence, and Physiological Roles</w:t>
            </w:r>
          </w:p>
        </w:tc>
        <w:tc>
          <w:tcPr>
            <w:tcW w:w="6537" w:type="dxa"/>
            <w:tcMar>
              <w:top w:w="60" w:type="dxa"/>
              <w:left w:w="100" w:type="dxa"/>
              <w:bottom w:w="60" w:type="dxa"/>
              <w:right w:w="100" w:type="dxa"/>
            </w:tcMar>
          </w:tcPr>
          <w:p w14:paraId="0AF4E2B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benefits of lysine and how lysine can affect pyridoxine - dependant epilepsy.</w:t>
            </w:r>
          </w:p>
        </w:tc>
      </w:tr>
      <w:tr w:rsidR="00EA496D" w:rsidRPr="00F56AD6" w14:paraId="169B9F65" w14:textId="77777777" w:rsidTr="00EA496D">
        <w:tc>
          <w:tcPr>
            <w:tcW w:w="846" w:type="dxa"/>
            <w:tcMar>
              <w:top w:w="60" w:type="dxa"/>
              <w:left w:w="100" w:type="dxa"/>
              <w:bottom w:w="60" w:type="dxa"/>
              <w:right w:w="100" w:type="dxa"/>
            </w:tcMar>
          </w:tcPr>
          <w:p w14:paraId="1A7CDA0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195</w:t>
            </w:r>
          </w:p>
        </w:tc>
        <w:tc>
          <w:tcPr>
            <w:tcW w:w="2094" w:type="dxa"/>
            <w:tcMar>
              <w:top w:w="60" w:type="dxa"/>
              <w:left w:w="100" w:type="dxa"/>
              <w:bottom w:w="60" w:type="dxa"/>
              <w:right w:w="100" w:type="dxa"/>
            </w:tcMar>
          </w:tcPr>
          <w:p w14:paraId="42C3EE7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Hasken et al. 2023</w:t>
            </w:r>
          </w:p>
        </w:tc>
        <w:tc>
          <w:tcPr>
            <w:tcW w:w="4923" w:type="dxa"/>
            <w:tcMar>
              <w:top w:w="60" w:type="dxa"/>
              <w:left w:w="100" w:type="dxa"/>
              <w:bottom w:w="60" w:type="dxa"/>
              <w:right w:w="100" w:type="dxa"/>
            </w:tcMar>
          </w:tcPr>
          <w:p w14:paraId="71A03B7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Maternal dietary intake among alcohol-exposed pregnancies is linked to early infant physical outcomes in South Africa</w:t>
            </w:r>
          </w:p>
        </w:tc>
        <w:tc>
          <w:tcPr>
            <w:tcW w:w="6537" w:type="dxa"/>
            <w:tcMar>
              <w:top w:w="60" w:type="dxa"/>
              <w:left w:w="100" w:type="dxa"/>
              <w:bottom w:w="60" w:type="dxa"/>
              <w:right w:w="100" w:type="dxa"/>
            </w:tcMar>
          </w:tcPr>
          <w:p w14:paraId="2B166E8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women were below the B6 RDI.</w:t>
            </w:r>
          </w:p>
        </w:tc>
      </w:tr>
      <w:tr w:rsidR="00EA496D" w:rsidRPr="00F56AD6" w14:paraId="647F6AB0" w14:textId="77777777" w:rsidTr="00EA496D">
        <w:tc>
          <w:tcPr>
            <w:tcW w:w="846" w:type="dxa"/>
            <w:tcMar>
              <w:top w:w="60" w:type="dxa"/>
              <w:left w:w="100" w:type="dxa"/>
              <w:bottom w:w="60" w:type="dxa"/>
              <w:right w:w="100" w:type="dxa"/>
            </w:tcMar>
          </w:tcPr>
          <w:p w14:paraId="6B3E917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196</w:t>
            </w:r>
          </w:p>
        </w:tc>
        <w:tc>
          <w:tcPr>
            <w:tcW w:w="2094" w:type="dxa"/>
            <w:tcMar>
              <w:top w:w="60" w:type="dxa"/>
              <w:left w:w="100" w:type="dxa"/>
              <w:bottom w:w="60" w:type="dxa"/>
              <w:right w:w="100" w:type="dxa"/>
            </w:tcMar>
          </w:tcPr>
          <w:p w14:paraId="5A5EC59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He et al. 2024</w:t>
            </w:r>
          </w:p>
        </w:tc>
        <w:tc>
          <w:tcPr>
            <w:tcW w:w="4923" w:type="dxa"/>
            <w:tcMar>
              <w:top w:w="60" w:type="dxa"/>
              <w:left w:w="100" w:type="dxa"/>
              <w:bottom w:w="60" w:type="dxa"/>
              <w:right w:w="100" w:type="dxa"/>
            </w:tcMar>
          </w:tcPr>
          <w:p w14:paraId="00CFF3F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Competition in the Tumor Microenvironment Hampers Antitumor Functions of NK Cells</w:t>
            </w:r>
          </w:p>
        </w:tc>
        <w:tc>
          <w:tcPr>
            <w:tcW w:w="6537" w:type="dxa"/>
            <w:tcMar>
              <w:top w:w="60" w:type="dxa"/>
              <w:left w:w="100" w:type="dxa"/>
              <w:bottom w:w="60" w:type="dxa"/>
              <w:right w:w="100" w:type="dxa"/>
            </w:tcMar>
          </w:tcPr>
          <w:p w14:paraId="44CF6C6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supplementation has antitumor properties.</w:t>
            </w:r>
          </w:p>
        </w:tc>
      </w:tr>
      <w:tr w:rsidR="00EA496D" w:rsidRPr="00F56AD6" w14:paraId="127AC63D" w14:textId="77777777" w:rsidTr="00EA496D">
        <w:tc>
          <w:tcPr>
            <w:tcW w:w="846" w:type="dxa"/>
            <w:tcMar>
              <w:top w:w="60" w:type="dxa"/>
              <w:left w:w="100" w:type="dxa"/>
              <w:bottom w:w="60" w:type="dxa"/>
              <w:right w:w="100" w:type="dxa"/>
            </w:tcMar>
          </w:tcPr>
          <w:p w14:paraId="072CC61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197</w:t>
            </w:r>
          </w:p>
        </w:tc>
        <w:tc>
          <w:tcPr>
            <w:tcW w:w="2094" w:type="dxa"/>
            <w:tcMar>
              <w:top w:w="60" w:type="dxa"/>
              <w:left w:w="100" w:type="dxa"/>
              <w:bottom w:w="60" w:type="dxa"/>
              <w:right w:w="100" w:type="dxa"/>
            </w:tcMar>
          </w:tcPr>
          <w:p w14:paraId="5BB9411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He et al. 2026</w:t>
            </w:r>
          </w:p>
        </w:tc>
        <w:tc>
          <w:tcPr>
            <w:tcW w:w="4923" w:type="dxa"/>
            <w:tcMar>
              <w:top w:w="60" w:type="dxa"/>
              <w:left w:w="100" w:type="dxa"/>
              <w:bottom w:w="60" w:type="dxa"/>
              <w:right w:w="100" w:type="dxa"/>
            </w:tcMar>
          </w:tcPr>
          <w:p w14:paraId="6D03FC0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Common Adverse Reactions and Management Strategies of First-Line Anti-Tuberculosis Drugs</w:t>
            </w:r>
          </w:p>
        </w:tc>
        <w:tc>
          <w:tcPr>
            <w:tcW w:w="6537" w:type="dxa"/>
            <w:tcMar>
              <w:top w:w="60" w:type="dxa"/>
              <w:left w:w="100" w:type="dxa"/>
              <w:bottom w:w="60" w:type="dxa"/>
              <w:right w:w="100" w:type="dxa"/>
            </w:tcMar>
          </w:tcPr>
          <w:p w14:paraId="4CE89A7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pyridoxine as treatment for peripheral neuropathy.</w:t>
            </w:r>
          </w:p>
        </w:tc>
      </w:tr>
      <w:tr w:rsidR="00EA496D" w:rsidRPr="00F56AD6" w14:paraId="5989EC56" w14:textId="77777777" w:rsidTr="00EA496D">
        <w:tc>
          <w:tcPr>
            <w:tcW w:w="846" w:type="dxa"/>
            <w:tcMar>
              <w:top w:w="60" w:type="dxa"/>
              <w:left w:w="100" w:type="dxa"/>
              <w:bottom w:w="60" w:type="dxa"/>
              <w:right w:w="100" w:type="dxa"/>
            </w:tcMar>
          </w:tcPr>
          <w:p w14:paraId="0B13C11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198</w:t>
            </w:r>
          </w:p>
        </w:tc>
        <w:tc>
          <w:tcPr>
            <w:tcW w:w="2094" w:type="dxa"/>
            <w:tcMar>
              <w:top w:w="60" w:type="dxa"/>
              <w:left w:w="100" w:type="dxa"/>
              <w:bottom w:w="60" w:type="dxa"/>
              <w:right w:w="100" w:type="dxa"/>
            </w:tcMar>
          </w:tcPr>
          <w:p w14:paraId="0FE277C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Heilfort et al. 2023</w:t>
            </w:r>
          </w:p>
        </w:tc>
        <w:tc>
          <w:tcPr>
            <w:tcW w:w="4923" w:type="dxa"/>
            <w:tcMar>
              <w:top w:w="60" w:type="dxa"/>
              <w:left w:w="100" w:type="dxa"/>
              <w:bottom w:w="60" w:type="dxa"/>
              <w:right w:w="100" w:type="dxa"/>
            </w:tcMar>
          </w:tcPr>
          <w:p w14:paraId="7E19D58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Systematic Review of the Benefit of B-Vitamins as a Complementary Treatment in Cancer Patients</w:t>
            </w:r>
          </w:p>
        </w:tc>
        <w:tc>
          <w:tcPr>
            <w:tcW w:w="6537" w:type="dxa"/>
            <w:tcMar>
              <w:top w:w="60" w:type="dxa"/>
              <w:left w:w="100" w:type="dxa"/>
              <w:bottom w:w="60" w:type="dxa"/>
              <w:right w:w="100" w:type="dxa"/>
            </w:tcMar>
          </w:tcPr>
          <w:p w14:paraId="4021536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"Evidence of B - vitamins in cancer patients is low and supplementation cannot be recommended" No real outcome.</w:t>
            </w:r>
          </w:p>
        </w:tc>
      </w:tr>
      <w:tr w:rsidR="00EA496D" w:rsidRPr="00F56AD6" w14:paraId="1466272D" w14:textId="77777777" w:rsidTr="00EA496D">
        <w:tc>
          <w:tcPr>
            <w:tcW w:w="846" w:type="dxa"/>
            <w:tcMar>
              <w:top w:w="60" w:type="dxa"/>
              <w:left w:w="100" w:type="dxa"/>
              <w:bottom w:w="60" w:type="dxa"/>
              <w:right w:w="100" w:type="dxa"/>
            </w:tcMar>
          </w:tcPr>
          <w:p w14:paraId="1B3C8F7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199</w:t>
            </w:r>
          </w:p>
        </w:tc>
        <w:tc>
          <w:tcPr>
            <w:tcW w:w="2094" w:type="dxa"/>
            <w:tcMar>
              <w:top w:w="60" w:type="dxa"/>
              <w:left w:w="100" w:type="dxa"/>
              <w:bottom w:w="60" w:type="dxa"/>
              <w:right w:w="100" w:type="dxa"/>
            </w:tcMar>
          </w:tcPr>
          <w:p w14:paraId="7D5965A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Helland et al. 2022</w:t>
            </w:r>
          </w:p>
        </w:tc>
        <w:tc>
          <w:tcPr>
            <w:tcW w:w="4923" w:type="dxa"/>
            <w:tcMar>
              <w:top w:w="60" w:type="dxa"/>
              <w:left w:w="100" w:type="dxa"/>
              <w:bottom w:w="60" w:type="dxa"/>
              <w:right w:w="100" w:type="dxa"/>
            </w:tcMar>
          </w:tcPr>
          <w:p w14:paraId="699CCCA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Consumption of a light meal affects serum concentrations of one-carbon metabolites and B-vitamins. A clinical intervention study</w:t>
            </w:r>
          </w:p>
        </w:tc>
        <w:tc>
          <w:tcPr>
            <w:tcW w:w="6537" w:type="dxa"/>
            <w:tcMar>
              <w:top w:w="60" w:type="dxa"/>
              <w:left w:w="100" w:type="dxa"/>
              <w:bottom w:w="60" w:type="dxa"/>
              <w:right w:w="100" w:type="dxa"/>
            </w:tcMar>
          </w:tcPr>
          <w:p w14:paraId="3F64ADA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light breakfast does not provide enough B vit.</w:t>
            </w:r>
          </w:p>
        </w:tc>
      </w:tr>
      <w:tr w:rsidR="00EA496D" w:rsidRPr="00F56AD6" w14:paraId="74E8BE13" w14:textId="77777777" w:rsidTr="00EA496D">
        <w:tc>
          <w:tcPr>
            <w:tcW w:w="846" w:type="dxa"/>
            <w:tcMar>
              <w:top w:w="60" w:type="dxa"/>
              <w:left w:w="100" w:type="dxa"/>
              <w:bottom w:w="60" w:type="dxa"/>
              <w:right w:w="100" w:type="dxa"/>
            </w:tcMar>
          </w:tcPr>
          <w:p w14:paraId="2DF99E7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200</w:t>
            </w:r>
          </w:p>
        </w:tc>
        <w:tc>
          <w:tcPr>
            <w:tcW w:w="2094" w:type="dxa"/>
            <w:tcMar>
              <w:top w:w="60" w:type="dxa"/>
              <w:left w:w="100" w:type="dxa"/>
              <w:bottom w:w="60" w:type="dxa"/>
              <w:right w:w="100" w:type="dxa"/>
            </w:tcMar>
          </w:tcPr>
          <w:p w14:paraId="5C41597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Hernandez-Unzueta et al. 2023</w:t>
            </w:r>
          </w:p>
        </w:tc>
        <w:tc>
          <w:tcPr>
            <w:tcW w:w="4923" w:type="dxa"/>
            <w:tcMar>
              <w:top w:w="60" w:type="dxa"/>
              <w:left w:w="100" w:type="dxa"/>
              <w:bottom w:w="60" w:type="dxa"/>
              <w:right w:w="100" w:type="dxa"/>
            </w:tcMar>
          </w:tcPr>
          <w:p w14:paraId="52128F2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Improving the Antitumor Effect of Chemotherapy with Ocoxin as a Novel Adjuvant Agent to Treat Prostate Cancer</w:t>
            </w:r>
          </w:p>
        </w:tc>
        <w:tc>
          <w:tcPr>
            <w:tcW w:w="6537" w:type="dxa"/>
            <w:tcMar>
              <w:top w:w="60" w:type="dxa"/>
              <w:left w:w="100" w:type="dxa"/>
              <w:bottom w:w="60" w:type="dxa"/>
              <w:right w:w="100" w:type="dxa"/>
            </w:tcMar>
          </w:tcPr>
          <w:p w14:paraId="2D0A082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or otherwise lacked a relevant vitamin B6 exposure.</w:t>
            </w:r>
          </w:p>
        </w:tc>
      </w:tr>
      <w:tr w:rsidR="00EA496D" w:rsidRPr="00F56AD6" w14:paraId="4151C22A" w14:textId="77777777" w:rsidTr="00EA496D">
        <w:tc>
          <w:tcPr>
            <w:tcW w:w="846" w:type="dxa"/>
            <w:tcMar>
              <w:top w:w="60" w:type="dxa"/>
              <w:left w:w="100" w:type="dxa"/>
              <w:bottom w:w="60" w:type="dxa"/>
              <w:right w:w="100" w:type="dxa"/>
            </w:tcMar>
          </w:tcPr>
          <w:p w14:paraId="1FD0D84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201</w:t>
            </w:r>
          </w:p>
        </w:tc>
        <w:tc>
          <w:tcPr>
            <w:tcW w:w="2094" w:type="dxa"/>
            <w:tcMar>
              <w:top w:w="60" w:type="dxa"/>
              <w:left w:w="100" w:type="dxa"/>
              <w:bottom w:w="60" w:type="dxa"/>
              <w:right w:w="100" w:type="dxa"/>
            </w:tcMar>
          </w:tcPr>
          <w:p w14:paraId="2A064C4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Herrera et al. 2024</w:t>
            </w:r>
          </w:p>
        </w:tc>
        <w:tc>
          <w:tcPr>
            <w:tcW w:w="4923" w:type="dxa"/>
            <w:tcMar>
              <w:top w:w="60" w:type="dxa"/>
              <w:left w:w="100" w:type="dxa"/>
              <w:bottom w:w="60" w:type="dxa"/>
              <w:right w:w="100" w:type="dxa"/>
            </w:tcMar>
          </w:tcPr>
          <w:p w14:paraId="4EA8040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Effects of the PREMEN-CALM® in the Management of the Premenstrual Syndrome: A Randomized, Double-Blind, Placebo-Controlled Pilot Study</w:t>
            </w:r>
          </w:p>
        </w:tc>
        <w:tc>
          <w:tcPr>
            <w:tcW w:w="6537" w:type="dxa"/>
            <w:tcMar>
              <w:top w:w="60" w:type="dxa"/>
              <w:left w:w="100" w:type="dxa"/>
              <w:bottom w:w="60" w:type="dxa"/>
              <w:right w:w="100" w:type="dxa"/>
            </w:tcMar>
          </w:tcPr>
          <w:p w14:paraId="1EAF2CA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a medication that contains B6 may help PMS.</w:t>
            </w:r>
          </w:p>
        </w:tc>
      </w:tr>
      <w:tr w:rsidR="00EA496D" w:rsidRPr="00F56AD6" w14:paraId="46677161" w14:textId="77777777" w:rsidTr="00EA496D">
        <w:tc>
          <w:tcPr>
            <w:tcW w:w="846" w:type="dxa"/>
            <w:tcMar>
              <w:top w:w="60" w:type="dxa"/>
              <w:left w:w="100" w:type="dxa"/>
              <w:bottom w:w="60" w:type="dxa"/>
              <w:right w:w="100" w:type="dxa"/>
            </w:tcMar>
          </w:tcPr>
          <w:p w14:paraId="78928C8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202</w:t>
            </w:r>
          </w:p>
        </w:tc>
        <w:tc>
          <w:tcPr>
            <w:tcW w:w="2094" w:type="dxa"/>
            <w:tcMar>
              <w:top w:w="60" w:type="dxa"/>
              <w:left w:w="100" w:type="dxa"/>
              <w:bottom w:w="60" w:type="dxa"/>
              <w:right w:w="100" w:type="dxa"/>
            </w:tcMar>
          </w:tcPr>
          <w:p w14:paraId="292573D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Hess et al. 2023</w:t>
            </w:r>
          </w:p>
        </w:tc>
        <w:tc>
          <w:tcPr>
            <w:tcW w:w="4923" w:type="dxa"/>
            <w:tcMar>
              <w:top w:w="60" w:type="dxa"/>
              <w:left w:w="100" w:type="dxa"/>
              <w:bottom w:w="60" w:type="dxa"/>
              <w:right w:w="100" w:type="dxa"/>
            </w:tcMar>
          </w:tcPr>
          <w:p w14:paraId="1CD957C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Modeling Ovo-vegetarian, Lacto-vegetarian, Pescatarian, and Vegan USDA Food Patterns and Assessing Nutrient Adequacy for Lactation among Adult Females</w:t>
            </w:r>
          </w:p>
        </w:tc>
        <w:tc>
          <w:tcPr>
            <w:tcW w:w="6537" w:type="dxa"/>
            <w:tcMar>
              <w:top w:w="60" w:type="dxa"/>
              <w:left w:w="100" w:type="dxa"/>
              <w:bottom w:w="60" w:type="dxa"/>
              <w:right w:w="100" w:type="dxa"/>
            </w:tcMar>
          </w:tcPr>
          <w:p w14:paraId="5908EC8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shows that vegetarian diets can lack in some B6. Does not discuss toxicity.</w:t>
            </w:r>
          </w:p>
        </w:tc>
      </w:tr>
      <w:tr w:rsidR="00EA496D" w:rsidRPr="00F56AD6" w14:paraId="2F36DF92" w14:textId="77777777" w:rsidTr="00EA496D">
        <w:tc>
          <w:tcPr>
            <w:tcW w:w="846" w:type="dxa"/>
            <w:tcMar>
              <w:top w:w="60" w:type="dxa"/>
              <w:left w:w="100" w:type="dxa"/>
              <w:bottom w:w="60" w:type="dxa"/>
              <w:right w:w="100" w:type="dxa"/>
            </w:tcMar>
          </w:tcPr>
          <w:p w14:paraId="09756AC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203</w:t>
            </w:r>
          </w:p>
        </w:tc>
        <w:tc>
          <w:tcPr>
            <w:tcW w:w="2094" w:type="dxa"/>
            <w:tcMar>
              <w:top w:w="60" w:type="dxa"/>
              <w:left w:w="100" w:type="dxa"/>
              <w:bottom w:w="60" w:type="dxa"/>
              <w:right w:w="100" w:type="dxa"/>
            </w:tcMar>
          </w:tcPr>
          <w:p w14:paraId="788D6A1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Heysell et al. 2026</w:t>
            </w:r>
          </w:p>
        </w:tc>
        <w:tc>
          <w:tcPr>
            <w:tcW w:w="4923" w:type="dxa"/>
            <w:tcMar>
              <w:top w:w="60" w:type="dxa"/>
              <w:left w:w="100" w:type="dxa"/>
              <w:bottom w:w="60" w:type="dxa"/>
              <w:right w:w="100" w:type="dxa"/>
            </w:tcMar>
          </w:tcPr>
          <w:p w14:paraId="642CF25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Immediate or high-dose antituberculosis therapy for HIV-related sepsis in Tanzania and Uganda (ATLAS): a phase 3, open-label, randomised, controlled, 2 × 2 factorial, superiority trial</w:t>
            </w:r>
          </w:p>
        </w:tc>
        <w:tc>
          <w:tcPr>
            <w:tcW w:w="6537" w:type="dxa"/>
            <w:tcMar>
              <w:top w:w="60" w:type="dxa"/>
              <w:left w:w="100" w:type="dxa"/>
              <w:bottom w:w="60" w:type="dxa"/>
              <w:right w:w="100" w:type="dxa"/>
            </w:tcMar>
          </w:tcPr>
          <w:p w14:paraId="2B59CDB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pyridoxine taken alongside medication, effects of pyridoxine not discussed.</w:t>
            </w:r>
          </w:p>
        </w:tc>
      </w:tr>
      <w:tr w:rsidR="00EA496D" w:rsidRPr="00F56AD6" w14:paraId="5F11B8FF" w14:textId="77777777" w:rsidTr="00EA496D">
        <w:tc>
          <w:tcPr>
            <w:tcW w:w="846" w:type="dxa"/>
            <w:tcMar>
              <w:top w:w="60" w:type="dxa"/>
              <w:left w:w="100" w:type="dxa"/>
              <w:bottom w:w="60" w:type="dxa"/>
              <w:right w:w="100" w:type="dxa"/>
            </w:tcMar>
          </w:tcPr>
          <w:p w14:paraId="672BACF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204</w:t>
            </w:r>
          </w:p>
        </w:tc>
        <w:tc>
          <w:tcPr>
            <w:tcW w:w="2094" w:type="dxa"/>
            <w:tcMar>
              <w:top w:w="60" w:type="dxa"/>
              <w:left w:w="100" w:type="dxa"/>
              <w:bottom w:w="60" w:type="dxa"/>
              <w:right w:w="100" w:type="dxa"/>
            </w:tcMar>
          </w:tcPr>
          <w:p w14:paraId="11968FA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Hikichi et al. 2025</w:t>
            </w:r>
          </w:p>
        </w:tc>
        <w:tc>
          <w:tcPr>
            <w:tcW w:w="4923" w:type="dxa"/>
            <w:tcMar>
              <w:top w:w="60" w:type="dxa"/>
              <w:left w:w="100" w:type="dxa"/>
              <w:bottom w:w="60" w:type="dxa"/>
              <w:right w:w="100" w:type="dxa"/>
            </w:tcMar>
          </w:tcPr>
          <w:p w14:paraId="5811443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Scavenging methylglyoxal improves bone quality and defect healing in diabetic mice</w:t>
            </w:r>
          </w:p>
        </w:tc>
        <w:tc>
          <w:tcPr>
            <w:tcW w:w="6537" w:type="dxa"/>
            <w:tcMar>
              <w:top w:w="60" w:type="dxa"/>
              <w:left w:w="100" w:type="dxa"/>
              <w:bottom w:w="60" w:type="dxa"/>
              <w:right w:w="100" w:type="dxa"/>
            </w:tcMar>
          </w:tcPr>
          <w:p w14:paraId="2973EB2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pyridoxamine supplementation ameliorated impairments.</w:t>
            </w:r>
          </w:p>
        </w:tc>
      </w:tr>
      <w:tr w:rsidR="00EA496D" w:rsidRPr="00F56AD6" w14:paraId="0998201A" w14:textId="77777777" w:rsidTr="00EA496D">
        <w:tc>
          <w:tcPr>
            <w:tcW w:w="846" w:type="dxa"/>
            <w:tcMar>
              <w:top w:w="60" w:type="dxa"/>
              <w:left w:w="100" w:type="dxa"/>
              <w:bottom w:w="60" w:type="dxa"/>
              <w:right w:w="100" w:type="dxa"/>
            </w:tcMar>
          </w:tcPr>
          <w:p w14:paraId="45F2E97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205</w:t>
            </w:r>
          </w:p>
        </w:tc>
        <w:tc>
          <w:tcPr>
            <w:tcW w:w="2094" w:type="dxa"/>
            <w:tcMar>
              <w:top w:w="60" w:type="dxa"/>
              <w:left w:w="100" w:type="dxa"/>
              <w:bottom w:w="60" w:type="dxa"/>
              <w:right w:w="100" w:type="dxa"/>
            </w:tcMar>
          </w:tcPr>
          <w:p w14:paraId="12F2C05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Højfeldt et al. 2026</w:t>
            </w:r>
          </w:p>
        </w:tc>
        <w:tc>
          <w:tcPr>
            <w:tcW w:w="4923" w:type="dxa"/>
            <w:tcMar>
              <w:top w:w="60" w:type="dxa"/>
              <w:left w:w="100" w:type="dxa"/>
              <w:bottom w:w="60" w:type="dxa"/>
              <w:right w:w="100" w:type="dxa"/>
            </w:tcMar>
          </w:tcPr>
          <w:p w14:paraId="05C8873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Nicotinamide and Pyridoxine Supplementation Enhances Muscle Stem Cell Activity and Muscle Regeneration in Humans: A Randomized Placebo-Controlled Clinical Trial of High Force Eccentric Contraction Recovery in Healthy Young Men</w:t>
            </w:r>
          </w:p>
        </w:tc>
        <w:tc>
          <w:tcPr>
            <w:tcW w:w="6537" w:type="dxa"/>
            <w:tcMar>
              <w:top w:w="60" w:type="dxa"/>
              <w:left w:w="100" w:type="dxa"/>
              <w:bottom w:w="60" w:type="dxa"/>
              <w:right w:w="100" w:type="dxa"/>
            </w:tcMar>
          </w:tcPr>
          <w:p w14:paraId="78F9289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may be therapeutic in muscle regeneration.</w:t>
            </w:r>
          </w:p>
        </w:tc>
      </w:tr>
      <w:tr w:rsidR="00EA496D" w:rsidRPr="00F56AD6" w14:paraId="64A9AA6D" w14:textId="77777777" w:rsidTr="00EA496D">
        <w:tc>
          <w:tcPr>
            <w:tcW w:w="846" w:type="dxa"/>
            <w:tcMar>
              <w:top w:w="60" w:type="dxa"/>
              <w:left w:w="100" w:type="dxa"/>
              <w:bottom w:w="60" w:type="dxa"/>
              <w:right w:w="100" w:type="dxa"/>
            </w:tcMar>
          </w:tcPr>
          <w:p w14:paraId="2C142BB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206</w:t>
            </w:r>
          </w:p>
        </w:tc>
        <w:tc>
          <w:tcPr>
            <w:tcW w:w="2094" w:type="dxa"/>
            <w:tcMar>
              <w:top w:w="60" w:type="dxa"/>
              <w:left w:w="100" w:type="dxa"/>
              <w:bottom w:w="60" w:type="dxa"/>
              <w:right w:w="100" w:type="dxa"/>
            </w:tcMar>
          </w:tcPr>
          <w:p w14:paraId="1CDE9E2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Horowitz et al. 2026</w:t>
            </w:r>
          </w:p>
        </w:tc>
        <w:tc>
          <w:tcPr>
            <w:tcW w:w="4923" w:type="dxa"/>
            <w:tcMar>
              <w:top w:w="60" w:type="dxa"/>
              <w:left w:w="100" w:type="dxa"/>
              <w:bottom w:w="60" w:type="dxa"/>
              <w:right w:w="100" w:type="dxa"/>
            </w:tcMar>
          </w:tcPr>
          <w:p w14:paraId="2366AD6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Gyromitra Mushroom Toxicity</w:t>
            </w:r>
          </w:p>
        </w:tc>
        <w:tc>
          <w:tcPr>
            <w:tcW w:w="6537" w:type="dxa"/>
            <w:tcMar>
              <w:top w:w="60" w:type="dxa"/>
              <w:left w:w="100" w:type="dxa"/>
              <w:bottom w:w="60" w:type="dxa"/>
              <w:right w:w="100" w:type="dxa"/>
            </w:tcMar>
          </w:tcPr>
          <w:p w14:paraId="3517948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the mushroom effects pyridoxal in the body.</w:t>
            </w:r>
          </w:p>
        </w:tc>
      </w:tr>
      <w:tr w:rsidR="00EA496D" w:rsidRPr="00F56AD6" w14:paraId="3DD1AC3D" w14:textId="77777777" w:rsidTr="00EA496D">
        <w:tc>
          <w:tcPr>
            <w:tcW w:w="846" w:type="dxa"/>
            <w:tcMar>
              <w:top w:w="60" w:type="dxa"/>
              <w:left w:w="100" w:type="dxa"/>
              <w:bottom w:w="60" w:type="dxa"/>
              <w:right w:w="100" w:type="dxa"/>
            </w:tcMar>
          </w:tcPr>
          <w:p w14:paraId="5BFBF7F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207</w:t>
            </w:r>
          </w:p>
        </w:tc>
        <w:tc>
          <w:tcPr>
            <w:tcW w:w="2094" w:type="dxa"/>
            <w:tcMar>
              <w:top w:w="60" w:type="dxa"/>
              <w:left w:w="100" w:type="dxa"/>
              <w:bottom w:w="60" w:type="dxa"/>
              <w:right w:w="100" w:type="dxa"/>
            </w:tcMar>
          </w:tcPr>
          <w:p w14:paraId="6C643C1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Hu et al. 2024</w:t>
            </w:r>
          </w:p>
        </w:tc>
        <w:tc>
          <w:tcPr>
            <w:tcW w:w="4923" w:type="dxa"/>
            <w:tcMar>
              <w:top w:w="60" w:type="dxa"/>
              <w:left w:w="100" w:type="dxa"/>
              <w:bottom w:w="60" w:type="dxa"/>
              <w:right w:w="100" w:type="dxa"/>
            </w:tcMar>
          </w:tcPr>
          <w:p w14:paraId="5C62CA4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Effects of different energy levels in low-protein diet on liver lipid metabolism in the late-phase laying hens through the gut-liver axis</w:t>
            </w:r>
          </w:p>
        </w:tc>
        <w:tc>
          <w:tcPr>
            <w:tcW w:w="6537" w:type="dxa"/>
            <w:tcMar>
              <w:top w:w="60" w:type="dxa"/>
              <w:left w:w="100" w:type="dxa"/>
              <w:bottom w:w="60" w:type="dxa"/>
              <w:right w:w="100" w:type="dxa"/>
            </w:tcMar>
          </w:tcPr>
          <w:p w14:paraId="54F7B46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pyridoxine was affected by LL diet.</w:t>
            </w:r>
          </w:p>
        </w:tc>
      </w:tr>
      <w:tr w:rsidR="00EA496D" w:rsidRPr="00F56AD6" w14:paraId="430035B9" w14:textId="77777777" w:rsidTr="00EA496D">
        <w:tc>
          <w:tcPr>
            <w:tcW w:w="846" w:type="dxa"/>
            <w:tcMar>
              <w:top w:w="60" w:type="dxa"/>
              <w:left w:w="100" w:type="dxa"/>
              <w:bottom w:w="60" w:type="dxa"/>
              <w:right w:w="100" w:type="dxa"/>
            </w:tcMar>
          </w:tcPr>
          <w:p w14:paraId="2FC9768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208</w:t>
            </w:r>
          </w:p>
        </w:tc>
        <w:tc>
          <w:tcPr>
            <w:tcW w:w="2094" w:type="dxa"/>
            <w:tcMar>
              <w:top w:w="60" w:type="dxa"/>
              <w:left w:w="100" w:type="dxa"/>
              <w:bottom w:w="60" w:type="dxa"/>
              <w:right w:w="100" w:type="dxa"/>
            </w:tcMar>
          </w:tcPr>
          <w:p w14:paraId="5ED5E99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Hu et al. 2022</w:t>
            </w:r>
          </w:p>
        </w:tc>
        <w:tc>
          <w:tcPr>
            <w:tcW w:w="4923" w:type="dxa"/>
            <w:tcMar>
              <w:top w:w="60" w:type="dxa"/>
              <w:left w:w="100" w:type="dxa"/>
              <w:bottom w:w="60" w:type="dxa"/>
              <w:right w:w="100" w:type="dxa"/>
            </w:tcMar>
          </w:tcPr>
          <w:p w14:paraId="4F704FE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Vitamins and their derivatives synergistically promote hair shaft elongation ex vivo via PlGF/VEGFR-1 signalling activation</w:t>
            </w:r>
          </w:p>
        </w:tc>
        <w:tc>
          <w:tcPr>
            <w:tcW w:w="6537" w:type="dxa"/>
            <w:tcMar>
              <w:top w:w="60" w:type="dxa"/>
              <w:left w:w="100" w:type="dxa"/>
              <w:bottom w:w="60" w:type="dxa"/>
              <w:right w:w="100" w:type="dxa"/>
            </w:tcMar>
          </w:tcPr>
          <w:p w14:paraId="22B6344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pyridoxine supplementation improved hair shaft formation.</w:t>
            </w:r>
          </w:p>
        </w:tc>
      </w:tr>
      <w:tr w:rsidR="00EA496D" w:rsidRPr="00F56AD6" w14:paraId="5EB692D9" w14:textId="77777777" w:rsidTr="00EA496D">
        <w:tc>
          <w:tcPr>
            <w:tcW w:w="846" w:type="dxa"/>
            <w:tcMar>
              <w:top w:w="60" w:type="dxa"/>
              <w:left w:w="100" w:type="dxa"/>
              <w:bottom w:w="60" w:type="dxa"/>
              <w:right w:w="100" w:type="dxa"/>
            </w:tcMar>
          </w:tcPr>
          <w:p w14:paraId="7A19E14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209</w:t>
            </w:r>
          </w:p>
        </w:tc>
        <w:tc>
          <w:tcPr>
            <w:tcW w:w="2094" w:type="dxa"/>
            <w:tcMar>
              <w:top w:w="60" w:type="dxa"/>
              <w:left w:w="100" w:type="dxa"/>
              <w:bottom w:w="60" w:type="dxa"/>
              <w:right w:w="100" w:type="dxa"/>
            </w:tcMar>
          </w:tcPr>
          <w:p w14:paraId="4DE56B2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Hu et al. 2022</w:t>
            </w:r>
          </w:p>
        </w:tc>
        <w:tc>
          <w:tcPr>
            <w:tcW w:w="4923" w:type="dxa"/>
            <w:tcMar>
              <w:top w:w="60" w:type="dxa"/>
              <w:left w:w="100" w:type="dxa"/>
              <w:bottom w:w="60" w:type="dxa"/>
              <w:right w:w="100" w:type="dxa"/>
            </w:tcMar>
          </w:tcPr>
          <w:p w14:paraId="754C1D0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Effect of ginger in the treatment of nausea and vomiting compared with vitamin B6 and placebo during pregnancy: a meta-analysis</w:t>
            </w:r>
          </w:p>
        </w:tc>
        <w:tc>
          <w:tcPr>
            <w:tcW w:w="6537" w:type="dxa"/>
            <w:tcMar>
              <w:top w:w="60" w:type="dxa"/>
              <w:left w:w="100" w:type="dxa"/>
              <w:bottom w:w="60" w:type="dxa"/>
              <w:right w:w="100" w:type="dxa"/>
            </w:tcMar>
          </w:tcPr>
          <w:p w14:paraId="0402139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shows that ginger is more effective than B6 for alleviating symptoms.</w:t>
            </w:r>
          </w:p>
        </w:tc>
      </w:tr>
      <w:tr w:rsidR="00EA496D" w:rsidRPr="00F56AD6" w14:paraId="1AFA917F" w14:textId="77777777" w:rsidTr="00EA496D">
        <w:tc>
          <w:tcPr>
            <w:tcW w:w="846" w:type="dxa"/>
            <w:tcMar>
              <w:top w:w="60" w:type="dxa"/>
              <w:left w:w="100" w:type="dxa"/>
              <w:bottom w:w="60" w:type="dxa"/>
              <w:right w:w="100" w:type="dxa"/>
            </w:tcMar>
          </w:tcPr>
          <w:p w14:paraId="1D2C668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210</w:t>
            </w:r>
          </w:p>
        </w:tc>
        <w:tc>
          <w:tcPr>
            <w:tcW w:w="2094" w:type="dxa"/>
            <w:tcMar>
              <w:top w:w="60" w:type="dxa"/>
              <w:left w:w="100" w:type="dxa"/>
              <w:bottom w:w="60" w:type="dxa"/>
              <w:right w:w="100" w:type="dxa"/>
            </w:tcMar>
          </w:tcPr>
          <w:p w14:paraId="4B6503E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Huang 2023</w:t>
            </w:r>
          </w:p>
        </w:tc>
        <w:tc>
          <w:tcPr>
            <w:tcW w:w="4923" w:type="dxa"/>
            <w:tcMar>
              <w:top w:w="60" w:type="dxa"/>
              <w:left w:w="100" w:type="dxa"/>
              <w:bottom w:w="60" w:type="dxa"/>
              <w:right w:w="100" w:type="dxa"/>
            </w:tcMar>
          </w:tcPr>
          <w:p w14:paraId="7D53B91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Quantification of the Relationship of Pyridoxine and Spirometry Measurements in the United States Population</w:t>
            </w:r>
          </w:p>
        </w:tc>
        <w:tc>
          <w:tcPr>
            <w:tcW w:w="6537" w:type="dxa"/>
            <w:tcMar>
              <w:top w:w="60" w:type="dxa"/>
              <w:left w:w="100" w:type="dxa"/>
              <w:bottom w:w="60" w:type="dxa"/>
              <w:right w:w="100" w:type="dxa"/>
            </w:tcMar>
          </w:tcPr>
          <w:p w14:paraId="0FF0911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 Wrong outcome (no adverse effects from B6) - Increased vitamin B6 intake is associated with improvement in lung function.</w:t>
            </w:r>
          </w:p>
        </w:tc>
      </w:tr>
      <w:tr w:rsidR="00EA496D" w:rsidRPr="00F56AD6" w14:paraId="4FD7A9C7" w14:textId="77777777" w:rsidTr="00EA496D">
        <w:tc>
          <w:tcPr>
            <w:tcW w:w="846" w:type="dxa"/>
            <w:tcMar>
              <w:top w:w="60" w:type="dxa"/>
              <w:left w:w="100" w:type="dxa"/>
              <w:bottom w:w="60" w:type="dxa"/>
              <w:right w:w="100" w:type="dxa"/>
            </w:tcMar>
          </w:tcPr>
          <w:p w14:paraId="19AC77D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211</w:t>
            </w:r>
          </w:p>
        </w:tc>
        <w:tc>
          <w:tcPr>
            <w:tcW w:w="2094" w:type="dxa"/>
            <w:tcMar>
              <w:top w:w="60" w:type="dxa"/>
              <w:left w:w="100" w:type="dxa"/>
              <w:bottom w:w="60" w:type="dxa"/>
              <w:right w:w="100" w:type="dxa"/>
            </w:tcMar>
          </w:tcPr>
          <w:p w14:paraId="087DA67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Huang et al. 2023</w:t>
            </w:r>
          </w:p>
        </w:tc>
        <w:tc>
          <w:tcPr>
            <w:tcW w:w="4923" w:type="dxa"/>
            <w:tcMar>
              <w:top w:w="60" w:type="dxa"/>
              <w:left w:w="100" w:type="dxa"/>
              <w:bottom w:w="60" w:type="dxa"/>
              <w:right w:w="100" w:type="dxa"/>
            </w:tcMar>
          </w:tcPr>
          <w:p w14:paraId="576790F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Scavenging dicarbonyls with 5'-O-pentyl-pyridoxamine increases HDL net cholesterol efflux capacity and attenuates atherosclerosis and insulin resistance</w:t>
            </w:r>
          </w:p>
        </w:tc>
        <w:tc>
          <w:tcPr>
            <w:tcW w:w="6537" w:type="dxa"/>
            <w:tcMar>
              <w:top w:w="60" w:type="dxa"/>
              <w:left w:w="100" w:type="dxa"/>
              <w:bottom w:w="60" w:type="dxa"/>
              <w:right w:w="100" w:type="dxa"/>
            </w:tcMar>
          </w:tcPr>
          <w:p w14:paraId="3B3087D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acting like protective drug and reducing stress and inflammation.</w:t>
            </w:r>
          </w:p>
        </w:tc>
      </w:tr>
      <w:tr w:rsidR="00EA496D" w:rsidRPr="00F56AD6" w14:paraId="6E34C5D7" w14:textId="77777777" w:rsidTr="00EA496D">
        <w:tc>
          <w:tcPr>
            <w:tcW w:w="846" w:type="dxa"/>
            <w:tcMar>
              <w:top w:w="60" w:type="dxa"/>
              <w:left w:w="100" w:type="dxa"/>
              <w:bottom w:w="60" w:type="dxa"/>
              <w:right w:w="100" w:type="dxa"/>
            </w:tcMar>
          </w:tcPr>
          <w:p w14:paraId="1F99285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212</w:t>
            </w:r>
          </w:p>
        </w:tc>
        <w:tc>
          <w:tcPr>
            <w:tcW w:w="2094" w:type="dxa"/>
            <w:tcMar>
              <w:top w:w="60" w:type="dxa"/>
              <w:left w:w="100" w:type="dxa"/>
              <w:bottom w:w="60" w:type="dxa"/>
              <w:right w:w="100" w:type="dxa"/>
            </w:tcMar>
          </w:tcPr>
          <w:p w14:paraId="51AE2EE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Huang et al. 2025</w:t>
            </w:r>
          </w:p>
        </w:tc>
        <w:tc>
          <w:tcPr>
            <w:tcW w:w="4923" w:type="dxa"/>
            <w:tcMar>
              <w:top w:w="60" w:type="dxa"/>
              <w:left w:w="100" w:type="dxa"/>
              <w:bottom w:w="60" w:type="dxa"/>
              <w:right w:w="100" w:type="dxa"/>
            </w:tcMar>
          </w:tcPr>
          <w:p w14:paraId="224B54A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Cardiac Manifestations of Nutritional Deficiencies</w:t>
            </w:r>
          </w:p>
        </w:tc>
        <w:tc>
          <w:tcPr>
            <w:tcW w:w="6537" w:type="dxa"/>
            <w:tcMar>
              <w:top w:w="60" w:type="dxa"/>
              <w:left w:w="100" w:type="dxa"/>
              <w:bottom w:w="60" w:type="dxa"/>
              <w:right w:w="100" w:type="dxa"/>
            </w:tcMar>
          </w:tcPr>
          <w:p w14:paraId="3EFC401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discusses deficiencies not toxicity.</w:t>
            </w:r>
          </w:p>
        </w:tc>
      </w:tr>
      <w:tr w:rsidR="00EA496D" w:rsidRPr="00F56AD6" w14:paraId="006DE78D" w14:textId="77777777" w:rsidTr="00EA496D">
        <w:tc>
          <w:tcPr>
            <w:tcW w:w="846" w:type="dxa"/>
            <w:tcMar>
              <w:top w:w="60" w:type="dxa"/>
              <w:left w:w="100" w:type="dxa"/>
              <w:bottom w:w="60" w:type="dxa"/>
              <w:right w:w="100" w:type="dxa"/>
            </w:tcMar>
          </w:tcPr>
          <w:p w14:paraId="7996CE7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213</w:t>
            </w:r>
          </w:p>
        </w:tc>
        <w:tc>
          <w:tcPr>
            <w:tcW w:w="2094" w:type="dxa"/>
            <w:tcMar>
              <w:top w:w="60" w:type="dxa"/>
              <w:left w:w="100" w:type="dxa"/>
              <w:bottom w:w="60" w:type="dxa"/>
              <w:right w:w="100" w:type="dxa"/>
            </w:tcMar>
          </w:tcPr>
          <w:p w14:paraId="297C047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Huo et al. 2026</w:t>
            </w:r>
          </w:p>
        </w:tc>
        <w:tc>
          <w:tcPr>
            <w:tcW w:w="4923" w:type="dxa"/>
            <w:tcMar>
              <w:top w:w="60" w:type="dxa"/>
              <w:left w:w="100" w:type="dxa"/>
              <w:bottom w:w="60" w:type="dxa"/>
              <w:right w:w="100" w:type="dxa"/>
            </w:tcMar>
          </w:tcPr>
          <w:p w14:paraId="15C3796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Dietary Intake and Plasma Concentration of B Vitamins in Relation to Incident Coronary Artery Disease in African-American Adults: The Jackson Heart Study</w:t>
            </w:r>
          </w:p>
        </w:tc>
        <w:tc>
          <w:tcPr>
            <w:tcW w:w="6537" w:type="dxa"/>
            <w:tcMar>
              <w:top w:w="60" w:type="dxa"/>
              <w:left w:w="100" w:type="dxa"/>
              <w:bottom w:w="60" w:type="dxa"/>
              <w:right w:w="100" w:type="dxa"/>
            </w:tcMar>
          </w:tcPr>
          <w:p w14:paraId="0716600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no strong correlation between B vitamins and CAD found.</w:t>
            </w:r>
          </w:p>
        </w:tc>
      </w:tr>
      <w:tr w:rsidR="00EA496D" w:rsidRPr="00F56AD6" w14:paraId="616F6042" w14:textId="77777777" w:rsidTr="00EA496D">
        <w:tc>
          <w:tcPr>
            <w:tcW w:w="846" w:type="dxa"/>
            <w:tcMar>
              <w:top w:w="60" w:type="dxa"/>
              <w:left w:w="100" w:type="dxa"/>
              <w:bottom w:w="60" w:type="dxa"/>
              <w:right w:w="100" w:type="dxa"/>
            </w:tcMar>
          </w:tcPr>
          <w:p w14:paraId="1358AFE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214</w:t>
            </w:r>
          </w:p>
        </w:tc>
        <w:tc>
          <w:tcPr>
            <w:tcW w:w="2094" w:type="dxa"/>
            <w:tcMar>
              <w:top w:w="60" w:type="dxa"/>
              <w:left w:w="100" w:type="dxa"/>
              <w:bottom w:w="60" w:type="dxa"/>
              <w:right w:w="100" w:type="dxa"/>
            </w:tcMar>
          </w:tcPr>
          <w:p w14:paraId="4C6082F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Hussein et al. 2023</w:t>
            </w:r>
          </w:p>
        </w:tc>
        <w:tc>
          <w:tcPr>
            <w:tcW w:w="4923" w:type="dxa"/>
            <w:tcMar>
              <w:top w:w="60" w:type="dxa"/>
              <w:left w:w="100" w:type="dxa"/>
              <w:bottom w:w="60" w:type="dxa"/>
              <w:right w:w="100" w:type="dxa"/>
            </w:tcMar>
          </w:tcPr>
          <w:p w14:paraId="2D8DFBF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LC/MS analysis of mushrooms provided new insights into dietary management of diabetes mellitus in rats</w:t>
            </w:r>
          </w:p>
        </w:tc>
        <w:tc>
          <w:tcPr>
            <w:tcW w:w="6537" w:type="dxa"/>
            <w:tcMar>
              <w:top w:w="60" w:type="dxa"/>
              <w:left w:w="100" w:type="dxa"/>
              <w:bottom w:w="60" w:type="dxa"/>
              <w:right w:w="100" w:type="dxa"/>
            </w:tcMar>
          </w:tcPr>
          <w:p w14:paraId="3B08F36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mushroom supplementation reduced plasma glucose levels through the bioactive compound pyridoxine.</w:t>
            </w:r>
          </w:p>
        </w:tc>
      </w:tr>
      <w:tr w:rsidR="00EA496D" w:rsidRPr="00F56AD6" w14:paraId="26697E63" w14:textId="77777777" w:rsidTr="00EA496D">
        <w:tc>
          <w:tcPr>
            <w:tcW w:w="846" w:type="dxa"/>
            <w:tcMar>
              <w:top w:w="60" w:type="dxa"/>
              <w:left w:w="100" w:type="dxa"/>
              <w:bottom w:w="60" w:type="dxa"/>
              <w:right w:w="100" w:type="dxa"/>
            </w:tcMar>
          </w:tcPr>
          <w:p w14:paraId="08CC9EA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215</w:t>
            </w:r>
          </w:p>
        </w:tc>
        <w:tc>
          <w:tcPr>
            <w:tcW w:w="2094" w:type="dxa"/>
            <w:tcMar>
              <w:top w:w="60" w:type="dxa"/>
              <w:left w:w="100" w:type="dxa"/>
              <w:bottom w:w="60" w:type="dxa"/>
              <w:right w:w="100" w:type="dxa"/>
            </w:tcMar>
          </w:tcPr>
          <w:p w14:paraId="2CEECB2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Işık 2026</w:t>
            </w:r>
          </w:p>
        </w:tc>
        <w:tc>
          <w:tcPr>
            <w:tcW w:w="4923" w:type="dxa"/>
            <w:tcMar>
              <w:top w:w="60" w:type="dxa"/>
              <w:left w:w="100" w:type="dxa"/>
              <w:bottom w:w="60" w:type="dxa"/>
              <w:right w:w="100" w:type="dxa"/>
            </w:tcMar>
          </w:tcPr>
          <w:p w14:paraId="5FF54FC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Assessment of the nutritional status of Syrian refugee women in the lactation period</w:t>
            </w:r>
          </w:p>
        </w:tc>
        <w:tc>
          <w:tcPr>
            <w:tcW w:w="6537" w:type="dxa"/>
            <w:tcMar>
              <w:top w:w="60" w:type="dxa"/>
              <w:left w:w="100" w:type="dxa"/>
              <w:bottom w:w="60" w:type="dxa"/>
              <w:right w:w="100" w:type="dxa"/>
            </w:tcMar>
          </w:tcPr>
          <w:p w14:paraId="61020AE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the need for B6 supplementation.</w:t>
            </w:r>
          </w:p>
        </w:tc>
      </w:tr>
      <w:tr w:rsidR="00EA496D" w:rsidRPr="00F56AD6" w14:paraId="2FE844F5" w14:textId="77777777" w:rsidTr="00EA496D">
        <w:tc>
          <w:tcPr>
            <w:tcW w:w="846" w:type="dxa"/>
            <w:tcMar>
              <w:top w:w="60" w:type="dxa"/>
              <w:left w:w="100" w:type="dxa"/>
              <w:bottom w:w="60" w:type="dxa"/>
              <w:right w:w="100" w:type="dxa"/>
            </w:tcMar>
          </w:tcPr>
          <w:p w14:paraId="38226B7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216</w:t>
            </w:r>
          </w:p>
        </w:tc>
        <w:tc>
          <w:tcPr>
            <w:tcW w:w="2094" w:type="dxa"/>
            <w:tcMar>
              <w:top w:w="60" w:type="dxa"/>
              <w:left w:w="100" w:type="dxa"/>
              <w:bottom w:w="60" w:type="dxa"/>
              <w:right w:w="100" w:type="dxa"/>
            </w:tcMar>
          </w:tcPr>
          <w:p w14:paraId="1B81835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Ito et al. 2023</w:t>
            </w:r>
          </w:p>
        </w:tc>
        <w:tc>
          <w:tcPr>
            <w:tcW w:w="4923" w:type="dxa"/>
            <w:tcMar>
              <w:top w:w="60" w:type="dxa"/>
              <w:left w:w="100" w:type="dxa"/>
              <w:bottom w:w="60" w:type="dxa"/>
              <w:right w:w="100" w:type="dxa"/>
            </w:tcMar>
          </w:tcPr>
          <w:p w14:paraId="52990CB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d-amino acid auxotrophic Escherichia coli strain for in vivo functional cloning of novel d-amino acid synthetic enzyme</w:t>
            </w:r>
          </w:p>
        </w:tc>
        <w:tc>
          <w:tcPr>
            <w:tcW w:w="6537" w:type="dxa"/>
            <w:tcMar>
              <w:top w:w="60" w:type="dxa"/>
              <w:left w:w="100" w:type="dxa"/>
              <w:bottom w:w="60" w:type="dxa"/>
              <w:right w:w="100" w:type="dxa"/>
            </w:tcMar>
          </w:tcPr>
          <w:p w14:paraId="54893CA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or otherwise lacked a relevant vitamin B6 exposure.</w:t>
            </w:r>
          </w:p>
        </w:tc>
      </w:tr>
      <w:tr w:rsidR="00EA496D" w:rsidRPr="00F56AD6" w14:paraId="6F085A8B" w14:textId="77777777" w:rsidTr="00EA496D">
        <w:tc>
          <w:tcPr>
            <w:tcW w:w="846" w:type="dxa"/>
            <w:tcMar>
              <w:top w:w="60" w:type="dxa"/>
              <w:left w:w="100" w:type="dxa"/>
              <w:bottom w:w="60" w:type="dxa"/>
              <w:right w:w="100" w:type="dxa"/>
            </w:tcMar>
          </w:tcPr>
          <w:p w14:paraId="7CAA3BA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217</w:t>
            </w:r>
          </w:p>
        </w:tc>
        <w:tc>
          <w:tcPr>
            <w:tcW w:w="2094" w:type="dxa"/>
            <w:tcMar>
              <w:top w:w="60" w:type="dxa"/>
              <w:left w:w="100" w:type="dxa"/>
              <w:bottom w:w="60" w:type="dxa"/>
              <w:right w:w="100" w:type="dxa"/>
            </w:tcMar>
          </w:tcPr>
          <w:p w14:paraId="29BE540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Jadidi et al. 2022</w:t>
            </w:r>
          </w:p>
        </w:tc>
        <w:tc>
          <w:tcPr>
            <w:tcW w:w="4923" w:type="dxa"/>
            <w:tcMar>
              <w:top w:w="60" w:type="dxa"/>
              <w:left w:w="100" w:type="dxa"/>
              <w:bottom w:w="60" w:type="dxa"/>
              <w:right w:w="100" w:type="dxa"/>
            </w:tcMar>
          </w:tcPr>
          <w:p w14:paraId="05AB31F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Therapeutic effects of magnesium and vitamin B6 in alleviating the symptoms of restless legs syndrome: a randomized controlled clinical trial</w:t>
            </w:r>
          </w:p>
        </w:tc>
        <w:tc>
          <w:tcPr>
            <w:tcW w:w="6537" w:type="dxa"/>
            <w:tcMar>
              <w:top w:w="60" w:type="dxa"/>
              <w:left w:w="100" w:type="dxa"/>
              <w:bottom w:w="60" w:type="dxa"/>
              <w:right w:w="100" w:type="dxa"/>
            </w:tcMar>
          </w:tcPr>
          <w:p w14:paraId="13A9AAC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therapeutic effect of B6 on supplementation.</w:t>
            </w:r>
          </w:p>
        </w:tc>
      </w:tr>
      <w:tr w:rsidR="00EA496D" w:rsidRPr="00F56AD6" w14:paraId="65E46055" w14:textId="77777777" w:rsidTr="00EA496D">
        <w:tc>
          <w:tcPr>
            <w:tcW w:w="846" w:type="dxa"/>
            <w:tcMar>
              <w:top w:w="60" w:type="dxa"/>
              <w:left w:w="100" w:type="dxa"/>
              <w:bottom w:w="60" w:type="dxa"/>
              <w:right w:w="100" w:type="dxa"/>
            </w:tcMar>
          </w:tcPr>
          <w:p w14:paraId="2E867BA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218</w:t>
            </w:r>
          </w:p>
        </w:tc>
        <w:tc>
          <w:tcPr>
            <w:tcW w:w="2094" w:type="dxa"/>
            <w:tcMar>
              <w:top w:w="60" w:type="dxa"/>
              <w:left w:w="100" w:type="dxa"/>
              <w:bottom w:w="60" w:type="dxa"/>
              <w:right w:w="100" w:type="dxa"/>
            </w:tcMar>
          </w:tcPr>
          <w:p w14:paraId="7843C5B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Jafari et al. 2025</w:t>
            </w:r>
          </w:p>
        </w:tc>
        <w:tc>
          <w:tcPr>
            <w:tcW w:w="4923" w:type="dxa"/>
            <w:tcMar>
              <w:top w:w="60" w:type="dxa"/>
              <w:left w:w="100" w:type="dxa"/>
              <w:bottom w:w="60" w:type="dxa"/>
              <w:right w:w="100" w:type="dxa"/>
            </w:tcMar>
          </w:tcPr>
          <w:p w14:paraId="5B04A87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Combination Therapy with Pyridoxine and Arginine Supplementations along with a Lysine-Restricted Diet in Individuals with Pyridoxine-Dependent Epilepsy: A Comprehensive Systematic Review</w:t>
            </w:r>
          </w:p>
        </w:tc>
        <w:tc>
          <w:tcPr>
            <w:tcW w:w="6537" w:type="dxa"/>
            <w:tcMar>
              <w:top w:w="60" w:type="dxa"/>
              <w:left w:w="100" w:type="dxa"/>
              <w:bottom w:w="60" w:type="dxa"/>
              <w:right w:w="100" w:type="dxa"/>
            </w:tcMar>
          </w:tcPr>
          <w:p w14:paraId="5CC0A77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pyridoxine treatment was highly effective.</w:t>
            </w:r>
          </w:p>
        </w:tc>
      </w:tr>
      <w:tr w:rsidR="00EA496D" w:rsidRPr="00F56AD6" w14:paraId="4FAF585F" w14:textId="77777777" w:rsidTr="00EA496D">
        <w:tc>
          <w:tcPr>
            <w:tcW w:w="846" w:type="dxa"/>
            <w:tcMar>
              <w:top w:w="60" w:type="dxa"/>
              <w:left w:w="100" w:type="dxa"/>
              <w:bottom w:w="60" w:type="dxa"/>
              <w:right w:w="100" w:type="dxa"/>
            </w:tcMar>
          </w:tcPr>
          <w:p w14:paraId="0550854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219</w:t>
            </w:r>
          </w:p>
        </w:tc>
        <w:tc>
          <w:tcPr>
            <w:tcW w:w="2094" w:type="dxa"/>
            <w:tcMar>
              <w:top w:w="60" w:type="dxa"/>
              <w:left w:w="100" w:type="dxa"/>
              <w:bottom w:w="60" w:type="dxa"/>
              <w:right w:w="100" w:type="dxa"/>
            </w:tcMar>
          </w:tcPr>
          <w:p w14:paraId="7D14E96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Jahner et al. 2026</w:t>
            </w:r>
          </w:p>
        </w:tc>
        <w:tc>
          <w:tcPr>
            <w:tcW w:w="4923" w:type="dxa"/>
            <w:tcMar>
              <w:top w:w="60" w:type="dxa"/>
              <w:left w:w="100" w:type="dxa"/>
              <w:bottom w:w="60" w:type="dxa"/>
              <w:right w:w="100" w:type="dxa"/>
            </w:tcMar>
          </w:tcPr>
          <w:p w14:paraId="264BDA2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Quantitation of Vitamin B6 Vitamers and Glycosides in German Alcohol-Free and Full-Strength Beer by a Stable Isotope Dilution LC-MS/MS Method</w:t>
            </w:r>
          </w:p>
        </w:tc>
        <w:tc>
          <w:tcPr>
            <w:tcW w:w="6537" w:type="dxa"/>
            <w:tcMar>
              <w:top w:w="60" w:type="dxa"/>
              <w:left w:w="100" w:type="dxa"/>
              <w:bottom w:w="60" w:type="dxa"/>
              <w:right w:w="100" w:type="dxa"/>
            </w:tcMar>
          </w:tcPr>
          <w:p w14:paraId="46FC149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levels of B6 in german beer.</w:t>
            </w:r>
          </w:p>
        </w:tc>
      </w:tr>
      <w:tr w:rsidR="00EA496D" w:rsidRPr="00F56AD6" w14:paraId="507340E7" w14:textId="77777777" w:rsidTr="00EA496D">
        <w:tc>
          <w:tcPr>
            <w:tcW w:w="846" w:type="dxa"/>
            <w:tcMar>
              <w:top w:w="60" w:type="dxa"/>
              <w:left w:w="100" w:type="dxa"/>
              <w:bottom w:w="60" w:type="dxa"/>
              <w:right w:w="100" w:type="dxa"/>
            </w:tcMar>
          </w:tcPr>
          <w:p w14:paraId="14DE1B1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220</w:t>
            </w:r>
          </w:p>
        </w:tc>
        <w:tc>
          <w:tcPr>
            <w:tcW w:w="2094" w:type="dxa"/>
            <w:tcMar>
              <w:top w:w="60" w:type="dxa"/>
              <w:left w:w="100" w:type="dxa"/>
              <w:bottom w:w="60" w:type="dxa"/>
              <w:right w:w="100" w:type="dxa"/>
            </w:tcMar>
          </w:tcPr>
          <w:p w14:paraId="27C20E6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Jarrett et al. 2022</w:t>
            </w:r>
          </w:p>
        </w:tc>
        <w:tc>
          <w:tcPr>
            <w:tcW w:w="4923" w:type="dxa"/>
            <w:tcMar>
              <w:top w:w="60" w:type="dxa"/>
              <w:left w:w="100" w:type="dxa"/>
              <w:bottom w:w="60" w:type="dxa"/>
              <w:right w:w="100" w:type="dxa"/>
            </w:tcMar>
          </w:tcPr>
          <w:p w14:paraId="5AAE94F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and riboflavin, their metabolic interaction, and relationship with MTHFR genotype in adults aged 18-102 years</w:t>
            </w:r>
          </w:p>
        </w:tc>
        <w:tc>
          <w:tcPr>
            <w:tcW w:w="6537" w:type="dxa"/>
            <w:tcMar>
              <w:top w:w="60" w:type="dxa"/>
              <w:left w:w="100" w:type="dxa"/>
              <w:bottom w:w="60" w:type="dxa"/>
              <w:right w:w="100" w:type="dxa"/>
            </w:tcMar>
          </w:tcPr>
          <w:p w14:paraId="769515D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dependency on riboflavin biomechnaism.</w:t>
            </w:r>
          </w:p>
        </w:tc>
      </w:tr>
      <w:tr w:rsidR="00EA496D" w:rsidRPr="00F56AD6" w14:paraId="790566F5" w14:textId="77777777" w:rsidTr="00EA496D">
        <w:tc>
          <w:tcPr>
            <w:tcW w:w="846" w:type="dxa"/>
            <w:tcMar>
              <w:top w:w="60" w:type="dxa"/>
              <w:left w:w="100" w:type="dxa"/>
              <w:bottom w:w="60" w:type="dxa"/>
              <w:right w:w="100" w:type="dxa"/>
            </w:tcMar>
          </w:tcPr>
          <w:p w14:paraId="708DC47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221</w:t>
            </w:r>
          </w:p>
        </w:tc>
        <w:tc>
          <w:tcPr>
            <w:tcW w:w="2094" w:type="dxa"/>
            <w:tcMar>
              <w:top w:w="60" w:type="dxa"/>
              <w:left w:w="100" w:type="dxa"/>
              <w:bottom w:w="60" w:type="dxa"/>
              <w:right w:w="100" w:type="dxa"/>
            </w:tcMar>
          </w:tcPr>
          <w:p w14:paraId="09B8092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Jaruan et al. 2025</w:t>
            </w:r>
          </w:p>
        </w:tc>
        <w:tc>
          <w:tcPr>
            <w:tcW w:w="4923" w:type="dxa"/>
            <w:tcMar>
              <w:top w:w="60" w:type="dxa"/>
              <w:left w:w="100" w:type="dxa"/>
              <w:bottom w:w="60" w:type="dxa"/>
              <w:right w:w="100" w:type="dxa"/>
            </w:tcMar>
          </w:tcPr>
          <w:p w14:paraId="74445F9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Pyridoxine exerts antioxidant effects on kidney injury manifestations in high-fat diet-induced obese rats</w:t>
            </w:r>
          </w:p>
        </w:tc>
        <w:tc>
          <w:tcPr>
            <w:tcW w:w="6537" w:type="dxa"/>
            <w:tcMar>
              <w:top w:w="60" w:type="dxa"/>
              <w:left w:w="100" w:type="dxa"/>
              <w:bottom w:w="60" w:type="dxa"/>
              <w:right w:w="100" w:type="dxa"/>
            </w:tcMar>
          </w:tcPr>
          <w:p w14:paraId="7E14A4D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may help medicate kidney failure in obese patients.</w:t>
            </w:r>
          </w:p>
        </w:tc>
      </w:tr>
      <w:tr w:rsidR="00EA496D" w:rsidRPr="00F56AD6" w14:paraId="1BF7745A" w14:textId="77777777" w:rsidTr="00EA496D">
        <w:tc>
          <w:tcPr>
            <w:tcW w:w="846" w:type="dxa"/>
            <w:tcMar>
              <w:top w:w="60" w:type="dxa"/>
              <w:left w:w="100" w:type="dxa"/>
              <w:bottom w:w="60" w:type="dxa"/>
              <w:right w:w="100" w:type="dxa"/>
            </w:tcMar>
          </w:tcPr>
          <w:p w14:paraId="5F4BB98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222</w:t>
            </w:r>
          </w:p>
        </w:tc>
        <w:tc>
          <w:tcPr>
            <w:tcW w:w="2094" w:type="dxa"/>
            <w:tcMar>
              <w:top w:w="60" w:type="dxa"/>
              <w:left w:w="100" w:type="dxa"/>
              <w:bottom w:w="60" w:type="dxa"/>
              <w:right w:w="100" w:type="dxa"/>
            </w:tcMar>
          </w:tcPr>
          <w:p w14:paraId="7718E82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Jayaram 2022</w:t>
            </w:r>
          </w:p>
        </w:tc>
        <w:tc>
          <w:tcPr>
            <w:tcW w:w="4923" w:type="dxa"/>
            <w:tcMar>
              <w:top w:w="60" w:type="dxa"/>
              <w:left w:w="100" w:type="dxa"/>
              <w:bottom w:w="60" w:type="dxa"/>
              <w:right w:w="100" w:type="dxa"/>
            </w:tcMar>
          </w:tcPr>
          <w:p w14:paraId="118FDD6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Computational Molecular Modeling Studies of Some Mycobacterium Tuberculosis Alanine Racemase Inhibitors</w:t>
            </w:r>
          </w:p>
        </w:tc>
        <w:tc>
          <w:tcPr>
            <w:tcW w:w="6537" w:type="dxa"/>
            <w:tcMar>
              <w:top w:w="60" w:type="dxa"/>
              <w:left w:w="100" w:type="dxa"/>
              <w:bottom w:w="60" w:type="dxa"/>
              <w:right w:w="100" w:type="dxa"/>
            </w:tcMar>
          </w:tcPr>
          <w:p w14:paraId="572E080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pyridoxal is a description for the enzyme.</w:t>
            </w:r>
          </w:p>
        </w:tc>
      </w:tr>
      <w:tr w:rsidR="00EA496D" w:rsidRPr="00F56AD6" w14:paraId="15D1E3A6" w14:textId="77777777" w:rsidTr="00EA496D">
        <w:tc>
          <w:tcPr>
            <w:tcW w:w="846" w:type="dxa"/>
            <w:tcMar>
              <w:top w:w="60" w:type="dxa"/>
              <w:left w:w="100" w:type="dxa"/>
              <w:bottom w:w="60" w:type="dxa"/>
              <w:right w:w="100" w:type="dxa"/>
            </w:tcMar>
          </w:tcPr>
          <w:p w14:paraId="7F3758D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223</w:t>
            </w:r>
          </w:p>
        </w:tc>
        <w:tc>
          <w:tcPr>
            <w:tcW w:w="2094" w:type="dxa"/>
            <w:tcMar>
              <w:top w:w="60" w:type="dxa"/>
              <w:left w:w="100" w:type="dxa"/>
              <w:bottom w:w="60" w:type="dxa"/>
              <w:right w:w="100" w:type="dxa"/>
            </w:tcMar>
          </w:tcPr>
          <w:p w14:paraId="095725A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Jayawardena et al. 2023</w:t>
            </w:r>
          </w:p>
        </w:tc>
        <w:tc>
          <w:tcPr>
            <w:tcW w:w="4923" w:type="dxa"/>
            <w:tcMar>
              <w:top w:w="60" w:type="dxa"/>
              <w:left w:w="100" w:type="dxa"/>
              <w:bottom w:w="60" w:type="dxa"/>
              <w:right w:w="100" w:type="dxa"/>
            </w:tcMar>
          </w:tcPr>
          <w:p w14:paraId="6F4BC4A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effects of pyridoxine (vitamin B6) supplementation in nausea and vomiting during pregnancy: a systematic review and meta-analysis</w:t>
            </w:r>
          </w:p>
        </w:tc>
        <w:tc>
          <w:tcPr>
            <w:tcW w:w="6537" w:type="dxa"/>
            <w:tcMar>
              <w:top w:w="60" w:type="dxa"/>
              <w:left w:w="100" w:type="dxa"/>
              <w:bottom w:w="60" w:type="dxa"/>
              <w:right w:w="100" w:type="dxa"/>
            </w:tcMar>
          </w:tcPr>
          <w:p w14:paraId="48C3AD0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helped reduce symptoms of NVP.</w:t>
            </w:r>
          </w:p>
        </w:tc>
      </w:tr>
      <w:tr w:rsidR="00EA496D" w:rsidRPr="00F56AD6" w14:paraId="7108B073" w14:textId="77777777" w:rsidTr="00EA496D">
        <w:tc>
          <w:tcPr>
            <w:tcW w:w="846" w:type="dxa"/>
            <w:tcMar>
              <w:top w:w="60" w:type="dxa"/>
              <w:left w:w="100" w:type="dxa"/>
              <w:bottom w:w="60" w:type="dxa"/>
              <w:right w:w="100" w:type="dxa"/>
            </w:tcMar>
          </w:tcPr>
          <w:p w14:paraId="301725A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224</w:t>
            </w:r>
          </w:p>
        </w:tc>
        <w:tc>
          <w:tcPr>
            <w:tcW w:w="2094" w:type="dxa"/>
            <w:tcMar>
              <w:top w:w="60" w:type="dxa"/>
              <w:left w:w="100" w:type="dxa"/>
              <w:bottom w:w="60" w:type="dxa"/>
              <w:right w:w="100" w:type="dxa"/>
            </w:tcMar>
          </w:tcPr>
          <w:p w14:paraId="030D5DE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Jiang et al. 2025</w:t>
            </w:r>
          </w:p>
        </w:tc>
        <w:tc>
          <w:tcPr>
            <w:tcW w:w="4923" w:type="dxa"/>
            <w:tcMar>
              <w:top w:w="60" w:type="dxa"/>
              <w:left w:w="100" w:type="dxa"/>
              <w:bottom w:w="60" w:type="dxa"/>
              <w:right w:w="100" w:type="dxa"/>
            </w:tcMar>
          </w:tcPr>
          <w:p w14:paraId="32D82AA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DOPA Decarboxylase (DDC) in Pacific Oysters: Characterization and Role in Tyrosine Metabolism and Melanogenesis</w:t>
            </w:r>
          </w:p>
        </w:tc>
        <w:tc>
          <w:tcPr>
            <w:tcW w:w="6537" w:type="dxa"/>
            <w:tcMar>
              <w:top w:w="60" w:type="dxa"/>
              <w:left w:w="100" w:type="dxa"/>
              <w:bottom w:w="60" w:type="dxa"/>
              <w:right w:w="100" w:type="dxa"/>
            </w:tcMar>
          </w:tcPr>
          <w:p w14:paraId="29E92A4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pyridoxamine is a biological component.</w:t>
            </w:r>
          </w:p>
        </w:tc>
      </w:tr>
      <w:tr w:rsidR="00EA496D" w:rsidRPr="00F56AD6" w14:paraId="7681BD2B" w14:textId="77777777" w:rsidTr="00EA496D">
        <w:tc>
          <w:tcPr>
            <w:tcW w:w="846" w:type="dxa"/>
            <w:tcMar>
              <w:top w:w="60" w:type="dxa"/>
              <w:left w:w="100" w:type="dxa"/>
              <w:bottom w:w="60" w:type="dxa"/>
              <w:right w:w="100" w:type="dxa"/>
            </w:tcMar>
          </w:tcPr>
          <w:p w14:paraId="75661BD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225</w:t>
            </w:r>
          </w:p>
        </w:tc>
        <w:tc>
          <w:tcPr>
            <w:tcW w:w="2094" w:type="dxa"/>
            <w:tcMar>
              <w:top w:w="60" w:type="dxa"/>
              <w:left w:w="100" w:type="dxa"/>
              <w:bottom w:w="60" w:type="dxa"/>
              <w:right w:w="100" w:type="dxa"/>
            </w:tcMar>
          </w:tcPr>
          <w:p w14:paraId="694809A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Jiang et al. 2022</w:t>
            </w:r>
          </w:p>
        </w:tc>
        <w:tc>
          <w:tcPr>
            <w:tcW w:w="4923" w:type="dxa"/>
            <w:tcMar>
              <w:top w:w="60" w:type="dxa"/>
              <w:left w:w="100" w:type="dxa"/>
              <w:bottom w:w="60" w:type="dxa"/>
              <w:right w:w="100" w:type="dxa"/>
            </w:tcMar>
          </w:tcPr>
          <w:p w14:paraId="0BA7758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Lactobacillus casei modulates inflammatory cytokines and metabolites during tuberculosis treatment: A post hoc randomized controlled trial</w:t>
            </w:r>
          </w:p>
        </w:tc>
        <w:tc>
          <w:tcPr>
            <w:tcW w:w="6537" w:type="dxa"/>
            <w:tcMar>
              <w:top w:w="60" w:type="dxa"/>
              <w:left w:w="100" w:type="dxa"/>
              <w:bottom w:w="60" w:type="dxa"/>
              <w:right w:w="100" w:type="dxa"/>
            </w:tcMar>
          </w:tcPr>
          <w:p w14:paraId="3254B3C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pyridoxamine as a measurement.</w:t>
            </w:r>
          </w:p>
        </w:tc>
      </w:tr>
      <w:tr w:rsidR="00EA496D" w:rsidRPr="00F56AD6" w14:paraId="1B9EC906" w14:textId="77777777" w:rsidTr="00EA496D">
        <w:tc>
          <w:tcPr>
            <w:tcW w:w="846" w:type="dxa"/>
            <w:tcMar>
              <w:top w:w="60" w:type="dxa"/>
              <w:left w:w="100" w:type="dxa"/>
              <w:bottom w:w="60" w:type="dxa"/>
              <w:right w:w="100" w:type="dxa"/>
            </w:tcMar>
          </w:tcPr>
          <w:p w14:paraId="6A431FB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226</w:t>
            </w:r>
          </w:p>
        </w:tc>
        <w:tc>
          <w:tcPr>
            <w:tcW w:w="2094" w:type="dxa"/>
            <w:tcMar>
              <w:top w:w="60" w:type="dxa"/>
              <w:left w:w="100" w:type="dxa"/>
              <w:bottom w:w="60" w:type="dxa"/>
              <w:right w:w="100" w:type="dxa"/>
            </w:tcMar>
          </w:tcPr>
          <w:p w14:paraId="2C23B9E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Jiao et al. 2022</w:t>
            </w:r>
          </w:p>
        </w:tc>
        <w:tc>
          <w:tcPr>
            <w:tcW w:w="4923" w:type="dxa"/>
            <w:tcMar>
              <w:top w:w="60" w:type="dxa"/>
              <w:left w:w="100" w:type="dxa"/>
              <w:bottom w:w="60" w:type="dxa"/>
              <w:right w:w="100" w:type="dxa"/>
            </w:tcMar>
          </w:tcPr>
          <w:p w14:paraId="71A0466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Effect of Supplemental Concentrate Feeding on the Morphological and Functional Development of the Pancreas in Early Weaned Yak Calves</w:t>
            </w:r>
          </w:p>
        </w:tc>
        <w:tc>
          <w:tcPr>
            <w:tcW w:w="6537" w:type="dxa"/>
            <w:tcMar>
              <w:top w:w="60" w:type="dxa"/>
              <w:left w:w="100" w:type="dxa"/>
              <w:bottom w:w="60" w:type="dxa"/>
              <w:right w:w="100" w:type="dxa"/>
            </w:tcMar>
          </w:tcPr>
          <w:p w14:paraId="2CBAF6E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not B6, Wrong outcome - supplementation helped.</w:t>
            </w:r>
          </w:p>
        </w:tc>
      </w:tr>
      <w:tr w:rsidR="00EA496D" w:rsidRPr="00F56AD6" w14:paraId="0C55E384" w14:textId="77777777" w:rsidTr="00EA496D">
        <w:tc>
          <w:tcPr>
            <w:tcW w:w="846" w:type="dxa"/>
            <w:tcMar>
              <w:top w:w="60" w:type="dxa"/>
              <w:left w:w="100" w:type="dxa"/>
              <w:bottom w:w="60" w:type="dxa"/>
              <w:right w:w="100" w:type="dxa"/>
            </w:tcMar>
          </w:tcPr>
          <w:p w14:paraId="35929B2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227</w:t>
            </w:r>
          </w:p>
        </w:tc>
        <w:tc>
          <w:tcPr>
            <w:tcW w:w="2094" w:type="dxa"/>
            <w:tcMar>
              <w:top w:w="60" w:type="dxa"/>
              <w:left w:w="100" w:type="dxa"/>
              <w:bottom w:w="60" w:type="dxa"/>
              <w:right w:w="100" w:type="dxa"/>
            </w:tcMar>
          </w:tcPr>
          <w:p w14:paraId="54564AC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Jin et al. 2025</w:t>
            </w:r>
          </w:p>
        </w:tc>
        <w:tc>
          <w:tcPr>
            <w:tcW w:w="4923" w:type="dxa"/>
            <w:tcMar>
              <w:top w:w="60" w:type="dxa"/>
              <w:left w:w="100" w:type="dxa"/>
              <w:bottom w:w="60" w:type="dxa"/>
              <w:right w:w="100" w:type="dxa"/>
            </w:tcMar>
          </w:tcPr>
          <w:p w14:paraId="0D7FB5E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Off-label use of sodium cantharidinate and vitamin B6 injection in cancer: a protocol for a systematic review and meta-analysis</w:t>
            </w:r>
          </w:p>
        </w:tc>
        <w:tc>
          <w:tcPr>
            <w:tcW w:w="6537" w:type="dxa"/>
            <w:tcMar>
              <w:top w:w="60" w:type="dxa"/>
              <w:left w:w="100" w:type="dxa"/>
              <w:bottom w:w="60" w:type="dxa"/>
              <w:right w:w="100" w:type="dxa"/>
            </w:tcMar>
          </w:tcPr>
          <w:p w14:paraId="7772DB5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as part of cancer treatment.</w:t>
            </w:r>
          </w:p>
        </w:tc>
      </w:tr>
      <w:tr w:rsidR="00EA496D" w:rsidRPr="00F56AD6" w14:paraId="06C7025E" w14:textId="77777777" w:rsidTr="00EA496D">
        <w:tc>
          <w:tcPr>
            <w:tcW w:w="846" w:type="dxa"/>
            <w:tcMar>
              <w:top w:w="60" w:type="dxa"/>
              <w:left w:w="100" w:type="dxa"/>
              <w:bottom w:w="60" w:type="dxa"/>
              <w:right w:w="100" w:type="dxa"/>
            </w:tcMar>
          </w:tcPr>
          <w:p w14:paraId="5605EDE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228</w:t>
            </w:r>
          </w:p>
        </w:tc>
        <w:tc>
          <w:tcPr>
            <w:tcW w:w="2094" w:type="dxa"/>
            <w:tcMar>
              <w:top w:w="60" w:type="dxa"/>
              <w:left w:w="100" w:type="dxa"/>
              <w:bottom w:w="60" w:type="dxa"/>
              <w:right w:w="100" w:type="dxa"/>
            </w:tcMar>
          </w:tcPr>
          <w:p w14:paraId="3C85BF6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Johnson et al. 2023</w:t>
            </w:r>
          </w:p>
        </w:tc>
        <w:tc>
          <w:tcPr>
            <w:tcW w:w="4923" w:type="dxa"/>
            <w:tcMar>
              <w:top w:w="60" w:type="dxa"/>
              <w:left w:w="100" w:type="dxa"/>
              <w:bottom w:w="60" w:type="dxa"/>
              <w:right w:w="100" w:type="dxa"/>
            </w:tcMar>
          </w:tcPr>
          <w:p w14:paraId="720C49C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Vincristine-induced ptosis in a leukemia patient treated with pyridoxine and pyridostigmine</w:t>
            </w:r>
          </w:p>
        </w:tc>
        <w:tc>
          <w:tcPr>
            <w:tcW w:w="6537" w:type="dxa"/>
            <w:tcMar>
              <w:top w:w="60" w:type="dxa"/>
              <w:left w:w="100" w:type="dxa"/>
              <w:bottom w:w="60" w:type="dxa"/>
              <w:right w:w="100" w:type="dxa"/>
            </w:tcMar>
          </w:tcPr>
          <w:p w14:paraId="5C781B9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pyridoxine treatment had no adverse side effects.</w:t>
            </w:r>
          </w:p>
        </w:tc>
      </w:tr>
      <w:tr w:rsidR="00EA496D" w:rsidRPr="00F56AD6" w14:paraId="0AAD17F1" w14:textId="77777777" w:rsidTr="00EA496D">
        <w:tc>
          <w:tcPr>
            <w:tcW w:w="846" w:type="dxa"/>
            <w:tcMar>
              <w:top w:w="60" w:type="dxa"/>
              <w:left w:w="100" w:type="dxa"/>
              <w:bottom w:w="60" w:type="dxa"/>
              <w:right w:w="100" w:type="dxa"/>
            </w:tcMar>
          </w:tcPr>
          <w:p w14:paraId="1BB27E7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229</w:t>
            </w:r>
          </w:p>
        </w:tc>
        <w:tc>
          <w:tcPr>
            <w:tcW w:w="2094" w:type="dxa"/>
            <w:tcMar>
              <w:top w:w="60" w:type="dxa"/>
              <w:left w:w="100" w:type="dxa"/>
              <w:bottom w:w="60" w:type="dxa"/>
              <w:right w:w="100" w:type="dxa"/>
            </w:tcMar>
          </w:tcPr>
          <w:p w14:paraId="29AA0BB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Jové-Solavera et al. 2025</w:t>
            </w:r>
          </w:p>
        </w:tc>
        <w:tc>
          <w:tcPr>
            <w:tcW w:w="4923" w:type="dxa"/>
            <w:tcMar>
              <w:top w:w="60" w:type="dxa"/>
              <w:left w:w="100" w:type="dxa"/>
              <w:bottom w:w="60" w:type="dxa"/>
              <w:right w:w="100" w:type="dxa"/>
            </w:tcMar>
          </w:tcPr>
          <w:p w14:paraId="7B907B0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role of genetic testing in accurate diagnosis of X-linked sideroblastic anemia: novel ALAS2 mutations and the impact of X-chromosome inactivation</w:t>
            </w:r>
          </w:p>
        </w:tc>
        <w:tc>
          <w:tcPr>
            <w:tcW w:w="6537" w:type="dxa"/>
            <w:tcMar>
              <w:top w:w="60" w:type="dxa"/>
              <w:left w:w="100" w:type="dxa"/>
              <w:bottom w:w="60" w:type="dxa"/>
              <w:right w:w="100" w:type="dxa"/>
            </w:tcMar>
          </w:tcPr>
          <w:p w14:paraId="70CD2FB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pyridoxal as a medication and there was variable response shown in terms of effectiveness.</w:t>
            </w:r>
          </w:p>
        </w:tc>
      </w:tr>
      <w:tr w:rsidR="00EA496D" w:rsidRPr="00F56AD6" w14:paraId="57189746" w14:textId="77777777" w:rsidTr="00EA496D">
        <w:tc>
          <w:tcPr>
            <w:tcW w:w="846" w:type="dxa"/>
            <w:tcMar>
              <w:top w:w="60" w:type="dxa"/>
              <w:left w:w="100" w:type="dxa"/>
              <w:bottom w:w="60" w:type="dxa"/>
              <w:right w:w="100" w:type="dxa"/>
            </w:tcMar>
          </w:tcPr>
          <w:p w14:paraId="2D7C278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230</w:t>
            </w:r>
          </w:p>
        </w:tc>
        <w:tc>
          <w:tcPr>
            <w:tcW w:w="2094" w:type="dxa"/>
            <w:tcMar>
              <w:top w:w="60" w:type="dxa"/>
              <w:left w:w="100" w:type="dxa"/>
              <w:bottom w:w="60" w:type="dxa"/>
              <w:right w:w="100" w:type="dxa"/>
            </w:tcMar>
          </w:tcPr>
          <w:p w14:paraId="0F0561F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Kamchatnov et al. 2024</w:t>
            </w:r>
          </w:p>
        </w:tc>
        <w:tc>
          <w:tcPr>
            <w:tcW w:w="4923" w:type="dxa"/>
            <w:tcMar>
              <w:top w:w="60" w:type="dxa"/>
              <w:left w:w="100" w:type="dxa"/>
              <w:bottom w:w="60" w:type="dxa"/>
              <w:right w:w="100" w:type="dxa"/>
            </w:tcMar>
          </w:tcPr>
          <w:p w14:paraId="5C8C77E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 vitamins and diseases of the peripheral nervous system]</w:t>
            </w:r>
          </w:p>
        </w:tc>
        <w:tc>
          <w:tcPr>
            <w:tcW w:w="6537" w:type="dxa"/>
            <w:tcMar>
              <w:top w:w="60" w:type="dxa"/>
              <w:left w:w="100" w:type="dxa"/>
              <w:bottom w:w="60" w:type="dxa"/>
              <w:right w:w="100" w:type="dxa"/>
            </w:tcMar>
          </w:tcPr>
          <w:p w14:paraId="13E1C39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language (not English).</w:t>
            </w:r>
          </w:p>
        </w:tc>
      </w:tr>
      <w:tr w:rsidR="00EA496D" w:rsidRPr="00F56AD6" w14:paraId="2EED0FA5" w14:textId="77777777" w:rsidTr="00EA496D">
        <w:tc>
          <w:tcPr>
            <w:tcW w:w="846" w:type="dxa"/>
            <w:tcMar>
              <w:top w:w="60" w:type="dxa"/>
              <w:left w:w="100" w:type="dxa"/>
              <w:bottom w:w="60" w:type="dxa"/>
              <w:right w:w="100" w:type="dxa"/>
            </w:tcMar>
          </w:tcPr>
          <w:p w14:paraId="65702D1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231</w:t>
            </w:r>
          </w:p>
        </w:tc>
        <w:tc>
          <w:tcPr>
            <w:tcW w:w="2094" w:type="dxa"/>
            <w:tcMar>
              <w:top w:w="60" w:type="dxa"/>
              <w:left w:w="100" w:type="dxa"/>
              <w:bottom w:w="60" w:type="dxa"/>
              <w:right w:w="100" w:type="dxa"/>
            </w:tcMar>
          </w:tcPr>
          <w:p w14:paraId="1B7EFBA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Kamphuis et al. 2022</w:t>
            </w:r>
          </w:p>
        </w:tc>
        <w:tc>
          <w:tcPr>
            <w:tcW w:w="4923" w:type="dxa"/>
            <w:tcMar>
              <w:top w:w="60" w:type="dxa"/>
              <w:left w:w="100" w:type="dxa"/>
              <w:bottom w:w="60" w:type="dxa"/>
              <w:right w:w="100" w:type="dxa"/>
            </w:tcMar>
          </w:tcPr>
          <w:p w14:paraId="71896B9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Increased fermentable carbohydrate intake alters colonic mucus barrier function through glycation processes and increased mast cell counts</w:t>
            </w:r>
          </w:p>
        </w:tc>
        <w:tc>
          <w:tcPr>
            <w:tcW w:w="6537" w:type="dxa"/>
            <w:tcMar>
              <w:top w:w="60" w:type="dxa"/>
              <w:left w:w="100" w:type="dxa"/>
              <w:bottom w:w="60" w:type="dxa"/>
              <w:right w:w="100" w:type="dxa"/>
            </w:tcMar>
          </w:tcPr>
          <w:p w14:paraId="3FF180F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IBS effects were reduced by pyridoxamine.</w:t>
            </w:r>
          </w:p>
        </w:tc>
      </w:tr>
      <w:tr w:rsidR="00EA496D" w:rsidRPr="00F56AD6" w14:paraId="2B9EFE79" w14:textId="77777777" w:rsidTr="00EA496D">
        <w:tc>
          <w:tcPr>
            <w:tcW w:w="846" w:type="dxa"/>
            <w:tcMar>
              <w:top w:w="60" w:type="dxa"/>
              <w:left w:w="100" w:type="dxa"/>
              <w:bottom w:w="60" w:type="dxa"/>
              <w:right w:w="100" w:type="dxa"/>
            </w:tcMar>
          </w:tcPr>
          <w:p w14:paraId="577E023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232</w:t>
            </w:r>
          </w:p>
        </w:tc>
        <w:tc>
          <w:tcPr>
            <w:tcW w:w="2094" w:type="dxa"/>
            <w:tcMar>
              <w:top w:w="60" w:type="dxa"/>
              <w:left w:w="100" w:type="dxa"/>
              <w:bottom w:w="60" w:type="dxa"/>
              <w:right w:w="100" w:type="dxa"/>
            </w:tcMar>
          </w:tcPr>
          <w:p w14:paraId="1827A03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Karlsson 2024</w:t>
            </w:r>
          </w:p>
        </w:tc>
        <w:tc>
          <w:tcPr>
            <w:tcW w:w="4923" w:type="dxa"/>
            <w:tcMar>
              <w:top w:w="60" w:type="dxa"/>
              <w:left w:w="100" w:type="dxa"/>
              <w:bottom w:w="60" w:type="dxa"/>
              <w:right w:w="100" w:type="dxa"/>
            </w:tcMar>
          </w:tcPr>
          <w:p w14:paraId="433A4C9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Manganese- and Platinum-Driven Oxidative and Nitrosative Stress in Oxaliplatin-Associated CIPN with Special Reference to Ca(4)Mn(DPDP)(5), MnDPDP and DPDP</w:t>
            </w:r>
          </w:p>
        </w:tc>
        <w:tc>
          <w:tcPr>
            <w:tcW w:w="6537" w:type="dxa"/>
            <w:tcMar>
              <w:top w:w="60" w:type="dxa"/>
              <w:left w:w="100" w:type="dxa"/>
              <w:bottom w:w="60" w:type="dxa"/>
              <w:right w:w="100" w:type="dxa"/>
            </w:tcMar>
          </w:tcPr>
          <w:p w14:paraId="2E98812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or otherwise lacked a relevant vitamin B6 exposure.</w:t>
            </w:r>
          </w:p>
        </w:tc>
      </w:tr>
      <w:tr w:rsidR="00EA496D" w:rsidRPr="00F56AD6" w14:paraId="17E6AB7C" w14:textId="77777777" w:rsidTr="00EA496D">
        <w:tc>
          <w:tcPr>
            <w:tcW w:w="846" w:type="dxa"/>
            <w:tcMar>
              <w:top w:w="60" w:type="dxa"/>
              <w:left w:w="100" w:type="dxa"/>
              <w:bottom w:w="60" w:type="dxa"/>
              <w:right w:w="100" w:type="dxa"/>
            </w:tcMar>
          </w:tcPr>
          <w:p w14:paraId="0D952AD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233</w:t>
            </w:r>
          </w:p>
        </w:tc>
        <w:tc>
          <w:tcPr>
            <w:tcW w:w="2094" w:type="dxa"/>
            <w:tcMar>
              <w:top w:w="60" w:type="dxa"/>
              <w:left w:w="100" w:type="dxa"/>
              <w:bottom w:w="60" w:type="dxa"/>
              <w:right w:w="100" w:type="dxa"/>
            </w:tcMar>
          </w:tcPr>
          <w:p w14:paraId="2E9A685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Karmeli et al. 2026</w:t>
            </w:r>
          </w:p>
        </w:tc>
        <w:tc>
          <w:tcPr>
            <w:tcW w:w="4923" w:type="dxa"/>
            <w:tcMar>
              <w:top w:w="60" w:type="dxa"/>
              <w:left w:w="100" w:type="dxa"/>
              <w:bottom w:w="60" w:type="dxa"/>
              <w:right w:w="100" w:type="dxa"/>
            </w:tcMar>
          </w:tcPr>
          <w:p w14:paraId="74A23F8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A acts as a potent suppressor of selenoprotein P with potential relevance for multivitamin supplementation</w:t>
            </w:r>
          </w:p>
        </w:tc>
        <w:tc>
          <w:tcPr>
            <w:tcW w:w="6537" w:type="dxa"/>
            <w:tcMar>
              <w:top w:w="60" w:type="dxa"/>
              <w:left w:w="100" w:type="dxa"/>
              <w:bottom w:w="60" w:type="dxa"/>
              <w:right w:w="100" w:type="dxa"/>
            </w:tcMar>
          </w:tcPr>
          <w:p w14:paraId="0F6B068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was not found to correlate with SELENOP.</w:t>
            </w:r>
          </w:p>
        </w:tc>
      </w:tr>
      <w:tr w:rsidR="00EA496D" w:rsidRPr="00F56AD6" w14:paraId="3BE6B19F" w14:textId="77777777" w:rsidTr="00EA496D">
        <w:tc>
          <w:tcPr>
            <w:tcW w:w="846" w:type="dxa"/>
            <w:tcMar>
              <w:top w:w="60" w:type="dxa"/>
              <w:left w:w="100" w:type="dxa"/>
              <w:bottom w:w="60" w:type="dxa"/>
              <w:right w:w="100" w:type="dxa"/>
            </w:tcMar>
          </w:tcPr>
          <w:p w14:paraId="074D753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234</w:t>
            </w:r>
          </w:p>
        </w:tc>
        <w:tc>
          <w:tcPr>
            <w:tcW w:w="2094" w:type="dxa"/>
            <w:tcMar>
              <w:top w:w="60" w:type="dxa"/>
              <w:left w:w="100" w:type="dxa"/>
              <w:bottom w:w="60" w:type="dxa"/>
              <w:right w:w="100" w:type="dxa"/>
            </w:tcMar>
          </w:tcPr>
          <w:p w14:paraId="419759A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Karolczak et al. 2025</w:t>
            </w:r>
          </w:p>
        </w:tc>
        <w:tc>
          <w:tcPr>
            <w:tcW w:w="4923" w:type="dxa"/>
            <w:tcMar>
              <w:top w:w="60" w:type="dxa"/>
              <w:left w:w="100" w:type="dxa"/>
              <w:bottom w:w="60" w:type="dxa"/>
              <w:right w:w="100" w:type="dxa"/>
            </w:tcMar>
          </w:tcPr>
          <w:p w14:paraId="6658751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Estimated Amounts of β-Carotene, Vitamin B6, Riboflavin and Niacin in the Daily Diet of Older Subjects Associate Negatively with ADP-Induced Aggregation of Blood Platelets Independently of Cardiovascular Risk Factors</w:t>
            </w:r>
          </w:p>
        </w:tc>
        <w:tc>
          <w:tcPr>
            <w:tcW w:w="6537" w:type="dxa"/>
            <w:tcMar>
              <w:top w:w="60" w:type="dxa"/>
              <w:left w:w="100" w:type="dxa"/>
              <w:bottom w:w="60" w:type="dxa"/>
              <w:right w:w="100" w:type="dxa"/>
            </w:tcMar>
          </w:tcPr>
          <w:p w14:paraId="6A90465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adequate supplementation led to decreased platelets which would reduce risk of disease.</w:t>
            </w:r>
          </w:p>
        </w:tc>
      </w:tr>
      <w:tr w:rsidR="00EA496D" w:rsidRPr="00F56AD6" w14:paraId="43C29C1B" w14:textId="77777777" w:rsidTr="00EA496D">
        <w:tc>
          <w:tcPr>
            <w:tcW w:w="846" w:type="dxa"/>
            <w:tcMar>
              <w:top w:w="60" w:type="dxa"/>
              <w:left w:w="100" w:type="dxa"/>
              <w:bottom w:w="60" w:type="dxa"/>
              <w:right w:w="100" w:type="dxa"/>
            </w:tcMar>
          </w:tcPr>
          <w:p w14:paraId="1C3907F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235</w:t>
            </w:r>
          </w:p>
        </w:tc>
        <w:tc>
          <w:tcPr>
            <w:tcW w:w="2094" w:type="dxa"/>
            <w:tcMar>
              <w:top w:w="60" w:type="dxa"/>
              <w:left w:w="100" w:type="dxa"/>
              <w:bottom w:w="60" w:type="dxa"/>
              <w:right w:w="100" w:type="dxa"/>
            </w:tcMar>
          </w:tcPr>
          <w:p w14:paraId="52F2609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Kato et al. 2024</w:t>
            </w:r>
          </w:p>
        </w:tc>
        <w:tc>
          <w:tcPr>
            <w:tcW w:w="4923" w:type="dxa"/>
            <w:tcMar>
              <w:top w:w="60" w:type="dxa"/>
              <w:left w:w="100" w:type="dxa"/>
              <w:bottom w:w="60" w:type="dxa"/>
              <w:right w:w="100" w:type="dxa"/>
            </w:tcMar>
          </w:tcPr>
          <w:p w14:paraId="3770A25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Does Vitamin B6 Act as an Exercise Mimetic in Skeletal Muscle?</w:t>
            </w:r>
          </w:p>
        </w:tc>
        <w:tc>
          <w:tcPr>
            <w:tcW w:w="6537" w:type="dxa"/>
            <w:tcMar>
              <w:top w:w="60" w:type="dxa"/>
              <w:left w:w="100" w:type="dxa"/>
              <w:bottom w:w="60" w:type="dxa"/>
              <w:right w:w="100" w:type="dxa"/>
            </w:tcMar>
          </w:tcPr>
          <w:p w14:paraId="771034B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discusses benefits of exercise - mimetic roles of B6 in skeletal muscle.</w:t>
            </w:r>
          </w:p>
        </w:tc>
      </w:tr>
      <w:tr w:rsidR="00EA496D" w:rsidRPr="00F56AD6" w14:paraId="424F25DD" w14:textId="77777777" w:rsidTr="00EA496D">
        <w:tc>
          <w:tcPr>
            <w:tcW w:w="846" w:type="dxa"/>
            <w:tcMar>
              <w:top w:w="60" w:type="dxa"/>
              <w:left w:w="100" w:type="dxa"/>
              <w:bottom w:w="60" w:type="dxa"/>
              <w:right w:w="100" w:type="dxa"/>
            </w:tcMar>
          </w:tcPr>
          <w:p w14:paraId="1BEB930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236</w:t>
            </w:r>
          </w:p>
        </w:tc>
        <w:tc>
          <w:tcPr>
            <w:tcW w:w="2094" w:type="dxa"/>
            <w:tcMar>
              <w:top w:w="60" w:type="dxa"/>
              <w:left w:w="100" w:type="dxa"/>
              <w:bottom w:w="60" w:type="dxa"/>
              <w:right w:w="100" w:type="dxa"/>
            </w:tcMar>
          </w:tcPr>
          <w:p w14:paraId="37731CA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Kaur et al. 2022</w:t>
            </w:r>
          </w:p>
        </w:tc>
        <w:tc>
          <w:tcPr>
            <w:tcW w:w="4923" w:type="dxa"/>
            <w:tcMar>
              <w:top w:w="60" w:type="dxa"/>
              <w:left w:w="100" w:type="dxa"/>
              <w:bottom w:w="60" w:type="dxa"/>
              <w:right w:w="100" w:type="dxa"/>
            </w:tcMar>
          </w:tcPr>
          <w:p w14:paraId="561EE83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Case Report: Isoniazid-Associated Delirium in an Elderly Female with Spinal Tuberculosis</w:t>
            </w:r>
          </w:p>
        </w:tc>
        <w:tc>
          <w:tcPr>
            <w:tcW w:w="6537" w:type="dxa"/>
            <w:tcMar>
              <w:top w:w="60" w:type="dxa"/>
              <w:left w:w="100" w:type="dxa"/>
              <w:bottom w:w="60" w:type="dxa"/>
              <w:right w:w="100" w:type="dxa"/>
            </w:tcMar>
          </w:tcPr>
          <w:p w14:paraId="7AC0677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pyridoxine augmentation improved patients' illness.</w:t>
            </w:r>
          </w:p>
        </w:tc>
      </w:tr>
      <w:tr w:rsidR="00EA496D" w:rsidRPr="00F56AD6" w14:paraId="2F563ACF" w14:textId="77777777" w:rsidTr="00EA496D">
        <w:tc>
          <w:tcPr>
            <w:tcW w:w="846" w:type="dxa"/>
            <w:tcMar>
              <w:top w:w="60" w:type="dxa"/>
              <w:left w:w="100" w:type="dxa"/>
              <w:bottom w:w="60" w:type="dxa"/>
              <w:right w:w="100" w:type="dxa"/>
            </w:tcMar>
          </w:tcPr>
          <w:p w14:paraId="716C681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237</w:t>
            </w:r>
          </w:p>
        </w:tc>
        <w:tc>
          <w:tcPr>
            <w:tcW w:w="2094" w:type="dxa"/>
            <w:tcMar>
              <w:top w:w="60" w:type="dxa"/>
              <w:left w:w="100" w:type="dxa"/>
              <w:bottom w:w="60" w:type="dxa"/>
              <w:right w:w="100" w:type="dxa"/>
            </w:tcMar>
          </w:tcPr>
          <w:p w14:paraId="66E1841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Kazlauskaite et al. 2025</w:t>
            </w:r>
          </w:p>
        </w:tc>
        <w:tc>
          <w:tcPr>
            <w:tcW w:w="4923" w:type="dxa"/>
            <w:tcMar>
              <w:top w:w="60" w:type="dxa"/>
              <w:left w:w="100" w:type="dxa"/>
              <w:bottom w:w="60" w:type="dxa"/>
              <w:right w:w="100" w:type="dxa"/>
            </w:tcMar>
          </w:tcPr>
          <w:p w14:paraId="7495EC8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Development of 3D-Printed Gel-Based Supplement-Containing Tablets with Tailored Release Profiles for Neurological Pain Management</w:t>
            </w:r>
          </w:p>
        </w:tc>
        <w:tc>
          <w:tcPr>
            <w:tcW w:w="6537" w:type="dxa"/>
            <w:tcMar>
              <w:top w:w="60" w:type="dxa"/>
              <w:left w:w="100" w:type="dxa"/>
              <w:bottom w:w="60" w:type="dxa"/>
              <w:right w:w="100" w:type="dxa"/>
            </w:tcMar>
          </w:tcPr>
          <w:p w14:paraId="369FE66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in tablet has therapeutic effect.</w:t>
            </w:r>
          </w:p>
        </w:tc>
      </w:tr>
      <w:tr w:rsidR="00EA496D" w:rsidRPr="00F56AD6" w14:paraId="05A00076" w14:textId="77777777" w:rsidTr="00EA496D">
        <w:tc>
          <w:tcPr>
            <w:tcW w:w="846" w:type="dxa"/>
            <w:tcMar>
              <w:top w:w="60" w:type="dxa"/>
              <w:left w:w="100" w:type="dxa"/>
              <w:bottom w:w="60" w:type="dxa"/>
              <w:right w:w="100" w:type="dxa"/>
            </w:tcMar>
          </w:tcPr>
          <w:p w14:paraId="1A1ADEA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238</w:t>
            </w:r>
          </w:p>
        </w:tc>
        <w:tc>
          <w:tcPr>
            <w:tcW w:w="2094" w:type="dxa"/>
            <w:tcMar>
              <w:top w:w="60" w:type="dxa"/>
              <w:left w:w="100" w:type="dxa"/>
              <w:bottom w:w="60" w:type="dxa"/>
              <w:right w:w="100" w:type="dxa"/>
            </w:tcMar>
          </w:tcPr>
          <w:p w14:paraId="13DD9DF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Kędzierska-Kapuza et al. 2023</w:t>
            </w:r>
          </w:p>
        </w:tc>
        <w:tc>
          <w:tcPr>
            <w:tcW w:w="4923" w:type="dxa"/>
            <w:tcMar>
              <w:top w:w="60" w:type="dxa"/>
              <w:left w:w="100" w:type="dxa"/>
              <w:bottom w:w="60" w:type="dxa"/>
              <w:right w:w="100" w:type="dxa"/>
            </w:tcMar>
          </w:tcPr>
          <w:p w14:paraId="3802D88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Demand for Water-Soluble Vitamins in a Group of Patients with CKD versus Interventions and Supplementation-A Systematic Review</w:t>
            </w:r>
          </w:p>
        </w:tc>
        <w:tc>
          <w:tcPr>
            <w:tcW w:w="6537" w:type="dxa"/>
            <w:tcMar>
              <w:top w:w="60" w:type="dxa"/>
              <w:left w:w="100" w:type="dxa"/>
              <w:bottom w:w="60" w:type="dxa"/>
              <w:right w:w="100" w:type="dxa"/>
            </w:tcMar>
          </w:tcPr>
          <w:p w14:paraId="6038FF1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supplementation may have positive impact for CKD patients.</w:t>
            </w:r>
          </w:p>
        </w:tc>
      </w:tr>
      <w:tr w:rsidR="00EA496D" w:rsidRPr="00F56AD6" w14:paraId="77F74614" w14:textId="77777777" w:rsidTr="00EA496D">
        <w:tc>
          <w:tcPr>
            <w:tcW w:w="846" w:type="dxa"/>
            <w:tcMar>
              <w:top w:w="60" w:type="dxa"/>
              <w:left w:w="100" w:type="dxa"/>
              <w:bottom w:w="60" w:type="dxa"/>
              <w:right w:w="100" w:type="dxa"/>
            </w:tcMar>
          </w:tcPr>
          <w:p w14:paraId="663E6B2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239</w:t>
            </w:r>
          </w:p>
        </w:tc>
        <w:tc>
          <w:tcPr>
            <w:tcW w:w="2094" w:type="dxa"/>
            <w:tcMar>
              <w:top w:w="60" w:type="dxa"/>
              <w:left w:w="100" w:type="dxa"/>
              <w:bottom w:w="60" w:type="dxa"/>
              <w:right w:w="100" w:type="dxa"/>
            </w:tcMar>
          </w:tcPr>
          <w:p w14:paraId="03A2CC6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Keller et al. 2024</w:t>
            </w:r>
          </w:p>
        </w:tc>
        <w:tc>
          <w:tcPr>
            <w:tcW w:w="4923" w:type="dxa"/>
            <w:tcMar>
              <w:top w:w="60" w:type="dxa"/>
              <w:left w:w="100" w:type="dxa"/>
              <w:bottom w:w="60" w:type="dxa"/>
              <w:right w:w="100" w:type="dxa"/>
            </w:tcMar>
          </w:tcPr>
          <w:p w14:paraId="17878B1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Factors influencing survival in sphingosine phosphate lyase insufficiency syndrome: a retrospective cross-sectional natural history study of 76 patients</w:t>
            </w:r>
          </w:p>
        </w:tc>
        <w:tc>
          <w:tcPr>
            <w:tcW w:w="6537" w:type="dxa"/>
            <w:tcMar>
              <w:top w:w="60" w:type="dxa"/>
              <w:left w:w="100" w:type="dxa"/>
              <w:bottom w:w="60" w:type="dxa"/>
              <w:right w:w="100" w:type="dxa"/>
            </w:tcMar>
          </w:tcPr>
          <w:p w14:paraId="45EEDF3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mentioned as a treatment option.</w:t>
            </w:r>
          </w:p>
        </w:tc>
      </w:tr>
      <w:tr w:rsidR="00EA496D" w:rsidRPr="00F56AD6" w14:paraId="4010D9BE" w14:textId="77777777" w:rsidTr="00EA496D">
        <w:tc>
          <w:tcPr>
            <w:tcW w:w="846" w:type="dxa"/>
            <w:tcMar>
              <w:top w:w="60" w:type="dxa"/>
              <w:left w:w="100" w:type="dxa"/>
              <w:bottom w:w="60" w:type="dxa"/>
              <w:right w:w="100" w:type="dxa"/>
            </w:tcMar>
          </w:tcPr>
          <w:p w14:paraId="6448776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240</w:t>
            </w:r>
          </w:p>
        </w:tc>
        <w:tc>
          <w:tcPr>
            <w:tcW w:w="2094" w:type="dxa"/>
            <w:tcMar>
              <w:top w:w="60" w:type="dxa"/>
              <w:left w:w="100" w:type="dxa"/>
              <w:bottom w:w="60" w:type="dxa"/>
              <w:right w:w="100" w:type="dxa"/>
            </w:tcMar>
          </w:tcPr>
          <w:p w14:paraId="4B1AB51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Kendir-Demirkol et al. 2023</w:t>
            </w:r>
          </w:p>
        </w:tc>
        <w:tc>
          <w:tcPr>
            <w:tcW w:w="4923" w:type="dxa"/>
            <w:tcMar>
              <w:top w:w="60" w:type="dxa"/>
              <w:left w:w="100" w:type="dxa"/>
              <w:bottom w:w="60" w:type="dxa"/>
              <w:right w:w="100" w:type="dxa"/>
            </w:tcMar>
          </w:tcPr>
          <w:p w14:paraId="5AA11B8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Protective Effects of Pyridoxine on Linezolid-Induced Hematological Toxicity, Hepatotoxicity, and Oxidative Stress in Rats</w:t>
            </w:r>
          </w:p>
        </w:tc>
        <w:tc>
          <w:tcPr>
            <w:tcW w:w="6537" w:type="dxa"/>
            <w:tcMar>
              <w:top w:w="60" w:type="dxa"/>
              <w:left w:w="100" w:type="dxa"/>
              <w:bottom w:w="60" w:type="dxa"/>
              <w:right w:w="100" w:type="dxa"/>
            </w:tcMar>
          </w:tcPr>
          <w:p w14:paraId="71AAC9E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pyridoxine found as an effective therapeutic alongside medication.</w:t>
            </w:r>
          </w:p>
        </w:tc>
      </w:tr>
      <w:tr w:rsidR="00EA496D" w:rsidRPr="00F56AD6" w14:paraId="4DD44380" w14:textId="77777777" w:rsidTr="00EA496D">
        <w:tc>
          <w:tcPr>
            <w:tcW w:w="846" w:type="dxa"/>
            <w:tcMar>
              <w:top w:w="60" w:type="dxa"/>
              <w:left w:w="100" w:type="dxa"/>
              <w:bottom w:w="60" w:type="dxa"/>
              <w:right w:w="100" w:type="dxa"/>
            </w:tcMar>
          </w:tcPr>
          <w:p w14:paraId="617E2FA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241</w:t>
            </w:r>
          </w:p>
        </w:tc>
        <w:tc>
          <w:tcPr>
            <w:tcW w:w="2094" w:type="dxa"/>
            <w:tcMar>
              <w:top w:w="60" w:type="dxa"/>
              <w:left w:w="100" w:type="dxa"/>
              <w:bottom w:w="60" w:type="dxa"/>
              <w:right w:w="100" w:type="dxa"/>
            </w:tcMar>
          </w:tcPr>
          <w:p w14:paraId="40F70D8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Key et al. 2024</w:t>
            </w:r>
          </w:p>
        </w:tc>
        <w:tc>
          <w:tcPr>
            <w:tcW w:w="4923" w:type="dxa"/>
            <w:tcMar>
              <w:top w:w="60" w:type="dxa"/>
              <w:left w:w="100" w:type="dxa"/>
              <w:bottom w:w="60" w:type="dxa"/>
              <w:right w:w="100" w:type="dxa"/>
            </w:tcMar>
          </w:tcPr>
          <w:p w14:paraId="60CE070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Knockout Mouse Studies Show That Mitochondrial CLPP Peptidase and CLPX Unfoldase Act in Matrix Condensates near IMM, as Fast Stress Response in Protein Assemblies for Transcript Processing, Translation, and Heme Production</w:t>
            </w:r>
          </w:p>
        </w:tc>
        <w:tc>
          <w:tcPr>
            <w:tcW w:w="6537" w:type="dxa"/>
            <w:tcMar>
              <w:top w:w="60" w:type="dxa"/>
              <w:left w:w="100" w:type="dxa"/>
              <w:bottom w:w="60" w:type="dxa"/>
              <w:right w:w="100" w:type="dxa"/>
            </w:tcMar>
          </w:tcPr>
          <w:p w14:paraId="5AF0400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not vitamin B6.</w:t>
            </w:r>
          </w:p>
        </w:tc>
      </w:tr>
      <w:tr w:rsidR="00EA496D" w:rsidRPr="00F56AD6" w14:paraId="12ED1508" w14:textId="77777777" w:rsidTr="00EA496D">
        <w:tc>
          <w:tcPr>
            <w:tcW w:w="846" w:type="dxa"/>
            <w:tcMar>
              <w:top w:w="60" w:type="dxa"/>
              <w:left w:w="100" w:type="dxa"/>
              <w:bottom w:w="60" w:type="dxa"/>
              <w:right w:w="100" w:type="dxa"/>
            </w:tcMar>
          </w:tcPr>
          <w:p w14:paraId="632E56D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242</w:t>
            </w:r>
          </w:p>
        </w:tc>
        <w:tc>
          <w:tcPr>
            <w:tcW w:w="2094" w:type="dxa"/>
            <w:tcMar>
              <w:top w:w="60" w:type="dxa"/>
              <w:left w:w="100" w:type="dxa"/>
              <w:bottom w:w="60" w:type="dxa"/>
              <w:right w:w="100" w:type="dxa"/>
            </w:tcMar>
          </w:tcPr>
          <w:p w14:paraId="03C78CE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Key et al. 2024</w:t>
            </w:r>
          </w:p>
        </w:tc>
        <w:tc>
          <w:tcPr>
            <w:tcW w:w="4923" w:type="dxa"/>
            <w:tcMar>
              <w:top w:w="60" w:type="dxa"/>
              <w:left w:w="100" w:type="dxa"/>
              <w:bottom w:w="60" w:type="dxa"/>
              <w:right w:w="100" w:type="dxa"/>
            </w:tcMar>
          </w:tcPr>
          <w:p w14:paraId="1974E58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CLPP-Null Eukaryotes with Excess Heme Biosynthesis Show Reduced L-arginine Levels, Probably via CLPX-Mediated OAT Activation</w:t>
            </w:r>
          </w:p>
        </w:tc>
        <w:tc>
          <w:tcPr>
            <w:tcW w:w="6537" w:type="dxa"/>
            <w:tcMar>
              <w:top w:w="60" w:type="dxa"/>
              <w:left w:w="100" w:type="dxa"/>
              <w:bottom w:w="60" w:type="dxa"/>
              <w:right w:w="100" w:type="dxa"/>
            </w:tcMar>
          </w:tcPr>
          <w:p w14:paraId="3496A96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the CLPX promotes pyridoxal binding.</w:t>
            </w:r>
          </w:p>
        </w:tc>
      </w:tr>
      <w:tr w:rsidR="00EA496D" w:rsidRPr="00F56AD6" w14:paraId="4956486F" w14:textId="77777777" w:rsidTr="00EA496D">
        <w:tc>
          <w:tcPr>
            <w:tcW w:w="846" w:type="dxa"/>
            <w:tcMar>
              <w:top w:w="60" w:type="dxa"/>
              <w:left w:w="100" w:type="dxa"/>
              <w:bottom w:w="60" w:type="dxa"/>
              <w:right w:w="100" w:type="dxa"/>
            </w:tcMar>
          </w:tcPr>
          <w:p w14:paraId="2C4C941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243</w:t>
            </w:r>
          </w:p>
        </w:tc>
        <w:tc>
          <w:tcPr>
            <w:tcW w:w="2094" w:type="dxa"/>
            <w:tcMar>
              <w:top w:w="60" w:type="dxa"/>
              <w:left w:w="100" w:type="dxa"/>
              <w:bottom w:w="60" w:type="dxa"/>
              <w:right w:w="100" w:type="dxa"/>
            </w:tcMar>
          </w:tcPr>
          <w:p w14:paraId="10DB364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Khan 2026</w:t>
            </w:r>
          </w:p>
        </w:tc>
        <w:tc>
          <w:tcPr>
            <w:tcW w:w="4923" w:type="dxa"/>
            <w:tcMar>
              <w:top w:w="60" w:type="dxa"/>
              <w:left w:w="100" w:type="dxa"/>
              <w:bottom w:w="60" w:type="dxa"/>
              <w:right w:w="100" w:type="dxa"/>
            </w:tcMar>
          </w:tcPr>
          <w:p w14:paraId="44BE843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Computational insights into pyridoxal 5-phosphate for cataract therapy: targeting TNF-α, IL-6, and IL-1β through network pharmacology, molecular docking, and dynamics approaches</w:t>
            </w:r>
          </w:p>
        </w:tc>
        <w:tc>
          <w:tcPr>
            <w:tcW w:w="6537" w:type="dxa"/>
            <w:tcMar>
              <w:top w:w="60" w:type="dxa"/>
              <w:left w:w="100" w:type="dxa"/>
              <w:bottom w:w="60" w:type="dxa"/>
              <w:right w:w="100" w:type="dxa"/>
            </w:tcMar>
          </w:tcPr>
          <w:p w14:paraId="5BE3B2F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setting, Wrong population - computational study on PLP mechanics.</w:t>
            </w:r>
          </w:p>
        </w:tc>
      </w:tr>
      <w:tr w:rsidR="00EA496D" w:rsidRPr="00F56AD6" w14:paraId="3C8A6859" w14:textId="77777777" w:rsidTr="00EA496D">
        <w:tc>
          <w:tcPr>
            <w:tcW w:w="846" w:type="dxa"/>
            <w:tcMar>
              <w:top w:w="60" w:type="dxa"/>
              <w:left w:w="100" w:type="dxa"/>
              <w:bottom w:w="60" w:type="dxa"/>
              <w:right w:w="100" w:type="dxa"/>
            </w:tcMar>
          </w:tcPr>
          <w:p w14:paraId="0E25B0D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244</w:t>
            </w:r>
          </w:p>
        </w:tc>
        <w:tc>
          <w:tcPr>
            <w:tcW w:w="2094" w:type="dxa"/>
            <w:tcMar>
              <w:top w:w="60" w:type="dxa"/>
              <w:left w:w="100" w:type="dxa"/>
              <w:bottom w:w="60" w:type="dxa"/>
              <w:right w:w="100" w:type="dxa"/>
            </w:tcMar>
          </w:tcPr>
          <w:p w14:paraId="56FD7B1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Khobrani et al. 2023</w:t>
            </w:r>
          </w:p>
        </w:tc>
        <w:tc>
          <w:tcPr>
            <w:tcW w:w="4923" w:type="dxa"/>
            <w:tcMar>
              <w:top w:w="60" w:type="dxa"/>
              <w:left w:w="100" w:type="dxa"/>
              <w:bottom w:w="60" w:type="dxa"/>
              <w:right w:w="100" w:type="dxa"/>
            </w:tcMar>
          </w:tcPr>
          <w:p w14:paraId="55675B5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Impact of vitamin B6 deficiency on the severity of diabetic peripheral neuropathy - A cross sectional study</w:t>
            </w:r>
          </w:p>
        </w:tc>
        <w:tc>
          <w:tcPr>
            <w:tcW w:w="6537" w:type="dxa"/>
            <w:tcMar>
              <w:top w:w="60" w:type="dxa"/>
              <w:left w:w="100" w:type="dxa"/>
              <w:bottom w:w="60" w:type="dxa"/>
              <w:right w:w="100" w:type="dxa"/>
            </w:tcMar>
          </w:tcPr>
          <w:p w14:paraId="792932A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deficiency effects.</w:t>
            </w:r>
          </w:p>
        </w:tc>
      </w:tr>
      <w:tr w:rsidR="00EA496D" w:rsidRPr="00F56AD6" w14:paraId="23606988" w14:textId="77777777" w:rsidTr="00EA496D">
        <w:tc>
          <w:tcPr>
            <w:tcW w:w="846" w:type="dxa"/>
            <w:tcMar>
              <w:top w:w="60" w:type="dxa"/>
              <w:left w:w="100" w:type="dxa"/>
              <w:bottom w:w="60" w:type="dxa"/>
              <w:right w:w="100" w:type="dxa"/>
            </w:tcMar>
          </w:tcPr>
          <w:p w14:paraId="24D1F31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245</w:t>
            </w:r>
          </w:p>
        </w:tc>
        <w:tc>
          <w:tcPr>
            <w:tcW w:w="2094" w:type="dxa"/>
            <w:tcMar>
              <w:top w:w="60" w:type="dxa"/>
              <w:left w:w="100" w:type="dxa"/>
              <w:bottom w:w="60" w:type="dxa"/>
              <w:right w:w="100" w:type="dxa"/>
            </w:tcMar>
          </w:tcPr>
          <w:p w14:paraId="25670A7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Kholmukhamedov et al. 2022</w:t>
            </w:r>
          </w:p>
        </w:tc>
        <w:tc>
          <w:tcPr>
            <w:tcW w:w="4923" w:type="dxa"/>
            <w:tcMar>
              <w:top w:w="60" w:type="dxa"/>
              <w:left w:w="100" w:type="dxa"/>
              <w:bottom w:w="60" w:type="dxa"/>
              <w:right w:w="100" w:type="dxa"/>
            </w:tcMar>
          </w:tcPr>
          <w:p w14:paraId="7D08C2D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new fluorescent sensor mitoferrofluor indicates the presence of chelatable iron in polarized and depolarized mitochondria</w:t>
            </w:r>
          </w:p>
        </w:tc>
        <w:tc>
          <w:tcPr>
            <w:tcW w:w="6537" w:type="dxa"/>
            <w:tcMar>
              <w:top w:w="60" w:type="dxa"/>
              <w:left w:w="100" w:type="dxa"/>
              <w:bottom w:w="60" w:type="dxa"/>
              <w:right w:w="100" w:type="dxa"/>
            </w:tcMar>
          </w:tcPr>
          <w:p w14:paraId="542826A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setting - pyridoxal as a chelate in mechanism.</w:t>
            </w:r>
          </w:p>
        </w:tc>
      </w:tr>
      <w:tr w:rsidR="00EA496D" w:rsidRPr="00F56AD6" w14:paraId="648051D5" w14:textId="77777777" w:rsidTr="00EA496D">
        <w:tc>
          <w:tcPr>
            <w:tcW w:w="846" w:type="dxa"/>
            <w:tcMar>
              <w:top w:w="60" w:type="dxa"/>
              <w:left w:w="100" w:type="dxa"/>
              <w:bottom w:w="60" w:type="dxa"/>
              <w:right w:w="100" w:type="dxa"/>
            </w:tcMar>
          </w:tcPr>
          <w:p w14:paraId="44BD401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246</w:t>
            </w:r>
          </w:p>
        </w:tc>
        <w:tc>
          <w:tcPr>
            <w:tcW w:w="2094" w:type="dxa"/>
            <w:tcMar>
              <w:top w:w="60" w:type="dxa"/>
              <w:left w:w="100" w:type="dxa"/>
              <w:bottom w:w="60" w:type="dxa"/>
              <w:right w:w="100" w:type="dxa"/>
            </w:tcMar>
          </w:tcPr>
          <w:p w14:paraId="2B50FA0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Ki et al. 2023</w:t>
            </w:r>
          </w:p>
        </w:tc>
        <w:tc>
          <w:tcPr>
            <w:tcW w:w="4923" w:type="dxa"/>
            <w:tcMar>
              <w:top w:w="60" w:type="dxa"/>
              <w:left w:w="100" w:type="dxa"/>
              <w:bottom w:w="60" w:type="dxa"/>
              <w:right w:w="100" w:type="dxa"/>
            </w:tcMar>
          </w:tcPr>
          <w:p w14:paraId="5C952E3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Crystal Structure and Functional Characterization of Acetylornithine Aminotransferase from Corynebacterium glutamicum</w:t>
            </w:r>
          </w:p>
        </w:tc>
        <w:tc>
          <w:tcPr>
            <w:tcW w:w="6537" w:type="dxa"/>
            <w:tcMar>
              <w:top w:w="60" w:type="dxa"/>
              <w:left w:w="100" w:type="dxa"/>
              <w:bottom w:w="60" w:type="dxa"/>
              <w:right w:w="100" w:type="dxa"/>
            </w:tcMar>
          </w:tcPr>
          <w:p w14:paraId="621BEDD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setting - developing biochemical structure that involves PLP (B6).</w:t>
            </w:r>
          </w:p>
        </w:tc>
      </w:tr>
      <w:tr w:rsidR="00EA496D" w:rsidRPr="00F56AD6" w14:paraId="715B137C" w14:textId="77777777" w:rsidTr="00EA496D">
        <w:tc>
          <w:tcPr>
            <w:tcW w:w="846" w:type="dxa"/>
            <w:tcMar>
              <w:top w:w="60" w:type="dxa"/>
              <w:left w:w="100" w:type="dxa"/>
              <w:bottom w:w="60" w:type="dxa"/>
              <w:right w:w="100" w:type="dxa"/>
            </w:tcMar>
          </w:tcPr>
          <w:p w14:paraId="29D0347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247</w:t>
            </w:r>
          </w:p>
        </w:tc>
        <w:tc>
          <w:tcPr>
            <w:tcW w:w="2094" w:type="dxa"/>
            <w:tcMar>
              <w:top w:w="60" w:type="dxa"/>
              <w:left w:w="100" w:type="dxa"/>
              <w:bottom w:w="60" w:type="dxa"/>
              <w:right w:w="100" w:type="dxa"/>
            </w:tcMar>
          </w:tcPr>
          <w:p w14:paraId="33799C2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Kim et al. 2022</w:t>
            </w:r>
          </w:p>
        </w:tc>
        <w:tc>
          <w:tcPr>
            <w:tcW w:w="4923" w:type="dxa"/>
            <w:tcMar>
              <w:top w:w="60" w:type="dxa"/>
              <w:left w:w="100" w:type="dxa"/>
              <w:bottom w:w="60" w:type="dxa"/>
              <w:right w:w="100" w:type="dxa"/>
            </w:tcMar>
          </w:tcPr>
          <w:p w14:paraId="5B67BB9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Associations of Vitamin B6 Intake and Plasma Pyridoxal 5'-Phosphate with Plasma Polyunsaturated Fatty Acids in US Older Adults: Findings from NHANES 2003-2004</w:t>
            </w:r>
          </w:p>
        </w:tc>
        <w:tc>
          <w:tcPr>
            <w:tcW w:w="6537" w:type="dxa"/>
            <w:tcMar>
              <w:top w:w="60" w:type="dxa"/>
              <w:left w:w="100" w:type="dxa"/>
              <w:bottom w:w="60" w:type="dxa"/>
              <w:right w:w="100" w:type="dxa"/>
            </w:tcMar>
          </w:tcPr>
          <w:p w14:paraId="35935CC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sufficient vitamin B6 status may positively influence PUFA metabolism in older adults.</w:t>
            </w:r>
          </w:p>
        </w:tc>
      </w:tr>
      <w:tr w:rsidR="00EA496D" w:rsidRPr="00F56AD6" w14:paraId="34C21048" w14:textId="77777777" w:rsidTr="00EA496D">
        <w:tc>
          <w:tcPr>
            <w:tcW w:w="846" w:type="dxa"/>
            <w:tcMar>
              <w:top w:w="60" w:type="dxa"/>
              <w:left w:w="100" w:type="dxa"/>
              <w:bottom w:w="60" w:type="dxa"/>
              <w:right w:w="100" w:type="dxa"/>
            </w:tcMar>
          </w:tcPr>
          <w:p w14:paraId="4E076A0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248</w:t>
            </w:r>
          </w:p>
        </w:tc>
        <w:tc>
          <w:tcPr>
            <w:tcW w:w="2094" w:type="dxa"/>
            <w:tcMar>
              <w:top w:w="60" w:type="dxa"/>
              <w:left w:w="100" w:type="dxa"/>
              <w:bottom w:w="60" w:type="dxa"/>
              <w:right w:w="100" w:type="dxa"/>
            </w:tcMar>
          </w:tcPr>
          <w:p w14:paraId="0D7BF45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Kim et al. 2026</w:t>
            </w:r>
          </w:p>
        </w:tc>
        <w:tc>
          <w:tcPr>
            <w:tcW w:w="4923" w:type="dxa"/>
            <w:tcMar>
              <w:top w:w="60" w:type="dxa"/>
              <w:left w:w="100" w:type="dxa"/>
              <w:bottom w:w="60" w:type="dxa"/>
              <w:right w:w="100" w:type="dxa"/>
            </w:tcMar>
          </w:tcPr>
          <w:p w14:paraId="6759D7B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Adjunctive and supportive strategies to mitigate drug toxicities in the treatment of nontuberculous mycobacterial disease with future directions</w:t>
            </w:r>
          </w:p>
        </w:tc>
        <w:tc>
          <w:tcPr>
            <w:tcW w:w="6537" w:type="dxa"/>
            <w:tcMar>
              <w:top w:w="60" w:type="dxa"/>
              <w:left w:w="100" w:type="dxa"/>
              <w:bottom w:w="60" w:type="dxa"/>
              <w:right w:w="100" w:type="dxa"/>
            </w:tcMar>
          </w:tcPr>
          <w:p w14:paraId="7CB4879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alternatives to B6 supplementation as medication.</w:t>
            </w:r>
          </w:p>
        </w:tc>
      </w:tr>
      <w:tr w:rsidR="00EA496D" w:rsidRPr="00F56AD6" w14:paraId="76A8E866" w14:textId="77777777" w:rsidTr="00EA496D">
        <w:tc>
          <w:tcPr>
            <w:tcW w:w="846" w:type="dxa"/>
            <w:tcMar>
              <w:top w:w="60" w:type="dxa"/>
              <w:left w:w="100" w:type="dxa"/>
              <w:bottom w:w="60" w:type="dxa"/>
              <w:right w:w="100" w:type="dxa"/>
            </w:tcMar>
          </w:tcPr>
          <w:p w14:paraId="13F779F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249</w:t>
            </w:r>
          </w:p>
        </w:tc>
        <w:tc>
          <w:tcPr>
            <w:tcW w:w="2094" w:type="dxa"/>
            <w:tcMar>
              <w:top w:w="60" w:type="dxa"/>
              <w:left w:w="100" w:type="dxa"/>
              <w:bottom w:w="60" w:type="dxa"/>
              <w:right w:w="100" w:type="dxa"/>
            </w:tcMar>
          </w:tcPr>
          <w:p w14:paraId="180FC4F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Kim et al. 2022</w:t>
            </w:r>
          </w:p>
        </w:tc>
        <w:tc>
          <w:tcPr>
            <w:tcW w:w="4923" w:type="dxa"/>
            <w:tcMar>
              <w:top w:w="60" w:type="dxa"/>
              <w:left w:w="100" w:type="dxa"/>
              <w:bottom w:w="60" w:type="dxa"/>
              <w:right w:w="100" w:type="dxa"/>
            </w:tcMar>
          </w:tcPr>
          <w:p w14:paraId="3003FA5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An Atypical Presentation of Pyridoxine-Dependent Epilepsy Diagnosed with Whole Exome Sequencing and Treated with Lysine Restriction and Supplementation with Arginine and Pyridoxine</w:t>
            </w:r>
          </w:p>
        </w:tc>
        <w:tc>
          <w:tcPr>
            <w:tcW w:w="6537" w:type="dxa"/>
            <w:tcMar>
              <w:top w:w="60" w:type="dxa"/>
              <w:left w:w="100" w:type="dxa"/>
              <w:bottom w:w="60" w:type="dxa"/>
              <w:right w:w="100" w:type="dxa"/>
            </w:tcMar>
          </w:tcPr>
          <w:p w14:paraId="23A7C7C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tolerated high dose of B6 well.</w:t>
            </w:r>
          </w:p>
        </w:tc>
      </w:tr>
      <w:tr w:rsidR="00EA496D" w:rsidRPr="00F56AD6" w14:paraId="584EE6A0" w14:textId="77777777" w:rsidTr="00EA496D">
        <w:tc>
          <w:tcPr>
            <w:tcW w:w="846" w:type="dxa"/>
            <w:tcMar>
              <w:top w:w="60" w:type="dxa"/>
              <w:left w:w="100" w:type="dxa"/>
              <w:bottom w:w="60" w:type="dxa"/>
              <w:right w:w="100" w:type="dxa"/>
            </w:tcMar>
          </w:tcPr>
          <w:p w14:paraId="48E8849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250</w:t>
            </w:r>
          </w:p>
        </w:tc>
        <w:tc>
          <w:tcPr>
            <w:tcW w:w="2094" w:type="dxa"/>
            <w:tcMar>
              <w:top w:w="60" w:type="dxa"/>
              <w:left w:w="100" w:type="dxa"/>
              <w:bottom w:w="60" w:type="dxa"/>
              <w:right w:w="100" w:type="dxa"/>
            </w:tcMar>
          </w:tcPr>
          <w:p w14:paraId="1B3398A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Kim et al. 2025</w:t>
            </w:r>
          </w:p>
        </w:tc>
        <w:tc>
          <w:tcPr>
            <w:tcW w:w="4923" w:type="dxa"/>
            <w:tcMar>
              <w:top w:w="60" w:type="dxa"/>
              <w:left w:w="100" w:type="dxa"/>
              <w:bottom w:w="60" w:type="dxa"/>
              <w:right w:w="100" w:type="dxa"/>
            </w:tcMar>
          </w:tcPr>
          <w:p w14:paraId="25742BE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Suppression of stress granule assembly by pyridoxal hydrochloride attenuates oxidative damage in skin fibroblasts</w:t>
            </w:r>
          </w:p>
        </w:tc>
        <w:tc>
          <w:tcPr>
            <w:tcW w:w="6537" w:type="dxa"/>
            <w:tcMar>
              <w:top w:w="60" w:type="dxa"/>
              <w:left w:w="100" w:type="dxa"/>
              <w:bottom w:w="60" w:type="dxa"/>
              <w:right w:w="100" w:type="dxa"/>
            </w:tcMar>
          </w:tcPr>
          <w:p w14:paraId="74C5836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 Wrong exposure (not excess B6 intake) - pyridoxal.. used as a treatment method.</w:t>
            </w:r>
          </w:p>
        </w:tc>
      </w:tr>
      <w:tr w:rsidR="00EA496D" w:rsidRPr="00F56AD6" w14:paraId="43E24127" w14:textId="77777777" w:rsidTr="00EA496D">
        <w:tc>
          <w:tcPr>
            <w:tcW w:w="846" w:type="dxa"/>
            <w:tcMar>
              <w:top w:w="60" w:type="dxa"/>
              <w:left w:w="100" w:type="dxa"/>
              <w:bottom w:w="60" w:type="dxa"/>
              <w:right w:w="100" w:type="dxa"/>
            </w:tcMar>
          </w:tcPr>
          <w:p w14:paraId="65F26AA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251</w:t>
            </w:r>
          </w:p>
        </w:tc>
        <w:tc>
          <w:tcPr>
            <w:tcW w:w="2094" w:type="dxa"/>
            <w:tcMar>
              <w:top w:w="60" w:type="dxa"/>
              <w:left w:w="100" w:type="dxa"/>
              <w:bottom w:w="60" w:type="dxa"/>
              <w:right w:w="100" w:type="dxa"/>
            </w:tcMar>
          </w:tcPr>
          <w:p w14:paraId="1FF2836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Kim et al. 2025</w:t>
            </w:r>
          </w:p>
        </w:tc>
        <w:tc>
          <w:tcPr>
            <w:tcW w:w="4923" w:type="dxa"/>
            <w:tcMar>
              <w:top w:w="60" w:type="dxa"/>
              <w:left w:w="100" w:type="dxa"/>
              <w:bottom w:w="60" w:type="dxa"/>
              <w:right w:w="100" w:type="dxa"/>
            </w:tcMar>
          </w:tcPr>
          <w:p w14:paraId="35A7CE2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Moonlighting activity of threonine synthase in cyanobacterial cell death</w:t>
            </w:r>
          </w:p>
        </w:tc>
        <w:tc>
          <w:tcPr>
            <w:tcW w:w="6537" w:type="dxa"/>
            <w:tcMar>
              <w:top w:w="60" w:type="dxa"/>
              <w:left w:w="100" w:type="dxa"/>
              <w:bottom w:w="60" w:type="dxa"/>
              <w:right w:w="100" w:type="dxa"/>
            </w:tcMar>
          </w:tcPr>
          <w:p w14:paraId="019B74F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pyridoxine dependant mechanism.</w:t>
            </w:r>
          </w:p>
        </w:tc>
      </w:tr>
      <w:tr w:rsidR="00EA496D" w:rsidRPr="00F56AD6" w14:paraId="45B46874" w14:textId="77777777" w:rsidTr="00EA496D">
        <w:tc>
          <w:tcPr>
            <w:tcW w:w="846" w:type="dxa"/>
            <w:tcMar>
              <w:top w:w="60" w:type="dxa"/>
              <w:left w:w="100" w:type="dxa"/>
              <w:bottom w:w="60" w:type="dxa"/>
              <w:right w:w="100" w:type="dxa"/>
            </w:tcMar>
          </w:tcPr>
          <w:p w14:paraId="59EA5BD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252</w:t>
            </w:r>
          </w:p>
        </w:tc>
        <w:tc>
          <w:tcPr>
            <w:tcW w:w="2094" w:type="dxa"/>
            <w:tcMar>
              <w:top w:w="60" w:type="dxa"/>
              <w:left w:w="100" w:type="dxa"/>
              <w:bottom w:w="60" w:type="dxa"/>
              <w:right w:w="100" w:type="dxa"/>
            </w:tcMar>
          </w:tcPr>
          <w:p w14:paraId="0ED166C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Kishida et al. 2025</w:t>
            </w:r>
          </w:p>
        </w:tc>
        <w:tc>
          <w:tcPr>
            <w:tcW w:w="4923" w:type="dxa"/>
            <w:tcMar>
              <w:top w:w="60" w:type="dxa"/>
              <w:left w:w="100" w:type="dxa"/>
              <w:bottom w:w="60" w:type="dxa"/>
              <w:right w:w="100" w:type="dxa"/>
            </w:tcMar>
          </w:tcPr>
          <w:p w14:paraId="125F96F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Dietary intake of folate, vitamin B6, vitamin B12, and riboflavin and the risk of incident dementia</w:t>
            </w:r>
          </w:p>
        </w:tc>
        <w:tc>
          <w:tcPr>
            <w:tcW w:w="6537" w:type="dxa"/>
            <w:tcMar>
              <w:top w:w="60" w:type="dxa"/>
              <w:left w:w="100" w:type="dxa"/>
              <w:bottom w:w="60" w:type="dxa"/>
              <w:right w:w="100" w:type="dxa"/>
            </w:tcMar>
          </w:tcPr>
          <w:p w14:paraId="782F329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reduced risk of dementia.</w:t>
            </w:r>
          </w:p>
        </w:tc>
      </w:tr>
      <w:tr w:rsidR="00EA496D" w:rsidRPr="00F56AD6" w14:paraId="5700BC54" w14:textId="77777777" w:rsidTr="00EA496D">
        <w:tc>
          <w:tcPr>
            <w:tcW w:w="846" w:type="dxa"/>
            <w:tcMar>
              <w:top w:w="60" w:type="dxa"/>
              <w:left w:w="100" w:type="dxa"/>
              <w:bottom w:w="60" w:type="dxa"/>
              <w:right w:w="100" w:type="dxa"/>
            </w:tcMar>
          </w:tcPr>
          <w:p w14:paraId="3517FA6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253</w:t>
            </w:r>
          </w:p>
        </w:tc>
        <w:tc>
          <w:tcPr>
            <w:tcW w:w="2094" w:type="dxa"/>
            <w:tcMar>
              <w:top w:w="60" w:type="dxa"/>
              <w:left w:w="100" w:type="dxa"/>
              <w:bottom w:w="60" w:type="dxa"/>
              <w:right w:w="100" w:type="dxa"/>
            </w:tcMar>
          </w:tcPr>
          <w:p w14:paraId="73ED966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Kothari et al. 2024</w:t>
            </w:r>
          </w:p>
        </w:tc>
        <w:tc>
          <w:tcPr>
            <w:tcW w:w="4923" w:type="dxa"/>
            <w:tcMar>
              <w:top w:w="60" w:type="dxa"/>
              <w:left w:w="100" w:type="dxa"/>
              <w:bottom w:w="60" w:type="dxa"/>
              <w:right w:w="100" w:type="dxa"/>
            </w:tcMar>
          </w:tcPr>
          <w:p w14:paraId="7CB009F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AGA Clinical Practice Update on Pregnancy-Related Gastrointestinal and Liver Disease: Expert Review</w:t>
            </w:r>
          </w:p>
        </w:tc>
        <w:tc>
          <w:tcPr>
            <w:tcW w:w="6537" w:type="dxa"/>
            <w:tcMar>
              <w:top w:w="60" w:type="dxa"/>
              <w:left w:w="100" w:type="dxa"/>
              <w:bottom w:w="60" w:type="dxa"/>
              <w:right w:w="100" w:type="dxa"/>
            </w:tcMar>
          </w:tcPr>
          <w:p w14:paraId="087A4DA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mentions treatment with B6.</w:t>
            </w:r>
          </w:p>
        </w:tc>
      </w:tr>
      <w:tr w:rsidR="00EA496D" w:rsidRPr="00F56AD6" w14:paraId="3DD31471" w14:textId="77777777" w:rsidTr="00EA496D">
        <w:tc>
          <w:tcPr>
            <w:tcW w:w="846" w:type="dxa"/>
            <w:tcMar>
              <w:top w:w="60" w:type="dxa"/>
              <w:left w:w="100" w:type="dxa"/>
              <w:bottom w:w="60" w:type="dxa"/>
              <w:right w:w="100" w:type="dxa"/>
            </w:tcMar>
          </w:tcPr>
          <w:p w14:paraId="5245CE1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254</w:t>
            </w:r>
          </w:p>
        </w:tc>
        <w:tc>
          <w:tcPr>
            <w:tcW w:w="2094" w:type="dxa"/>
            <w:tcMar>
              <w:top w:w="60" w:type="dxa"/>
              <w:left w:w="100" w:type="dxa"/>
              <w:bottom w:w="60" w:type="dxa"/>
              <w:right w:w="100" w:type="dxa"/>
            </w:tcMar>
          </w:tcPr>
          <w:p w14:paraId="5B01021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Krusinski et al. 2024</w:t>
            </w:r>
          </w:p>
        </w:tc>
        <w:tc>
          <w:tcPr>
            <w:tcW w:w="4923" w:type="dxa"/>
            <w:tcMar>
              <w:top w:w="60" w:type="dxa"/>
              <w:left w:w="100" w:type="dxa"/>
              <w:bottom w:w="60" w:type="dxa"/>
              <w:right w:w="100" w:type="dxa"/>
            </w:tcMar>
          </w:tcPr>
          <w:p w14:paraId="50B9A76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Fatty acids and secondary metabolites can predict grass-finished beef and supplemental cattle feeds</w:t>
            </w:r>
          </w:p>
        </w:tc>
        <w:tc>
          <w:tcPr>
            <w:tcW w:w="6537" w:type="dxa"/>
            <w:tcMar>
              <w:top w:w="60" w:type="dxa"/>
              <w:left w:w="100" w:type="dxa"/>
              <w:bottom w:w="60" w:type="dxa"/>
              <w:right w:w="100" w:type="dxa"/>
            </w:tcMar>
          </w:tcPr>
          <w:p w14:paraId="7D58416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pyridoxine levels changed upon diet.</w:t>
            </w:r>
          </w:p>
        </w:tc>
      </w:tr>
      <w:tr w:rsidR="00EA496D" w:rsidRPr="00F56AD6" w14:paraId="13A6A1C9" w14:textId="77777777" w:rsidTr="00EA496D">
        <w:tc>
          <w:tcPr>
            <w:tcW w:w="846" w:type="dxa"/>
            <w:tcMar>
              <w:top w:w="60" w:type="dxa"/>
              <w:left w:w="100" w:type="dxa"/>
              <w:bottom w:w="60" w:type="dxa"/>
              <w:right w:w="100" w:type="dxa"/>
            </w:tcMar>
          </w:tcPr>
          <w:p w14:paraId="65C41A1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255</w:t>
            </w:r>
          </w:p>
        </w:tc>
        <w:tc>
          <w:tcPr>
            <w:tcW w:w="2094" w:type="dxa"/>
            <w:tcMar>
              <w:top w:w="60" w:type="dxa"/>
              <w:left w:w="100" w:type="dxa"/>
              <w:bottom w:w="60" w:type="dxa"/>
              <w:right w:w="100" w:type="dxa"/>
            </w:tcMar>
          </w:tcPr>
          <w:p w14:paraId="2F2941B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Kumar et al. 2026</w:t>
            </w:r>
          </w:p>
        </w:tc>
        <w:tc>
          <w:tcPr>
            <w:tcW w:w="4923" w:type="dxa"/>
            <w:tcMar>
              <w:top w:w="60" w:type="dxa"/>
              <w:left w:w="100" w:type="dxa"/>
              <w:bottom w:w="60" w:type="dxa"/>
              <w:right w:w="100" w:type="dxa"/>
            </w:tcMar>
          </w:tcPr>
          <w:p w14:paraId="5CCBCCA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Silently Gradually Progressing Paraparesis Pott's Spine Lumbar Vertebra with Bilateral Psoas Abscess</w:t>
            </w:r>
          </w:p>
        </w:tc>
        <w:tc>
          <w:tcPr>
            <w:tcW w:w="6537" w:type="dxa"/>
            <w:tcMar>
              <w:top w:w="60" w:type="dxa"/>
              <w:left w:w="100" w:type="dxa"/>
              <w:bottom w:w="60" w:type="dxa"/>
              <w:right w:w="100" w:type="dxa"/>
            </w:tcMar>
          </w:tcPr>
          <w:p w14:paraId="1176BFB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adverse effects not related to B6, B6 just used as side effect medication.</w:t>
            </w:r>
          </w:p>
        </w:tc>
      </w:tr>
      <w:tr w:rsidR="00EA496D" w:rsidRPr="00F56AD6" w14:paraId="58AEFD91" w14:textId="77777777" w:rsidTr="00EA496D">
        <w:tc>
          <w:tcPr>
            <w:tcW w:w="846" w:type="dxa"/>
            <w:tcMar>
              <w:top w:w="60" w:type="dxa"/>
              <w:left w:w="100" w:type="dxa"/>
              <w:bottom w:w="60" w:type="dxa"/>
              <w:right w:w="100" w:type="dxa"/>
            </w:tcMar>
          </w:tcPr>
          <w:p w14:paraId="7A99539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256</w:t>
            </w:r>
          </w:p>
        </w:tc>
        <w:tc>
          <w:tcPr>
            <w:tcW w:w="2094" w:type="dxa"/>
            <w:tcMar>
              <w:top w:w="60" w:type="dxa"/>
              <w:left w:w="100" w:type="dxa"/>
              <w:bottom w:w="60" w:type="dxa"/>
              <w:right w:w="100" w:type="dxa"/>
            </w:tcMar>
          </w:tcPr>
          <w:p w14:paraId="6729A5B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Kumar et al. 2024</w:t>
            </w:r>
          </w:p>
        </w:tc>
        <w:tc>
          <w:tcPr>
            <w:tcW w:w="4923" w:type="dxa"/>
            <w:tcMar>
              <w:top w:w="60" w:type="dxa"/>
              <w:left w:w="100" w:type="dxa"/>
              <w:bottom w:w="60" w:type="dxa"/>
              <w:right w:w="100" w:type="dxa"/>
            </w:tcMar>
          </w:tcPr>
          <w:p w14:paraId="43C67AA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Alarming levels of inadequate intake of B group vitamins in tribal lactating women from South India</w:t>
            </w:r>
          </w:p>
        </w:tc>
        <w:tc>
          <w:tcPr>
            <w:tcW w:w="6537" w:type="dxa"/>
            <w:tcMar>
              <w:top w:w="60" w:type="dxa"/>
              <w:left w:w="100" w:type="dxa"/>
              <w:bottom w:w="60" w:type="dxa"/>
              <w:right w:w="100" w:type="dxa"/>
            </w:tcMar>
          </w:tcPr>
          <w:p w14:paraId="305C1C1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discusses deficiency in group and need for supplementation.</w:t>
            </w:r>
          </w:p>
        </w:tc>
      </w:tr>
      <w:tr w:rsidR="00EA496D" w:rsidRPr="00F56AD6" w14:paraId="622B28C2" w14:textId="77777777" w:rsidTr="00EA496D">
        <w:tc>
          <w:tcPr>
            <w:tcW w:w="846" w:type="dxa"/>
            <w:tcMar>
              <w:top w:w="60" w:type="dxa"/>
              <w:left w:w="100" w:type="dxa"/>
              <w:bottom w:w="60" w:type="dxa"/>
              <w:right w:w="100" w:type="dxa"/>
            </w:tcMar>
          </w:tcPr>
          <w:p w14:paraId="4C4281A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257</w:t>
            </w:r>
          </w:p>
        </w:tc>
        <w:tc>
          <w:tcPr>
            <w:tcW w:w="2094" w:type="dxa"/>
            <w:tcMar>
              <w:top w:w="60" w:type="dxa"/>
              <w:left w:w="100" w:type="dxa"/>
              <w:bottom w:w="60" w:type="dxa"/>
              <w:right w:w="100" w:type="dxa"/>
            </w:tcMar>
          </w:tcPr>
          <w:p w14:paraId="2E741B8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Lai et al. 2023</w:t>
            </w:r>
          </w:p>
        </w:tc>
        <w:tc>
          <w:tcPr>
            <w:tcW w:w="4923" w:type="dxa"/>
            <w:tcMar>
              <w:top w:w="60" w:type="dxa"/>
              <w:left w:w="100" w:type="dxa"/>
              <w:bottom w:w="60" w:type="dxa"/>
              <w:right w:w="100" w:type="dxa"/>
            </w:tcMar>
          </w:tcPr>
          <w:p w14:paraId="37504D8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 Between Vitamin B6 and the Risk of Colorectal Cancer: A Meta-analysis of Observational Studies</w:t>
            </w:r>
          </w:p>
        </w:tc>
        <w:tc>
          <w:tcPr>
            <w:tcW w:w="6537" w:type="dxa"/>
            <w:tcMar>
              <w:top w:w="60" w:type="dxa"/>
              <w:left w:w="100" w:type="dxa"/>
              <w:bottom w:w="60" w:type="dxa"/>
              <w:right w:w="100" w:type="dxa"/>
            </w:tcMar>
          </w:tcPr>
          <w:p w14:paraId="1EBA0A5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reduced risk of cancer.</w:t>
            </w:r>
          </w:p>
        </w:tc>
      </w:tr>
      <w:tr w:rsidR="00EA496D" w:rsidRPr="00F56AD6" w14:paraId="0503CC27" w14:textId="77777777" w:rsidTr="00EA496D">
        <w:tc>
          <w:tcPr>
            <w:tcW w:w="846" w:type="dxa"/>
            <w:tcMar>
              <w:top w:w="60" w:type="dxa"/>
              <w:left w:w="100" w:type="dxa"/>
              <w:bottom w:w="60" w:type="dxa"/>
              <w:right w:w="100" w:type="dxa"/>
            </w:tcMar>
          </w:tcPr>
          <w:p w14:paraId="2CC7781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258</w:t>
            </w:r>
          </w:p>
        </w:tc>
        <w:tc>
          <w:tcPr>
            <w:tcW w:w="2094" w:type="dxa"/>
            <w:tcMar>
              <w:top w:w="60" w:type="dxa"/>
              <w:left w:w="100" w:type="dxa"/>
              <w:bottom w:w="60" w:type="dxa"/>
              <w:right w:w="100" w:type="dxa"/>
            </w:tcMar>
          </w:tcPr>
          <w:p w14:paraId="7B55D2A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Lalley et al. 2024</w:t>
            </w:r>
          </w:p>
        </w:tc>
        <w:tc>
          <w:tcPr>
            <w:tcW w:w="4923" w:type="dxa"/>
            <w:tcMar>
              <w:top w:w="60" w:type="dxa"/>
              <w:left w:w="100" w:type="dxa"/>
              <w:bottom w:w="60" w:type="dxa"/>
              <w:right w:w="100" w:type="dxa"/>
            </w:tcMar>
          </w:tcPr>
          <w:p w14:paraId="267E5C0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Ramen noodle neuropathy: an atypical case of partial paralysis from malnutrition</w:t>
            </w:r>
          </w:p>
        </w:tc>
        <w:tc>
          <w:tcPr>
            <w:tcW w:w="6537" w:type="dxa"/>
            <w:tcMar>
              <w:top w:w="60" w:type="dxa"/>
              <w:left w:w="100" w:type="dxa"/>
              <w:bottom w:w="60" w:type="dxa"/>
              <w:right w:w="100" w:type="dxa"/>
            </w:tcMar>
          </w:tcPr>
          <w:p w14:paraId="589C736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malnutrition and therefore lack of B6.</w:t>
            </w:r>
          </w:p>
        </w:tc>
      </w:tr>
      <w:tr w:rsidR="00EA496D" w:rsidRPr="00F56AD6" w14:paraId="39CFE827" w14:textId="77777777" w:rsidTr="00EA496D">
        <w:tc>
          <w:tcPr>
            <w:tcW w:w="846" w:type="dxa"/>
            <w:tcMar>
              <w:top w:w="60" w:type="dxa"/>
              <w:left w:w="100" w:type="dxa"/>
              <w:bottom w:w="60" w:type="dxa"/>
              <w:right w:w="100" w:type="dxa"/>
            </w:tcMar>
          </w:tcPr>
          <w:p w14:paraId="7DBB9B3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259</w:t>
            </w:r>
          </w:p>
        </w:tc>
        <w:tc>
          <w:tcPr>
            <w:tcW w:w="2094" w:type="dxa"/>
            <w:tcMar>
              <w:top w:w="60" w:type="dxa"/>
              <w:left w:w="100" w:type="dxa"/>
              <w:bottom w:w="60" w:type="dxa"/>
              <w:right w:w="100" w:type="dxa"/>
            </w:tcMar>
          </w:tcPr>
          <w:p w14:paraId="213E0C1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Landi et al. 2022</w:t>
            </w:r>
          </w:p>
        </w:tc>
        <w:tc>
          <w:tcPr>
            <w:tcW w:w="4923" w:type="dxa"/>
            <w:tcMar>
              <w:top w:w="60" w:type="dxa"/>
              <w:left w:w="100" w:type="dxa"/>
              <w:bottom w:w="60" w:type="dxa"/>
              <w:right w:w="100" w:type="dxa"/>
            </w:tcMar>
          </w:tcPr>
          <w:p w14:paraId="6462549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Effects of a New Multicomponent Nutritional Supplement on Muscle Mass and Physical Performance in Adult and Old Patients Recovered from COVID-19: A Pilot Observational Case-Control Study</w:t>
            </w:r>
          </w:p>
        </w:tc>
        <w:tc>
          <w:tcPr>
            <w:tcW w:w="6537" w:type="dxa"/>
            <w:tcMar>
              <w:top w:w="60" w:type="dxa"/>
              <w:left w:w="100" w:type="dxa"/>
              <w:bottom w:w="60" w:type="dxa"/>
              <w:right w:w="100" w:type="dxa"/>
            </w:tcMar>
          </w:tcPr>
          <w:p w14:paraId="2B53682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supplementation improved symptoms of covid19 fatigue.</w:t>
            </w:r>
          </w:p>
        </w:tc>
      </w:tr>
      <w:tr w:rsidR="00EA496D" w:rsidRPr="00F56AD6" w14:paraId="58DFFB37" w14:textId="77777777" w:rsidTr="00EA496D">
        <w:tc>
          <w:tcPr>
            <w:tcW w:w="846" w:type="dxa"/>
            <w:tcMar>
              <w:top w:w="60" w:type="dxa"/>
              <w:left w:w="100" w:type="dxa"/>
              <w:bottom w:w="60" w:type="dxa"/>
              <w:right w:w="100" w:type="dxa"/>
            </w:tcMar>
          </w:tcPr>
          <w:p w14:paraId="7809F24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260</w:t>
            </w:r>
          </w:p>
        </w:tc>
        <w:tc>
          <w:tcPr>
            <w:tcW w:w="2094" w:type="dxa"/>
            <w:tcMar>
              <w:top w:w="60" w:type="dxa"/>
              <w:left w:w="100" w:type="dxa"/>
              <w:bottom w:w="60" w:type="dxa"/>
              <w:right w:w="100" w:type="dxa"/>
            </w:tcMar>
          </w:tcPr>
          <w:p w14:paraId="30A0DDB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Le et al. 2024</w:t>
            </w:r>
          </w:p>
        </w:tc>
        <w:tc>
          <w:tcPr>
            <w:tcW w:w="4923" w:type="dxa"/>
            <w:tcMar>
              <w:top w:w="60" w:type="dxa"/>
              <w:left w:w="100" w:type="dxa"/>
              <w:bottom w:w="60" w:type="dxa"/>
              <w:right w:w="100" w:type="dxa"/>
            </w:tcMar>
          </w:tcPr>
          <w:p w14:paraId="2666B7C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B(1), B(2), and B(6) Intakes and Risk of Gastric Cancer: Findings from a Case-Control Study</w:t>
            </w:r>
          </w:p>
        </w:tc>
        <w:tc>
          <w:tcPr>
            <w:tcW w:w="6537" w:type="dxa"/>
            <w:tcMar>
              <w:top w:w="60" w:type="dxa"/>
              <w:left w:w="100" w:type="dxa"/>
              <w:bottom w:w="60" w:type="dxa"/>
              <w:right w:w="100" w:type="dxa"/>
            </w:tcMar>
          </w:tcPr>
          <w:p w14:paraId="4DA548A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reduced risk of cancer.</w:t>
            </w:r>
          </w:p>
        </w:tc>
      </w:tr>
      <w:tr w:rsidR="00EA496D" w:rsidRPr="00F56AD6" w14:paraId="46AABF59" w14:textId="77777777" w:rsidTr="00EA496D">
        <w:tc>
          <w:tcPr>
            <w:tcW w:w="846" w:type="dxa"/>
            <w:tcMar>
              <w:top w:w="60" w:type="dxa"/>
              <w:left w:w="100" w:type="dxa"/>
              <w:bottom w:w="60" w:type="dxa"/>
              <w:right w:w="100" w:type="dxa"/>
            </w:tcMar>
          </w:tcPr>
          <w:p w14:paraId="23B545B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261</w:t>
            </w:r>
          </w:p>
        </w:tc>
        <w:tc>
          <w:tcPr>
            <w:tcW w:w="2094" w:type="dxa"/>
            <w:tcMar>
              <w:top w:w="60" w:type="dxa"/>
              <w:left w:w="100" w:type="dxa"/>
              <w:bottom w:w="60" w:type="dxa"/>
              <w:right w:w="100" w:type="dxa"/>
            </w:tcMar>
          </w:tcPr>
          <w:p w14:paraId="7C3F99E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Leal-Martinez et al. 2024</w:t>
            </w:r>
          </w:p>
        </w:tc>
        <w:tc>
          <w:tcPr>
            <w:tcW w:w="4923" w:type="dxa"/>
            <w:tcMar>
              <w:top w:w="60" w:type="dxa"/>
              <w:left w:w="100" w:type="dxa"/>
              <w:bottom w:w="60" w:type="dxa"/>
              <w:right w:w="100" w:type="dxa"/>
            </w:tcMar>
          </w:tcPr>
          <w:p w14:paraId="2EFFFD6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Nutritional Support System (NSS) as a New Therapeutic Strategy for Cerebral Palsy</w:t>
            </w:r>
          </w:p>
        </w:tc>
        <w:tc>
          <w:tcPr>
            <w:tcW w:w="6537" w:type="dxa"/>
            <w:tcMar>
              <w:top w:w="60" w:type="dxa"/>
              <w:left w:w="100" w:type="dxa"/>
              <w:bottom w:w="60" w:type="dxa"/>
              <w:right w:w="100" w:type="dxa"/>
            </w:tcMar>
          </w:tcPr>
          <w:p w14:paraId="2DA8FAD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mentions pyridoxal is one of the most studied supplement effects in cerebral palsy.</w:t>
            </w:r>
          </w:p>
        </w:tc>
      </w:tr>
      <w:tr w:rsidR="00EA496D" w:rsidRPr="00F56AD6" w14:paraId="067D1E8C" w14:textId="77777777" w:rsidTr="00EA496D">
        <w:tc>
          <w:tcPr>
            <w:tcW w:w="846" w:type="dxa"/>
            <w:tcMar>
              <w:top w:w="60" w:type="dxa"/>
              <w:left w:w="100" w:type="dxa"/>
              <w:bottom w:w="60" w:type="dxa"/>
              <w:right w:w="100" w:type="dxa"/>
            </w:tcMar>
          </w:tcPr>
          <w:p w14:paraId="1F7BA59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262</w:t>
            </w:r>
          </w:p>
        </w:tc>
        <w:tc>
          <w:tcPr>
            <w:tcW w:w="2094" w:type="dxa"/>
            <w:tcMar>
              <w:top w:w="60" w:type="dxa"/>
              <w:left w:w="100" w:type="dxa"/>
              <w:bottom w:w="60" w:type="dxa"/>
              <w:right w:w="100" w:type="dxa"/>
            </w:tcMar>
          </w:tcPr>
          <w:p w14:paraId="658CF0D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Lee et al. 2025</w:t>
            </w:r>
          </w:p>
        </w:tc>
        <w:tc>
          <w:tcPr>
            <w:tcW w:w="4923" w:type="dxa"/>
            <w:tcMar>
              <w:top w:w="60" w:type="dxa"/>
              <w:left w:w="100" w:type="dxa"/>
              <w:bottom w:w="60" w:type="dxa"/>
              <w:right w:w="100" w:type="dxa"/>
            </w:tcMar>
          </w:tcPr>
          <w:p w14:paraId="6B00578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Mendelian randomization study of micronutrients and development of CKD in a Korean population</w:t>
            </w:r>
          </w:p>
        </w:tc>
        <w:tc>
          <w:tcPr>
            <w:tcW w:w="6537" w:type="dxa"/>
            <w:tcMar>
              <w:top w:w="60" w:type="dxa"/>
              <w:left w:w="100" w:type="dxa"/>
              <w:bottom w:w="60" w:type="dxa"/>
              <w:right w:w="100" w:type="dxa"/>
            </w:tcMar>
          </w:tcPr>
          <w:p w14:paraId="072A8D5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inversely related to development of CKD.</w:t>
            </w:r>
          </w:p>
        </w:tc>
      </w:tr>
      <w:tr w:rsidR="00EA496D" w:rsidRPr="00F56AD6" w14:paraId="72BE53EC" w14:textId="77777777" w:rsidTr="00EA496D">
        <w:tc>
          <w:tcPr>
            <w:tcW w:w="846" w:type="dxa"/>
            <w:tcMar>
              <w:top w:w="60" w:type="dxa"/>
              <w:left w:w="100" w:type="dxa"/>
              <w:bottom w:w="60" w:type="dxa"/>
              <w:right w:w="100" w:type="dxa"/>
            </w:tcMar>
          </w:tcPr>
          <w:p w14:paraId="09098F7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263</w:t>
            </w:r>
          </w:p>
        </w:tc>
        <w:tc>
          <w:tcPr>
            <w:tcW w:w="2094" w:type="dxa"/>
            <w:tcMar>
              <w:top w:w="60" w:type="dxa"/>
              <w:left w:w="100" w:type="dxa"/>
              <w:bottom w:w="60" w:type="dxa"/>
              <w:right w:w="100" w:type="dxa"/>
            </w:tcMar>
          </w:tcPr>
          <w:p w14:paraId="4ED1A15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Lee et al. 2025</w:t>
            </w:r>
          </w:p>
        </w:tc>
        <w:tc>
          <w:tcPr>
            <w:tcW w:w="4923" w:type="dxa"/>
            <w:tcMar>
              <w:top w:w="60" w:type="dxa"/>
              <w:left w:w="100" w:type="dxa"/>
              <w:bottom w:w="60" w:type="dxa"/>
              <w:right w:w="100" w:type="dxa"/>
            </w:tcMar>
          </w:tcPr>
          <w:p w14:paraId="5B269F8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Pyridoxamine inhibits dopamine-induced α-synuclein oligomerization through scavenging neurotoxic dopamine quinone</w:t>
            </w:r>
          </w:p>
        </w:tc>
        <w:tc>
          <w:tcPr>
            <w:tcW w:w="6537" w:type="dxa"/>
            <w:tcMar>
              <w:top w:w="60" w:type="dxa"/>
              <w:left w:w="100" w:type="dxa"/>
              <w:bottom w:w="60" w:type="dxa"/>
              <w:right w:w="100" w:type="dxa"/>
            </w:tcMar>
          </w:tcPr>
          <w:p w14:paraId="73C1F41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had therapeutic effect.</w:t>
            </w:r>
          </w:p>
        </w:tc>
      </w:tr>
      <w:tr w:rsidR="00EA496D" w:rsidRPr="00F56AD6" w14:paraId="03CFE6B6" w14:textId="77777777" w:rsidTr="00EA496D">
        <w:tc>
          <w:tcPr>
            <w:tcW w:w="846" w:type="dxa"/>
            <w:tcMar>
              <w:top w:w="60" w:type="dxa"/>
              <w:left w:w="100" w:type="dxa"/>
              <w:bottom w:w="60" w:type="dxa"/>
              <w:right w:w="100" w:type="dxa"/>
            </w:tcMar>
          </w:tcPr>
          <w:p w14:paraId="0AA673D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264</w:t>
            </w:r>
          </w:p>
        </w:tc>
        <w:tc>
          <w:tcPr>
            <w:tcW w:w="2094" w:type="dxa"/>
            <w:tcMar>
              <w:top w:w="60" w:type="dxa"/>
              <w:left w:w="100" w:type="dxa"/>
              <w:bottom w:w="60" w:type="dxa"/>
              <w:right w:w="100" w:type="dxa"/>
            </w:tcMar>
          </w:tcPr>
          <w:p w14:paraId="2EB75A6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Lee et al. 2023</w:t>
            </w:r>
          </w:p>
        </w:tc>
        <w:tc>
          <w:tcPr>
            <w:tcW w:w="4923" w:type="dxa"/>
            <w:tcMar>
              <w:top w:w="60" w:type="dxa"/>
              <w:left w:w="100" w:type="dxa"/>
              <w:bottom w:w="60" w:type="dxa"/>
              <w:right w:w="100" w:type="dxa"/>
            </w:tcMar>
          </w:tcPr>
          <w:p w14:paraId="4B14AE1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Lipid hydroperoxide-derived insulin resistance and its inhibition by pyridoxamine in skeletal muscle cells</w:t>
            </w:r>
          </w:p>
        </w:tc>
        <w:tc>
          <w:tcPr>
            <w:tcW w:w="6537" w:type="dxa"/>
            <w:tcMar>
              <w:top w:w="60" w:type="dxa"/>
              <w:left w:w="100" w:type="dxa"/>
              <w:bottom w:w="60" w:type="dxa"/>
              <w:right w:w="100" w:type="dxa"/>
            </w:tcMar>
          </w:tcPr>
          <w:p w14:paraId="73684FF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pyridoxamine can inhibit the formation of advanced glycation/lipoxidation end products by scavenging reactive carbonyl species.</w:t>
            </w:r>
          </w:p>
        </w:tc>
      </w:tr>
      <w:tr w:rsidR="00EA496D" w:rsidRPr="00F56AD6" w14:paraId="43496723" w14:textId="77777777" w:rsidTr="00EA496D">
        <w:tc>
          <w:tcPr>
            <w:tcW w:w="846" w:type="dxa"/>
            <w:tcMar>
              <w:top w:w="60" w:type="dxa"/>
              <w:left w:w="100" w:type="dxa"/>
              <w:bottom w:w="60" w:type="dxa"/>
              <w:right w:w="100" w:type="dxa"/>
            </w:tcMar>
          </w:tcPr>
          <w:p w14:paraId="59D287E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265</w:t>
            </w:r>
          </w:p>
        </w:tc>
        <w:tc>
          <w:tcPr>
            <w:tcW w:w="2094" w:type="dxa"/>
            <w:tcMar>
              <w:top w:w="60" w:type="dxa"/>
              <w:left w:w="100" w:type="dxa"/>
              <w:bottom w:w="60" w:type="dxa"/>
              <w:right w:w="100" w:type="dxa"/>
            </w:tcMar>
          </w:tcPr>
          <w:p w14:paraId="7CB4235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Lee et al. 2023</w:t>
            </w:r>
          </w:p>
        </w:tc>
        <w:tc>
          <w:tcPr>
            <w:tcW w:w="4923" w:type="dxa"/>
            <w:tcMar>
              <w:top w:w="60" w:type="dxa"/>
              <w:left w:w="100" w:type="dxa"/>
              <w:bottom w:w="60" w:type="dxa"/>
              <w:right w:w="100" w:type="dxa"/>
            </w:tcMar>
          </w:tcPr>
          <w:p w14:paraId="25BDE2C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Medicinal benefits, biological, and nanoencapsulation functions of riboflavin with its toxicity profile: A narrative review</w:t>
            </w:r>
          </w:p>
        </w:tc>
        <w:tc>
          <w:tcPr>
            <w:tcW w:w="6537" w:type="dxa"/>
            <w:tcMar>
              <w:top w:w="60" w:type="dxa"/>
              <w:left w:w="100" w:type="dxa"/>
              <w:bottom w:w="60" w:type="dxa"/>
              <w:right w:w="100" w:type="dxa"/>
            </w:tcMar>
          </w:tcPr>
          <w:p w14:paraId="00B1E27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riboflavin helps metabolise pyridoxine.</w:t>
            </w:r>
          </w:p>
        </w:tc>
      </w:tr>
      <w:tr w:rsidR="00EA496D" w:rsidRPr="00F56AD6" w14:paraId="595B205D" w14:textId="77777777" w:rsidTr="00EA496D">
        <w:tc>
          <w:tcPr>
            <w:tcW w:w="846" w:type="dxa"/>
            <w:tcMar>
              <w:top w:w="60" w:type="dxa"/>
              <w:left w:w="100" w:type="dxa"/>
              <w:bottom w:w="60" w:type="dxa"/>
              <w:right w:w="100" w:type="dxa"/>
            </w:tcMar>
          </w:tcPr>
          <w:p w14:paraId="7206923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266</w:t>
            </w:r>
          </w:p>
        </w:tc>
        <w:tc>
          <w:tcPr>
            <w:tcW w:w="2094" w:type="dxa"/>
            <w:tcMar>
              <w:top w:w="60" w:type="dxa"/>
              <w:left w:w="100" w:type="dxa"/>
              <w:bottom w:w="60" w:type="dxa"/>
              <w:right w:w="100" w:type="dxa"/>
            </w:tcMar>
          </w:tcPr>
          <w:p w14:paraId="0125226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Lee et al. 2023</w:t>
            </w:r>
          </w:p>
        </w:tc>
        <w:tc>
          <w:tcPr>
            <w:tcW w:w="4923" w:type="dxa"/>
            <w:tcMar>
              <w:top w:w="60" w:type="dxa"/>
              <w:left w:w="100" w:type="dxa"/>
              <w:bottom w:w="60" w:type="dxa"/>
              <w:right w:w="100" w:type="dxa"/>
            </w:tcMar>
          </w:tcPr>
          <w:p w14:paraId="08A48C3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Characterization of a Potential Probiotic Lactiplantibacillus plantarum LRCC5310 by Comparative Genomic Analysis and its Vitamin B(6) Production Ability</w:t>
            </w:r>
          </w:p>
        </w:tc>
        <w:tc>
          <w:tcPr>
            <w:tcW w:w="6537" w:type="dxa"/>
            <w:tcMar>
              <w:top w:w="60" w:type="dxa"/>
              <w:left w:w="100" w:type="dxa"/>
              <w:bottom w:w="60" w:type="dxa"/>
              <w:right w:w="100" w:type="dxa"/>
            </w:tcMar>
          </w:tcPr>
          <w:p w14:paraId="2BA44E4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probiotic may help supplement B6.</w:t>
            </w:r>
          </w:p>
        </w:tc>
      </w:tr>
      <w:tr w:rsidR="00EA496D" w:rsidRPr="00F56AD6" w14:paraId="1F8B6839" w14:textId="77777777" w:rsidTr="00EA496D">
        <w:tc>
          <w:tcPr>
            <w:tcW w:w="846" w:type="dxa"/>
            <w:tcMar>
              <w:top w:w="60" w:type="dxa"/>
              <w:left w:w="100" w:type="dxa"/>
              <w:bottom w:w="60" w:type="dxa"/>
              <w:right w:w="100" w:type="dxa"/>
            </w:tcMar>
          </w:tcPr>
          <w:p w14:paraId="17F584F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267</w:t>
            </w:r>
          </w:p>
        </w:tc>
        <w:tc>
          <w:tcPr>
            <w:tcW w:w="2094" w:type="dxa"/>
            <w:tcMar>
              <w:top w:w="60" w:type="dxa"/>
              <w:left w:w="100" w:type="dxa"/>
              <w:bottom w:w="60" w:type="dxa"/>
              <w:right w:w="100" w:type="dxa"/>
            </w:tcMar>
          </w:tcPr>
          <w:p w14:paraId="40F9B19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Lellig et al. 2024</w:t>
            </w:r>
          </w:p>
        </w:tc>
        <w:tc>
          <w:tcPr>
            <w:tcW w:w="4923" w:type="dxa"/>
            <w:tcMar>
              <w:top w:w="60" w:type="dxa"/>
              <w:left w:w="100" w:type="dxa"/>
              <w:bottom w:w="60" w:type="dxa"/>
              <w:right w:w="100" w:type="dxa"/>
            </w:tcMar>
          </w:tcPr>
          <w:p w14:paraId="461FF0B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Pyridoxal-5'-phosphate: A cost-effective treatment candidate for hypertensive patients?</w:t>
            </w:r>
          </w:p>
        </w:tc>
        <w:tc>
          <w:tcPr>
            <w:tcW w:w="6537" w:type="dxa"/>
            <w:tcMar>
              <w:top w:w="60" w:type="dxa"/>
              <w:left w:w="100" w:type="dxa"/>
              <w:bottom w:w="60" w:type="dxa"/>
              <w:right w:w="100" w:type="dxa"/>
            </w:tcMar>
          </w:tcPr>
          <w:p w14:paraId="526248B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pLP may be cost effective drug against hypertension.</w:t>
            </w:r>
          </w:p>
        </w:tc>
      </w:tr>
      <w:tr w:rsidR="00EA496D" w:rsidRPr="00F56AD6" w14:paraId="3BD01831" w14:textId="77777777" w:rsidTr="00EA496D">
        <w:tc>
          <w:tcPr>
            <w:tcW w:w="846" w:type="dxa"/>
            <w:tcMar>
              <w:top w:w="60" w:type="dxa"/>
              <w:left w:w="100" w:type="dxa"/>
              <w:bottom w:w="60" w:type="dxa"/>
              <w:right w:w="100" w:type="dxa"/>
            </w:tcMar>
          </w:tcPr>
          <w:p w14:paraId="422A15D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268</w:t>
            </w:r>
          </w:p>
        </w:tc>
        <w:tc>
          <w:tcPr>
            <w:tcW w:w="2094" w:type="dxa"/>
            <w:tcMar>
              <w:top w:w="60" w:type="dxa"/>
              <w:left w:w="100" w:type="dxa"/>
              <w:bottom w:w="60" w:type="dxa"/>
              <w:right w:w="100" w:type="dxa"/>
            </w:tcMar>
          </w:tcPr>
          <w:p w14:paraId="6394CFB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Li et al. 2024</w:t>
            </w:r>
          </w:p>
        </w:tc>
        <w:tc>
          <w:tcPr>
            <w:tcW w:w="4923" w:type="dxa"/>
            <w:tcMar>
              <w:top w:w="60" w:type="dxa"/>
              <w:left w:w="100" w:type="dxa"/>
              <w:bottom w:w="60" w:type="dxa"/>
              <w:right w:w="100" w:type="dxa"/>
            </w:tcMar>
          </w:tcPr>
          <w:p w14:paraId="5EF18DE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 between Vitamin E, Vitamin B6, and Vitamin B12 with coronary heart disease</w:t>
            </w:r>
          </w:p>
        </w:tc>
        <w:tc>
          <w:tcPr>
            <w:tcW w:w="6537" w:type="dxa"/>
            <w:tcMar>
              <w:top w:w="60" w:type="dxa"/>
              <w:left w:w="100" w:type="dxa"/>
              <w:bottom w:w="60" w:type="dxa"/>
              <w:right w:w="100" w:type="dxa"/>
            </w:tcMar>
          </w:tcPr>
          <w:p w14:paraId="73DE8CE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possible therapeutic effect of B6 on CHD.</w:t>
            </w:r>
          </w:p>
        </w:tc>
      </w:tr>
      <w:tr w:rsidR="00EA496D" w:rsidRPr="00F56AD6" w14:paraId="150910DC" w14:textId="77777777" w:rsidTr="00EA496D">
        <w:tc>
          <w:tcPr>
            <w:tcW w:w="846" w:type="dxa"/>
            <w:tcMar>
              <w:top w:w="60" w:type="dxa"/>
              <w:left w:w="100" w:type="dxa"/>
              <w:bottom w:w="60" w:type="dxa"/>
              <w:right w:w="100" w:type="dxa"/>
            </w:tcMar>
          </w:tcPr>
          <w:p w14:paraId="393CD1F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269</w:t>
            </w:r>
          </w:p>
        </w:tc>
        <w:tc>
          <w:tcPr>
            <w:tcW w:w="2094" w:type="dxa"/>
            <w:tcMar>
              <w:top w:w="60" w:type="dxa"/>
              <w:left w:w="100" w:type="dxa"/>
              <w:bottom w:w="60" w:type="dxa"/>
              <w:right w:w="100" w:type="dxa"/>
            </w:tcMar>
          </w:tcPr>
          <w:p w14:paraId="6D4FB31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Li et al. 2023</w:t>
            </w:r>
          </w:p>
        </w:tc>
        <w:tc>
          <w:tcPr>
            <w:tcW w:w="4923" w:type="dxa"/>
            <w:tcMar>
              <w:top w:w="60" w:type="dxa"/>
              <w:left w:w="100" w:type="dxa"/>
              <w:bottom w:w="60" w:type="dxa"/>
              <w:right w:w="100" w:type="dxa"/>
            </w:tcMar>
          </w:tcPr>
          <w:p w14:paraId="25975D3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 between Vitamin B(6) and Risk of Gastric Cancer: A Systematic Review and Meta-Analysis of Epidemiological Studies</w:t>
            </w:r>
          </w:p>
        </w:tc>
        <w:tc>
          <w:tcPr>
            <w:tcW w:w="6537" w:type="dxa"/>
            <w:tcMar>
              <w:top w:w="60" w:type="dxa"/>
              <w:left w:w="100" w:type="dxa"/>
              <w:bottom w:w="60" w:type="dxa"/>
              <w:right w:w="100" w:type="dxa"/>
            </w:tcMar>
          </w:tcPr>
          <w:p w14:paraId="3ADEEBC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may reduce gastric cancer but inconclusive.</w:t>
            </w:r>
          </w:p>
        </w:tc>
      </w:tr>
      <w:tr w:rsidR="00EA496D" w:rsidRPr="00F56AD6" w14:paraId="4C6623AE" w14:textId="77777777" w:rsidTr="00EA496D">
        <w:tc>
          <w:tcPr>
            <w:tcW w:w="846" w:type="dxa"/>
            <w:tcMar>
              <w:top w:w="60" w:type="dxa"/>
              <w:left w:w="100" w:type="dxa"/>
              <w:bottom w:w="60" w:type="dxa"/>
              <w:right w:w="100" w:type="dxa"/>
            </w:tcMar>
          </w:tcPr>
          <w:p w14:paraId="17D8854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270</w:t>
            </w:r>
          </w:p>
        </w:tc>
        <w:tc>
          <w:tcPr>
            <w:tcW w:w="2094" w:type="dxa"/>
            <w:tcMar>
              <w:top w:w="60" w:type="dxa"/>
              <w:left w:w="100" w:type="dxa"/>
              <w:bottom w:w="60" w:type="dxa"/>
              <w:right w:w="100" w:type="dxa"/>
            </w:tcMar>
          </w:tcPr>
          <w:p w14:paraId="687E38A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Li et al. 2022</w:t>
            </w:r>
          </w:p>
        </w:tc>
        <w:tc>
          <w:tcPr>
            <w:tcW w:w="4923" w:type="dxa"/>
            <w:tcMar>
              <w:top w:w="60" w:type="dxa"/>
              <w:left w:w="100" w:type="dxa"/>
              <w:bottom w:w="60" w:type="dxa"/>
              <w:right w:w="100" w:type="dxa"/>
            </w:tcMar>
          </w:tcPr>
          <w:p w14:paraId="4D50578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[Clinical characteristics and CBS gene analysis of 13 cases with classic homocystinuria]</w:t>
            </w:r>
          </w:p>
        </w:tc>
        <w:tc>
          <w:tcPr>
            <w:tcW w:w="6537" w:type="dxa"/>
            <w:tcMar>
              <w:top w:w="60" w:type="dxa"/>
              <w:left w:w="100" w:type="dxa"/>
              <w:bottom w:w="60" w:type="dxa"/>
              <w:right w:w="100" w:type="dxa"/>
            </w:tcMar>
          </w:tcPr>
          <w:p w14:paraId="1E3AAF5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most patients did not respond to B6.</w:t>
            </w:r>
          </w:p>
        </w:tc>
      </w:tr>
      <w:tr w:rsidR="00EA496D" w:rsidRPr="00F56AD6" w14:paraId="694E943C" w14:textId="77777777" w:rsidTr="00EA496D">
        <w:tc>
          <w:tcPr>
            <w:tcW w:w="846" w:type="dxa"/>
            <w:tcMar>
              <w:top w:w="60" w:type="dxa"/>
              <w:left w:w="100" w:type="dxa"/>
              <w:bottom w:w="60" w:type="dxa"/>
              <w:right w:w="100" w:type="dxa"/>
            </w:tcMar>
          </w:tcPr>
          <w:p w14:paraId="05739A1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271</w:t>
            </w:r>
          </w:p>
        </w:tc>
        <w:tc>
          <w:tcPr>
            <w:tcW w:w="2094" w:type="dxa"/>
            <w:tcMar>
              <w:top w:w="60" w:type="dxa"/>
              <w:left w:w="100" w:type="dxa"/>
              <w:bottom w:w="60" w:type="dxa"/>
              <w:right w:w="100" w:type="dxa"/>
            </w:tcMar>
          </w:tcPr>
          <w:p w14:paraId="3EEB099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Li et al. 2023</w:t>
            </w:r>
          </w:p>
        </w:tc>
        <w:tc>
          <w:tcPr>
            <w:tcW w:w="4923" w:type="dxa"/>
            <w:tcMar>
              <w:top w:w="60" w:type="dxa"/>
              <w:left w:w="100" w:type="dxa"/>
              <w:bottom w:w="60" w:type="dxa"/>
              <w:right w:w="100" w:type="dxa"/>
            </w:tcMar>
          </w:tcPr>
          <w:p w14:paraId="59DBF09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Probiotic Bacillus subtilis contributes to the modulation of gut microbiota and blood metabolic profile of hosts</w:t>
            </w:r>
          </w:p>
        </w:tc>
        <w:tc>
          <w:tcPr>
            <w:tcW w:w="6537" w:type="dxa"/>
            <w:tcMar>
              <w:top w:w="60" w:type="dxa"/>
              <w:left w:w="100" w:type="dxa"/>
              <w:bottom w:w="60" w:type="dxa"/>
              <w:right w:w="100" w:type="dxa"/>
            </w:tcMar>
          </w:tcPr>
          <w:p w14:paraId="65AAECE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was affected by the probiotic (B6=dependant variable).</w:t>
            </w:r>
          </w:p>
        </w:tc>
      </w:tr>
      <w:tr w:rsidR="00EA496D" w:rsidRPr="00F56AD6" w14:paraId="5B1AEBCB" w14:textId="77777777" w:rsidTr="00EA496D">
        <w:tc>
          <w:tcPr>
            <w:tcW w:w="846" w:type="dxa"/>
            <w:tcMar>
              <w:top w:w="60" w:type="dxa"/>
              <w:left w:w="100" w:type="dxa"/>
              <w:bottom w:w="60" w:type="dxa"/>
              <w:right w:w="100" w:type="dxa"/>
            </w:tcMar>
          </w:tcPr>
          <w:p w14:paraId="06999E7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272</w:t>
            </w:r>
          </w:p>
        </w:tc>
        <w:tc>
          <w:tcPr>
            <w:tcW w:w="2094" w:type="dxa"/>
            <w:tcMar>
              <w:top w:w="60" w:type="dxa"/>
              <w:left w:w="100" w:type="dxa"/>
              <w:bottom w:w="60" w:type="dxa"/>
              <w:right w:w="100" w:type="dxa"/>
            </w:tcMar>
          </w:tcPr>
          <w:p w14:paraId="4E61C8F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Li et al. 2025</w:t>
            </w:r>
          </w:p>
        </w:tc>
        <w:tc>
          <w:tcPr>
            <w:tcW w:w="4923" w:type="dxa"/>
            <w:tcMar>
              <w:top w:w="60" w:type="dxa"/>
              <w:left w:w="100" w:type="dxa"/>
              <w:bottom w:w="60" w:type="dxa"/>
              <w:right w:w="100" w:type="dxa"/>
            </w:tcMar>
          </w:tcPr>
          <w:p w14:paraId="1867CEB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Relationship between vitamin B6 intake and thyroid function in US adults: NHANES 2007-2012 results</w:t>
            </w:r>
          </w:p>
        </w:tc>
        <w:tc>
          <w:tcPr>
            <w:tcW w:w="6537" w:type="dxa"/>
            <w:tcMar>
              <w:top w:w="60" w:type="dxa"/>
              <w:left w:w="100" w:type="dxa"/>
              <w:bottom w:w="60" w:type="dxa"/>
              <w:right w:w="100" w:type="dxa"/>
            </w:tcMar>
          </w:tcPr>
          <w:p w14:paraId="6171857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can improve thyroid function.</w:t>
            </w:r>
          </w:p>
        </w:tc>
      </w:tr>
      <w:tr w:rsidR="00EA496D" w:rsidRPr="00F56AD6" w14:paraId="23697555" w14:textId="77777777" w:rsidTr="00EA496D">
        <w:tc>
          <w:tcPr>
            <w:tcW w:w="846" w:type="dxa"/>
            <w:tcMar>
              <w:top w:w="60" w:type="dxa"/>
              <w:left w:w="100" w:type="dxa"/>
              <w:bottom w:w="60" w:type="dxa"/>
              <w:right w:w="100" w:type="dxa"/>
            </w:tcMar>
          </w:tcPr>
          <w:p w14:paraId="32D4AD5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273</w:t>
            </w:r>
          </w:p>
        </w:tc>
        <w:tc>
          <w:tcPr>
            <w:tcW w:w="2094" w:type="dxa"/>
            <w:tcMar>
              <w:top w:w="60" w:type="dxa"/>
              <w:left w:w="100" w:type="dxa"/>
              <w:bottom w:w="60" w:type="dxa"/>
              <w:right w:w="100" w:type="dxa"/>
            </w:tcMar>
          </w:tcPr>
          <w:p w14:paraId="240B310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Li et al. 2025</w:t>
            </w:r>
          </w:p>
        </w:tc>
        <w:tc>
          <w:tcPr>
            <w:tcW w:w="4923" w:type="dxa"/>
            <w:tcMar>
              <w:top w:w="60" w:type="dxa"/>
              <w:left w:w="100" w:type="dxa"/>
              <w:bottom w:w="60" w:type="dxa"/>
              <w:right w:w="100" w:type="dxa"/>
            </w:tcMar>
          </w:tcPr>
          <w:p w14:paraId="5C64E9D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Effects of B Vitamins on Homocysteine Lowering and Thrombotic Risk Reduction-A Review of Randomized Controlled Trials Published Since January 1996</w:t>
            </w:r>
          </w:p>
        </w:tc>
        <w:tc>
          <w:tcPr>
            <w:tcW w:w="6537" w:type="dxa"/>
            <w:tcMar>
              <w:top w:w="60" w:type="dxa"/>
              <w:left w:w="100" w:type="dxa"/>
              <w:bottom w:w="60" w:type="dxa"/>
              <w:right w:w="100" w:type="dxa"/>
            </w:tcMar>
          </w:tcPr>
          <w:p w14:paraId="266C4A4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supplementation to reduce risks of diseases.</w:t>
            </w:r>
          </w:p>
        </w:tc>
      </w:tr>
      <w:tr w:rsidR="00EA496D" w:rsidRPr="00F56AD6" w14:paraId="0E12358B" w14:textId="77777777" w:rsidTr="00EA496D">
        <w:tc>
          <w:tcPr>
            <w:tcW w:w="846" w:type="dxa"/>
            <w:tcMar>
              <w:top w:w="60" w:type="dxa"/>
              <w:left w:w="100" w:type="dxa"/>
              <w:bottom w:w="60" w:type="dxa"/>
              <w:right w:w="100" w:type="dxa"/>
            </w:tcMar>
          </w:tcPr>
          <w:p w14:paraId="1FC70FE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274</w:t>
            </w:r>
          </w:p>
        </w:tc>
        <w:tc>
          <w:tcPr>
            <w:tcW w:w="2094" w:type="dxa"/>
            <w:tcMar>
              <w:top w:w="60" w:type="dxa"/>
              <w:left w:w="100" w:type="dxa"/>
              <w:bottom w:w="60" w:type="dxa"/>
              <w:right w:w="100" w:type="dxa"/>
            </w:tcMar>
          </w:tcPr>
          <w:p w14:paraId="32BACCF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Li et al. 2025</w:t>
            </w:r>
          </w:p>
        </w:tc>
        <w:tc>
          <w:tcPr>
            <w:tcW w:w="4923" w:type="dxa"/>
            <w:tcMar>
              <w:top w:w="60" w:type="dxa"/>
              <w:left w:w="100" w:type="dxa"/>
              <w:bottom w:w="60" w:type="dxa"/>
              <w:right w:w="100" w:type="dxa"/>
            </w:tcMar>
          </w:tcPr>
          <w:p w14:paraId="4355FFB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Exploring the Causal Effects of Micronutrient Supplementation on Susceptibility to Viral Pneumonia: A Mendelian Randomization Study</w:t>
            </w:r>
          </w:p>
        </w:tc>
        <w:tc>
          <w:tcPr>
            <w:tcW w:w="6537" w:type="dxa"/>
            <w:tcMar>
              <w:top w:w="60" w:type="dxa"/>
              <w:left w:w="100" w:type="dxa"/>
              <w:bottom w:w="60" w:type="dxa"/>
              <w:right w:w="100" w:type="dxa"/>
            </w:tcMar>
          </w:tcPr>
          <w:p w14:paraId="553FDD1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supplementation may be used as a therapy for viral pneumonia.</w:t>
            </w:r>
          </w:p>
        </w:tc>
      </w:tr>
      <w:tr w:rsidR="00EA496D" w:rsidRPr="00F56AD6" w14:paraId="0C5061D7" w14:textId="77777777" w:rsidTr="00EA496D">
        <w:tc>
          <w:tcPr>
            <w:tcW w:w="846" w:type="dxa"/>
            <w:tcMar>
              <w:top w:w="60" w:type="dxa"/>
              <w:left w:w="100" w:type="dxa"/>
              <w:bottom w:w="60" w:type="dxa"/>
              <w:right w:w="100" w:type="dxa"/>
            </w:tcMar>
          </w:tcPr>
          <w:p w14:paraId="6B9CDC1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275</w:t>
            </w:r>
          </w:p>
        </w:tc>
        <w:tc>
          <w:tcPr>
            <w:tcW w:w="2094" w:type="dxa"/>
            <w:tcMar>
              <w:top w:w="60" w:type="dxa"/>
              <w:left w:w="100" w:type="dxa"/>
              <w:bottom w:w="60" w:type="dxa"/>
              <w:right w:w="100" w:type="dxa"/>
            </w:tcMar>
          </w:tcPr>
          <w:p w14:paraId="7BB3C92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Li et al. 2024</w:t>
            </w:r>
          </w:p>
        </w:tc>
        <w:tc>
          <w:tcPr>
            <w:tcW w:w="4923" w:type="dxa"/>
            <w:tcMar>
              <w:top w:w="60" w:type="dxa"/>
              <w:left w:w="100" w:type="dxa"/>
              <w:bottom w:w="60" w:type="dxa"/>
              <w:right w:w="100" w:type="dxa"/>
            </w:tcMar>
          </w:tcPr>
          <w:p w14:paraId="3B38A79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B12, and Folate's Influence on Neural Networks in the UK Biobank Cohort</w:t>
            </w:r>
          </w:p>
        </w:tc>
        <w:tc>
          <w:tcPr>
            <w:tcW w:w="6537" w:type="dxa"/>
            <w:tcMar>
              <w:top w:w="60" w:type="dxa"/>
              <w:left w:w="100" w:type="dxa"/>
              <w:bottom w:w="60" w:type="dxa"/>
              <w:right w:w="100" w:type="dxa"/>
            </w:tcMar>
          </w:tcPr>
          <w:p w14:paraId="0781741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setting - B6 effect on neural networks related to Alzheimer's disease. B6 actually impaired activity in some neural networks but study does not focus on toxicity.</w:t>
            </w:r>
          </w:p>
        </w:tc>
      </w:tr>
      <w:tr w:rsidR="00EA496D" w:rsidRPr="00F56AD6" w14:paraId="20FA84E2" w14:textId="77777777" w:rsidTr="00EA496D">
        <w:tc>
          <w:tcPr>
            <w:tcW w:w="846" w:type="dxa"/>
            <w:tcMar>
              <w:top w:w="60" w:type="dxa"/>
              <w:left w:w="100" w:type="dxa"/>
              <w:bottom w:w="60" w:type="dxa"/>
              <w:right w:w="100" w:type="dxa"/>
            </w:tcMar>
          </w:tcPr>
          <w:p w14:paraId="02C63EC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276</w:t>
            </w:r>
          </w:p>
        </w:tc>
        <w:tc>
          <w:tcPr>
            <w:tcW w:w="2094" w:type="dxa"/>
            <w:tcMar>
              <w:top w:w="60" w:type="dxa"/>
              <w:left w:w="100" w:type="dxa"/>
              <w:bottom w:w="60" w:type="dxa"/>
              <w:right w:w="100" w:type="dxa"/>
            </w:tcMar>
          </w:tcPr>
          <w:p w14:paraId="0A62878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Li et al. 2025</w:t>
            </w:r>
          </w:p>
        </w:tc>
        <w:tc>
          <w:tcPr>
            <w:tcW w:w="4923" w:type="dxa"/>
            <w:tcMar>
              <w:top w:w="60" w:type="dxa"/>
              <w:left w:w="100" w:type="dxa"/>
              <w:bottom w:w="60" w:type="dxa"/>
              <w:right w:w="100" w:type="dxa"/>
            </w:tcMar>
          </w:tcPr>
          <w:p w14:paraId="00F5DA8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High prediagnostic dietary intake of vitamin B(2) and vitamin B(6) is associated with favorable prognosis of colorectal cancer among Chinese colorectal cancer patients</w:t>
            </w:r>
          </w:p>
        </w:tc>
        <w:tc>
          <w:tcPr>
            <w:tcW w:w="6537" w:type="dxa"/>
            <w:tcMar>
              <w:top w:w="60" w:type="dxa"/>
              <w:left w:w="100" w:type="dxa"/>
              <w:bottom w:w="60" w:type="dxa"/>
              <w:right w:w="100" w:type="dxa"/>
            </w:tcMar>
          </w:tcPr>
          <w:p w14:paraId="72CC418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may be associated with improved survivals in colorectal cancer patients.</w:t>
            </w:r>
          </w:p>
        </w:tc>
      </w:tr>
      <w:tr w:rsidR="00EA496D" w:rsidRPr="00F56AD6" w14:paraId="30FA62AB" w14:textId="77777777" w:rsidTr="00EA496D">
        <w:tc>
          <w:tcPr>
            <w:tcW w:w="846" w:type="dxa"/>
            <w:tcMar>
              <w:top w:w="60" w:type="dxa"/>
              <w:left w:w="100" w:type="dxa"/>
              <w:bottom w:w="60" w:type="dxa"/>
              <w:right w:w="100" w:type="dxa"/>
            </w:tcMar>
          </w:tcPr>
          <w:p w14:paraId="45C88A1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277</w:t>
            </w:r>
          </w:p>
        </w:tc>
        <w:tc>
          <w:tcPr>
            <w:tcW w:w="2094" w:type="dxa"/>
            <w:tcMar>
              <w:top w:w="60" w:type="dxa"/>
              <w:left w:w="100" w:type="dxa"/>
              <w:bottom w:w="60" w:type="dxa"/>
              <w:right w:w="100" w:type="dxa"/>
            </w:tcMar>
          </w:tcPr>
          <w:p w14:paraId="3965C8A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Li et al. 2025</w:t>
            </w:r>
          </w:p>
        </w:tc>
        <w:tc>
          <w:tcPr>
            <w:tcW w:w="4923" w:type="dxa"/>
            <w:tcMar>
              <w:top w:w="60" w:type="dxa"/>
              <w:left w:w="100" w:type="dxa"/>
              <w:bottom w:w="60" w:type="dxa"/>
              <w:right w:w="100" w:type="dxa"/>
            </w:tcMar>
          </w:tcPr>
          <w:p w14:paraId="10D0838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 between methyl donor nutrients' dietary intake with phenotypic aging among US adults: a cross-sectional study from NHANES 2005-2018</w:t>
            </w:r>
          </w:p>
        </w:tc>
        <w:tc>
          <w:tcPr>
            <w:tcW w:w="6537" w:type="dxa"/>
            <w:tcMar>
              <w:top w:w="60" w:type="dxa"/>
              <w:left w:w="100" w:type="dxa"/>
              <w:bottom w:w="60" w:type="dxa"/>
              <w:right w:w="100" w:type="dxa"/>
            </w:tcMar>
          </w:tcPr>
          <w:p w14:paraId="2A5243A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setting - B6 as a vital micronutrient.</w:t>
            </w:r>
          </w:p>
        </w:tc>
      </w:tr>
      <w:tr w:rsidR="00EA496D" w:rsidRPr="00F56AD6" w14:paraId="18375A78" w14:textId="77777777" w:rsidTr="00EA496D">
        <w:tc>
          <w:tcPr>
            <w:tcW w:w="846" w:type="dxa"/>
            <w:tcMar>
              <w:top w:w="60" w:type="dxa"/>
              <w:left w:w="100" w:type="dxa"/>
              <w:bottom w:w="60" w:type="dxa"/>
              <w:right w:w="100" w:type="dxa"/>
            </w:tcMar>
          </w:tcPr>
          <w:p w14:paraId="10A7FD6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278</w:t>
            </w:r>
          </w:p>
        </w:tc>
        <w:tc>
          <w:tcPr>
            <w:tcW w:w="2094" w:type="dxa"/>
            <w:tcMar>
              <w:top w:w="60" w:type="dxa"/>
              <w:left w:w="100" w:type="dxa"/>
              <w:bottom w:w="60" w:type="dxa"/>
              <w:right w:w="100" w:type="dxa"/>
            </w:tcMar>
          </w:tcPr>
          <w:p w14:paraId="17B15CF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Li et al. 2025</w:t>
            </w:r>
          </w:p>
        </w:tc>
        <w:tc>
          <w:tcPr>
            <w:tcW w:w="4923" w:type="dxa"/>
            <w:tcMar>
              <w:top w:w="60" w:type="dxa"/>
              <w:left w:w="100" w:type="dxa"/>
              <w:bottom w:w="60" w:type="dxa"/>
              <w:right w:w="100" w:type="dxa"/>
            </w:tcMar>
          </w:tcPr>
          <w:p w14:paraId="0A4855F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Dietary protein sources in concentrate supplementation influence growth performance by manipulating gut microbiota and serum metabolites in suckling Donkey foals</w:t>
            </w:r>
          </w:p>
        </w:tc>
        <w:tc>
          <w:tcPr>
            <w:tcW w:w="6537" w:type="dxa"/>
            <w:tcMar>
              <w:top w:w="60" w:type="dxa"/>
              <w:left w:w="100" w:type="dxa"/>
              <w:bottom w:w="60" w:type="dxa"/>
              <w:right w:w="100" w:type="dxa"/>
            </w:tcMar>
          </w:tcPr>
          <w:p w14:paraId="1415826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soy diet improved B6 levels.</w:t>
            </w:r>
          </w:p>
        </w:tc>
      </w:tr>
      <w:tr w:rsidR="00EA496D" w:rsidRPr="00F56AD6" w14:paraId="0CACB8B3" w14:textId="77777777" w:rsidTr="00EA496D">
        <w:tc>
          <w:tcPr>
            <w:tcW w:w="846" w:type="dxa"/>
            <w:tcMar>
              <w:top w:w="60" w:type="dxa"/>
              <w:left w:w="100" w:type="dxa"/>
              <w:bottom w:w="60" w:type="dxa"/>
              <w:right w:w="100" w:type="dxa"/>
            </w:tcMar>
          </w:tcPr>
          <w:p w14:paraId="1E966CE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279</w:t>
            </w:r>
          </w:p>
        </w:tc>
        <w:tc>
          <w:tcPr>
            <w:tcW w:w="2094" w:type="dxa"/>
            <w:tcMar>
              <w:top w:w="60" w:type="dxa"/>
              <w:left w:w="100" w:type="dxa"/>
              <w:bottom w:w="60" w:type="dxa"/>
              <w:right w:w="100" w:type="dxa"/>
            </w:tcMar>
          </w:tcPr>
          <w:p w14:paraId="0BDCECC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Lin et al. 2022</w:t>
            </w:r>
          </w:p>
        </w:tc>
        <w:tc>
          <w:tcPr>
            <w:tcW w:w="4923" w:type="dxa"/>
            <w:tcMar>
              <w:top w:w="60" w:type="dxa"/>
              <w:left w:w="100" w:type="dxa"/>
              <w:bottom w:w="60" w:type="dxa"/>
              <w:right w:w="100" w:type="dxa"/>
            </w:tcMar>
          </w:tcPr>
          <w:p w14:paraId="357468B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nitrous oxide abuser presenting with cerebral venous thrombosis: A case report</w:t>
            </w:r>
          </w:p>
        </w:tc>
        <w:tc>
          <w:tcPr>
            <w:tcW w:w="6537" w:type="dxa"/>
            <w:tcMar>
              <w:top w:w="60" w:type="dxa"/>
              <w:left w:w="100" w:type="dxa"/>
              <w:bottom w:w="60" w:type="dxa"/>
              <w:right w:w="100" w:type="dxa"/>
            </w:tcMar>
          </w:tcPr>
          <w:p w14:paraId="4DE2B0F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pyridoxine at 50 mg/day helped alleviate symptoms.</w:t>
            </w:r>
          </w:p>
        </w:tc>
      </w:tr>
      <w:tr w:rsidR="00EA496D" w:rsidRPr="00F56AD6" w14:paraId="041C9D96" w14:textId="77777777" w:rsidTr="00EA496D">
        <w:tc>
          <w:tcPr>
            <w:tcW w:w="846" w:type="dxa"/>
            <w:tcMar>
              <w:top w:w="60" w:type="dxa"/>
              <w:left w:w="100" w:type="dxa"/>
              <w:bottom w:w="60" w:type="dxa"/>
              <w:right w:w="100" w:type="dxa"/>
            </w:tcMar>
          </w:tcPr>
          <w:p w14:paraId="593655E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280</w:t>
            </w:r>
          </w:p>
        </w:tc>
        <w:tc>
          <w:tcPr>
            <w:tcW w:w="2094" w:type="dxa"/>
            <w:tcMar>
              <w:top w:w="60" w:type="dxa"/>
              <w:left w:w="100" w:type="dxa"/>
              <w:bottom w:w="60" w:type="dxa"/>
              <w:right w:w="100" w:type="dxa"/>
            </w:tcMar>
          </w:tcPr>
          <w:p w14:paraId="1489BB6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Lin et al. 2024</w:t>
            </w:r>
          </w:p>
        </w:tc>
        <w:tc>
          <w:tcPr>
            <w:tcW w:w="4923" w:type="dxa"/>
            <w:tcMar>
              <w:top w:w="60" w:type="dxa"/>
              <w:left w:w="100" w:type="dxa"/>
              <w:bottom w:w="60" w:type="dxa"/>
              <w:right w:w="100" w:type="dxa"/>
            </w:tcMar>
          </w:tcPr>
          <w:p w14:paraId="02E76BB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 xml:space="preserve">Elucidation of the beneficial role of co-fermented whole grain quinoa and black barley with </w:t>
            </w:r>
            <w:r w:rsidRPr="00F56AD6">
              <w:rPr>
                <w:rFonts w:asciiTheme="minorHAnsi" w:hAnsiTheme="minorHAnsi" w:cstheme="minorHAnsi"/>
                <w:sz w:val="20"/>
              </w:rPr>
              <w:lastRenderedPageBreak/>
              <w:t>Lactobacillus on rats fed a western-style diet via a multi-omics approach</w:t>
            </w:r>
          </w:p>
        </w:tc>
        <w:tc>
          <w:tcPr>
            <w:tcW w:w="6537" w:type="dxa"/>
            <w:tcMar>
              <w:top w:w="60" w:type="dxa"/>
              <w:left w:w="100" w:type="dxa"/>
              <w:bottom w:w="60" w:type="dxa"/>
              <w:right w:w="100" w:type="dxa"/>
            </w:tcMar>
          </w:tcPr>
          <w:p w14:paraId="031CD4C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Excluded because wrong setting - pyridoxine as a metabolite marker.</w:t>
            </w:r>
          </w:p>
        </w:tc>
      </w:tr>
      <w:tr w:rsidR="00EA496D" w:rsidRPr="00F56AD6" w14:paraId="258EA17D" w14:textId="77777777" w:rsidTr="00EA496D">
        <w:tc>
          <w:tcPr>
            <w:tcW w:w="846" w:type="dxa"/>
            <w:tcMar>
              <w:top w:w="60" w:type="dxa"/>
              <w:left w:w="100" w:type="dxa"/>
              <w:bottom w:w="60" w:type="dxa"/>
              <w:right w:w="100" w:type="dxa"/>
            </w:tcMar>
          </w:tcPr>
          <w:p w14:paraId="58D6373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281</w:t>
            </w:r>
          </w:p>
        </w:tc>
        <w:tc>
          <w:tcPr>
            <w:tcW w:w="2094" w:type="dxa"/>
            <w:tcMar>
              <w:top w:w="60" w:type="dxa"/>
              <w:left w:w="100" w:type="dxa"/>
              <w:bottom w:w="60" w:type="dxa"/>
              <w:right w:w="100" w:type="dxa"/>
            </w:tcMar>
          </w:tcPr>
          <w:p w14:paraId="2D100B6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Liu et al. 2025</w:t>
            </w:r>
          </w:p>
        </w:tc>
        <w:tc>
          <w:tcPr>
            <w:tcW w:w="4923" w:type="dxa"/>
            <w:tcMar>
              <w:top w:w="60" w:type="dxa"/>
              <w:left w:w="100" w:type="dxa"/>
              <w:bottom w:w="60" w:type="dxa"/>
              <w:right w:w="100" w:type="dxa"/>
            </w:tcMar>
          </w:tcPr>
          <w:p w14:paraId="5B91A49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Effect of Nutritional Supplements for Reducing Homocysteine Levels in Healthy Adults: A Systematic Review and Network Meta-Analysis of Randomized Trials</w:t>
            </w:r>
          </w:p>
        </w:tc>
        <w:tc>
          <w:tcPr>
            <w:tcW w:w="6537" w:type="dxa"/>
            <w:tcMar>
              <w:top w:w="60" w:type="dxa"/>
              <w:left w:w="100" w:type="dxa"/>
              <w:bottom w:w="60" w:type="dxa"/>
              <w:right w:w="100" w:type="dxa"/>
            </w:tcMar>
          </w:tcPr>
          <w:p w14:paraId="7D64F81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benefit of supplement combinations.</w:t>
            </w:r>
          </w:p>
        </w:tc>
      </w:tr>
      <w:tr w:rsidR="00EA496D" w:rsidRPr="00F56AD6" w14:paraId="5D221021" w14:textId="77777777" w:rsidTr="00EA496D">
        <w:tc>
          <w:tcPr>
            <w:tcW w:w="846" w:type="dxa"/>
            <w:tcMar>
              <w:top w:w="60" w:type="dxa"/>
              <w:left w:w="100" w:type="dxa"/>
              <w:bottom w:w="60" w:type="dxa"/>
              <w:right w:w="100" w:type="dxa"/>
            </w:tcMar>
          </w:tcPr>
          <w:p w14:paraId="6BD5FA1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282</w:t>
            </w:r>
          </w:p>
        </w:tc>
        <w:tc>
          <w:tcPr>
            <w:tcW w:w="2094" w:type="dxa"/>
            <w:tcMar>
              <w:top w:w="60" w:type="dxa"/>
              <w:left w:w="100" w:type="dxa"/>
              <w:bottom w:w="60" w:type="dxa"/>
              <w:right w:w="100" w:type="dxa"/>
            </w:tcMar>
          </w:tcPr>
          <w:p w14:paraId="0AE95C9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Liu et al. 2024</w:t>
            </w:r>
          </w:p>
        </w:tc>
        <w:tc>
          <w:tcPr>
            <w:tcW w:w="4923" w:type="dxa"/>
            <w:tcMar>
              <w:top w:w="60" w:type="dxa"/>
              <w:left w:w="100" w:type="dxa"/>
              <w:bottom w:w="60" w:type="dxa"/>
              <w:right w:w="100" w:type="dxa"/>
            </w:tcMar>
          </w:tcPr>
          <w:p w14:paraId="3590F05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Trimethylamine N-oxide, β-alanine, tryptophan index, and vitamin B6-related dietary patterns in association with stroke risk</w:t>
            </w:r>
          </w:p>
        </w:tc>
        <w:tc>
          <w:tcPr>
            <w:tcW w:w="6537" w:type="dxa"/>
            <w:tcMar>
              <w:top w:w="60" w:type="dxa"/>
              <w:left w:w="100" w:type="dxa"/>
              <w:bottom w:w="60" w:type="dxa"/>
              <w:right w:w="100" w:type="dxa"/>
            </w:tcMar>
          </w:tcPr>
          <w:p w14:paraId="1460B59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as a biomarker.</w:t>
            </w:r>
          </w:p>
        </w:tc>
      </w:tr>
      <w:tr w:rsidR="00EA496D" w:rsidRPr="00F56AD6" w14:paraId="7D0A76BB" w14:textId="77777777" w:rsidTr="00EA496D">
        <w:tc>
          <w:tcPr>
            <w:tcW w:w="846" w:type="dxa"/>
            <w:tcMar>
              <w:top w:w="60" w:type="dxa"/>
              <w:left w:w="100" w:type="dxa"/>
              <w:bottom w:w="60" w:type="dxa"/>
              <w:right w:w="100" w:type="dxa"/>
            </w:tcMar>
          </w:tcPr>
          <w:p w14:paraId="7ED1B26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283</w:t>
            </w:r>
          </w:p>
        </w:tc>
        <w:tc>
          <w:tcPr>
            <w:tcW w:w="2094" w:type="dxa"/>
            <w:tcMar>
              <w:top w:w="60" w:type="dxa"/>
              <w:left w:w="100" w:type="dxa"/>
              <w:bottom w:w="60" w:type="dxa"/>
              <w:right w:w="100" w:type="dxa"/>
            </w:tcMar>
          </w:tcPr>
          <w:p w14:paraId="4DB51EC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Liu et al. 2026</w:t>
            </w:r>
          </w:p>
        </w:tc>
        <w:tc>
          <w:tcPr>
            <w:tcW w:w="4923" w:type="dxa"/>
            <w:tcMar>
              <w:top w:w="60" w:type="dxa"/>
              <w:left w:w="100" w:type="dxa"/>
              <w:bottom w:w="60" w:type="dxa"/>
              <w:right w:w="100" w:type="dxa"/>
            </w:tcMar>
          </w:tcPr>
          <w:p w14:paraId="3869EB7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 intake and post-stroke depression: Results from the US national health and nutrition examination surveys (NHANES) 2007-2018</w:t>
            </w:r>
          </w:p>
        </w:tc>
        <w:tc>
          <w:tcPr>
            <w:tcW w:w="6537" w:type="dxa"/>
            <w:tcMar>
              <w:top w:w="60" w:type="dxa"/>
              <w:left w:w="100" w:type="dxa"/>
              <w:bottom w:w="60" w:type="dxa"/>
              <w:right w:w="100" w:type="dxa"/>
            </w:tcMar>
          </w:tcPr>
          <w:p w14:paraId="527C13A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inversely associated with PS depression.</w:t>
            </w:r>
          </w:p>
        </w:tc>
      </w:tr>
      <w:tr w:rsidR="00EA496D" w:rsidRPr="00F56AD6" w14:paraId="489870DA" w14:textId="77777777" w:rsidTr="00EA496D">
        <w:tc>
          <w:tcPr>
            <w:tcW w:w="846" w:type="dxa"/>
            <w:tcMar>
              <w:top w:w="60" w:type="dxa"/>
              <w:left w:w="100" w:type="dxa"/>
              <w:bottom w:w="60" w:type="dxa"/>
              <w:right w:w="100" w:type="dxa"/>
            </w:tcMar>
          </w:tcPr>
          <w:p w14:paraId="1579E35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284</w:t>
            </w:r>
          </w:p>
        </w:tc>
        <w:tc>
          <w:tcPr>
            <w:tcW w:w="2094" w:type="dxa"/>
            <w:tcMar>
              <w:top w:w="60" w:type="dxa"/>
              <w:left w:w="100" w:type="dxa"/>
              <w:bottom w:w="60" w:type="dxa"/>
              <w:right w:w="100" w:type="dxa"/>
            </w:tcMar>
          </w:tcPr>
          <w:p w14:paraId="001245D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Liu et al. 2026</w:t>
            </w:r>
          </w:p>
        </w:tc>
        <w:tc>
          <w:tcPr>
            <w:tcW w:w="4923" w:type="dxa"/>
            <w:tcMar>
              <w:top w:w="60" w:type="dxa"/>
              <w:left w:w="100" w:type="dxa"/>
              <w:bottom w:w="60" w:type="dxa"/>
              <w:right w:w="100" w:type="dxa"/>
            </w:tcMar>
          </w:tcPr>
          <w:p w14:paraId="580CF68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mitigation mechanism of exogenous pyridoxal-5-phosphate on Pb stress damage in Polygonatum Cyrtonema Hua by multi-omics combined analysis</w:t>
            </w:r>
          </w:p>
        </w:tc>
        <w:tc>
          <w:tcPr>
            <w:tcW w:w="6537" w:type="dxa"/>
            <w:tcMar>
              <w:top w:w="60" w:type="dxa"/>
              <w:left w:w="100" w:type="dxa"/>
              <w:bottom w:w="60" w:type="dxa"/>
              <w:right w:w="100" w:type="dxa"/>
            </w:tcMar>
          </w:tcPr>
          <w:p w14:paraId="045B960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had protective effect against Pb poisoning in plants, Wrong population - plants.</w:t>
            </w:r>
          </w:p>
        </w:tc>
      </w:tr>
      <w:tr w:rsidR="00EA496D" w:rsidRPr="00F56AD6" w14:paraId="2B1A4983" w14:textId="77777777" w:rsidTr="00EA496D">
        <w:tc>
          <w:tcPr>
            <w:tcW w:w="846" w:type="dxa"/>
            <w:tcMar>
              <w:top w:w="60" w:type="dxa"/>
              <w:left w:w="100" w:type="dxa"/>
              <w:bottom w:w="60" w:type="dxa"/>
              <w:right w:w="100" w:type="dxa"/>
            </w:tcMar>
          </w:tcPr>
          <w:p w14:paraId="1B2E25E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285</w:t>
            </w:r>
          </w:p>
        </w:tc>
        <w:tc>
          <w:tcPr>
            <w:tcW w:w="2094" w:type="dxa"/>
            <w:tcMar>
              <w:top w:w="60" w:type="dxa"/>
              <w:left w:w="100" w:type="dxa"/>
              <w:bottom w:w="60" w:type="dxa"/>
              <w:right w:w="100" w:type="dxa"/>
            </w:tcMar>
          </w:tcPr>
          <w:p w14:paraId="5470C61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Liu et al. 2022</w:t>
            </w:r>
          </w:p>
        </w:tc>
        <w:tc>
          <w:tcPr>
            <w:tcW w:w="4923" w:type="dxa"/>
            <w:tcMar>
              <w:top w:w="60" w:type="dxa"/>
              <w:left w:w="100" w:type="dxa"/>
              <w:bottom w:w="60" w:type="dxa"/>
              <w:right w:w="100" w:type="dxa"/>
            </w:tcMar>
          </w:tcPr>
          <w:p w14:paraId="056B480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PDX1.1-dependent biosynthesis of vitamin B(6) protects roots from ammonium-induced oxidative stress</w:t>
            </w:r>
          </w:p>
        </w:tc>
        <w:tc>
          <w:tcPr>
            <w:tcW w:w="6537" w:type="dxa"/>
            <w:tcMar>
              <w:top w:w="60" w:type="dxa"/>
              <w:left w:w="100" w:type="dxa"/>
              <w:bottom w:w="60" w:type="dxa"/>
              <w:right w:w="100" w:type="dxa"/>
            </w:tcMar>
          </w:tcPr>
          <w:p w14:paraId="7FB703D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population: roots in plants.</w:t>
            </w:r>
          </w:p>
        </w:tc>
      </w:tr>
      <w:tr w:rsidR="00EA496D" w:rsidRPr="00F56AD6" w14:paraId="2D82F148" w14:textId="77777777" w:rsidTr="00EA496D">
        <w:tc>
          <w:tcPr>
            <w:tcW w:w="846" w:type="dxa"/>
            <w:tcMar>
              <w:top w:w="60" w:type="dxa"/>
              <w:left w:w="100" w:type="dxa"/>
              <w:bottom w:w="60" w:type="dxa"/>
              <w:right w:w="100" w:type="dxa"/>
            </w:tcMar>
          </w:tcPr>
          <w:p w14:paraId="2A82DF5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286</w:t>
            </w:r>
          </w:p>
        </w:tc>
        <w:tc>
          <w:tcPr>
            <w:tcW w:w="2094" w:type="dxa"/>
            <w:tcMar>
              <w:top w:w="60" w:type="dxa"/>
              <w:left w:w="100" w:type="dxa"/>
              <w:bottom w:w="60" w:type="dxa"/>
              <w:right w:w="100" w:type="dxa"/>
            </w:tcMar>
          </w:tcPr>
          <w:p w14:paraId="79BDC6C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Liu et al. 2022</w:t>
            </w:r>
          </w:p>
        </w:tc>
        <w:tc>
          <w:tcPr>
            <w:tcW w:w="4923" w:type="dxa"/>
            <w:tcMar>
              <w:top w:w="60" w:type="dxa"/>
              <w:left w:w="100" w:type="dxa"/>
              <w:bottom w:w="60" w:type="dxa"/>
              <w:right w:w="100" w:type="dxa"/>
            </w:tcMar>
          </w:tcPr>
          <w:p w14:paraId="0080459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Transcriptomics integrated with metabolomics reveals the effect of Bisphenol F (BPF) exposure on intestinal inflammation</w:t>
            </w:r>
          </w:p>
        </w:tc>
        <w:tc>
          <w:tcPr>
            <w:tcW w:w="6537" w:type="dxa"/>
            <w:tcMar>
              <w:top w:w="60" w:type="dxa"/>
              <w:left w:w="100" w:type="dxa"/>
              <w:bottom w:w="60" w:type="dxa"/>
              <w:right w:w="100" w:type="dxa"/>
            </w:tcMar>
          </w:tcPr>
          <w:p w14:paraId="53F9B43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population: cell study.</w:t>
            </w:r>
          </w:p>
        </w:tc>
      </w:tr>
      <w:tr w:rsidR="00EA496D" w:rsidRPr="00F56AD6" w14:paraId="154747F2" w14:textId="77777777" w:rsidTr="00EA496D">
        <w:tc>
          <w:tcPr>
            <w:tcW w:w="846" w:type="dxa"/>
            <w:tcMar>
              <w:top w:w="60" w:type="dxa"/>
              <w:left w:w="100" w:type="dxa"/>
              <w:bottom w:w="60" w:type="dxa"/>
              <w:right w:w="100" w:type="dxa"/>
            </w:tcMar>
          </w:tcPr>
          <w:p w14:paraId="136F138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287</w:t>
            </w:r>
          </w:p>
        </w:tc>
        <w:tc>
          <w:tcPr>
            <w:tcW w:w="2094" w:type="dxa"/>
            <w:tcMar>
              <w:top w:w="60" w:type="dxa"/>
              <w:left w:w="100" w:type="dxa"/>
              <w:bottom w:w="60" w:type="dxa"/>
              <w:right w:w="100" w:type="dxa"/>
            </w:tcMar>
          </w:tcPr>
          <w:p w14:paraId="274DCB2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Llop et al. 2026</w:t>
            </w:r>
          </w:p>
        </w:tc>
        <w:tc>
          <w:tcPr>
            <w:tcW w:w="4923" w:type="dxa"/>
            <w:tcMar>
              <w:top w:w="60" w:type="dxa"/>
              <w:left w:w="100" w:type="dxa"/>
              <w:bottom w:w="60" w:type="dxa"/>
              <w:right w:w="100" w:type="dxa"/>
            </w:tcMar>
          </w:tcPr>
          <w:p w14:paraId="6E76B90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Mutational analyses reveal PLP-independent functions at PipY, the cyanobacterial paradigm for pyridoxal-phosphate binding proteins</w:t>
            </w:r>
          </w:p>
        </w:tc>
        <w:tc>
          <w:tcPr>
            <w:tcW w:w="6537" w:type="dxa"/>
            <w:tcMar>
              <w:top w:w="60" w:type="dxa"/>
              <w:left w:w="100" w:type="dxa"/>
              <w:bottom w:w="60" w:type="dxa"/>
              <w:right w:w="100" w:type="dxa"/>
            </w:tcMar>
          </w:tcPr>
          <w:p w14:paraId="5BA648E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highlights that proper handling of vitamin B6 (PLP) is crucial Genetic mutations affecting this system can lead to neurological problems like epilepsy It's about B6 dysfunction, not B6 adverse effects.</w:t>
            </w:r>
          </w:p>
        </w:tc>
      </w:tr>
      <w:tr w:rsidR="00EA496D" w:rsidRPr="00F56AD6" w14:paraId="0DAF0543" w14:textId="77777777" w:rsidTr="00EA496D">
        <w:tc>
          <w:tcPr>
            <w:tcW w:w="846" w:type="dxa"/>
            <w:tcMar>
              <w:top w:w="60" w:type="dxa"/>
              <w:left w:w="100" w:type="dxa"/>
              <w:bottom w:w="60" w:type="dxa"/>
              <w:right w:w="100" w:type="dxa"/>
            </w:tcMar>
          </w:tcPr>
          <w:p w14:paraId="6A9FBEB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288</w:t>
            </w:r>
          </w:p>
        </w:tc>
        <w:tc>
          <w:tcPr>
            <w:tcW w:w="2094" w:type="dxa"/>
            <w:tcMar>
              <w:top w:w="60" w:type="dxa"/>
              <w:left w:w="100" w:type="dxa"/>
              <w:bottom w:w="60" w:type="dxa"/>
              <w:right w:w="100" w:type="dxa"/>
            </w:tcMar>
          </w:tcPr>
          <w:p w14:paraId="0D646E5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Lob et al. 2022</w:t>
            </w:r>
          </w:p>
        </w:tc>
        <w:tc>
          <w:tcPr>
            <w:tcW w:w="4923" w:type="dxa"/>
            <w:tcMar>
              <w:top w:w="60" w:type="dxa"/>
              <w:left w:w="100" w:type="dxa"/>
              <w:bottom w:w="60" w:type="dxa"/>
              <w:right w:w="100" w:type="dxa"/>
            </w:tcMar>
          </w:tcPr>
          <w:p w14:paraId="60E9BCB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decreases the risk of levetiracetam discontinuation in children with epilepsy: A retrospective study</w:t>
            </w:r>
          </w:p>
        </w:tc>
        <w:tc>
          <w:tcPr>
            <w:tcW w:w="6537" w:type="dxa"/>
            <w:tcMar>
              <w:top w:w="60" w:type="dxa"/>
              <w:left w:w="100" w:type="dxa"/>
              <w:bottom w:w="60" w:type="dxa"/>
              <w:right w:w="100" w:type="dxa"/>
            </w:tcMar>
          </w:tcPr>
          <w:p w14:paraId="01FACD9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reduces bad side effects.</w:t>
            </w:r>
          </w:p>
        </w:tc>
      </w:tr>
      <w:tr w:rsidR="00EA496D" w:rsidRPr="00F56AD6" w14:paraId="1A49C177" w14:textId="77777777" w:rsidTr="00EA496D">
        <w:tc>
          <w:tcPr>
            <w:tcW w:w="846" w:type="dxa"/>
            <w:tcMar>
              <w:top w:w="60" w:type="dxa"/>
              <w:left w:w="100" w:type="dxa"/>
              <w:bottom w:w="60" w:type="dxa"/>
              <w:right w:w="100" w:type="dxa"/>
            </w:tcMar>
          </w:tcPr>
          <w:p w14:paraId="0E698D2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289</w:t>
            </w:r>
          </w:p>
        </w:tc>
        <w:tc>
          <w:tcPr>
            <w:tcW w:w="2094" w:type="dxa"/>
            <w:tcMar>
              <w:top w:w="60" w:type="dxa"/>
              <w:left w:w="100" w:type="dxa"/>
              <w:bottom w:w="60" w:type="dxa"/>
              <w:right w:w="100" w:type="dxa"/>
            </w:tcMar>
          </w:tcPr>
          <w:p w14:paraId="0259937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Long et al. 2022</w:t>
            </w:r>
          </w:p>
        </w:tc>
        <w:tc>
          <w:tcPr>
            <w:tcW w:w="4923" w:type="dxa"/>
            <w:tcMar>
              <w:top w:w="60" w:type="dxa"/>
              <w:left w:w="100" w:type="dxa"/>
              <w:bottom w:w="60" w:type="dxa"/>
              <w:right w:w="100" w:type="dxa"/>
            </w:tcMar>
          </w:tcPr>
          <w:p w14:paraId="417A5AA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consistency of aminotransferase analysis in China: a comparison of six mainstream aminotransferase routine methods and recalibration using human pooled serum preparations supplemented with human recombinant aminotransferases</w:t>
            </w:r>
          </w:p>
        </w:tc>
        <w:tc>
          <w:tcPr>
            <w:tcW w:w="6537" w:type="dxa"/>
            <w:tcMar>
              <w:top w:w="60" w:type="dxa"/>
              <w:left w:w="100" w:type="dxa"/>
              <w:bottom w:w="60" w:type="dxa"/>
              <w:right w:w="100" w:type="dxa"/>
            </w:tcMar>
          </w:tcPr>
          <w:p w14:paraId="0DF565A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setting - measurement of aminotransferase.</w:t>
            </w:r>
          </w:p>
        </w:tc>
      </w:tr>
      <w:tr w:rsidR="00EA496D" w:rsidRPr="00F56AD6" w14:paraId="2256667B" w14:textId="77777777" w:rsidTr="00EA496D">
        <w:tc>
          <w:tcPr>
            <w:tcW w:w="846" w:type="dxa"/>
            <w:tcMar>
              <w:top w:w="60" w:type="dxa"/>
              <w:left w:w="100" w:type="dxa"/>
              <w:bottom w:w="60" w:type="dxa"/>
              <w:right w:w="100" w:type="dxa"/>
            </w:tcMar>
          </w:tcPr>
          <w:p w14:paraId="1A8FA72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290</w:t>
            </w:r>
          </w:p>
        </w:tc>
        <w:tc>
          <w:tcPr>
            <w:tcW w:w="2094" w:type="dxa"/>
            <w:tcMar>
              <w:top w:w="60" w:type="dxa"/>
              <w:left w:w="100" w:type="dxa"/>
              <w:bottom w:w="60" w:type="dxa"/>
              <w:right w:w="100" w:type="dxa"/>
            </w:tcMar>
          </w:tcPr>
          <w:p w14:paraId="140B7FF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Lu et al. 2025</w:t>
            </w:r>
          </w:p>
        </w:tc>
        <w:tc>
          <w:tcPr>
            <w:tcW w:w="4923" w:type="dxa"/>
            <w:tcMar>
              <w:top w:w="60" w:type="dxa"/>
              <w:left w:w="100" w:type="dxa"/>
              <w:bottom w:w="60" w:type="dxa"/>
              <w:right w:w="100" w:type="dxa"/>
            </w:tcMar>
          </w:tcPr>
          <w:p w14:paraId="183924E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Effects of dark septate endophyte on root growth, physiology and transcriptome of Ammopiptanthus mongolicus seedlings under drought stress</w:t>
            </w:r>
          </w:p>
        </w:tc>
        <w:tc>
          <w:tcPr>
            <w:tcW w:w="6537" w:type="dxa"/>
            <w:tcMar>
              <w:top w:w="60" w:type="dxa"/>
              <w:left w:w="100" w:type="dxa"/>
              <w:bottom w:w="60" w:type="dxa"/>
              <w:right w:w="100" w:type="dxa"/>
            </w:tcMar>
          </w:tcPr>
          <w:p w14:paraId="6349D3F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population: desert plants (B6 metabolism in the plants).</w:t>
            </w:r>
          </w:p>
        </w:tc>
      </w:tr>
      <w:tr w:rsidR="00EA496D" w:rsidRPr="00F56AD6" w14:paraId="4D7FC2F5" w14:textId="77777777" w:rsidTr="00EA496D">
        <w:tc>
          <w:tcPr>
            <w:tcW w:w="846" w:type="dxa"/>
            <w:tcMar>
              <w:top w:w="60" w:type="dxa"/>
              <w:left w:w="100" w:type="dxa"/>
              <w:bottom w:w="60" w:type="dxa"/>
              <w:right w:w="100" w:type="dxa"/>
            </w:tcMar>
          </w:tcPr>
          <w:p w14:paraId="67A640C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291</w:t>
            </w:r>
          </w:p>
        </w:tc>
        <w:tc>
          <w:tcPr>
            <w:tcW w:w="2094" w:type="dxa"/>
            <w:tcMar>
              <w:top w:w="60" w:type="dxa"/>
              <w:left w:w="100" w:type="dxa"/>
              <w:bottom w:w="60" w:type="dxa"/>
              <w:right w:w="100" w:type="dxa"/>
            </w:tcMar>
          </w:tcPr>
          <w:p w14:paraId="701089D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Lu et al. 2022</w:t>
            </w:r>
          </w:p>
        </w:tc>
        <w:tc>
          <w:tcPr>
            <w:tcW w:w="4923" w:type="dxa"/>
            <w:tcMar>
              <w:top w:w="60" w:type="dxa"/>
              <w:left w:w="100" w:type="dxa"/>
              <w:bottom w:w="60" w:type="dxa"/>
              <w:right w:w="100" w:type="dxa"/>
            </w:tcMar>
          </w:tcPr>
          <w:p w14:paraId="458575C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Multiple forms of vitamin B(6) regulate salt tolerance by balancing ROS and abscisic acid levels in maize root</w:t>
            </w:r>
          </w:p>
        </w:tc>
        <w:tc>
          <w:tcPr>
            <w:tcW w:w="6537" w:type="dxa"/>
            <w:tcMar>
              <w:top w:w="60" w:type="dxa"/>
              <w:left w:w="100" w:type="dxa"/>
              <w:bottom w:w="60" w:type="dxa"/>
              <w:right w:w="100" w:type="dxa"/>
            </w:tcMar>
          </w:tcPr>
          <w:p w14:paraId="2C04C17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population: plants.</w:t>
            </w:r>
          </w:p>
        </w:tc>
      </w:tr>
      <w:tr w:rsidR="00EA496D" w:rsidRPr="00F56AD6" w14:paraId="5C0F4264" w14:textId="77777777" w:rsidTr="00EA496D">
        <w:tc>
          <w:tcPr>
            <w:tcW w:w="846" w:type="dxa"/>
            <w:tcMar>
              <w:top w:w="60" w:type="dxa"/>
              <w:left w:w="100" w:type="dxa"/>
              <w:bottom w:w="60" w:type="dxa"/>
              <w:right w:w="100" w:type="dxa"/>
            </w:tcMar>
          </w:tcPr>
          <w:p w14:paraId="3967161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292</w:t>
            </w:r>
          </w:p>
        </w:tc>
        <w:tc>
          <w:tcPr>
            <w:tcW w:w="2094" w:type="dxa"/>
            <w:tcMar>
              <w:top w:w="60" w:type="dxa"/>
              <w:left w:w="100" w:type="dxa"/>
              <w:bottom w:w="60" w:type="dxa"/>
              <w:right w:w="100" w:type="dxa"/>
            </w:tcMar>
          </w:tcPr>
          <w:p w14:paraId="42C6FEB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Lu et al. 2024</w:t>
            </w:r>
          </w:p>
        </w:tc>
        <w:tc>
          <w:tcPr>
            <w:tcW w:w="4923" w:type="dxa"/>
            <w:tcMar>
              <w:top w:w="60" w:type="dxa"/>
              <w:left w:w="100" w:type="dxa"/>
              <w:bottom w:w="60" w:type="dxa"/>
              <w:right w:w="100" w:type="dxa"/>
            </w:tcMar>
          </w:tcPr>
          <w:p w14:paraId="6727941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Clinical Efficacy of Sodium Cantharidate Vitamin B6 Combined with Concurrent Chemoradiotherapy in the Treatment of Local Advanced Cervical Cancer and its Influence on Tumor Markers</w:t>
            </w:r>
          </w:p>
        </w:tc>
        <w:tc>
          <w:tcPr>
            <w:tcW w:w="6537" w:type="dxa"/>
            <w:tcMar>
              <w:top w:w="60" w:type="dxa"/>
              <w:left w:w="100" w:type="dxa"/>
              <w:bottom w:w="60" w:type="dxa"/>
              <w:right w:w="100" w:type="dxa"/>
            </w:tcMar>
          </w:tcPr>
          <w:p w14:paraId="7468303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alongside medication helped alleviate symptoms.</w:t>
            </w:r>
          </w:p>
        </w:tc>
      </w:tr>
      <w:tr w:rsidR="00EA496D" w:rsidRPr="00F56AD6" w14:paraId="1E9186D4" w14:textId="77777777" w:rsidTr="00EA496D">
        <w:tc>
          <w:tcPr>
            <w:tcW w:w="846" w:type="dxa"/>
            <w:tcMar>
              <w:top w:w="60" w:type="dxa"/>
              <w:left w:w="100" w:type="dxa"/>
              <w:bottom w:w="60" w:type="dxa"/>
              <w:right w:w="100" w:type="dxa"/>
            </w:tcMar>
          </w:tcPr>
          <w:p w14:paraId="5072D30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293</w:t>
            </w:r>
          </w:p>
        </w:tc>
        <w:tc>
          <w:tcPr>
            <w:tcW w:w="2094" w:type="dxa"/>
            <w:tcMar>
              <w:top w:w="60" w:type="dxa"/>
              <w:left w:w="100" w:type="dxa"/>
              <w:bottom w:w="60" w:type="dxa"/>
              <w:right w:w="100" w:type="dxa"/>
            </w:tcMar>
          </w:tcPr>
          <w:p w14:paraId="60160E6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Lu et al. 2024</w:t>
            </w:r>
          </w:p>
        </w:tc>
        <w:tc>
          <w:tcPr>
            <w:tcW w:w="4923" w:type="dxa"/>
            <w:tcMar>
              <w:top w:w="60" w:type="dxa"/>
              <w:left w:w="100" w:type="dxa"/>
              <w:bottom w:w="60" w:type="dxa"/>
              <w:right w:w="100" w:type="dxa"/>
            </w:tcMar>
          </w:tcPr>
          <w:p w14:paraId="4932757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Associations of Dietary Intake of Vitamin B6 and Plasma Pyridoxal 5'-Phosphate Level With Depression in US Adults: Findings From NHANES 2005-2010</w:t>
            </w:r>
          </w:p>
        </w:tc>
        <w:tc>
          <w:tcPr>
            <w:tcW w:w="6537" w:type="dxa"/>
            <w:tcMar>
              <w:top w:w="60" w:type="dxa"/>
              <w:left w:w="100" w:type="dxa"/>
              <w:bottom w:w="60" w:type="dxa"/>
              <w:right w:w="100" w:type="dxa"/>
            </w:tcMar>
          </w:tcPr>
          <w:p w14:paraId="2FD1CC2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supplementation helped reduce depression.</w:t>
            </w:r>
          </w:p>
        </w:tc>
      </w:tr>
      <w:tr w:rsidR="00EA496D" w:rsidRPr="00F56AD6" w14:paraId="19869B8E" w14:textId="77777777" w:rsidTr="00EA496D">
        <w:tc>
          <w:tcPr>
            <w:tcW w:w="846" w:type="dxa"/>
            <w:tcMar>
              <w:top w:w="60" w:type="dxa"/>
              <w:left w:w="100" w:type="dxa"/>
              <w:bottom w:w="60" w:type="dxa"/>
              <w:right w:w="100" w:type="dxa"/>
            </w:tcMar>
          </w:tcPr>
          <w:p w14:paraId="4FEE2F4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294</w:t>
            </w:r>
          </w:p>
        </w:tc>
        <w:tc>
          <w:tcPr>
            <w:tcW w:w="2094" w:type="dxa"/>
            <w:tcMar>
              <w:top w:w="60" w:type="dxa"/>
              <w:left w:w="100" w:type="dxa"/>
              <w:bottom w:w="60" w:type="dxa"/>
              <w:right w:w="100" w:type="dxa"/>
            </w:tcMar>
          </w:tcPr>
          <w:p w14:paraId="7F97D25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Lu et al. 2026</w:t>
            </w:r>
          </w:p>
        </w:tc>
        <w:tc>
          <w:tcPr>
            <w:tcW w:w="4923" w:type="dxa"/>
            <w:tcMar>
              <w:top w:w="60" w:type="dxa"/>
              <w:left w:w="100" w:type="dxa"/>
              <w:bottom w:w="60" w:type="dxa"/>
              <w:right w:w="100" w:type="dxa"/>
            </w:tcMar>
          </w:tcPr>
          <w:p w14:paraId="7E6C310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Severe ethylene glycol toxicity leading to persistent kidney disease</w:t>
            </w:r>
          </w:p>
        </w:tc>
        <w:tc>
          <w:tcPr>
            <w:tcW w:w="6537" w:type="dxa"/>
            <w:tcMar>
              <w:top w:w="60" w:type="dxa"/>
              <w:left w:w="100" w:type="dxa"/>
              <w:bottom w:w="60" w:type="dxa"/>
              <w:right w:w="100" w:type="dxa"/>
            </w:tcMar>
          </w:tcPr>
          <w:p w14:paraId="17A113F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as treatment for ethylene glycol toxicity.</w:t>
            </w:r>
          </w:p>
        </w:tc>
      </w:tr>
      <w:tr w:rsidR="00EA496D" w:rsidRPr="00F56AD6" w14:paraId="52302709" w14:textId="77777777" w:rsidTr="00EA496D">
        <w:tc>
          <w:tcPr>
            <w:tcW w:w="846" w:type="dxa"/>
            <w:tcMar>
              <w:top w:w="60" w:type="dxa"/>
              <w:left w:w="100" w:type="dxa"/>
              <w:bottom w:w="60" w:type="dxa"/>
              <w:right w:w="100" w:type="dxa"/>
            </w:tcMar>
          </w:tcPr>
          <w:p w14:paraId="5C0A675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295</w:t>
            </w:r>
          </w:p>
        </w:tc>
        <w:tc>
          <w:tcPr>
            <w:tcW w:w="2094" w:type="dxa"/>
            <w:tcMar>
              <w:top w:w="60" w:type="dxa"/>
              <w:left w:w="100" w:type="dxa"/>
              <w:bottom w:w="60" w:type="dxa"/>
              <w:right w:w="100" w:type="dxa"/>
            </w:tcMar>
          </w:tcPr>
          <w:p w14:paraId="162C06E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Lu et al. 2022</w:t>
            </w:r>
          </w:p>
        </w:tc>
        <w:tc>
          <w:tcPr>
            <w:tcW w:w="4923" w:type="dxa"/>
            <w:tcMar>
              <w:top w:w="60" w:type="dxa"/>
              <w:left w:w="100" w:type="dxa"/>
              <w:bottom w:w="60" w:type="dxa"/>
              <w:right w:w="100" w:type="dxa"/>
            </w:tcMar>
          </w:tcPr>
          <w:p w14:paraId="32123EB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Integrated metabolomics and transcriptomics analysis reveals new biomarkers and mechanistic insights on atrazine exposures in MCF</w:t>
            </w:r>
            <w:r w:rsidRPr="00F56AD6">
              <w:rPr>
                <w:rFonts w:ascii="Cambria Math" w:hAnsi="Cambria Math" w:cs="Cambria Math"/>
                <w:sz w:val="20"/>
              </w:rPr>
              <w:t>‑</w:t>
            </w:r>
            <w:r w:rsidRPr="00F56AD6">
              <w:rPr>
                <w:rFonts w:asciiTheme="minorHAnsi" w:hAnsiTheme="minorHAnsi" w:cstheme="minorHAnsi"/>
                <w:sz w:val="20"/>
              </w:rPr>
              <w:t>7 cells</w:t>
            </w:r>
          </w:p>
        </w:tc>
        <w:tc>
          <w:tcPr>
            <w:tcW w:w="6537" w:type="dxa"/>
            <w:tcMar>
              <w:top w:w="60" w:type="dxa"/>
              <w:left w:w="100" w:type="dxa"/>
              <w:bottom w:w="60" w:type="dxa"/>
              <w:right w:w="100" w:type="dxa"/>
            </w:tcMar>
          </w:tcPr>
          <w:p w14:paraId="00FBAD3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pyridoxine as a biomarker.</w:t>
            </w:r>
          </w:p>
        </w:tc>
      </w:tr>
      <w:tr w:rsidR="00EA496D" w:rsidRPr="00F56AD6" w14:paraId="431F3B66" w14:textId="77777777" w:rsidTr="00EA496D">
        <w:tc>
          <w:tcPr>
            <w:tcW w:w="846" w:type="dxa"/>
            <w:tcMar>
              <w:top w:w="60" w:type="dxa"/>
              <w:left w:w="100" w:type="dxa"/>
              <w:bottom w:w="60" w:type="dxa"/>
              <w:right w:w="100" w:type="dxa"/>
            </w:tcMar>
          </w:tcPr>
          <w:p w14:paraId="1C56763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296</w:t>
            </w:r>
          </w:p>
        </w:tc>
        <w:tc>
          <w:tcPr>
            <w:tcW w:w="2094" w:type="dxa"/>
            <w:tcMar>
              <w:top w:w="60" w:type="dxa"/>
              <w:left w:w="100" w:type="dxa"/>
              <w:bottom w:w="60" w:type="dxa"/>
              <w:right w:w="100" w:type="dxa"/>
            </w:tcMar>
          </w:tcPr>
          <w:p w14:paraId="3C02CBA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Luo et al. 2024</w:t>
            </w:r>
          </w:p>
        </w:tc>
        <w:tc>
          <w:tcPr>
            <w:tcW w:w="4923" w:type="dxa"/>
            <w:tcMar>
              <w:top w:w="60" w:type="dxa"/>
              <w:left w:w="100" w:type="dxa"/>
              <w:bottom w:w="60" w:type="dxa"/>
              <w:right w:w="100" w:type="dxa"/>
            </w:tcMar>
          </w:tcPr>
          <w:p w14:paraId="524C19D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 vitamins and bone health: a meta-analysis with trial sequential analysis of randomized controlled trials</w:t>
            </w:r>
          </w:p>
        </w:tc>
        <w:tc>
          <w:tcPr>
            <w:tcW w:w="6537" w:type="dxa"/>
            <w:tcMar>
              <w:top w:w="60" w:type="dxa"/>
              <w:left w:w="100" w:type="dxa"/>
              <w:bottom w:w="60" w:type="dxa"/>
              <w:right w:w="100" w:type="dxa"/>
            </w:tcMar>
          </w:tcPr>
          <w:p w14:paraId="4C891CB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did not strongly help bone health however there was no adverse reactions.</w:t>
            </w:r>
          </w:p>
        </w:tc>
      </w:tr>
      <w:tr w:rsidR="00EA496D" w:rsidRPr="00F56AD6" w14:paraId="525B707F" w14:textId="77777777" w:rsidTr="00EA496D">
        <w:tc>
          <w:tcPr>
            <w:tcW w:w="846" w:type="dxa"/>
            <w:tcMar>
              <w:top w:w="60" w:type="dxa"/>
              <w:left w:w="100" w:type="dxa"/>
              <w:bottom w:w="60" w:type="dxa"/>
              <w:right w:w="100" w:type="dxa"/>
            </w:tcMar>
          </w:tcPr>
          <w:p w14:paraId="2036844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297</w:t>
            </w:r>
          </w:p>
        </w:tc>
        <w:tc>
          <w:tcPr>
            <w:tcW w:w="2094" w:type="dxa"/>
            <w:tcMar>
              <w:top w:w="60" w:type="dxa"/>
              <w:left w:w="100" w:type="dxa"/>
              <w:bottom w:w="60" w:type="dxa"/>
              <w:right w:w="100" w:type="dxa"/>
            </w:tcMar>
          </w:tcPr>
          <w:p w14:paraId="667CA76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Lykstad 2026</w:t>
            </w:r>
          </w:p>
        </w:tc>
        <w:tc>
          <w:tcPr>
            <w:tcW w:w="4923" w:type="dxa"/>
            <w:tcMar>
              <w:top w:w="60" w:type="dxa"/>
              <w:left w:w="100" w:type="dxa"/>
              <w:bottom w:w="60" w:type="dxa"/>
              <w:right w:w="100" w:type="dxa"/>
            </w:tcMar>
          </w:tcPr>
          <w:p w14:paraId="572EE29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Biochemistry, Water Soluble Vitamins</w:t>
            </w:r>
          </w:p>
        </w:tc>
        <w:tc>
          <w:tcPr>
            <w:tcW w:w="6537" w:type="dxa"/>
            <w:tcMar>
              <w:top w:w="60" w:type="dxa"/>
              <w:left w:w="100" w:type="dxa"/>
              <w:bottom w:w="60" w:type="dxa"/>
              <w:right w:w="100" w:type="dxa"/>
            </w:tcMar>
          </w:tcPr>
          <w:p w14:paraId="3CB6F82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biochemistry of vitamin B6.</w:t>
            </w:r>
          </w:p>
        </w:tc>
      </w:tr>
      <w:tr w:rsidR="00EA496D" w:rsidRPr="00F56AD6" w14:paraId="7EBCEAB5" w14:textId="77777777" w:rsidTr="00EA496D">
        <w:tc>
          <w:tcPr>
            <w:tcW w:w="846" w:type="dxa"/>
            <w:tcMar>
              <w:top w:w="60" w:type="dxa"/>
              <w:left w:w="100" w:type="dxa"/>
              <w:bottom w:w="60" w:type="dxa"/>
              <w:right w:w="100" w:type="dxa"/>
            </w:tcMar>
          </w:tcPr>
          <w:p w14:paraId="18F7A10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298</w:t>
            </w:r>
          </w:p>
        </w:tc>
        <w:tc>
          <w:tcPr>
            <w:tcW w:w="2094" w:type="dxa"/>
            <w:tcMar>
              <w:top w:w="60" w:type="dxa"/>
              <w:left w:w="100" w:type="dxa"/>
              <w:bottom w:w="60" w:type="dxa"/>
              <w:right w:w="100" w:type="dxa"/>
            </w:tcMar>
          </w:tcPr>
          <w:p w14:paraId="6EE9BB7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 et al. 2022</w:t>
            </w:r>
          </w:p>
        </w:tc>
        <w:tc>
          <w:tcPr>
            <w:tcW w:w="4923" w:type="dxa"/>
            <w:tcMar>
              <w:top w:w="60" w:type="dxa"/>
              <w:left w:w="100" w:type="dxa"/>
              <w:bottom w:w="60" w:type="dxa"/>
              <w:right w:w="100" w:type="dxa"/>
            </w:tcMar>
          </w:tcPr>
          <w:p w14:paraId="17CAE03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Application of the deep learning algorithm in nutrition research - using serum pyridoxal 5'-phosphate as an example</w:t>
            </w:r>
          </w:p>
        </w:tc>
        <w:tc>
          <w:tcPr>
            <w:tcW w:w="6537" w:type="dxa"/>
            <w:tcMar>
              <w:top w:w="60" w:type="dxa"/>
              <w:left w:w="100" w:type="dxa"/>
              <w:bottom w:w="60" w:type="dxa"/>
              <w:right w:w="100" w:type="dxa"/>
            </w:tcMar>
          </w:tcPr>
          <w:p w14:paraId="5D075E6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setting - study is trying to predict blood PLP levels through different modelling.</w:t>
            </w:r>
          </w:p>
        </w:tc>
      </w:tr>
      <w:tr w:rsidR="00EA496D" w:rsidRPr="00F56AD6" w14:paraId="69F467D0" w14:textId="77777777" w:rsidTr="00EA496D">
        <w:tc>
          <w:tcPr>
            <w:tcW w:w="846" w:type="dxa"/>
            <w:tcMar>
              <w:top w:w="60" w:type="dxa"/>
              <w:left w:w="100" w:type="dxa"/>
              <w:bottom w:w="60" w:type="dxa"/>
              <w:right w:w="100" w:type="dxa"/>
            </w:tcMar>
          </w:tcPr>
          <w:p w14:paraId="30850D6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299</w:t>
            </w:r>
          </w:p>
        </w:tc>
        <w:tc>
          <w:tcPr>
            <w:tcW w:w="2094" w:type="dxa"/>
            <w:tcMar>
              <w:top w:w="60" w:type="dxa"/>
              <w:left w:w="100" w:type="dxa"/>
              <w:bottom w:w="60" w:type="dxa"/>
              <w:right w:w="100" w:type="dxa"/>
            </w:tcMar>
          </w:tcPr>
          <w:p w14:paraId="7B60E92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 et al. 2022</w:t>
            </w:r>
          </w:p>
        </w:tc>
        <w:tc>
          <w:tcPr>
            <w:tcW w:w="4923" w:type="dxa"/>
            <w:tcMar>
              <w:top w:w="60" w:type="dxa"/>
              <w:left w:w="100" w:type="dxa"/>
              <w:bottom w:w="60" w:type="dxa"/>
              <w:right w:w="100" w:type="dxa"/>
            </w:tcMar>
          </w:tcPr>
          <w:p w14:paraId="4FDEA11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One-carbon metabolism-related nutrients intake is associated with lower risk of preeclampsia in pregnant women: a matched case-control study</w:t>
            </w:r>
          </w:p>
        </w:tc>
        <w:tc>
          <w:tcPr>
            <w:tcW w:w="6537" w:type="dxa"/>
            <w:tcMar>
              <w:top w:w="60" w:type="dxa"/>
              <w:left w:w="100" w:type="dxa"/>
              <w:bottom w:w="60" w:type="dxa"/>
              <w:right w:w="100" w:type="dxa"/>
            </w:tcMar>
          </w:tcPr>
          <w:p w14:paraId="2AD5DFB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/outcome (not excess B6 intake and no adverse effects) - B6 as a micronutrient can prevent PE in pregnant women in population.</w:t>
            </w:r>
          </w:p>
        </w:tc>
      </w:tr>
      <w:tr w:rsidR="00EA496D" w:rsidRPr="00F56AD6" w14:paraId="1CAC784E" w14:textId="77777777" w:rsidTr="00EA496D">
        <w:tc>
          <w:tcPr>
            <w:tcW w:w="846" w:type="dxa"/>
            <w:tcMar>
              <w:top w:w="60" w:type="dxa"/>
              <w:left w:w="100" w:type="dxa"/>
              <w:bottom w:w="60" w:type="dxa"/>
              <w:right w:w="100" w:type="dxa"/>
            </w:tcMar>
          </w:tcPr>
          <w:p w14:paraId="603F8BD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300</w:t>
            </w:r>
          </w:p>
        </w:tc>
        <w:tc>
          <w:tcPr>
            <w:tcW w:w="2094" w:type="dxa"/>
            <w:tcMar>
              <w:top w:w="60" w:type="dxa"/>
              <w:left w:w="100" w:type="dxa"/>
              <w:bottom w:w="60" w:type="dxa"/>
              <w:right w:w="100" w:type="dxa"/>
            </w:tcMar>
          </w:tcPr>
          <w:p w14:paraId="00E401C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Machover et al. 2024</w:t>
            </w:r>
          </w:p>
        </w:tc>
        <w:tc>
          <w:tcPr>
            <w:tcW w:w="4923" w:type="dxa"/>
            <w:tcMar>
              <w:top w:w="60" w:type="dxa"/>
              <w:left w:w="100" w:type="dxa"/>
              <w:bottom w:w="60" w:type="dxa"/>
              <w:right w:w="100" w:type="dxa"/>
            </w:tcMar>
          </w:tcPr>
          <w:p w14:paraId="46243CB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Treatment of patients with carcinomas in advanced stages with 5-fluorouracil, folinic acid and pyridoxine in tandem</w:t>
            </w:r>
          </w:p>
        </w:tc>
        <w:tc>
          <w:tcPr>
            <w:tcW w:w="6537" w:type="dxa"/>
            <w:tcMar>
              <w:top w:w="60" w:type="dxa"/>
              <w:left w:w="100" w:type="dxa"/>
              <w:bottom w:w="60" w:type="dxa"/>
              <w:right w:w="100" w:type="dxa"/>
            </w:tcMar>
          </w:tcPr>
          <w:p w14:paraId="773A8FD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no adverse effects found.</w:t>
            </w:r>
          </w:p>
        </w:tc>
      </w:tr>
      <w:tr w:rsidR="00EA496D" w:rsidRPr="00F56AD6" w14:paraId="7F234042" w14:textId="77777777" w:rsidTr="00EA496D">
        <w:tc>
          <w:tcPr>
            <w:tcW w:w="846" w:type="dxa"/>
            <w:tcMar>
              <w:top w:w="60" w:type="dxa"/>
              <w:left w:w="100" w:type="dxa"/>
              <w:bottom w:w="60" w:type="dxa"/>
              <w:right w:w="100" w:type="dxa"/>
            </w:tcMar>
          </w:tcPr>
          <w:p w14:paraId="1F901C7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301</w:t>
            </w:r>
          </w:p>
        </w:tc>
        <w:tc>
          <w:tcPr>
            <w:tcW w:w="2094" w:type="dxa"/>
            <w:tcMar>
              <w:top w:w="60" w:type="dxa"/>
              <w:left w:w="100" w:type="dxa"/>
              <w:bottom w:w="60" w:type="dxa"/>
              <w:right w:w="100" w:type="dxa"/>
            </w:tcMar>
          </w:tcPr>
          <w:p w14:paraId="76A173D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Machover et al. 2022</w:t>
            </w:r>
          </w:p>
        </w:tc>
        <w:tc>
          <w:tcPr>
            <w:tcW w:w="4923" w:type="dxa"/>
            <w:tcMar>
              <w:top w:w="60" w:type="dxa"/>
              <w:left w:w="100" w:type="dxa"/>
              <w:bottom w:w="60" w:type="dxa"/>
              <w:right w:w="100" w:type="dxa"/>
            </w:tcMar>
          </w:tcPr>
          <w:p w14:paraId="2AE62B8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Pharmacologic modulation of 5-fluorouracil by folinic acid and pyridoxine for treatment of patients with advanced breast carcinoma</w:t>
            </w:r>
          </w:p>
        </w:tc>
        <w:tc>
          <w:tcPr>
            <w:tcW w:w="6537" w:type="dxa"/>
            <w:tcMar>
              <w:top w:w="60" w:type="dxa"/>
              <w:left w:w="100" w:type="dxa"/>
              <w:bottom w:w="60" w:type="dxa"/>
              <w:right w:w="100" w:type="dxa"/>
            </w:tcMar>
          </w:tcPr>
          <w:p w14:paraId="5B203F2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high dose B6 can increase anti - tumor properties.</w:t>
            </w:r>
          </w:p>
        </w:tc>
      </w:tr>
      <w:tr w:rsidR="00EA496D" w:rsidRPr="00F56AD6" w14:paraId="239ED8B1" w14:textId="77777777" w:rsidTr="00EA496D">
        <w:tc>
          <w:tcPr>
            <w:tcW w:w="846" w:type="dxa"/>
            <w:tcMar>
              <w:top w:w="60" w:type="dxa"/>
              <w:left w:w="100" w:type="dxa"/>
              <w:bottom w:w="60" w:type="dxa"/>
              <w:right w:w="100" w:type="dxa"/>
            </w:tcMar>
          </w:tcPr>
          <w:p w14:paraId="066531A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302</w:t>
            </w:r>
          </w:p>
        </w:tc>
        <w:tc>
          <w:tcPr>
            <w:tcW w:w="2094" w:type="dxa"/>
            <w:tcMar>
              <w:top w:w="60" w:type="dxa"/>
              <w:left w:w="100" w:type="dxa"/>
              <w:bottom w:w="60" w:type="dxa"/>
              <w:right w:w="100" w:type="dxa"/>
            </w:tcMar>
          </w:tcPr>
          <w:p w14:paraId="732F332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Madhubalaji et al. 2022</w:t>
            </w:r>
          </w:p>
        </w:tc>
        <w:tc>
          <w:tcPr>
            <w:tcW w:w="4923" w:type="dxa"/>
            <w:tcMar>
              <w:top w:w="60" w:type="dxa"/>
              <w:left w:w="100" w:type="dxa"/>
              <w:bottom w:w="60" w:type="dxa"/>
              <w:right w:w="100" w:type="dxa"/>
            </w:tcMar>
          </w:tcPr>
          <w:p w14:paraId="74CB3F2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Unraveling of Chlorella-associated bacterial load, diversity, and their imputed functions at high- and low-yield conditions through metagenome sequencing</w:t>
            </w:r>
          </w:p>
        </w:tc>
        <w:tc>
          <w:tcPr>
            <w:tcW w:w="6537" w:type="dxa"/>
            <w:tcMar>
              <w:top w:w="60" w:type="dxa"/>
              <w:left w:w="100" w:type="dxa"/>
              <w:bottom w:w="60" w:type="dxa"/>
              <w:right w:w="100" w:type="dxa"/>
            </w:tcMar>
          </w:tcPr>
          <w:p w14:paraId="3443AF0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setting - pyridoxine mentioned as a biosynthesis marker in bacteria.</w:t>
            </w:r>
          </w:p>
        </w:tc>
      </w:tr>
      <w:tr w:rsidR="00EA496D" w:rsidRPr="00F56AD6" w14:paraId="56EEBDB9" w14:textId="77777777" w:rsidTr="00EA496D">
        <w:tc>
          <w:tcPr>
            <w:tcW w:w="846" w:type="dxa"/>
            <w:tcMar>
              <w:top w:w="60" w:type="dxa"/>
              <w:left w:w="100" w:type="dxa"/>
              <w:bottom w:w="60" w:type="dxa"/>
              <w:right w:w="100" w:type="dxa"/>
            </w:tcMar>
          </w:tcPr>
          <w:p w14:paraId="1FEBD1C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303</w:t>
            </w:r>
          </w:p>
        </w:tc>
        <w:tc>
          <w:tcPr>
            <w:tcW w:w="2094" w:type="dxa"/>
            <w:tcMar>
              <w:top w:w="60" w:type="dxa"/>
              <w:left w:w="100" w:type="dxa"/>
              <w:bottom w:w="60" w:type="dxa"/>
              <w:right w:w="100" w:type="dxa"/>
            </w:tcMar>
          </w:tcPr>
          <w:p w14:paraId="34DB59B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Mahajan et al. 2025</w:t>
            </w:r>
          </w:p>
        </w:tc>
        <w:tc>
          <w:tcPr>
            <w:tcW w:w="4923" w:type="dxa"/>
            <w:tcMar>
              <w:top w:w="60" w:type="dxa"/>
              <w:left w:w="100" w:type="dxa"/>
              <w:bottom w:w="60" w:type="dxa"/>
              <w:right w:w="100" w:type="dxa"/>
            </w:tcMar>
          </w:tcPr>
          <w:p w14:paraId="5E0EAC6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Hypocupraemia-related drug-refractory seizures in Wilson disease</w:t>
            </w:r>
          </w:p>
        </w:tc>
        <w:tc>
          <w:tcPr>
            <w:tcW w:w="6537" w:type="dxa"/>
            <w:tcMar>
              <w:top w:w="60" w:type="dxa"/>
              <w:left w:w="100" w:type="dxa"/>
              <w:bottom w:w="60" w:type="dxa"/>
              <w:right w:w="100" w:type="dxa"/>
            </w:tcMar>
          </w:tcPr>
          <w:p w14:paraId="73F9F31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wilsons disease can cause B6 deficiency.</w:t>
            </w:r>
          </w:p>
        </w:tc>
      </w:tr>
      <w:tr w:rsidR="00EA496D" w:rsidRPr="00F56AD6" w14:paraId="5A6F0895" w14:textId="77777777" w:rsidTr="00EA496D">
        <w:tc>
          <w:tcPr>
            <w:tcW w:w="846" w:type="dxa"/>
            <w:tcMar>
              <w:top w:w="60" w:type="dxa"/>
              <w:left w:w="100" w:type="dxa"/>
              <w:bottom w:w="60" w:type="dxa"/>
              <w:right w:w="100" w:type="dxa"/>
            </w:tcMar>
          </w:tcPr>
          <w:p w14:paraId="1FF1477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304</w:t>
            </w:r>
          </w:p>
        </w:tc>
        <w:tc>
          <w:tcPr>
            <w:tcW w:w="2094" w:type="dxa"/>
            <w:tcMar>
              <w:top w:w="60" w:type="dxa"/>
              <w:left w:w="100" w:type="dxa"/>
              <w:bottom w:w="60" w:type="dxa"/>
              <w:right w:w="100" w:type="dxa"/>
            </w:tcMar>
          </w:tcPr>
          <w:p w14:paraId="064E566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Mahdavi et al. 2026</w:t>
            </w:r>
          </w:p>
        </w:tc>
        <w:tc>
          <w:tcPr>
            <w:tcW w:w="4923" w:type="dxa"/>
            <w:tcMar>
              <w:top w:w="60" w:type="dxa"/>
              <w:left w:w="100" w:type="dxa"/>
              <w:bottom w:w="60" w:type="dxa"/>
              <w:right w:w="100" w:type="dxa"/>
            </w:tcMar>
          </w:tcPr>
          <w:p w14:paraId="06546DA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Hepatoprotective effect of pyridoxal phosphate against lead poisoning by inhibiting Kupffer cell hyperplasia due to a decrease in oxidative stress associated with hepatic NF-kβ</w:t>
            </w:r>
          </w:p>
        </w:tc>
        <w:tc>
          <w:tcPr>
            <w:tcW w:w="6537" w:type="dxa"/>
            <w:tcMar>
              <w:top w:w="60" w:type="dxa"/>
              <w:left w:w="100" w:type="dxa"/>
              <w:bottom w:w="60" w:type="dxa"/>
              <w:right w:w="100" w:type="dxa"/>
            </w:tcMar>
          </w:tcPr>
          <w:p w14:paraId="700066A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and Wrong outcome (no adverse effect of B6) - PLP may help prevent Pb poisoning.</w:t>
            </w:r>
          </w:p>
        </w:tc>
      </w:tr>
      <w:tr w:rsidR="00EA496D" w:rsidRPr="00F56AD6" w14:paraId="79C2D9F2" w14:textId="77777777" w:rsidTr="00EA496D">
        <w:tc>
          <w:tcPr>
            <w:tcW w:w="846" w:type="dxa"/>
            <w:tcMar>
              <w:top w:w="60" w:type="dxa"/>
              <w:left w:w="100" w:type="dxa"/>
              <w:bottom w:w="60" w:type="dxa"/>
              <w:right w:w="100" w:type="dxa"/>
            </w:tcMar>
          </w:tcPr>
          <w:p w14:paraId="70A915F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305</w:t>
            </w:r>
          </w:p>
        </w:tc>
        <w:tc>
          <w:tcPr>
            <w:tcW w:w="2094" w:type="dxa"/>
            <w:tcMar>
              <w:top w:w="60" w:type="dxa"/>
              <w:left w:w="100" w:type="dxa"/>
              <w:bottom w:w="60" w:type="dxa"/>
              <w:right w:w="100" w:type="dxa"/>
            </w:tcMar>
          </w:tcPr>
          <w:p w14:paraId="21BC9CC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Mandal et al. 2023</w:t>
            </w:r>
          </w:p>
        </w:tc>
        <w:tc>
          <w:tcPr>
            <w:tcW w:w="4923" w:type="dxa"/>
            <w:tcMar>
              <w:top w:w="60" w:type="dxa"/>
              <w:left w:w="100" w:type="dxa"/>
              <w:bottom w:w="60" w:type="dxa"/>
              <w:right w:w="100" w:type="dxa"/>
            </w:tcMar>
          </w:tcPr>
          <w:p w14:paraId="5BD6E4B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Polypyridyl-based Co(III) complexes of vitamin B(6) Schiff base for photoactivated antibacterial therapy</w:t>
            </w:r>
          </w:p>
        </w:tc>
        <w:tc>
          <w:tcPr>
            <w:tcW w:w="6537" w:type="dxa"/>
            <w:tcMar>
              <w:top w:w="60" w:type="dxa"/>
              <w:left w:w="100" w:type="dxa"/>
              <w:bottom w:w="60" w:type="dxa"/>
              <w:right w:w="100" w:type="dxa"/>
            </w:tcMar>
          </w:tcPr>
          <w:p w14:paraId="5E12292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complexes in antibacterial therapy.</w:t>
            </w:r>
          </w:p>
        </w:tc>
      </w:tr>
      <w:tr w:rsidR="00EA496D" w:rsidRPr="00F56AD6" w14:paraId="4F80A89D" w14:textId="77777777" w:rsidTr="00EA496D">
        <w:tc>
          <w:tcPr>
            <w:tcW w:w="846" w:type="dxa"/>
            <w:tcMar>
              <w:top w:w="60" w:type="dxa"/>
              <w:left w:w="100" w:type="dxa"/>
              <w:bottom w:w="60" w:type="dxa"/>
              <w:right w:w="100" w:type="dxa"/>
            </w:tcMar>
          </w:tcPr>
          <w:p w14:paraId="43300C0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306</w:t>
            </w:r>
          </w:p>
        </w:tc>
        <w:tc>
          <w:tcPr>
            <w:tcW w:w="2094" w:type="dxa"/>
            <w:tcMar>
              <w:top w:w="60" w:type="dxa"/>
              <w:left w:w="100" w:type="dxa"/>
              <w:bottom w:w="60" w:type="dxa"/>
              <w:right w:w="100" w:type="dxa"/>
            </w:tcMar>
          </w:tcPr>
          <w:p w14:paraId="25495C3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Mangel et al. 2022</w:t>
            </w:r>
          </w:p>
        </w:tc>
        <w:tc>
          <w:tcPr>
            <w:tcW w:w="4923" w:type="dxa"/>
            <w:tcMar>
              <w:top w:w="60" w:type="dxa"/>
              <w:left w:w="100" w:type="dxa"/>
              <w:bottom w:w="60" w:type="dxa"/>
              <w:right w:w="100" w:type="dxa"/>
            </w:tcMar>
          </w:tcPr>
          <w:p w14:paraId="0A63089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Natural Variation in Vitamin B(1) and Vitamin B(6) Contents in Rice Germplasm</w:t>
            </w:r>
          </w:p>
        </w:tc>
        <w:tc>
          <w:tcPr>
            <w:tcW w:w="6537" w:type="dxa"/>
            <w:tcMar>
              <w:top w:w="60" w:type="dxa"/>
              <w:left w:w="100" w:type="dxa"/>
              <w:bottom w:w="60" w:type="dxa"/>
              <w:right w:w="100" w:type="dxa"/>
            </w:tcMar>
          </w:tcPr>
          <w:p w14:paraId="144C55B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in rice germplasm.</w:t>
            </w:r>
          </w:p>
        </w:tc>
      </w:tr>
      <w:tr w:rsidR="00EA496D" w:rsidRPr="00F56AD6" w14:paraId="210DA121" w14:textId="77777777" w:rsidTr="00EA496D">
        <w:tc>
          <w:tcPr>
            <w:tcW w:w="846" w:type="dxa"/>
            <w:tcMar>
              <w:top w:w="60" w:type="dxa"/>
              <w:left w:w="100" w:type="dxa"/>
              <w:bottom w:w="60" w:type="dxa"/>
              <w:right w:w="100" w:type="dxa"/>
            </w:tcMar>
          </w:tcPr>
          <w:p w14:paraId="15D1812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307</w:t>
            </w:r>
          </w:p>
        </w:tc>
        <w:tc>
          <w:tcPr>
            <w:tcW w:w="2094" w:type="dxa"/>
            <w:tcMar>
              <w:top w:w="60" w:type="dxa"/>
              <w:left w:w="100" w:type="dxa"/>
              <w:bottom w:w="60" w:type="dxa"/>
              <w:right w:w="100" w:type="dxa"/>
            </w:tcMar>
          </w:tcPr>
          <w:p w14:paraId="2154812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Manzoor et al. 2025</w:t>
            </w:r>
          </w:p>
        </w:tc>
        <w:tc>
          <w:tcPr>
            <w:tcW w:w="4923" w:type="dxa"/>
            <w:tcMar>
              <w:top w:w="60" w:type="dxa"/>
              <w:left w:w="100" w:type="dxa"/>
              <w:bottom w:w="60" w:type="dxa"/>
              <w:right w:w="100" w:type="dxa"/>
            </w:tcMar>
          </w:tcPr>
          <w:p w14:paraId="41EB495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Vitamin-B profiling and Vit-GWAS in buckwheat (Fagopyrum spp.): a first report</w:t>
            </w:r>
          </w:p>
        </w:tc>
        <w:tc>
          <w:tcPr>
            <w:tcW w:w="6537" w:type="dxa"/>
            <w:tcMar>
              <w:top w:w="60" w:type="dxa"/>
              <w:left w:w="100" w:type="dxa"/>
              <w:bottom w:w="60" w:type="dxa"/>
              <w:right w:w="100" w:type="dxa"/>
            </w:tcMar>
          </w:tcPr>
          <w:p w14:paraId="7A68C9A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measuring concentration of B6 in buckwheat.</w:t>
            </w:r>
          </w:p>
        </w:tc>
      </w:tr>
      <w:tr w:rsidR="00EA496D" w:rsidRPr="00F56AD6" w14:paraId="1E132B75" w14:textId="77777777" w:rsidTr="00EA496D">
        <w:tc>
          <w:tcPr>
            <w:tcW w:w="846" w:type="dxa"/>
            <w:tcMar>
              <w:top w:w="60" w:type="dxa"/>
              <w:left w:w="100" w:type="dxa"/>
              <w:bottom w:w="60" w:type="dxa"/>
              <w:right w:w="100" w:type="dxa"/>
            </w:tcMar>
          </w:tcPr>
          <w:p w14:paraId="22EB3A2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308</w:t>
            </w:r>
          </w:p>
        </w:tc>
        <w:tc>
          <w:tcPr>
            <w:tcW w:w="2094" w:type="dxa"/>
            <w:tcMar>
              <w:top w:w="60" w:type="dxa"/>
              <w:left w:w="100" w:type="dxa"/>
              <w:bottom w:w="60" w:type="dxa"/>
              <w:right w:w="100" w:type="dxa"/>
            </w:tcMar>
          </w:tcPr>
          <w:p w14:paraId="3522580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Marrón-Ponce et al. 2023</w:t>
            </w:r>
          </w:p>
        </w:tc>
        <w:tc>
          <w:tcPr>
            <w:tcW w:w="4923" w:type="dxa"/>
            <w:tcMar>
              <w:top w:w="60" w:type="dxa"/>
              <w:left w:w="100" w:type="dxa"/>
              <w:bottom w:w="60" w:type="dxa"/>
              <w:right w:w="100" w:type="dxa"/>
            </w:tcMar>
          </w:tcPr>
          <w:p w14:paraId="01982CC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Ultra-processed foods consumption reduces dietary diversity and micronutrient intake in the Mexican population</w:t>
            </w:r>
          </w:p>
        </w:tc>
        <w:tc>
          <w:tcPr>
            <w:tcW w:w="6537" w:type="dxa"/>
            <w:tcMar>
              <w:top w:w="60" w:type="dxa"/>
              <w:left w:w="100" w:type="dxa"/>
              <w:bottom w:w="60" w:type="dxa"/>
              <w:right w:w="100" w:type="dxa"/>
            </w:tcMar>
          </w:tcPr>
          <w:p w14:paraId="45F9E00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processed foods lacked in pyridoxine.</w:t>
            </w:r>
          </w:p>
        </w:tc>
      </w:tr>
      <w:tr w:rsidR="00EA496D" w:rsidRPr="00F56AD6" w14:paraId="6432EE77" w14:textId="77777777" w:rsidTr="00EA496D">
        <w:tc>
          <w:tcPr>
            <w:tcW w:w="846" w:type="dxa"/>
            <w:tcMar>
              <w:top w:w="60" w:type="dxa"/>
              <w:left w:w="100" w:type="dxa"/>
              <w:bottom w:w="60" w:type="dxa"/>
              <w:right w:w="100" w:type="dxa"/>
            </w:tcMar>
          </w:tcPr>
          <w:p w14:paraId="6076E31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309</w:t>
            </w:r>
          </w:p>
        </w:tc>
        <w:tc>
          <w:tcPr>
            <w:tcW w:w="2094" w:type="dxa"/>
            <w:tcMar>
              <w:top w:w="60" w:type="dxa"/>
              <w:left w:w="100" w:type="dxa"/>
              <w:bottom w:w="60" w:type="dxa"/>
              <w:right w:w="100" w:type="dxa"/>
            </w:tcMar>
          </w:tcPr>
          <w:p w14:paraId="4BF212E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Martedì et al. 2026</w:t>
            </w:r>
          </w:p>
        </w:tc>
        <w:tc>
          <w:tcPr>
            <w:tcW w:w="4923" w:type="dxa"/>
            <w:tcMar>
              <w:top w:w="60" w:type="dxa"/>
              <w:left w:w="100" w:type="dxa"/>
              <w:bottom w:w="60" w:type="dxa"/>
              <w:right w:w="100" w:type="dxa"/>
            </w:tcMar>
          </w:tcPr>
          <w:p w14:paraId="20CB772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De novo cysteine biosynthesis in Pseudomonas aeruginosa: Characterization of the two main cysteine synthase isoforms</w:t>
            </w:r>
          </w:p>
        </w:tc>
        <w:tc>
          <w:tcPr>
            <w:tcW w:w="6537" w:type="dxa"/>
            <w:tcMar>
              <w:top w:w="60" w:type="dxa"/>
              <w:left w:w="100" w:type="dxa"/>
              <w:bottom w:w="60" w:type="dxa"/>
              <w:right w:w="100" w:type="dxa"/>
            </w:tcMar>
          </w:tcPr>
          <w:p w14:paraId="38A6706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pyridoxal dependant enzyme in mention.</w:t>
            </w:r>
          </w:p>
        </w:tc>
      </w:tr>
      <w:tr w:rsidR="00EA496D" w:rsidRPr="00F56AD6" w14:paraId="02EF8C95" w14:textId="77777777" w:rsidTr="00EA496D">
        <w:tc>
          <w:tcPr>
            <w:tcW w:w="846" w:type="dxa"/>
            <w:tcMar>
              <w:top w:w="60" w:type="dxa"/>
              <w:left w:w="100" w:type="dxa"/>
              <w:bottom w:w="60" w:type="dxa"/>
              <w:right w:w="100" w:type="dxa"/>
            </w:tcMar>
          </w:tcPr>
          <w:p w14:paraId="10F33D4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310</w:t>
            </w:r>
          </w:p>
        </w:tc>
        <w:tc>
          <w:tcPr>
            <w:tcW w:w="2094" w:type="dxa"/>
            <w:tcMar>
              <w:top w:w="60" w:type="dxa"/>
              <w:left w:w="100" w:type="dxa"/>
              <w:bottom w:w="60" w:type="dxa"/>
              <w:right w:w="100" w:type="dxa"/>
            </w:tcMar>
          </w:tcPr>
          <w:p w14:paraId="5E826B7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Martínez-Galindo et al. 2026</w:t>
            </w:r>
          </w:p>
        </w:tc>
        <w:tc>
          <w:tcPr>
            <w:tcW w:w="4923" w:type="dxa"/>
            <w:tcMar>
              <w:top w:w="60" w:type="dxa"/>
              <w:left w:w="100" w:type="dxa"/>
              <w:bottom w:w="60" w:type="dxa"/>
              <w:right w:w="100" w:type="dxa"/>
            </w:tcMar>
          </w:tcPr>
          <w:p w14:paraId="4C608CB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Clinical Approaches and Emerging Therapeutic Horizons in Primary Hyperoxaluria</w:t>
            </w:r>
          </w:p>
        </w:tc>
        <w:tc>
          <w:tcPr>
            <w:tcW w:w="6537" w:type="dxa"/>
            <w:tcMar>
              <w:top w:w="60" w:type="dxa"/>
              <w:left w:w="100" w:type="dxa"/>
              <w:bottom w:w="60" w:type="dxa"/>
              <w:right w:w="100" w:type="dxa"/>
            </w:tcMar>
          </w:tcPr>
          <w:p w14:paraId="2F02367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pyridoxine mentioned as a therpeutic.</w:t>
            </w:r>
          </w:p>
        </w:tc>
      </w:tr>
      <w:tr w:rsidR="00EA496D" w:rsidRPr="00F56AD6" w14:paraId="36E41875" w14:textId="77777777" w:rsidTr="00EA496D">
        <w:tc>
          <w:tcPr>
            <w:tcW w:w="846" w:type="dxa"/>
            <w:tcMar>
              <w:top w:w="60" w:type="dxa"/>
              <w:left w:w="100" w:type="dxa"/>
              <w:bottom w:w="60" w:type="dxa"/>
              <w:right w:w="100" w:type="dxa"/>
            </w:tcMar>
          </w:tcPr>
          <w:p w14:paraId="3AF0E97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311</w:t>
            </w:r>
          </w:p>
        </w:tc>
        <w:tc>
          <w:tcPr>
            <w:tcW w:w="2094" w:type="dxa"/>
            <w:tcMar>
              <w:top w:w="60" w:type="dxa"/>
              <w:left w:w="100" w:type="dxa"/>
              <w:bottom w:w="60" w:type="dxa"/>
              <w:right w:w="100" w:type="dxa"/>
            </w:tcMar>
          </w:tcPr>
          <w:p w14:paraId="4738B8E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Martínez-Mendiola et al. 2024</w:t>
            </w:r>
          </w:p>
        </w:tc>
        <w:tc>
          <w:tcPr>
            <w:tcW w:w="4923" w:type="dxa"/>
            <w:tcMar>
              <w:top w:w="60" w:type="dxa"/>
              <w:left w:w="100" w:type="dxa"/>
              <w:bottom w:w="60" w:type="dxa"/>
              <w:right w:w="100" w:type="dxa"/>
            </w:tcMar>
          </w:tcPr>
          <w:p w14:paraId="661A0B0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Effect of pyridoxine or cobalamin supplementation on apoptosis and cell cycle progression in a human glioblastoma cell line</w:t>
            </w:r>
          </w:p>
        </w:tc>
        <w:tc>
          <w:tcPr>
            <w:tcW w:w="6537" w:type="dxa"/>
            <w:tcMar>
              <w:top w:w="60" w:type="dxa"/>
              <w:left w:w="100" w:type="dxa"/>
              <w:bottom w:w="60" w:type="dxa"/>
              <w:right w:w="100" w:type="dxa"/>
            </w:tcMar>
          </w:tcPr>
          <w:p w14:paraId="1026ADB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shows benefits of vitamin B6 not toxicity.</w:t>
            </w:r>
          </w:p>
        </w:tc>
      </w:tr>
      <w:tr w:rsidR="00EA496D" w:rsidRPr="00F56AD6" w14:paraId="6C8F2BD5" w14:textId="77777777" w:rsidTr="00EA496D">
        <w:tc>
          <w:tcPr>
            <w:tcW w:w="846" w:type="dxa"/>
            <w:tcMar>
              <w:top w:w="60" w:type="dxa"/>
              <w:left w:w="100" w:type="dxa"/>
              <w:bottom w:w="60" w:type="dxa"/>
              <w:right w:w="100" w:type="dxa"/>
            </w:tcMar>
          </w:tcPr>
          <w:p w14:paraId="678B107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312</w:t>
            </w:r>
          </w:p>
        </w:tc>
        <w:tc>
          <w:tcPr>
            <w:tcW w:w="2094" w:type="dxa"/>
            <w:tcMar>
              <w:top w:w="60" w:type="dxa"/>
              <w:left w:w="100" w:type="dxa"/>
              <w:bottom w:w="60" w:type="dxa"/>
              <w:right w:w="100" w:type="dxa"/>
            </w:tcMar>
          </w:tcPr>
          <w:p w14:paraId="5D0304B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Maruyama et al. 2022</w:t>
            </w:r>
          </w:p>
        </w:tc>
        <w:tc>
          <w:tcPr>
            <w:tcW w:w="4923" w:type="dxa"/>
            <w:tcMar>
              <w:top w:w="60" w:type="dxa"/>
              <w:left w:w="100" w:type="dxa"/>
              <w:bottom w:w="60" w:type="dxa"/>
              <w:right w:w="100" w:type="dxa"/>
            </w:tcMar>
          </w:tcPr>
          <w:p w14:paraId="57D89A6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Phase I studies of the safety, tolerability, pharmacokinetics, and pharmacodynamics of DS-1211, a tissue-nonspecific alkaline phosphatase inhibitor</w:t>
            </w:r>
          </w:p>
        </w:tc>
        <w:tc>
          <w:tcPr>
            <w:tcW w:w="6537" w:type="dxa"/>
            <w:tcMar>
              <w:top w:w="60" w:type="dxa"/>
              <w:left w:w="100" w:type="dxa"/>
              <w:bottom w:w="60" w:type="dxa"/>
              <w:right w:w="100" w:type="dxa"/>
            </w:tcMar>
          </w:tcPr>
          <w:p w14:paraId="2BA8248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pyridoxal as pharmakokinetic marker.</w:t>
            </w:r>
          </w:p>
        </w:tc>
      </w:tr>
      <w:tr w:rsidR="00EA496D" w:rsidRPr="00F56AD6" w14:paraId="59B9A34B" w14:textId="77777777" w:rsidTr="00EA496D">
        <w:tc>
          <w:tcPr>
            <w:tcW w:w="846" w:type="dxa"/>
            <w:tcMar>
              <w:top w:w="60" w:type="dxa"/>
              <w:left w:w="100" w:type="dxa"/>
              <w:bottom w:w="60" w:type="dxa"/>
              <w:right w:w="100" w:type="dxa"/>
            </w:tcMar>
          </w:tcPr>
          <w:p w14:paraId="4B9178D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313</w:t>
            </w:r>
          </w:p>
        </w:tc>
        <w:tc>
          <w:tcPr>
            <w:tcW w:w="2094" w:type="dxa"/>
            <w:tcMar>
              <w:top w:w="60" w:type="dxa"/>
              <w:left w:w="100" w:type="dxa"/>
              <w:bottom w:w="60" w:type="dxa"/>
              <w:right w:w="100" w:type="dxa"/>
            </w:tcMar>
          </w:tcPr>
          <w:p w14:paraId="26D5069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Mascolo et al. 2022</w:t>
            </w:r>
          </w:p>
        </w:tc>
        <w:tc>
          <w:tcPr>
            <w:tcW w:w="4923" w:type="dxa"/>
            <w:tcMar>
              <w:top w:w="60" w:type="dxa"/>
              <w:left w:w="100" w:type="dxa"/>
              <w:bottom w:w="60" w:type="dxa"/>
              <w:right w:w="100" w:type="dxa"/>
            </w:tcMar>
          </w:tcPr>
          <w:p w14:paraId="556B148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rescues insulin resistance and glucose-induced DNA damage caused by reduced activity of Drosophila PI3K</w:t>
            </w:r>
          </w:p>
        </w:tc>
        <w:tc>
          <w:tcPr>
            <w:tcW w:w="6537" w:type="dxa"/>
            <w:tcMar>
              <w:top w:w="60" w:type="dxa"/>
              <w:left w:w="100" w:type="dxa"/>
              <w:bottom w:w="60" w:type="dxa"/>
              <w:right w:w="100" w:type="dxa"/>
            </w:tcMar>
          </w:tcPr>
          <w:p w14:paraId="07FEEC3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as an effective natural remedy.</w:t>
            </w:r>
          </w:p>
        </w:tc>
      </w:tr>
      <w:tr w:rsidR="00EA496D" w:rsidRPr="00F56AD6" w14:paraId="0DDBF65B" w14:textId="77777777" w:rsidTr="00EA496D">
        <w:tc>
          <w:tcPr>
            <w:tcW w:w="846" w:type="dxa"/>
            <w:tcMar>
              <w:top w:w="60" w:type="dxa"/>
              <w:left w:w="100" w:type="dxa"/>
              <w:bottom w:w="60" w:type="dxa"/>
              <w:right w:w="100" w:type="dxa"/>
            </w:tcMar>
          </w:tcPr>
          <w:p w14:paraId="41BA6AD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314</w:t>
            </w:r>
          </w:p>
        </w:tc>
        <w:tc>
          <w:tcPr>
            <w:tcW w:w="2094" w:type="dxa"/>
            <w:tcMar>
              <w:top w:w="60" w:type="dxa"/>
              <w:left w:w="100" w:type="dxa"/>
              <w:bottom w:w="60" w:type="dxa"/>
              <w:right w:w="100" w:type="dxa"/>
            </w:tcMar>
          </w:tcPr>
          <w:p w14:paraId="27A2420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Massimino et al. 2023</w:t>
            </w:r>
          </w:p>
        </w:tc>
        <w:tc>
          <w:tcPr>
            <w:tcW w:w="4923" w:type="dxa"/>
            <w:tcMar>
              <w:top w:w="60" w:type="dxa"/>
              <w:left w:w="100" w:type="dxa"/>
              <w:bottom w:w="60" w:type="dxa"/>
              <w:right w:w="100" w:type="dxa"/>
            </w:tcMar>
          </w:tcPr>
          <w:p w14:paraId="16CAF02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 xml:space="preserve">Dietary micronutrient adequacies and adherence to the Mediterranean diet in a population of older </w:t>
            </w:r>
            <w:r w:rsidRPr="00F56AD6">
              <w:rPr>
                <w:rFonts w:asciiTheme="minorHAnsi" w:hAnsiTheme="minorHAnsi" w:cstheme="minorHAnsi"/>
                <w:sz w:val="20"/>
              </w:rPr>
              <w:lastRenderedPageBreak/>
              <w:t>adults with type 2 diabetes: A cross-sectional study</w:t>
            </w:r>
          </w:p>
        </w:tc>
        <w:tc>
          <w:tcPr>
            <w:tcW w:w="6537" w:type="dxa"/>
            <w:tcMar>
              <w:top w:w="60" w:type="dxa"/>
              <w:left w:w="100" w:type="dxa"/>
              <w:bottom w:w="60" w:type="dxa"/>
              <w:right w:w="100" w:type="dxa"/>
            </w:tcMar>
          </w:tcPr>
          <w:p w14:paraId="026C3FE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 xml:space="preserve">Excluded due to wrong exposure: the study did not assess excess vitamin B6 intake; wrong outcome (no relevant adverse health </w:t>
            </w:r>
            <w:r w:rsidRPr="00F56AD6">
              <w:rPr>
                <w:rFonts w:asciiTheme="minorHAnsi" w:hAnsiTheme="minorHAnsi" w:cstheme="minorHAnsi"/>
                <w:sz w:val="20"/>
              </w:rPr>
              <w:lastRenderedPageBreak/>
              <w:t>effect reported) - patients with T2D did not adhere to diet and therefore were deficient in B6.</w:t>
            </w:r>
          </w:p>
        </w:tc>
      </w:tr>
      <w:tr w:rsidR="00EA496D" w:rsidRPr="00F56AD6" w14:paraId="741C6A39" w14:textId="77777777" w:rsidTr="00EA496D">
        <w:tc>
          <w:tcPr>
            <w:tcW w:w="846" w:type="dxa"/>
            <w:tcMar>
              <w:top w:w="60" w:type="dxa"/>
              <w:left w:w="100" w:type="dxa"/>
              <w:bottom w:w="60" w:type="dxa"/>
              <w:right w:w="100" w:type="dxa"/>
            </w:tcMar>
          </w:tcPr>
          <w:p w14:paraId="4A86C37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315</w:t>
            </w:r>
          </w:p>
        </w:tc>
        <w:tc>
          <w:tcPr>
            <w:tcW w:w="2094" w:type="dxa"/>
            <w:tcMar>
              <w:top w:w="60" w:type="dxa"/>
              <w:left w:w="100" w:type="dxa"/>
              <w:bottom w:w="60" w:type="dxa"/>
              <w:right w:w="100" w:type="dxa"/>
            </w:tcMar>
          </w:tcPr>
          <w:p w14:paraId="2F04DAB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Mastrangelo et al. 2023</w:t>
            </w:r>
          </w:p>
        </w:tc>
        <w:tc>
          <w:tcPr>
            <w:tcW w:w="4923" w:type="dxa"/>
            <w:tcMar>
              <w:top w:w="60" w:type="dxa"/>
              <w:left w:w="100" w:type="dxa"/>
              <w:bottom w:w="60" w:type="dxa"/>
              <w:right w:w="100" w:type="dxa"/>
            </w:tcMar>
          </w:tcPr>
          <w:p w14:paraId="684739F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Epilepsy Phenotypes of Vitamin B6-Dependent Diseases: An Updated Systematic Review</w:t>
            </w:r>
          </w:p>
        </w:tc>
        <w:tc>
          <w:tcPr>
            <w:tcW w:w="6537" w:type="dxa"/>
            <w:tcMar>
              <w:top w:w="60" w:type="dxa"/>
              <w:left w:w="100" w:type="dxa"/>
              <w:bottom w:w="60" w:type="dxa"/>
              <w:right w:w="100" w:type="dxa"/>
            </w:tcMar>
          </w:tcPr>
          <w:p w14:paraId="0F881F1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therapeutic effect of B6 on B6 - dependant diseases.</w:t>
            </w:r>
          </w:p>
        </w:tc>
      </w:tr>
      <w:tr w:rsidR="00EA496D" w:rsidRPr="00F56AD6" w14:paraId="4FB42653" w14:textId="77777777" w:rsidTr="00EA496D">
        <w:tc>
          <w:tcPr>
            <w:tcW w:w="846" w:type="dxa"/>
            <w:tcMar>
              <w:top w:w="60" w:type="dxa"/>
              <w:left w:w="100" w:type="dxa"/>
              <w:bottom w:w="60" w:type="dxa"/>
              <w:right w:w="100" w:type="dxa"/>
            </w:tcMar>
          </w:tcPr>
          <w:p w14:paraId="0123FC8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316</w:t>
            </w:r>
          </w:p>
        </w:tc>
        <w:tc>
          <w:tcPr>
            <w:tcW w:w="2094" w:type="dxa"/>
            <w:tcMar>
              <w:top w:w="60" w:type="dxa"/>
              <w:left w:w="100" w:type="dxa"/>
              <w:bottom w:w="60" w:type="dxa"/>
              <w:right w:w="100" w:type="dxa"/>
            </w:tcMar>
          </w:tcPr>
          <w:p w14:paraId="5C9A94A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Matlapeng et al. 2026</w:t>
            </w:r>
          </w:p>
        </w:tc>
        <w:tc>
          <w:tcPr>
            <w:tcW w:w="4923" w:type="dxa"/>
            <w:tcMar>
              <w:top w:w="60" w:type="dxa"/>
              <w:left w:w="100" w:type="dxa"/>
              <w:bottom w:w="60" w:type="dxa"/>
              <w:right w:w="100" w:type="dxa"/>
            </w:tcMar>
          </w:tcPr>
          <w:p w14:paraId="31451EC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Adjunctive Multicomponent Crystals of Two Anti-Tubercular Drugs with Pyridoxine</w:t>
            </w:r>
          </w:p>
        </w:tc>
        <w:tc>
          <w:tcPr>
            <w:tcW w:w="6537" w:type="dxa"/>
            <w:tcMar>
              <w:top w:w="60" w:type="dxa"/>
              <w:left w:w="100" w:type="dxa"/>
              <w:bottom w:w="60" w:type="dxa"/>
              <w:right w:w="100" w:type="dxa"/>
            </w:tcMar>
          </w:tcPr>
          <w:p w14:paraId="43B9F33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discusses B6 supplementation to prevent deficiency from anti - tubercular drugs.</w:t>
            </w:r>
          </w:p>
        </w:tc>
      </w:tr>
      <w:tr w:rsidR="00EA496D" w:rsidRPr="00F56AD6" w14:paraId="2484E5F7" w14:textId="77777777" w:rsidTr="00EA496D">
        <w:tc>
          <w:tcPr>
            <w:tcW w:w="846" w:type="dxa"/>
            <w:tcMar>
              <w:top w:w="60" w:type="dxa"/>
              <w:left w:w="100" w:type="dxa"/>
              <w:bottom w:w="60" w:type="dxa"/>
              <w:right w:w="100" w:type="dxa"/>
            </w:tcMar>
          </w:tcPr>
          <w:p w14:paraId="4D2F117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317</w:t>
            </w:r>
          </w:p>
        </w:tc>
        <w:tc>
          <w:tcPr>
            <w:tcW w:w="2094" w:type="dxa"/>
            <w:tcMar>
              <w:top w:w="60" w:type="dxa"/>
              <w:left w:w="100" w:type="dxa"/>
              <w:bottom w:w="60" w:type="dxa"/>
              <w:right w:w="100" w:type="dxa"/>
            </w:tcMar>
          </w:tcPr>
          <w:p w14:paraId="21BE283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Mato-López et al. 2022</w:t>
            </w:r>
          </w:p>
        </w:tc>
        <w:tc>
          <w:tcPr>
            <w:tcW w:w="4923" w:type="dxa"/>
            <w:tcMar>
              <w:top w:w="60" w:type="dxa"/>
              <w:left w:w="100" w:type="dxa"/>
              <w:bottom w:w="60" w:type="dxa"/>
              <w:right w:w="100" w:type="dxa"/>
            </w:tcMar>
          </w:tcPr>
          <w:p w14:paraId="1718ECD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Relationship between structure and cytotoxicity of vanadium and molybdenum complexes with pyridoxal derived ligands</w:t>
            </w:r>
          </w:p>
        </w:tc>
        <w:tc>
          <w:tcPr>
            <w:tcW w:w="6537" w:type="dxa"/>
            <w:tcMar>
              <w:top w:w="60" w:type="dxa"/>
              <w:left w:w="100" w:type="dxa"/>
              <w:bottom w:w="60" w:type="dxa"/>
              <w:right w:w="100" w:type="dxa"/>
            </w:tcMar>
          </w:tcPr>
          <w:p w14:paraId="3241E1E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complexes derived from pyridoxal.</w:t>
            </w:r>
          </w:p>
        </w:tc>
      </w:tr>
      <w:tr w:rsidR="00EA496D" w:rsidRPr="00F56AD6" w14:paraId="39135E57" w14:textId="77777777" w:rsidTr="00EA496D">
        <w:tc>
          <w:tcPr>
            <w:tcW w:w="846" w:type="dxa"/>
            <w:tcMar>
              <w:top w:w="60" w:type="dxa"/>
              <w:left w:w="100" w:type="dxa"/>
              <w:bottom w:w="60" w:type="dxa"/>
              <w:right w:w="100" w:type="dxa"/>
            </w:tcMar>
          </w:tcPr>
          <w:p w14:paraId="1976F64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318</w:t>
            </w:r>
          </w:p>
        </w:tc>
        <w:tc>
          <w:tcPr>
            <w:tcW w:w="2094" w:type="dxa"/>
            <w:tcMar>
              <w:top w:w="60" w:type="dxa"/>
              <w:left w:w="100" w:type="dxa"/>
              <w:bottom w:w="60" w:type="dxa"/>
              <w:right w:w="100" w:type="dxa"/>
            </w:tcMar>
          </w:tcPr>
          <w:p w14:paraId="03D3729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Matsuo et al. 2024</w:t>
            </w:r>
          </w:p>
        </w:tc>
        <w:tc>
          <w:tcPr>
            <w:tcW w:w="4923" w:type="dxa"/>
            <w:tcMar>
              <w:top w:w="60" w:type="dxa"/>
              <w:left w:w="100" w:type="dxa"/>
              <w:bottom w:w="60" w:type="dxa"/>
              <w:right w:w="100" w:type="dxa"/>
            </w:tcMar>
          </w:tcPr>
          <w:p w14:paraId="61E0C2E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Identification of YigL as a PLP/PNP phosphatase in Escherichia coli</w:t>
            </w:r>
          </w:p>
        </w:tc>
        <w:tc>
          <w:tcPr>
            <w:tcW w:w="6537" w:type="dxa"/>
            <w:tcMar>
              <w:top w:w="60" w:type="dxa"/>
              <w:left w:w="100" w:type="dxa"/>
              <w:bottom w:w="60" w:type="dxa"/>
              <w:right w:w="100" w:type="dxa"/>
            </w:tcMar>
          </w:tcPr>
          <w:p w14:paraId="06A312C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population: in vitro cell/ bacteria.</w:t>
            </w:r>
          </w:p>
        </w:tc>
      </w:tr>
      <w:tr w:rsidR="00EA496D" w:rsidRPr="00F56AD6" w14:paraId="7B7E57EE" w14:textId="77777777" w:rsidTr="00EA496D">
        <w:tc>
          <w:tcPr>
            <w:tcW w:w="846" w:type="dxa"/>
            <w:tcMar>
              <w:top w:w="60" w:type="dxa"/>
              <w:left w:w="100" w:type="dxa"/>
              <w:bottom w:w="60" w:type="dxa"/>
              <w:right w:w="100" w:type="dxa"/>
            </w:tcMar>
          </w:tcPr>
          <w:p w14:paraId="3716FC7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319</w:t>
            </w:r>
          </w:p>
        </w:tc>
        <w:tc>
          <w:tcPr>
            <w:tcW w:w="2094" w:type="dxa"/>
            <w:tcMar>
              <w:top w:w="60" w:type="dxa"/>
              <w:left w:w="100" w:type="dxa"/>
              <w:bottom w:w="60" w:type="dxa"/>
              <w:right w:w="100" w:type="dxa"/>
            </w:tcMar>
          </w:tcPr>
          <w:p w14:paraId="07E0E27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Matta et al. 2024</w:t>
            </w:r>
          </w:p>
        </w:tc>
        <w:tc>
          <w:tcPr>
            <w:tcW w:w="4923" w:type="dxa"/>
            <w:tcMar>
              <w:top w:w="60" w:type="dxa"/>
              <w:left w:w="100" w:type="dxa"/>
              <w:bottom w:w="60" w:type="dxa"/>
              <w:right w:w="100" w:type="dxa"/>
            </w:tcMar>
          </w:tcPr>
          <w:p w14:paraId="595C924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GABA synthesizing lactic acid bacteria and genomic analysis of Levilactobacillus brevis LAB6</w:t>
            </w:r>
          </w:p>
        </w:tc>
        <w:tc>
          <w:tcPr>
            <w:tcW w:w="6537" w:type="dxa"/>
            <w:tcMar>
              <w:top w:w="60" w:type="dxa"/>
              <w:left w:w="100" w:type="dxa"/>
              <w:bottom w:w="60" w:type="dxa"/>
              <w:right w:w="100" w:type="dxa"/>
            </w:tcMar>
          </w:tcPr>
          <w:p w14:paraId="4F6547B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pLP was measured in the study.</w:t>
            </w:r>
          </w:p>
        </w:tc>
      </w:tr>
      <w:tr w:rsidR="00EA496D" w:rsidRPr="00F56AD6" w14:paraId="6922C34B" w14:textId="77777777" w:rsidTr="00EA496D">
        <w:tc>
          <w:tcPr>
            <w:tcW w:w="846" w:type="dxa"/>
            <w:tcMar>
              <w:top w:w="60" w:type="dxa"/>
              <w:left w:w="100" w:type="dxa"/>
              <w:bottom w:w="60" w:type="dxa"/>
              <w:right w:w="100" w:type="dxa"/>
            </w:tcMar>
          </w:tcPr>
          <w:p w14:paraId="390034B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320</w:t>
            </w:r>
          </w:p>
        </w:tc>
        <w:tc>
          <w:tcPr>
            <w:tcW w:w="2094" w:type="dxa"/>
            <w:tcMar>
              <w:top w:w="60" w:type="dxa"/>
              <w:left w:w="100" w:type="dxa"/>
              <w:bottom w:w="60" w:type="dxa"/>
              <w:right w:w="100" w:type="dxa"/>
            </w:tcMar>
          </w:tcPr>
          <w:p w14:paraId="57F3B9B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Mbala et al. 2023</w:t>
            </w:r>
          </w:p>
        </w:tc>
        <w:tc>
          <w:tcPr>
            <w:tcW w:w="4923" w:type="dxa"/>
            <w:tcMar>
              <w:top w:w="60" w:type="dxa"/>
              <w:left w:w="100" w:type="dxa"/>
              <w:bottom w:w="60" w:type="dxa"/>
              <w:right w:w="100" w:type="dxa"/>
            </w:tcMar>
          </w:tcPr>
          <w:p w14:paraId="3C2925E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Evaluation of vitamin B(6) supplementation in Wilson's disease patients treated with D-penicillamine</w:t>
            </w:r>
          </w:p>
        </w:tc>
        <w:tc>
          <w:tcPr>
            <w:tcW w:w="6537" w:type="dxa"/>
            <w:tcMar>
              <w:top w:w="60" w:type="dxa"/>
              <w:left w:w="100" w:type="dxa"/>
              <w:bottom w:w="60" w:type="dxa"/>
              <w:right w:w="100" w:type="dxa"/>
            </w:tcMar>
          </w:tcPr>
          <w:p w14:paraId="11A103F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may not be needed for WD patients however adverse effects not mentioned.</w:t>
            </w:r>
          </w:p>
        </w:tc>
      </w:tr>
      <w:tr w:rsidR="00EA496D" w:rsidRPr="00F56AD6" w14:paraId="34BDAB0A" w14:textId="77777777" w:rsidTr="00EA496D">
        <w:tc>
          <w:tcPr>
            <w:tcW w:w="846" w:type="dxa"/>
            <w:tcMar>
              <w:top w:w="60" w:type="dxa"/>
              <w:left w:w="100" w:type="dxa"/>
              <w:bottom w:w="60" w:type="dxa"/>
              <w:right w:w="100" w:type="dxa"/>
            </w:tcMar>
          </w:tcPr>
          <w:p w14:paraId="75AB11E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321</w:t>
            </w:r>
          </w:p>
        </w:tc>
        <w:tc>
          <w:tcPr>
            <w:tcW w:w="2094" w:type="dxa"/>
            <w:tcMar>
              <w:top w:w="60" w:type="dxa"/>
              <w:left w:w="100" w:type="dxa"/>
              <w:bottom w:w="60" w:type="dxa"/>
              <w:right w:w="100" w:type="dxa"/>
            </w:tcMar>
          </w:tcPr>
          <w:p w14:paraId="3EDA95D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Meng et al. 2026</w:t>
            </w:r>
          </w:p>
        </w:tc>
        <w:tc>
          <w:tcPr>
            <w:tcW w:w="4923" w:type="dxa"/>
            <w:tcMar>
              <w:top w:w="60" w:type="dxa"/>
              <w:left w:w="100" w:type="dxa"/>
              <w:bottom w:w="60" w:type="dxa"/>
              <w:right w:w="100" w:type="dxa"/>
            </w:tcMar>
          </w:tcPr>
          <w:p w14:paraId="62B371E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Jinlida ameliorates diabetic kidney disease via gut microbiota-dependent production of pyridoxamine targeting renal AGEs/RAGE and TGF-β pathways</w:t>
            </w:r>
          </w:p>
        </w:tc>
        <w:tc>
          <w:tcPr>
            <w:tcW w:w="6537" w:type="dxa"/>
            <w:tcMar>
              <w:top w:w="60" w:type="dxa"/>
              <w:left w:w="100" w:type="dxa"/>
              <w:bottom w:w="60" w:type="dxa"/>
              <w:right w:w="100" w:type="dxa"/>
            </w:tcMar>
          </w:tcPr>
          <w:p w14:paraId="1924D2F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 xml:space="preserve">Excluded due to wrong outcome: no relevant adverse health effect for vitamin B6 toxicity was reported; /exposure (no excessB6 and </w:t>
            </w:r>
            <w:r w:rsidRPr="00F56AD6">
              <w:rPr>
                <w:rFonts w:asciiTheme="minorHAnsi" w:hAnsiTheme="minorHAnsi" w:cstheme="minorHAnsi"/>
                <w:sz w:val="20"/>
              </w:rPr>
              <w:lastRenderedPageBreak/>
              <w:t>no adverse health effects) - B6 had enhanced renoprotective effects.</w:t>
            </w:r>
          </w:p>
        </w:tc>
      </w:tr>
      <w:tr w:rsidR="00EA496D" w:rsidRPr="00F56AD6" w14:paraId="3411DAB5" w14:textId="77777777" w:rsidTr="00EA496D">
        <w:tc>
          <w:tcPr>
            <w:tcW w:w="846" w:type="dxa"/>
            <w:tcMar>
              <w:top w:w="60" w:type="dxa"/>
              <w:left w:w="100" w:type="dxa"/>
              <w:bottom w:w="60" w:type="dxa"/>
              <w:right w:w="100" w:type="dxa"/>
            </w:tcMar>
          </w:tcPr>
          <w:p w14:paraId="6B5774A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322</w:t>
            </w:r>
          </w:p>
        </w:tc>
        <w:tc>
          <w:tcPr>
            <w:tcW w:w="2094" w:type="dxa"/>
            <w:tcMar>
              <w:top w:w="60" w:type="dxa"/>
              <w:left w:w="100" w:type="dxa"/>
              <w:bottom w:w="60" w:type="dxa"/>
              <w:right w:w="100" w:type="dxa"/>
            </w:tcMar>
          </w:tcPr>
          <w:p w14:paraId="1522F23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Menichini et al. 2022</w:t>
            </w:r>
          </w:p>
        </w:tc>
        <w:tc>
          <w:tcPr>
            <w:tcW w:w="4923" w:type="dxa"/>
            <w:tcMar>
              <w:top w:w="60" w:type="dxa"/>
              <w:left w:w="100" w:type="dxa"/>
              <w:bottom w:w="60" w:type="dxa"/>
              <w:right w:w="100" w:type="dxa"/>
            </w:tcMar>
          </w:tcPr>
          <w:p w14:paraId="78B3608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Oral supplementation of α-lipoic acid (ALA), magnesium, vitamin B6 and vitamin D stabilizes cervical changes in women presenting risk factors for preterm birth</w:t>
            </w:r>
          </w:p>
        </w:tc>
        <w:tc>
          <w:tcPr>
            <w:tcW w:w="6537" w:type="dxa"/>
            <w:tcMar>
              <w:top w:w="60" w:type="dxa"/>
              <w:left w:w="100" w:type="dxa"/>
              <w:bottom w:w="60" w:type="dxa"/>
              <w:right w:w="100" w:type="dxa"/>
            </w:tcMar>
          </w:tcPr>
          <w:p w14:paraId="148B037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counteracted risk factors for preterm birth.</w:t>
            </w:r>
          </w:p>
        </w:tc>
      </w:tr>
      <w:tr w:rsidR="00EA496D" w:rsidRPr="00F56AD6" w14:paraId="37617640" w14:textId="77777777" w:rsidTr="00EA496D">
        <w:tc>
          <w:tcPr>
            <w:tcW w:w="846" w:type="dxa"/>
            <w:tcMar>
              <w:top w:w="60" w:type="dxa"/>
              <w:left w:w="100" w:type="dxa"/>
              <w:bottom w:w="60" w:type="dxa"/>
              <w:right w:w="100" w:type="dxa"/>
            </w:tcMar>
          </w:tcPr>
          <w:p w14:paraId="2C0014B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323</w:t>
            </w:r>
          </w:p>
        </w:tc>
        <w:tc>
          <w:tcPr>
            <w:tcW w:w="2094" w:type="dxa"/>
            <w:tcMar>
              <w:top w:w="60" w:type="dxa"/>
              <w:left w:w="100" w:type="dxa"/>
              <w:bottom w:w="60" w:type="dxa"/>
              <w:right w:w="100" w:type="dxa"/>
            </w:tcMar>
          </w:tcPr>
          <w:p w14:paraId="1A287F5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Messina et al. 2023</w:t>
            </w:r>
          </w:p>
        </w:tc>
        <w:tc>
          <w:tcPr>
            <w:tcW w:w="4923" w:type="dxa"/>
            <w:tcMar>
              <w:top w:w="60" w:type="dxa"/>
              <w:left w:w="100" w:type="dxa"/>
              <w:bottom w:w="60" w:type="dxa"/>
              <w:right w:w="100" w:type="dxa"/>
            </w:tcMar>
          </w:tcPr>
          <w:p w14:paraId="1EA9D69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Hyperphosphatasia with mental retardation syndrome 3: Cerebrospinal fluid abnormalities and correction with pyridoxine and Folinic acid</w:t>
            </w:r>
          </w:p>
        </w:tc>
        <w:tc>
          <w:tcPr>
            <w:tcW w:w="6537" w:type="dxa"/>
            <w:tcMar>
              <w:top w:w="60" w:type="dxa"/>
              <w:left w:w="100" w:type="dxa"/>
              <w:bottom w:w="60" w:type="dxa"/>
              <w:right w:w="100" w:type="dxa"/>
            </w:tcMar>
          </w:tcPr>
          <w:p w14:paraId="749947B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supplementation helped normalise symptoms.</w:t>
            </w:r>
          </w:p>
        </w:tc>
      </w:tr>
      <w:tr w:rsidR="00EA496D" w:rsidRPr="00F56AD6" w14:paraId="0200EFA3" w14:textId="77777777" w:rsidTr="00EA496D">
        <w:tc>
          <w:tcPr>
            <w:tcW w:w="846" w:type="dxa"/>
            <w:tcMar>
              <w:top w:w="60" w:type="dxa"/>
              <w:left w:w="100" w:type="dxa"/>
              <w:bottom w:w="60" w:type="dxa"/>
              <w:right w:w="100" w:type="dxa"/>
            </w:tcMar>
          </w:tcPr>
          <w:p w14:paraId="31023A6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324</w:t>
            </w:r>
          </w:p>
        </w:tc>
        <w:tc>
          <w:tcPr>
            <w:tcW w:w="2094" w:type="dxa"/>
            <w:tcMar>
              <w:top w:w="60" w:type="dxa"/>
              <w:left w:w="100" w:type="dxa"/>
              <w:bottom w:w="60" w:type="dxa"/>
              <w:right w:w="100" w:type="dxa"/>
            </w:tcMar>
          </w:tcPr>
          <w:p w14:paraId="3D879AB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Michels et al. 2023</w:t>
            </w:r>
          </w:p>
        </w:tc>
        <w:tc>
          <w:tcPr>
            <w:tcW w:w="4923" w:type="dxa"/>
            <w:tcMar>
              <w:top w:w="60" w:type="dxa"/>
              <w:left w:w="100" w:type="dxa"/>
              <w:bottom w:w="60" w:type="dxa"/>
              <w:right w:w="100" w:type="dxa"/>
            </w:tcMar>
          </w:tcPr>
          <w:p w14:paraId="1647771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Multivitamin/Multimineral Supplementation Prevents or Reverses Decline in Vitamin Biomarkers and Cellular Energy Metabolism in Healthy Older Men: A Randomized, Double-Blind, Placebo-Controlled Study</w:t>
            </w:r>
          </w:p>
        </w:tc>
        <w:tc>
          <w:tcPr>
            <w:tcW w:w="6537" w:type="dxa"/>
            <w:tcMar>
              <w:top w:w="60" w:type="dxa"/>
              <w:left w:w="100" w:type="dxa"/>
              <w:bottom w:w="60" w:type="dxa"/>
              <w:right w:w="100" w:type="dxa"/>
            </w:tcMar>
          </w:tcPr>
          <w:p w14:paraId="4EB1471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therapeutic effects of supplementation in older men.</w:t>
            </w:r>
          </w:p>
        </w:tc>
      </w:tr>
      <w:tr w:rsidR="00EA496D" w:rsidRPr="00F56AD6" w14:paraId="66EA2420" w14:textId="77777777" w:rsidTr="00EA496D">
        <w:tc>
          <w:tcPr>
            <w:tcW w:w="846" w:type="dxa"/>
            <w:tcMar>
              <w:top w:w="60" w:type="dxa"/>
              <w:left w:w="100" w:type="dxa"/>
              <w:bottom w:w="60" w:type="dxa"/>
              <w:right w:w="100" w:type="dxa"/>
            </w:tcMar>
          </w:tcPr>
          <w:p w14:paraId="78F5EF1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325</w:t>
            </w:r>
          </w:p>
        </w:tc>
        <w:tc>
          <w:tcPr>
            <w:tcW w:w="2094" w:type="dxa"/>
            <w:tcMar>
              <w:top w:w="60" w:type="dxa"/>
              <w:left w:w="100" w:type="dxa"/>
              <w:bottom w:w="60" w:type="dxa"/>
              <w:right w:w="100" w:type="dxa"/>
            </w:tcMar>
          </w:tcPr>
          <w:p w14:paraId="0DE346D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Mikkelsen et al. 2023</w:t>
            </w:r>
          </w:p>
        </w:tc>
        <w:tc>
          <w:tcPr>
            <w:tcW w:w="4923" w:type="dxa"/>
            <w:tcMar>
              <w:top w:w="60" w:type="dxa"/>
              <w:left w:w="100" w:type="dxa"/>
              <w:bottom w:w="60" w:type="dxa"/>
              <w:right w:w="100" w:type="dxa"/>
            </w:tcMar>
          </w:tcPr>
          <w:p w14:paraId="63226B8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High-Dose Vitamin B6 (Pyridoxine) Displays Strong Anti-Inflammatory Properties in Lipopolysaccharide-Stimulated Monocytes</w:t>
            </w:r>
          </w:p>
        </w:tc>
        <w:tc>
          <w:tcPr>
            <w:tcW w:w="6537" w:type="dxa"/>
            <w:tcMar>
              <w:top w:w="60" w:type="dxa"/>
              <w:left w:w="100" w:type="dxa"/>
              <w:bottom w:w="60" w:type="dxa"/>
              <w:right w:w="100" w:type="dxa"/>
            </w:tcMar>
          </w:tcPr>
          <w:p w14:paraId="3A83A1F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high dose therapeutic effects.</w:t>
            </w:r>
          </w:p>
        </w:tc>
      </w:tr>
      <w:tr w:rsidR="00EA496D" w:rsidRPr="00F56AD6" w14:paraId="65AF107E" w14:textId="77777777" w:rsidTr="00EA496D">
        <w:tc>
          <w:tcPr>
            <w:tcW w:w="846" w:type="dxa"/>
            <w:tcMar>
              <w:top w:w="60" w:type="dxa"/>
              <w:left w:w="100" w:type="dxa"/>
              <w:bottom w:w="60" w:type="dxa"/>
              <w:right w:w="100" w:type="dxa"/>
            </w:tcMar>
          </w:tcPr>
          <w:p w14:paraId="3F78C8D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326</w:t>
            </w:r>
          </w:p>
        </w:tc>
        <w:tc>
          <w:tcPr>
            <w:tcW w:w="2094" w:type="dxa"/>
            <w:tcMar>
              <w:top w:w="60" w:type="dxa"/>
              <w:left w:w="100" w:type="dxa"/>
              <w:bottom w:w="60" w:type="dxa"/>
              <w:right w:w="100" w:type="dxa"/>
            </w:tcMar>
          </w:tcPr>
          <w:p w14:paraId="17BD216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Milliner et al. 1993</w:t>
            </w:r>
          </w:p>
        </w:tc>
        <w:tc>
          <w:tcPr>
            <w:tcW w:w="4923" w:type="dxa"/>
            <w:tcMar>
              <w:top w:w="60" w:type="dxa"/>
              <w:left w:w="100" w:type="dxa"/>
              <w:bottom w:w="60" w:type="dxa"/>
              <w:right w:w="100" w:type="dxa"/>
            </w:tcMar>
          </w:tcPr>
          <w:p w14:paraId="4DB6D1E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Primary Hyperoxaluria Type 1</w:t>
            </w:r>
          </w:p>
        </w:tc>
        <w:tc>
          <w:tcPr>
            <w:tcW w:w="6537" w:type="dxa"/>
            <w:tcMar>
              <w:top w:w="60" w:type="dxa"/>
              <w:left w:w="100" w:type="dxa"/>
              <w:bottom w:w="60" w:type="dxa"/>
              <w:right w:w="100" w:type="dxa"/>
            </w:tcMar>
          </w:tcPr>
          <w:p w14:paraId="799F0C7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pyridoxine mentioned as a therapy.</w:t>
            </w:r>
          </w:p>
        </w:tc>
      </w:tr>
      <w:tr w:rsidR="00EA496D" w:rsidRPr="00F56AD6" w14:paraId="218F493E" w14:textId="77777777" w:rsidTr="00EA496D">
        <w:tc>
          <w:tcPr>
            <w:tcW w:w="846" w:type="dxa"/>
            <w:tcMar>
              <w:top w:w="60" w:type="dxa"/>
              <w:left w:w="100" w:type="dxa"/>
              <w:bottom w:w="60" w:type="dxa"/>
              <w:right w:w="100" w:type="dxa"/>
            </w:tcMar>
          </w:tcPr>
          <w:p w14:paraId="08189FF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327</w:t>
            </w:r>
          </w:p>
        </w:tc>
        <w:tc>
          <w:tcPr>
            <w:tcW w:w="2094" w:type="dxa"/>
            <w:tcMar>
              <w:top w:w="60" w:type="dxa"/>
              <w:left w:w="100" w:type="dxa"/>
              <w:bottom w:w="60" w:type="dxa"/>
              <w:right w:w="100" w:type="dxa"/>
            </w:tcMar>
          </w:tcPr>
          <w:p w14:paraId="33BEB48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Mirrafiei et al. 2024</w:t>
            </w:r>
          </w:p>
        </w:tc>
        <w:tc>
          <w:tcPr>
            <w:tcW w:w="4923" w:type="dxa"/>
            <w:tcMar>
              <w:top w:w="60" w:type="dxa"/>
              <w:left w:w="100" w:type="dxa"/>
              <w:bottom w:w="60" w:type="dxa"/>
              <w:right w:w="100" w:type="dxa"/>
            </w:tcMar>
          </w:tcPr>
          <w:p w14:paraId="3620966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Higher dietary methyl donor micronutrient consumption is associated with higher muscle strength in adults: a cross-sectional study</w:t>
            </w:r>
          </w:p>
        </w:tc>
        <w:tc>
          <w:tcPr>
            <w:tcW w:w="6537" w:type="dxa"/>
            <w:tcMar>
              <w:top w:w="60" w:type="dxa"/>
              <w:left w:w="100" w:type="dxa"/>
              <w:bottom w:w="60" w:type="dxa"/>
              <w:right w:w="100" w:type="dxa"/>
            </w:tcMar>
          </w:tcPr>
          <w:p w14:paraId="1B36D4D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 Wrong exposure (not excess B6) - B6 had a secondary relation to increased muscle strength.</w:t>
            </w:r>
          </w:p>
        </w:tc>
      </w:tr>
      <w:tr w:rsidR="00EA496D" w:rsidRPr="00F56AD6" w14:paraId="7907F9A5" w14:textId="77777777" w:rsidTr="00EA496D">
        <w:tc>
          <w:tcPr>
            <w:tcW w:w="846" w:type="dxa"/>
            <w:tcMar>
              <w:top w:w="60" w:type="dxa"/>
              <w:left w:w="100" w:type="dxa"/>
              <w:bottom w:w="60" w:type="dxa"/>
              <w:right w:w="100" w:type="dxa"/>
            </w:tcMar>
          </w:tcPr>
          <w:p w14:paraId="10F997E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328</w:t>
            </w:r>
          </w:p>
        </w:tc>
        <w:tc>
          <w:tcPr>
            <w:tcW w:w="2094" w:type="dxa"/>
            <w:tcMar>
              <w:top w:w="60" w:type="dxa"/>
              <w:left w:w="100" w:type="dxa"/>
              <w:bottom w:w="60" w:type="dxa"/>
              <w:right w:w="100" w:type="dxa"/>
            </w:tcMar>
          </w:tcPr>
          <w:p w14:paraId="5245649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Mo et al. 2022</w:t>
            </w:r>
          </w:p>
        </w:tc>
        <w:tc>
          <w:tcPr>
            <w:tcW w:w="4923" w:type="dxa"/>
            <w:tcMar>
              <w:top w:w="60" w:type="dxa"/>
              <w:left w:w="100" w:type="dxa"/>
              <w:bottom w:w="60" w:type="dxa"/>
              <w:right w:w="100" w:type="dxa"/>
            </w:tcMar>
          </w:tcPr>
          <w:p w14:paraId="4B30CF5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Effects of the Probiotic, Lactobacillus delbrueckii subsp. bulgaricus, as a Substitute for Antibiotics on the Gastrointestinal Tract Microbiota and Metabolomics Profile of Female Growing-Finishing Pigs</w:t>
            </w:r>
          </w:p>
        </w:tc>
        <w:tc>
          <w:tcPr>
            <w:tcW w:w="6537" w:type="dxa"/>
            <w:tcMar>
              <w:top w:w="60" w:type="dxa"/>
              <w:left w:w="100" w:type="dxa"/>
              <w:bottom w:w="60" w:type="dxa"/>
              <w:right w:w="100" w:type="dxa"/>
            </w:tcMar>
          </w:tcPr>
          <w:p w14:paraId="2A90332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pyridoxine levels affected by trial drug.</w:t>
            </w:r>
          </w:p>
        </w:tc>
      </w:tr>
      <w:tr w:rsidR="00EA496D" w:rsidRPr="00F56AD6" w14:paraId="16937485" w14:textId="77777777" w:rsidTr="00EA496D">
        <w:tc>
          <w:tcPr>
            <w:tcW w:w="846" w:type="dxa"/>
            <w:tcMar>
              <w:top w:w="60" w:type="dxa"/>
              <w:left w:w="100" w:type="dxa"/>
              <w:bottom w:w="60" w:type="dxa"/>
              <w:right w:w="100" w:type="dxa"/>
            </w:tcMar>
          </w:tcPr>
          <w:p w14:paraId="420126E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329</w:t>
            </w:r>
          </w:p>
        </w:tc>
        <w:tc>
          <w:tcPr>
            <w:tcW w:w="2094" w:type="dxa"/>
            <w:tcMar>
              <w:top w:w="60" w:type="dxa"/>
              <w:left w:w="100" w:type="dxa"/>
              <w:bottom w:w="60" w:type="dxa"/>
              <w:right w:w="100" w:type="dxa"/>
            </w:tcMar>
          </w:tcPr>
          <w:p w14:paraId="413E3E6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Mokhtari et al. 2024</w:t>
            </w:r>
          </w:p>
        </w:tc>
        <w:tc>
          <w:tcPr>
            <w:tcW w:w="4923" w:type="dxa"/>
            <w:tcMar>
              <w:top w:w="60" w:type="dxa"/>
              <w:left w:w="100" w:type="dxa"/>
              <w:bottom w:w="60" w:type="dxa"/>
              <w:right w:w="100" w:type="dxa"/>
            </w:tcMar>
          </w:tcPr>
          <w:p w14:paraId="0BED41D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Taurine, alpha lipoic acid and vitamin B6 ameliorate the reduced developmental competence of immature mouse oocytes exposed to methylglyoxal</w:t>
            </w:r>
          </w:p>
        </w:tc>
        <w:tc>
          <w:tcPr>
            <w:tcW w:w="6537" w:type="dxa"/>
            <w:tcMar>
              <w:top w:w="60" w:type="dxa"/>
              <w:left w:w="100" w:type="dxa"/>
              <w:bottom w:w="60" w:type="dxa"/>
              <w:right w:w="100" w:type="dxa"/>
            </w:tcMar>
          </w:tcPr>
          <w:p w14:paraId="280302E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not vitamin B6.</w:t>
            </w:r>
          </w:p>
        </w:tc>
      </w:tr>
      <w:tr w:rsidR="00EA496D" w:rsidRPr="00F56AD6" w14:paraId="6BF53B1D" w14:textId="77777777" w:rsidTr="00EA496D">
        <w:tc>
          <w:tcPr>
            <w:tcW w:w="846" w:type="dxa"/>
            <w:tcMar>
              <w:top w:w="60" w:type="dxa"/>
              <w:left w:w="100" w:type="dxa"/>
              <w:bottom w:w="60" w:type="dxa"/>
              <w:right w:w="100" w:type="dxa"/>
            </w:tcMar>
          </w:tcPr>
          <w:p w14:paraId="31E9DDE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330</w:t>
            </w:r>
          </w:p>
        </w:tc>
        <w:tc>
          <w:tcPr>
            <w:tcW w:w="2094" w:type="dxa"/>
            <w:tcMar>
              <w:top w:w="60" w:type="dxa"/>
              <w:left w:w="100" w:type="dxa"/>
              <w:bottom w:w="60" w:type="dxa"/>
              <w:right w:w="100" w:type="dxa"/>
            </w:tcMar>
          </w:tcPr>
          <w:p w14:paraId="73F364C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MolaeiRamshe et al. 2024</w:t>
            </w:r>
          </w:p>
        </w:tc>
        <w:tc>
          <w:tcPr>
            <w:tcW w:w="4923" w:type="dxa"/>
            <w:tcMar>
              <w:top w:w="60" w:type="dxa"/>
              <w:left w:w="100" w:type="dxa"/>
              <w:bottom w:w="60" w:type="dxa"/>
              <w:right w:w="100" w:type="dxa"/>
            </w:tcMar>
          </w:tcPr>
          <w:p w14:paraId="5B6DE90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Novel Ornithine Aminotransferase Splice Site Mutation Causes Vitamin B6-Responsive Gyrate Atrophy</w:t>
            </w:r>
          </w:p>
        </w:tc>
        <w:tc>
          <w:tcPr>
            <w:tcW w:w="6537" w:type="dxa"/>
            <w:tcMar>
              <w:top w:w="60" w:type="dxa"/>
              <w:left w:w="100" w:type="dxa"/>
              <w:bottom w:w="60" w:type="dxa"/>
              <w:right w:w="100" w:type="dxa"/>
            </w:tcMar>
          </w:tcPr>
          <w:p w14:paraId="229291E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supplementation may help.</w:t>
            </w:r>
          </w:p>
        </w:tc>
      </w:tr>
      <w:tr w:rsidR="00EA496D" w:rsidRPr="00F56AD6" w14:paraId="7E85B24F" w14:textId="77777777" w:rsidTr="00EA496D">
        <w:tc>
          <w:tcPr>
            <w:tcW w:w="846" w:type="dxa"/>
            <w:tcMar>
              <w:top w:w="60" w:type="dxa"/>
              <w:left w:w="100" w:type="dxa"/>
              <w:bottom w:w="60" w:type="dxa"/>
              <w:right w:w="100" w:type="dxa"/>
            </w:tcMar>
          </w:tcPr>
          <w:p w14:paraId="39E9B7B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331</w:t>
            </w:r>
          </w:p>
        </w:tc>
        <w:tc>
          <w:tcPr>
            <w:tcW w:w="2094" w:type="dxa"/>
            <w:tcMar>
              <w:top w:w="60" w:type="dxa"/>
              <w:left w:w="100" w:type="dxa"/>
              <w:bottom w:w="60" w:type="dxa"/>
              <w:right w:w="100" w:type="dxa"/>
            </w:tcMar>
          </w:tcPr>
          <w:p w14:paraId="56394B1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Mondésert et al. 2025</w:t>
            </w:r>
          </w:p>
        </w:tc>
        <w:tc>
          <w:tcPr>
            <w:tcW w:w="4923" w:type="dxa"/>
            <w:tcMar>
              <w:top w:w="60" w:type="dxa"/>
              <w:left w:w="100" w:type="dxa"/>
              <w:bottom w:w="60" w:type="dxa"/>
              <w:right w:w="100" w:type="dxa"/>
            </w:tcMar>
          </w:tcPr>
          <w:p w14:paraId="6F02448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Branched-chain amino acid transferase type 2 (BCAT2) deficiency: Report of an eighth case and literature review</w:t>
            </w:r>
          </w:p>
        </w:tc>
        <w:tc>
          <w:tcPr>
            <w:tcW w:w="6537" w:type="dxa"/>
            <w:tcMar>
              <w:top w:w="60" w:type="dxa"/>
              <w:left w:w="100" w:type="dxa"/>
              <w:bottom w:w="60" w:type="dxa"/>
              <w:right w:w="100" w:type="dxa"/>
            </w:tcMar>
          </w:tcPr>
          <w:p w14:paraId="450C28C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pyridoxine may help prevent harmful mechanisms of disease.</w:t>
            </w:r>
          </w:p>
        </w:tc>
      </w:tr>
      <w:tr w:rsidR="00EA496D" w:rsidRPr="00F56AD6" w14:paraId="2960AF13" w14:textId="77777777" w:rsidTr="00EA496D">
        <w:tc>
          <w:tcPr>
            <w:tcW w:w="846" w:type="dxa"/>
            <w:tcMar>
              <w:top w:w="60" w:type="dxa"/>
              <w:left w:w="100" w:type="dxa"/>
              <w:bottom w:w="60" w:type="dxa"/>
              <w:right w:w="100" w:type="dxa"/>
            </w:tcMar>
          </w:tcPr>
          <w:p w14:paraId="6A16743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332</w:t>
            </w:r>
          </w:p>
        </w:tc>
        <w:tc>
          <w:tcPr>
            <w:tcW w:w="2094" w:type="dxa"/>
            <w:tcMar>
              <w:top w:w="60" w:type="dxa"/>
              <w:left w:w="100" w:type="dxa"/>
              <w:bottom w:w="60" w:type="dxa"/>
              <w:right w:w="100" w:type="dxa"/>
            </w:tcMar>
          </w:tcPr>
          <w:p w14:paraId="7A76259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Monge-Rojas et al. 2024</w:t>
            </w:r>
          </w:p>
        </w:tc>
        <w:tc>
          <w:tcPr>
            <w:tcW w:w="4923" w:type="dxa"/>
            <w:tcMar>
              <w:top w:w="60" w:type="dxa"/>
              <w:left w:w="100" w:type="dxa"/>
              <w:bottom w:w="60" w:type="dxa"/>
              <w:right w:w="100" w:type="dxa"/>
            </w:tcMar>
          </w:tcPr>
          <w:p w14:paraId="218D257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Landscape of Micronutrient Dietary Intake by 15- to 65-Years-Old Urban Population in 8 Latin American Countries: Results From the Latin American Study of Health and Nutrition</w:t>
            </w:r>
          </w:p>
        </w:tc>
        <w:tc>
          <w:tcPr>
            <w:tcW w:w="6537" w:type="dxa"/>
            <w:tcMar>
              <w:top w:w="60" w:type="dxa"/>
              <w:left w:w="100" w:type="dxa"/>
              <w:bottom w:w="60" w:type="dxa"/>
              <w:right w:w="100" w:type="dxa"/>
            </w:tcMar>
          </w:tcPr>
          <w:p w14:paraId="3EE319C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population does not have adequate B6 intake.</w:t>
            </w:r>
          </w:p>
        </w:tc>
      </w:tr>
      <w:tr w:rsidR="00EA496D" w:rsidRPr="00F56AD6" w14:paraId="789ABD07" w14:textId="77777777" w:rsidTr="00EA496D">
        <w:tc>
          <w:tcPr>
            <w:tcW w:w="846" w:type="dxa"/>
            <w:tcMar>
              <w:top w:w="60" w:type="dxa"/>
              <w:left w:w="100" w:type="dxa"/>
              <w:bottom w:w="60" w:type="dxa"/>
              <w:right w:w="100" w:type="dxa"/>
            </w:tcMar>
          </w:tcPr>
          <w:p w14:paraId="7D29463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333</w:t>
            </w:r>
          </w:p>
        </w:tc>
        <w:tc>
          <w:tcPr>
            <w:tcW w:w="2094" w:type="dxa"/>
            <w:tcMar>
              <w:top w:w="60" w:type="dxa"/>
              <w:left w:w="100" w:type="dxa"/>
              <w:bottom w:w="60" w:type="dxa"/>
              <w:right w:w="100" w:type="dxa"/>
            </w:tcMar>
          </w:tcPr>
          <w:p w14:paraId="33769AE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Moon et al. 2022</w:t>
            </w:r>
          </w:p>
        </w:tc>
        <w:tc>
          <w:tcPr>
            <w:tcW w:w="4923" w:type="dxa"/>
            <w:tcMar>
              <w:top w:w="60" w:type="dxa"/>
              <w:left w:w="100" w:type="dxa"/>
              <w:bottom w:w="60" w:type="dxa"/>
              <w:right w:w="100" w:type="dxa"/>
            </w:tcMar>
          </w:tcPr>
          <w:p w14:paraId="6822106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Concurrent zinc and vitamin B(6) deficiencies in acutely exacerbated inflammatory bowel disease: Case reports</w:t>
            </w:r>
          </w:p>
        </w:tc>
        <w:tc>
          <w:tcPr>
            <w:tcW w:w="6537" w:type="dxa"/>
            <w:tcMar>
              <w:top w:w="60" w:type="dxa"/>
              <w:left w:w="100" w:type="dxa"/>
              <w:bottom w:w="60" w:type="dxa"/>
              <w:right w:w="100" w:type="dxa"/>
            </w:tcMar>
          </w:tcPr>
          <w:p w14:paraId="7DDBE98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to help IBD.</w:t>
            </w:r>
          </w:p>
        </w:tc>
      </w:tr>
      <w:tr w:rsidR="00EA496D" w:rsidRPr="00F56AD6" w14:paraId="496C24E0" w14:textId="77777777" w:rsidTr="00EA496D">
        <w:tc>
          <w:tcPr>
            <w:tcW w:w="846" w:type="dxa"/>
            <w:tcMar>
              <w:top w:w="60" w:type="dxa"/>
              <w:left w:w="100" w:type="dxa"/>
              <w:bottom w:w="60" w:type="dxa"/>
              <w:right w:w="100" w:type="dxa"/>
            </w:tcMar>
          </w:tcPr>
          <w:p w14:paraId="63529F6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334</w:t>
            </w:r>
          </w:p>
        </w:tc>
        <w:tc>
          <w:tcPr>
            <w:tcW w:w="2094" w:type="dxa"/>
            <w:tcMar>
              <w:top w:w="60" w:type="dxa"/>
              <w:left w:w="100" w:type="dxa"/>
              <w:bottom w:w="60" w:type="dxa"/>
              <w:right w:w="100" w:type="dxa"/>
            </w:tcMar>
          </w:tcPr>
          <w:p w14:paraId="73BA98A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Moya-López et al. 2024</w:t>
            </w:r>
          </w:p>
        </w:tc>
        <w:tc>
          <w:tcPr>
            <w:tcW w:w="4923" w:type="dxa"/>
            <w:tcMar>
              <w:top w:w="60" w:type="dxa"/>
              <w:left w:w="100" w:type="dxa"/>
              <w:bottom w:w="60" w:type="dxa"/>
              <w:right w:w="100" w:type="dxa"/>
            </w:tcMar>
          </w:tcPr>
          <w:p w14:paraId="587FDF4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[Epilepsy and inborn errors of metabolism]</w:t>
            </w:r>
          </w:p>
        </w:tc>
        <w:tc>
          <w:tcPr>
            <w:tcW w:w="6537" w:type="dxa"/>
            <w:tcMar>
              <w:top w:w="60" w:type="dxa"/>
              <w:left w:w="100" w:type="dxa"/>
              <w:bottom w:w="60" w:type="dxa"/>
              <w:right w:w="100" w:type="dxa"/>
            </w:tcMar>
          </w:tcPr>
          <w:p w14:paraId="3CA60DC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pyridoxamine sensitive epilepsy mentioned as a type of epilepsy.</w:t>
            </w:r>
          </w:p>
        </w:tc>
      </w:tr>
      <w:tr w:rsidR="00EA496D" w:rsidRPr="00F56AD6" w14:paraId="49605B10" w14:textId="77777777" w:rsidTr="00EA496D">
        <w:tc>
          <w:tcPr>
            <w:tcW w:w="846" w:type="dxa"/>
            <w:tcMar>
              <w:top w:w="60" w:type="dxa"/>
              <w:left w:w="100" w:type="dxa"/>
              <w:bottom w:w="60" w:type="dxa"/>
              <w:right w:w="100" w:type="dxa"/>
            </w:tcMar>
          </w:tcPr>
          <w:p w14:paraId="54CF701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335</w:t>
            </w:r>
          </w:p>
        </w:tc>
        <w:tc>
          <w:tcPr>
            <w:tcW w:w="2094" w:type="dxa"/>
            <w:tcMar>
              <w:top w:w="60" w:type="dxa"/>
              <w:left w:w="100" w:type="dxa"/>
              <w:bottom w:w="60" w:type="dxa"/>
              <w:right w:w="100" w:type="dxa"/>
            </w:tcMar>
          </w:tcPr>
          <w:p w14:paraId="350B8CC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Mruga et al. 2024</w:t>
            </w:r>
          </w:p>
        </w:tc>
        <w:tc>
          <w:tcPr>
            <w:tcW w:w="4923" w:type="dxa"/>
            <w:tcMar>
              <w:top w:w="60" w:type="dxa"/>
              <w:left w:w="100" w:type="dxa"/>
              <w:bottom w:w="60" w:type="dxa"/>
              <w:right w:w="100" w:type="dxa"/>
            </w:tcMar>
          </w:tcPr>
          <w:p w14:paraId="17247C2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Amperometric Biosensor Based on Glutamate Oxidase to Determine Ast Activity</w:t>
            </w:r>
          </w:p>
        </w:tc>
        <w:tc>
          <w:tcPr>
            <w:tcW w:w="6537" w:type="dxa"/>
            <w:tcMar>
              <w:top w:w="60" w:type="dxa"/>
              <w:left w:w="100" w:type="dxa"/>
              <w:bottom w:w="60" w:type="dxa"/>
              <w:right w:w="100" w:type="dxa"/>
            </w:tcMar>
          </w:tcPr>
          <w:p w14:paraId="6DBB66B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setting - - pyridoxal as a coenzyme in mechanism.</w:t>
            </w:r>
          </w:p>
        </w:tc>
      </w:tr>
      <w:tr w:rsidR="00EA496D" w:rsidRPr="00F56AD6" w14:paraId="25C69A05" w14:textId="77777777" w:rsidTr="00EA496D">
        <w:tc>
          <w:tcPr>
            <w:tcW w:w="846" w:type="dxa"/>
            <w:tcMar>
              <w:top w:w="60" w:type="dxa"/>
              <w:left w:w="100" w:type="dxa"/>
              <w:bottom w:w="60" w:type="dxa"/>
              <w:right w:w="100" w:type="dxa"/>
            </w:tcMar>
          </w:tcPr>
          <w:p w14:paraId="109253E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336</w:t>
            </w:r>
          </w:p>
        </w:tc>
        <w:tc>
          <w:tcPr>
            <w:tcW w:w="2094" w:type="dxa"/>
            <w:tcMar>
              <w:top w:w="60" w:type="dxa"/>
              <w:left w:w="100" w:type="dxa"/>
              <w:bottom w:w="60" w:type="dxa"/>
              <w:right w:w="100" w:type="dxa"/>
            </w:tcMar>
          </w:tcPr>
          <w:p w14:paraId="58A9654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Naghavi et al. 2024</w:t>
            </w:r>
          </w:p>
        </w:tc>
        <w:tc>
          <w:tcPr>
            <w:tcW w:w="4923" w:type="dxa"/>
            <w:tcMar>
              <w:top w:w="60" w:type="dxa"/>
              <w:left w:w="100" w:type="dxa"/>
              <w:bottom w:w="60" w:type="dxa"/>
              <w:right w:w="100" w:type="dxa"/>
            </w:tcMar>
          </w:tcPr>
          <w:p w14:paraId="759F8D5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Late-onset drug-resistant epilepsy in pyridoxamine 5'-phosphate oxidase deficiency: a case report</w:t>
            </w:r>
          </w:p>
        </w:tc>
        <w:tc>
          <w:tcPr>
            <w:tcW w:w="6537" w:type="dxa"/>
            <w:tcMar>
              <w:top w:w="60" w:type="dxa"/>
              <w:left w:w="100" w:type="dxa"/>
              <w:bottom w:w="60" w:type="dxa"/>
              <w:right w:w="100" w:type="dxa"/>
            </w:tcMar>
          </w:tcPr>
          <w:p w14:paraId="04FE2B0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alleviated symptoms of seizure instantly.</w:t>
            </w:r>
          </w:p>
        </w:tc>
      </w:tr>
      <w:tr w:rsidR="00EA496D" w:rsidRPr="00F56AD6" w14:paraId="10955363" w14:textId="77777777" w:rsidTr="00EA496D">
        <w:tc>
          <w:tcPr>
            <w:tcW w:w="846" w:type="dxa"/>
            <w:tcMar>
              <w:top w:w="60" w:type="dxa"/>
              <w:left w:w="100" w:type="dxa"/>
              <w:bottom w:w="60" w:type="dxa"/>
              <w:right w:w="100" w:type="dxa"/>
            </w:tcMar>
          </w:tcPr>
          <w:p w14:paraId="4F0F74C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337</w:t>
            </w:r>
          </w:p>
        </w:tc>
        <w:tc>
          <w:tcPr>
            <w:tcW w:w="2094" w:type="dxa"/>
            <w:tcMar>
              <w:top w:w="60" w:type="dxa"/>
              <w:left w:w="100" w:type="dxa"/>
              <w:bottom w:w="60" w:type="dxa"/>
              <w:right w:w="100" w:type="dxa"/>
            </w:tcMar>
          </w:tcPr>
          <w:p w14:paraId="1F00C52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Nakamura et al. 2025</w:t>
            </w:r>
          </w:p>
        </w:tc>
        <w:tc>
          <w:tcPr>
            <w:tcW w:w="4923" w:type="dxa"/>
            <w:tcMar>
              <w:top w:w="60" w:type="dxa"/>
              <w:left w:w="100" w:type="dxa"/>
              <w:bottom w:w="60" w:type="dxa"/>
              <w:right w:w="100" w:type="dxa"/>
            </w:tcMar>
          </w:tcPr>
          <w:p w14:paraId="7B98132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Late-onset Vitamin B6-dependent epilepsy caused by compound heterozygous pathogenic PLPBP variants</w:t>
            </w:r>
          </w:p>
        </w:tc>
        <w:tc>
          <w:tcPr>
            <w:tcW w:w="6537" w:type="dxa"/>
            <w:tcMar>
              <w:top w:w="60" w:type="dxa"/>
              <w:left w:w="100" w:type="dxa"/>
              <w:bottom w:w="60" w:type="dxa"/>
              <w:right w:w="100" w:type="dxa"/>
            </w:tcMar>
          </w:tcPr>
          <w:p w14:paraId="1422A80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shows case note of a girl with vitamin B6 dependant epilepsy and how these patients can have adverse reactions to B6 supplementation however full text focuses more on therapeutic effect of B6 and mainly on getting the correct diagnosis.</w:t>
            </w:r>
          </w:p>
        </w:tc>
      </w:tr>
      <w:tr w:rsidR="00EA496D" w:rsidRPr="00F56AD6" w14:paraId="3960EBB0" w14:textId="77777777" w:rsidTr="00EA496D">
        <w:tc>
          <w:tcPr>
            <w:tcW w:w="846" w:type="dxa"/>
            <w:tcMar>
              <w:top w:w="60" w:type="dxa"/>
              <w:left w:w="100" w:type="dxa"/>
              <w:bottom w:w="60" w:type="dxa"/>
              <w:right w:w="100" w:type="dxa"/>
            </w:tcMar>
          </w:tcPr>
          <w:p w14:paraId="4BACC8F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338</w:t>
            </w:r>
          </w:p>
        </w:tc>
        <w:tc>
          <w:tcPr>
            <w:tcW w:w="2094" w:type="dxa"/>
            <w:tcMar>
              <w:top w:w="60" w:type="dxa"/>
              <w:left w:w="100" w:type="dxa"/>
              <w:bottom w:w="60" w:type="dxa"/>
              <w:right w:w="100" w:type="dxa"/>
            </w:tcMar>
          </w:tcPr>
          <w:p w14:paraId="3EA5A66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Nakao et al. 2025</w:t>
            </w:r>
          </w:p>
        </w:tc>
        <w:tc>
          <w:tcPr>
            <w:tcW w:w="4923" w:type="dxa"/>
            <w:tcMar>
              <w:top w:w="60" w:type="dxa"/>
              <w:left w:w="100" w:type="dxa"/>
              <w:bottom w:w="60" w:type="dxa"/>
              <w:right w:w="100" w:type="dxa"/>
            </w:tcMar>
          </w:tcPr>
          <w:p w14:paraId="73EEC4D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Deficiency May Not Always Present As Microcytic Hypochromic Anemia</w:t>
            </w:r>
          </w:p>
        </w:tc>
        <w:tc>
          <w:tcPr>
            <w:tcW w:w="6537" w:type="dxa"/>
            <w:tcMar>
              <w:top w:w="60" w:type="dxa"/>
              <w:left w:w="100" w:type="dxa"/>
              <w:bottom w:w="60" w:type="dxa"/>
              <w:right w:w="100" w:type="dxa"/>
            </w:tcMar>
          </w:tcPr>
          <w:p w14:paraId="2A02681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deficiency must be addressed in diagnosis.</w:t>
            </w:r>
          </w:p>
        </w:tc>
      </w:tr>
      <w:tr w:rsidR="00EA496D" w:rsidRPr="00F56AD6" w14:paraId="52F70637" w14:textId="77777777" w:rsidTr="00EA496D">
        <w:tc>
          <w:tcPr>
            <w:tcW w:w="846" w:type="dxa"/>
            <w:tcMar>
              <w:top w:w="60" w:type="dxa"/>
              <w:left w:w="100" w:type="dxa"/>
              <w:bottom w:w="60" w:type="dxa"/>
              <w:right w:w="100" w:type="dxa"/>
            </w:tcMar>
          </w:tcPr>
          <w:p w14:paraId="563E9FE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339</w:t>
            </w:r>
          </w:p>
        </w:tc>
        <w:tc>
          <w:tcPr>
            <w:tcW w:w="2094" w:type="dxa"/>
            <w:tcMar>
              <w:top w:w="60" w:type="dxa"/>
              <w:left w:w="100" w:type="dxa"/>
              <w:bottom w:w="60" w:type="dxa"/>
              <w:right w:w="100" w:type="dxa"/>
            </w:tcMar>
          </w:tcPr>
          <w:p w14:paraId="3B88EFA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Narayana et al. 2022</w:t>
            </w:r>
          </w:p>
        </w:tc>
        <w:tc>
          <w:tcPr>
            <w:tcW w:w="4923" w:type="dxa"/>
            <w:tcMar>
              <w:top w:w="60" w:type="dxa"/>
              <w:left w:w="100" w:type="dxa"/>
              <w:bottom w:w="60" w:type="dxa"/>
              <w:right w:w="100" w:type="dxa"/>
            </w:tcMar>
          </w:tcPr>
          <w:p w14:paraId="0F5FB7B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Children with functional abdominal pain disorders successfully decrease FODMAP food intake on a low FODMAP diet with modest improvements in nutritional intake and diet quality</w:t>
            </w:r>
          </w:p>
        </w:tc>
        <w:tc>
          <w:tcPr>
            <w:tcW w:w="6537" w:type="dxa"/>
            <w:tcMar>
              <w:top w:w="60" w:type="dxa"/>
              <w:left w:w="100" w:type="dxa"/>
              <w:bottom w:w="60" w:type="dxa"/>
              <w:right w:w="100" w:type="dxa"/>
            </w:tcMar>
          </w:tcPr>
          <w:p w14:paraId="661872B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one of the dependant variables of change of diet).</w:t>
            </w:r>
          </w:p>
        </w:tc>
      </w:tr>
      <w:tr w:rsidR="00EA496D" w:rsidRPr="00F56AD6" w14:paraId="38C2F702" w14:textId="77777777" w:rsidTr="00EA496D">
        <w:tc>
          <w:tcPr>
            <w:tcW w:w="846" w:type="dxa"/>
            <w:tcMar>
              <w:top w:w="60" w:type="dxa"/>
              <w:left w:w="100" w:type="dxa"/>
              <w:bottom w:w="60" w:type="dxa"/>
              <w:right w:w="100" w:type="dxa"/>
            </w:tcMar>
          </w:tcPr>
          <w:p w14:paraId="69B65D5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340</w:t>
            </w:r>
          </w:p>
        </w:tc>
        <w:tc>
          <w:tcPr>
            <w:tcW w:w="2094" w:type="dxa"/>
            <w:tcMar>
              <w:top w:w="60" w:type="dxa"/>
              <w:left w:w="100" w:type="dxa"/>
              <w:bottom w:w="60" w:type="dxa"/>
              <w:right w:w="100" w:type="dxa"/>
            </w:tcMar>
          </w:tcPr>
          <w:p w14:paraId="1427F25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Nascimento et al. 2026</w:t>
            </w:r>
          </w:p>
        </w:tc>
        <w:tc>
          <w:tcPr>
            <w:tcW w:w="4923" w:type="dxa"/>
            <w:tcMar>
              <w:top w:w="60" w:type="dxa"/>
              <w:left w:w="100" w:type="dxa"/>
              <w:bottom w:w="60" w:type="dxa"/>
              <w:right w:w="100" w:type="dxa"/>
            </w:tcMar>
          </w:tcPr>
          <w:p w14:paraId="5B894A6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 Between Habitual Food Intake and Energy Metabolism-Related Urine Metabolites in Female Soccer Players</w:t>
            </w:r>
          </w:p>
        </w:tc>
        <w:tc>
          <w:tcPr>
            <w:tcW w:w="6537" w:type="dxa"/>
            <w:tcMar>
              <w:top w:w="60" w:type="dxa"/>
              <w:left w:w="100" w:type="dxa"/>
              <w:bottom w:w="60" w:type="dxa"/>
              <w:right w:w="100" w:type="dxa"/>
            </w:tcMar>
          </w:tcPr>
          <w:p w14:paraId="3CF9085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setting - B6 used as a nutrient marker measurement.</w:t>
            </w:r>
          </w:p>
        </w:tc>
      </w:tr>
      <w:tr w:rsidR="00EA496D" w:rsidRPr="00F56AD6" w14:paraId="20B1E97F" w14:textId="77777777" w:rsidTr="00EA496D">
        <w:tc>
          <w:tcPr>
            <w:tcW w:w="846" w:type="dxa"/>
            <w:tcMar>
              <w:top w:w="60" w:type="dxa"/>
              <w:left w:w="100" w:type="dxa"/>
              <w:bottom w:w="60" w:type="dxa"/>
              <w:right w:w="100" w:type="dxa"/>
            </w:tcMar>
          </w:tcPr>
          <w:p w14:paraId="2A8AE10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341</w:t>
            </w:r>
          </w:p>
        </w:tc>
        <w:tc>
          <w:tcPr>
            <w:tcW w:w="2094" w:type="dxa"/>
            <w:tcMar>
              <w:top w:w="60" w:type="dxa"/>
              <w:left w:w="100" w:type="dxa"/>
              <w:bottom w:w="60" w:type="dxa"/>
              <w:right w:w="100" w:type="dxa"/>
            </w:tcMar>
          </w:tcPr>
          <w:p w14:paraId="2CE82A4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Nasir et al. 2024</w:t>
            </w:r>
          </w:p>
        </w:tc>
        <w:tc>
          <w:tcPr>
            <w:tcW w:w="4923" w:type="dxa"/>
            <w:tcMar>
              <w:top w:w="60" w:type="dxa"/>
              <w:left w:w="100" w:type="dxa"/>
              <w:bottom w:w="60" w:type="dxa"/>
              <w:right w:w="100" w:type="dxa"/>
            </w:tcMar>
          </w:tcPr>
          <w:p w14:paraId="61A9CF7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Via p-JNK/Nrf-2/NF-κB Signaling Ameliorates Cadmium Chloride-Induced Oxidative Stress Mediated Memory Deficits in Mice Hippocampus</w:t>
            </w:r>
          </w:p>
        </w:tc>
        <w:tc>
          <w:tcPr>
            <w:tcW w:w="6537" w:type="dxa"/>
            <w:tcMar>
              <w:top w:w="60" w:type="dxa"/>
              <w:left w:w="100" w:type="dxa"/>
              <w:bottom w:w="60" w:type="dxa"/>
              <w:right w:w="100" w:type="dxa"/>
            </w:tcMar>
          </w:tcPr>
          <w:p w14:paraId="4A89BA0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as a neurotherapeutic.</w:t>
            </w:r>
          </w:p>
        </w:tc>
      </w:tr>
      <w:tr w:rsidR="00EA496D" w:rsidRPr="00F56AD6" w14:paraId="15D4F927" w14:textId="77777777" w:rsidTr="00EA496D">
        <w:tc>
          <w:tcPr>
            <w:tcW w:w="846" w:type="dxa"/>
            <w:tcMar>
              <w:top w:w="60" w:type="dxa"/>
              <w:left w:w="100" w:type="dxa"/>
              <w:bottom w:w="60" w:type="dxa"/>
              <w:right w:w="100" w:type="dxa"/>
            </w:tcMar>
          </w:tcPr>
          <w:p w14:paraId="64576FE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342</w:t>
            </w:r>
          </w:p>
        </w:tc>
        <w:tc>
          <w:tcPr>
            <w:tcW w:w="2094" w:type="dxa"/>
            <w:tcMar>
              <w:top w:w="60" w:type="dxa"/>
              <w:left w:w="100" w:type="dxa"/>
              <w:bottom w:w="60" w:type="dxa"/>
              <w:right w:w="100" w:type="dxa"/>
            </w:tcMar>
          </w:tcPr>
          <w:p w14:paraId="096C9E5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Nathan et al. 2025</w:t>
            </w:r>
          </w:p>
        </w:tc>
        <w:tc>
          <w:tcPr>
            <w:tcW w:w="4923" w:type="dxa"/>
            <w:tcMar>
              <w:top w:w="60" w:type="dxa"/>
              <w:left w:w="100" w:type="dxa"/>
              <w:bottom w:w="60" w:type="dxa"/>
              <w:right w:w="100" w:type="dxa"/>
            </w:tcMar>
          </w:tcPr>
          <w:p w14:paraId="2702B2D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New Onset Medically Refractory Seizures in an Adult With Parkinson's Disease and Vitamin B6 Deficiency Case Report</w:t>
            </w:r>
          </w:p>
        </w:tc>
        <w:tc>
          <w:tcPr>
            <w:tcW w:w="6537" w:type="dxa"/>
            <w:tcMar>
              <w:top w:w="60" w:type="dxa"/>
              <w:left w:w="100" w:type="dxa"/>
              <w:bottom w:w="60" w:type="dxa"/>
              <w:right w:w="100" w:type="dxa"/>
            </w:tcMar>
          </w:tcPr>
          <w:p w14:paraId="2D93B00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seizures resolved with B6.</w:t>
            </w:r>
          </w:p>
        </w:tc>
      </w:tr>
      <w:tr w:rsidR="00EA496D" w:rsidRPr="00F56AD6" w14:paraId="32CBAA52" w14:textId="77777777" w:rsidTr="00EA496D">
        <w:tc>
          <w:tcPr>
            <w:tcW w:w="846" w:type="dxa"/>
            <w:tcMar>
              <w:top w:w="60" w:type="dxa"/>
              <w:left w:w="100" w:type="dxa"/>
              <w:bottom w:w="60" w:type="dxa"/>
              <w:right w:w="100" w:type="dxa"/>
            </w:tcMar>
          </w:tcPr>
          <w:p w14:paraId="2667034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343</w:t>
            </w:r>
          </w:p>
        </w:tc>
        <w:tc>
          <w:tcPr>
            <w:tcW w:w="2094" w:type="dxa"/>
            <w:tcMar>
              <w:top w:w="60" w:type="dxa"/>
              <w:left w:w="100" w:type="dxa"/>
              <w:bottom w:w="60" w:type="dxa"/>
              <w:right w:w="100" w:type="dxa"/>
            </w:tcMar>
          </w:tcPr>
          <w:p w14:paraId="58F5271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Nayak et al. 2026</w:t>
            </w:r>
          </w:p>
        </w:tc>
        <w:tc>
          <w:tcPr>
            <w:tcW w:w="4923" w:type="dxa"/>
            <w:tcMar>
              <w:top w:w="60" w:type="dxa"/>
              <w:left w:w="100" w:type="dxa"/>
              <w:bottom w:w="60" w:type="dxa"/>
              <w:right w:w="100" w:type="dxa"/>
            </w:tcMar>
          </w:tcPr>
          <w:p w14:paraId="4FE9599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NBD Integrated and Vitamin B6-Driven Charge-Reversible Peptide-Based Nanocarriers for Targeted Therapeutic Delivery</w:t>
            </w:r>
          </w:p>
        </w:tc>
        <w:tc>
          <w:tcPr>
            <w:tcW w:w="6537" w:type="dxa"/>
            <w:tcMar>
              <w:top w:w="60" w:type="dxa"/>
              <w:left w:w="100" w:type="dxa"/>
              <w:bottom w:w="60" w:type="dxa"/>
              <w:right w:w="100" w:type="dxa"/>
            </w:tcMar>
          </w:tcPr>
          <w:p w14:paraId="461F1DE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as effective part of nanocarrier for therapeutic delivery.</w:t>
            </w:r>
          </w:p>
        </w:tc>
      </w:tr>
      <w:tr w:rsidR="00EA496D" w:rsidRPr="00F56AD6" w14:paraId="3DAF91E2" w14:textId="77777777" w:rsidTr="00EA496D">
        <w:tc>
          <w:tcPr>
            <w:tcW w:w="846" w:type="dxa"/>
            <w:tcMar>
              <w:top w:w="60" w:type="dxa"/>
              <w:left w:w="100" w:type="dxa"/>
              <w:bottom w:w="60" w:type="dxa"/>
              <w:right w:w="100" w:type="dxa"/>
            </w:tcMar>
          </w:tcPr>
          <w:p w14:paraId="4A51DF7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344</w:t>
            </w:r>
          </w:p>
        </w:tc>
        <w:tc>
          <w:tcPr>
            <w:tcW w:w="2094" w:type="dxa"/>
            <w:tcMar>
              <w:top w:w="60" w:type="dxa"/>
              <w:left w:w="100" w:type="dxa"/>
              <w:bottom w:w="60" w:type="dxa"/>
              <w:right w:w="100" w:type="dxa"/>
            </w:tcMar>
          </w:tcPr>
          <w:p w14:paraId="41F76DC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Nelson-Piercy et al. 2024</w:t>
            </w:r>
          </w:p>
        </w:tc>
        <w:tc>
          <w:tcPr>
            <w:tcW w:w="4923" w:type="dxa"/>
            <w:tcMar>
              <w:top w:w="60" w:type="dxa"/>
              <w:left w:w="100" w:type="dxa"/>
              <w:bottom w:w="60" w:type="dxa"/>
              <w:right w:w="100" w:type="dxa"/>
            </w:tcMar>
          </w:tcPr>
          <w:p w14:paraId="4C3ACA4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Management of Nausea and Vomiting in Pregnancy and Hyperemesis Gravidarum (Green-top Guideline No. 69)</w:t>
            </w:r>
          </w:p>
        </w:tc>
        <w:tc>
          <w:tcPr>
            <w:tcW w:w="6537" w:type="dxa"/>
            <w:tcMar>
              <w:top w:w="60" w:type="dxa"/>
              <w:left w:w="100" w:type="dxa"/>
              <w:bottom w:w="60" w:type="dxa"/>
              <w:right w:w="100" w:type="dxa"/>
            </w:tcMar>
          </w:tcPr>
          <w:p w14:paraId="066DCF1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pregnant women benefit from B6.</w:t>
            </w:r>
          </w:p>
        </w:tc>
      </w:tr>
      <w:tr w:rsidR="00EA496D" w:rsidRPr="00F56AD6" w14:paraId="0BB68D4F" w14:textId="77777777" w:rsidTr="00EA496D">
        <w:tc>
          <w:tcPr>
            <w:tcW w:w="846" w:type="dxa"/>
            <w:tcMar>
              <w:top w:w="60" w:type="dxa"/>
              <w:left w:w="100" w:type="dxa"/>
              <w:bottom w:w="60" w:type="dxa"/>
              <w:right w:w="100" w:type="dxa"/>
            </w:tcMar>
          </w:tcPr>
          <w:p w14:paraId="137C58B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345</w:t>
            </w:r>
          </w:p>
        </w:tc>
        <w:tc>
          <w:tcPr>
            <w:tcW w:w="2094" w:type="dxa"/>
            <w:tcMar>
              <w:top w:w="60" w:type="dxa"/>
              <w:left w:w="100" w:type="dxa"/>
              <w:bottom w:w="60" w:type="dxa"/>
              <w:right w:w="100" w:type="dxa"/>
            </w:tcMar>
          </w:tcPr>
          <w:p w14:paraId="2464B84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Nematgorgani et al. 2022</w:t>
            </w:r>
          </w:p>
        </w:tc>
        <w:tc>
          <w:tcPr>
            <w:tcW w:w="4923" w:type="dxa"/>
            <w:tcMar>
              <w:top w:w="60" w:type="dxa"/>
              <w:left w:w="100" w:type="dxa"/>
              <w:bottom w:w="60" w:type="dxa"/>
              <w:right w:w="100" w:type="dxa"/>
            </w:tcMar>
          </w:tcPr>
          <w:p w14:paraId="46FF4EE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 vitamins and their combination could reduce migraine headaches: A randomized double-blind controlled trial</w:t>
            </w:r>
          </w:p>
        </w:tc>
        <w:tc>
          <w:tcPr>
            <w:tcW w:w="6537" w:type="dxa"/>
            <w:tcMar>
              <w:top w:w="60" w:type="dxa"/>
              <w:left w:w="100" w:type="dxa"/>
              <w:bottom w:w="60" w:type="dxa"/>
              <w:right w:w="100" w:type="dxa"/>
            </w:tcMar>
          </w:tcPr>
          <w:p w14:paraId="4B836B4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supplementation helped reduce migraine symptoms.</w:t>
            </w:r>
          </w:p>
        </w:tc>
      </w:tr>
      <w:tr w:rsidR="00EA496D" w:rsidRPr="00F56AD6" w14:paraId="497F58A4" w14:textId="77777777" w:rsidTr="00EA496D">
        <w:tc>
          <w:tcPr>
            <w:tcW w:w="846" w:type="dxa"/>
            <w:tcMar>
              <w:top w:w="60" w:type="dxa"/>
              <w:left w:w="100" w:type="dxa"/>
              <w:bottom w:w="60" w:type="dxa"/>
              <w:right w:w="100" w:type="dxa"/>
            </w:tcMar>
          </w:tcPr>
          <w:p w14:paraId="7557CA5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346</w:t>
            </w:r>
          </w:p>
        </w:tc>
        <w:tc>
          <w:tcPr>
            <w:tcW w:w="2094" w:type="dxa"/>
            <w:tcMar>
              <w:top w:w="60" w:type="dxa"/>
              <w:left w:w="100" w:type="dxa"/>
              <w:bottom w:w="60" w:type="dxa"/>
              <w:right w:w="100" w:type="dxa"/>
            </w:tcMar>
          </w:tcPr>
          <w:p w14:paraId="43FB5A9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Nguyen et al. 2025</w:t>
            </w:r>
          </w:p>
        </w:tc>
        <w:tc>
          <w:tcPr>
            <w:tcW w:w="4923" w:type="dxa"/>
            <w:tcMar>
              <w:top w:w="60" w:type="dxa"/>
              <w:left w:w="100" w:type="dxa"/>
              <w:bottom w:w="60" w:type="dxa"/>
              <w:right w:w="100" w:type="dxa"/>
            </w:tcMar>
          </w:tcPr>
          <w:p w14:paraId="1CCFB9D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anti-inflammatory effects of vitamin B6 on neuroinflammation and neuronal damage caused by 1,2-diacetylbenzene in BV2 microglial and sH-SY5Y cells</w:t>
            </w:r>
          </w:p>
        </w:tc>
        <w:tc>
          <w:tcPr>
            <w:tcW w:w="6537" w:type="dxa"/>
            <w:tcMar>
              <w:top w:w="60" w:type="dxa"/>
              <w:left w:w="100" w:type="dxa"/>
              <w:bottom w:w="60" w:type="dxa"/>
              <w:right w:w="100" w:type="dxa"/>
            </w:tcMar>
          </w:tcPr>
          <w:p w14:paraId="681A06A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Wrong population - in vitro.</w:t>
            </w:r>
          </w:p>
        </w:tc>
      </w:tr>
      <w:tr w:rsidR="00EA496D" w:rsidRPr="00F56AD6" w14:paraId="68166122" w14:textId="77777777" w:rsidTr="00EA496D">
        <w:tc>
          <w:tcPr>
            <w:tcW w:w="846" w:type="dxa"/>
            <w:tcMar>
              <w:top w:w="60" w:type="dxa"/>
              <w:left w:w="100" w:type="dxa"/>
              <w:bottom w:w="60" w:type="dxa"/>
              <w:right w:w="100" w:type="dxa"/>
            </w:tcMar>
          </w:tcPr>
          <w:p w14:paraId="3578691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347</w:t>
            </w:r>
          </w:p>
        </w:tc>
        <w:tc>
          <w:tcPr>
            <w:tcW w:w="2094" w:type="dxa"/>
            <w:tcMar>
              <w:top w:w="60" w:type="dxa"/>
              <w:left w:w="100" w:type="dxa"/>
              <w:bottom w:w="60" w:type="dxa"/>
              <w:right w:w="100" w:type="dxa"/>
            </w:tcMar>
          </w:tcPr>
          <w:p w14:paraId="6764653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Norton et al. 2025</w:t>
            </w:r>
          </w:p>
        </w:tc>
        <w:tc>
          <w:tcPr>
            <w:tcW w:w="4923" w:type="dxa"/>
            <w:tcMar>
              <w:top w:w="60" w:type="dxa"/>
              <w:left w:w="100" w:type="dxa"/>
              <w:bottom w:w="60" w:type="dxa"/>
              <w:right w:w="100" w:type="dxa"/>
            </w:tcMar>
          </w:tcPr>
          <w:p w14:paraId="118B718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Leucine, pyridoxine and resveratrol supplementation alter metabolic parameters in ponies with equine metabolic syndrome</w:t>
            </w:r>
          </w:p>
        </w:tc>
        <w:tc>
          <w:tcPr>
            <w:tcW w:w="6537" w:type="dxa"/>
            <w:tcMar>
              <w:top w:w="60" w:type="dxa"/>
              <w:left w:w="100" w:type="dxa"/>
              <w:bottom w:w="60" w:type="dxa"/>
              <w:right w:w="100" w:type="dxa"/>
            </w:tcMar>
          </w:tcPr>
          <w:p w14:paraId="2D8F28A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ponies benefited from pyridoxine supplementation.</w:t>
            </w:r>
          </w:p>
        </w:tc>
      </w:tr>
      <w:tr w:rsidR="00EA496D" w:rsidRPr="00F56AD6" w14:paraId="620A8537" w14:textId="77777777" w:rsidTr="00EA496D">
        <w:tc>
          <w:tcPr>
            <w:tcW w:w="846" w:type="dxa"/>
            <w:tcMar>
              <w:top w:w="60" w:type="dxa"/>
              <w:left w:w="100" w:type="dxa"/>
              <w:bottom w:w="60" w:type="dxa"/>
              <w:right w:w="100" w:type="dxa"/>
            </w:tcMar>
          </w:tcPr>
          <w:p w14:paraId="3D993B7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348</w:t>
            </w:r>
          </w:p>
        </w:tc>
        <w:tc>
          <w:tcPr>
            <w:tcW w:w="2094" w:type="dxa"/>
            <w:tcMar>
              <w:top w:w="60" w:type="dxa"/>
              <w:left w:w="100" w:type="dxa"/>
              <w:bottom w:w="60" w:type="dxa"/>
              <w:right w:w="100" w:type="dxa"/>
            </w:tcMar>
          </w:tcPr>
          <w:p w14:paraId="3A8BA74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Oikawa et al. 2022</w:t>
            </w:r>
          </w:p>
        </w:tc>
        <w:tc>
          <w:tcPr>
            <w:tcW w:w="4923" w:type="dxa"/>
            <w:tcMar>
              <w:top w:w="60" w:type="dxa"/>
              <w:left w:w="100" w:type="dxa"/>
              <w:bottom w:w="60" w:type="dxa"/>
              <w:right w:w="100" w:type="dxa"/>
            </w:tcMar>
          </w:tcPr>
          <w:p w14:paraId="1A9C9D6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(+)-Sesamin, a sesame lignan, is a potent inhibitor of gut bacterial tryptophan indole-lyase that is a key enzyme in chronic kidney disease pathogenesis</w:t>
            </w:r>
          </w:p>
        </w:tc>
        <w:tc>
          <w:tcPr>
            <w:tcW w:w="6537" w:type="dxa"/>
            <w:tcMar>
              <w:top w:w="60" w:type="dxa"/>
              <w:left w:w="100" w:type="dxa"/>
              <w:bottom w:w="60" w:type="dxa"/>
              <w:right w:w="100" w:type="dxa"/>
            </w:tcMar>
          </w:tcPr>
          <w:p w14:paraId="054FD0D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setting - pyridoxal mentioned as a binding site.</w:t>
            </w:r>
          </w:p>
        </w:tc>
      </w:tr>
      <w:tr w:rsidR="00EA496D" w:rsidRPr="00F56AD6" w14:paraId="03997593" w14:textId="77777777" w:rsidTr="00EA496D">
        <w:tc>
          <w:tcPr>
            <w:tcW w:w="846" w:type="dxa"/>
            <w:tcMar>
              <w:top w:w="60" w:type="dxa"/>
              <w:left w:w="100" w:type="dxa"/>
              <w:bottom w:w="60" w:type="dxa"/>
              <w:right w:w="100" w:type="dxa"/>
            </w:tcMar>
          </w:tcPr>
          <w:p w14:paraId="48A57E0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349</w:t>
            </w:r>
          </w:p>
        </w:tc>
        <w:tc>
          <w:tcPr>
            <w:tcW w:w="2094" w:type="dxa"/>
            <w:tcMar>
              <w:top w:w="60" w:type="dxa"/>
              <w:left w:w="100" w:type="dxa"/>
              <w:bottom w:w="60" w:type="dxa"/>
              <w:right w:w="100" w:type="dxa"/>
            </w:tcMar>
          </w:tcPr>
          <w:p w14:paraId="0FE08D5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Olaso-Gonzalez et al. 2022</w:t>
            </w:r>
          </w:p>
        </w:tc>
        <w:tc>
          <w:tcPr>
            <w:tcW w:w="4923" w:type="dxa"/>
            <w:tcMar>
              <w:top w:w="60" w:type="dxa"/>
              <w:left w:w="100" w:type="dxa"/>
              <w:bottom w:w="60" w:type="dxa"/>
              <w:right w:w="100" w:type="dxa"/>
            </w:tcMar>
          </w:tcPr>
          <w:p w14:paraId="349BF2D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Impact of supplementation with vitamins B(6) , B(12) , and/or folic acid on the reduction of homocysteine levels in patients with mild cognitive impairment: A systematic review</w:t>
            </w:r>
          </w:p>
        </w:tc>
        <w:tc>
          <w:tcPr>
            <w:tcW w:w="6537" w:type="dxa"/>
            <w:tcMar>
              <w:top w:w="60" w:type="dxa"/>
              <w:left w:w="100" w:type="dxa"/>
              <w:bottom w:w="60" w:type="dxa"/>
              <w:right w:w="100" w:type="dxa"/>
            </w:tcMar>
          </w:tcPr>
          <w:p w14:paraId="5DBF011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may reduce homocysteine levels which would be beneficial.</w:t>
            </w:r>
          </w:p>
        </w:tc>
      </w:tr>
      <w:tr w:rsidR="00EA496D" w:rsidRPr="00F56AD6" w14:paraId="61A03DC1" w14:textId="77777777" w:rsidTr="00EA496D">
        <w:tc>
          <w:tcPr>
            <w:tcW w:w="846" w:type="dxa"/>
            <w:tcMar>
              <w:top w:w="60" w:type="dxa"/>
              <w:left w:w="100" w:type="dxa"/>
              <w:bottom w:w="60" w:type="dxa"/>
              <w:right w:w="100" w:type="dxa"/>
            </w:tcMar>
          </w:tcPr>
          <w:p w14:paraId="31402DF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350</w:t>
            </w:r>
          </w:p>
        </w:tc>
        <w:tc>
          <w:tcPr>
            <w:tcW w:w="2094" w:type="dxa"/>
            <w:tcMar>
              <w:top w:w="60" w:type="dxa"/>
              <w:left w:w="100" w:type="dxa"/>
              <w:bottom w:w="60" w:type="dxa"/>
              <w:right w:w="100" w:type="dxa"/>
            </w:tcMar>
          </w:tcPr>
          <w:p w14:paraId="062F507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Ong et al. 2025</w:t>
            </w:r>
          </w:p>
        </w:tc>
        <w:tc>
          <w:tcPr>
            <w:tcW w:w="4923" w:type="dxa"/>
            <w:tcMar>
              <w:top w:w="60" w:type="dxa"/>
              <w:left w:w="100" w:type="dxa"/>
              <w:bottom w:w="60" w:type="dxa"/>
              <w:right w:w="100" w:type="dxa"/>
            </w:tcMar>
          </w:tcPr>
          <w:p w14:paraId="602EBDD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Deprescribing vitamin B6 in a Singapore community hospital</w:t>
            </w:r>
          </w:p>
        </w:tc>
        <w:tc>
          <w:tcPr>
            <w:tcW w:w="6537" w:type="dxa"/>
            <w:tcMar>
              <w:top w:w="60" w:type="dxa"/>
              <w:left w:w="100" w:type="dxa"/>
              <w:bottom w:w="60" w:type="dxa"/>
              <w:right w:w="100" w:type="dxa"/>
            </w:tcMar>
          </w:tcPr>
          <w:p w14:paraId="7C36E94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focus is on reducing the pill burden (and cost) from overprescribing B6.</w:t>
            </w:r>
          </w:p>
        </w:tc>
      </w:tr>
      <w:tr w:rsidR="00EA496D" w:rsidRPr="00F56AD6" w14:paraId="6B62707B" w14:textId="77777777" w:rsidTr="00EA496D">
        <w:tc>
          <w:tcPr>
            <w:tcW w:w="846" w:type="dxa"/>
            <w:tcMar>
              <w:top w:w="60" w:type="dxa"/>
              <w:left w:w="100" w:type="dxa"/>
              <w:bottom w:w="60" w:type="dxa"/>
              <w:right w:w="100" w:type="dxa"/>
            </w:tcMar>
          </w:tcPr>
          <w:p w14:paraId="5B6E03C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351</w:t>
            </w:r>
          </w:p>
        </w:tc>
        <w:tc>
          <w:tcPr>
            <w:tcW w:w="2094" w:type="dxa"/>
            <w:tcMar>
              <w:top w:w="60" w:type="dxa"/>
              <w:left w:w="100" w:type="dxa"/>
              <w:bottom w:w="60" w:type="dxa"/>
              <w:right w:w="100" w:type="dxa"/>
            </w:tcMar>
          </w:tcPr>
          <w:p w14:paraId="2693F45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Ortega et al. 2025</w:t>
            </w:r>
          </w:p>
        </w:tc>
        <w:tc>
          <w:tcPr>
            <w:tcW w:w="4923" w:type="dxa"/>
            <w:tcMar>
              <w:top w:w="60" w:type="dxa"/>
              <w:left w:w="100" w:type="dxa"/>
              <w:bottom w:w="60" w:type="dxa"/>
              <w:right w:w="100" w:type="dxa"/>
            </w:tcMar>
          </w:tcPr>
          <w:p w14:paraId="15124C0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[Nutrition in improving sleep quality and fighting insomnia]</w:t>
            </w:r>
          </w:p>
        </w:tc>
        <w:tc>
          <w:tcPr>
            <w:tcW w:w="6537" w:type="dxa"/>
            <w:tcMar>
              <w:top w:w="60" w:type="dxa"/>
              <w:left w:w="100" w:type="dxa"/>
              <w:bottom w:w="60" w:type="dxa"/>
              <w:right w:w="100" w:type="dxa"/>
            </w:tcMar>
          </w:tcPr>
          <w:p w14:paraId="79FC9EB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adequate pyridoxine can help prevent sleep disturbance.</w:t>
            </w:r>
          </w:p>
        </w:tc>
      </w:tr>
      <w:tr w:rsidR="00EA496D" w:rsidRPr="00F56AD6" w14:paraId="62C6158D" w14:textId="77777777" w:rsidTr="00EA496D">
        <w:tc>
          <w:tcPr>
            <w:tcW w:w="846" w:type="dxa"/>
            <w:tcMar>
              <w:top w:w="60" w:type="dxa"/>
              <w:left w:w="100" w:type="dxa"/>
              <w:bottom w:w="60" w:type="dxa"/>
              <w:right w:w="100" w:type="dxa"/>
            </w:tcMar>
          </w:tcPr>
          <w:p w14:paraId="3A8204F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352</w:t>
            </w:r>
          </w:p>
        </w:tc>
        <w:tc>
          <w:tcPr>
            <w:tcW w:w="2094" w:type="dxa"/>
            <w:tcMar>
              <w:top w:w="60" w:type="dxa"/>
              <w:left w:w="100" w:type="dxa"/>
              <w:bottom w:w="60" w:type="dxa"/>
              <w:right w:w="100" w:type="dxa"/>
            </w:tcMar>
          </w:tcPr>
          <w:p w14:paraId="290528F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Oto et al. 2024</w:t>
            </w:r>
          </w:p>
        </w:tc>
        <w:tc>
          <w:tcPr>
            <w:tcW w:w="4923" w:type="dxa"/>
            <w:tcMar>
              <w:top w:w="60" w:type="dxa"/>
              <w:left w:w="100" w:type="dxa"/>
              <w:bottom w:w="60" w:type="dxa"/>
              <w:right w:w="100" w:type="dxa"/>
            </w:tcMar>
          </w:tcPr>
          <w:p w14:paraId="460125C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case report of odonto-hypophosphatasia with a novel variant in the ALPL gene</w:t>
            </w:r>
          </w:p>
        </w:tc>
        <w:tc>
          <w:tcPr>
            <w:tcW w:w="6537" w:type="dxa"/>
            <w:tcMar>
              <w:top w:w="60" w:type="dxa"/>
              <w:left w:w="100" w:type="dxa"/>
              <w:bottom w:w="60" w:type="dxa"/>
              <w:right w:w="100" w:type="dxa"/>
            </w:tcMar>
          </w:tcPr>
          <w:p w14:paraId="351431C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pLP (pyridoxal) was a biomarker measurement.</w:t>
            </w:r>
          </w:p>
        </w:tc>
      </w:tr>
      <w:tr w:rsidR="00EA496D" w:rsidRPr="00F56AD6" w14:paraId="2C4C9AB2" w14:textId="77777777" w:rsidTr="00EA496D">
        <w:tc>
          <w:tcPr>
            <w:tcW w:w="846" w:type="dxa"/>
            <w:tcMar>
              <w:top w:w="60" w:type="dxa"/>
              <w:left w:w="100" w:type="dxa"/>
              <w:bottom w:w="60" w:type="dxa"/>
              <w:right w:w="100" w:type="dxa"/>
            </w:tcMar>
          </w:tcPr>
          <w:p w14:paraId="6435AAE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353</w:t>
            </w:r>
          </w:p>
        </w:tc>
        <w:tc>
          <w:tcPr>
            <w:tcW w:w="2094" w:type="dxa"/>
            <w:tcMar>
              <w:top w:w="60" w:type="dxa"/>
              <w:left w:w="100" w:type="dxa"/>
              <w:bottom w:w="60" w:type="dxa"/>
              <w:right w:w="100" w:type="dxa"/>
            </w:tcMar>
          </w:tcPr>
          <w:p w14:paraId="79EA09E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Ouyang et al. 2024</w:t>
            </w:r>
          </w:p>
        </w:tc>
        <w:tc>
          <w:tcPr>
            <w:tcW w:w="4923" w:type="dxa"/>
            <w:tcMar>
              <w:top w:w="60" w:type="dxa"/>
              <w:left w:w="100" w:type="dxa"/>
              <w:bottom w:w="60" w:type="dxa"/>
              <w:right w:w="100" w:type="dxa"/>
            </w:tcMar>
          </w:tcPr>
          <w:p w14:paraId="2289CBC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 xml:space="preserve">Dietary vitamin B6 supplementation alleviates heat stress-induced intestinal barrier impairment by </w:t>
            </w:r>
            <w:r w:rsidRPr="00F56AD6">
              <w:rPr>
                <w:rFonts w:asciiTheme="minorHAnsi" w:hAnsiTheme="minorHAnsi" w:cstheme="minorHAnsi"/>
                <w:sz w:val="20"/>
              </w:rPr>
              <w:lastRenderedPageBreak/>
              <w:t>regulating the gut microbiota and metabolites in broilers</w:t>
            </w:r>
          </w:p>
        </w:tc>
        <w:tc>
          <w:tcPr>
            <w:tcW w:w="6537" w:type="dxa"/>
            <w:tcMar>
              <w:top w:w="60" w:type="dxa"/>
              <w:left w:w="100" w:type="dxa"/>
              <w:bottom w:w="60" w:type="dxa"/>
              <w:right w:w="100" w:type="dxa"/>
            </w:tcMar>
          </w:tcPr>
          <w:p w14:paraId="1B5BD02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Excluded due to wrong outcome: no relevant adverse health effect for vitamin B6 toxicity was reported; B6 can alleviate heat - stress induced symptoms.</w:t>
            </w:r>
          </w:p>
        </w:tc>
      </w:tr>
      <w:tr w:rsidR="00EA496D" w:rsidRPr="00F56AD6" w14:paraId="78B9EEC5" w14:textId="77777777" w:rsidTr="00EA496D">
        <w:tc>
          <w:tcPr>
            <w:tcW w:w="846" w:type="dxa"/>
            <w:tcMar>
              <w:top w:w="60" w:type="dxa"/>
              <w:left w:w="100" w:type="dxa"/>
              <w:bottom w:w="60" w:type="dxa"/>
              <w:right w:w="100" w:type="dxa"/>
            </w:tcMar>
          </w:tcPr>
          <w:p w14:paraId="11D7593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354</w:t>
            </w:r>
          </w:p>
        </w:tc>
        <w:tc>
          <w:tcPr>
            <w:tcW w:w="2094" w:type="dxa"/>
            <w:tcMar>
              <w:top w:w="60" w:type="dxa"/>
              <w:left w:w="100" w:type="dxa"/>
              <w:bottom w:w="60" w:type="dxa"/>
              <w:right w:w="100" w:type="dxa"/>
            </w:tcMar>
          </w:tcPr>
          <w:p w14:paraId="0D85349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Ozgodek et al. 2026</w:t>
            </w:r>
          </w:p>
        </w:tc>
        <w:tc>
          <w:tcPr>
            <w:tcW w:w="4923" w:type="dxa"/>
            <w:tcMar>
              <w:top w:w="60" w:type="dxa"/>
              <w:left w:w="100" w:type="dxa"/>
              <w:bottom w:w="60" w:type="dxa"/>
              <w:right w:w="100" w:type="dxa"/>
            </w:tcMar>
          </w:tcPr>
          <w:p w14:paraId="4A3F80D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Comparative Evaluation of the Therapeutic Effects of Adenosine Triphosphate, Coenzyme Q10, Pyridoxine, and Thiamine Pyrophosphate in a Linezolid-Induced Peripheral Neuropathic Pain Model in Rats</w:t>
            </w:r>
          </w:p>
        </w:tc>
        <w:tc>
          <w:tcPr>
            <w:tcW w:w="6537" w:type="dxa"/>
            <w:tcMar>
              <w:top w:w="60" w:type="dxa"/>
              <w:left w:w="100" w:type="dxa"/>
              <w:bottom w:w="60" w:type="dxa"/>
              <w:right w:w="100" w:type="dxa"/>
            </w:tcMar>
          </w:tcPr>
          <w:p w14:paraId="013F695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partially alleviated pain from peripheral neuropathy.</w:t>
            </w:r>
          </w:p>
        </w:tc>
      </w:tr>
      <w:tr w:rsidR="00EA496D" w:rsidRPr="00F56AD6" w14:paraId="0A30242C" w14:textId="77777777" w:rsidTr="00EA496D">
        <w:tc>
          <w:tcPr>
            <w:tcW w:w="846" w:type="dxa"/>
            <w:tcMar>
              <w:top w:w="60" w:type="dxa"/>
              <w:left w:w="100" w:type="dxa"/>
              <w:bottom w:w="60" w:type="dxa"/>
              <w:right w:w="100" w:type="dxa"/>
            </w:tcMar>
          </w:tcPr>
          <w:p w14:paraId="100A018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355</w:t>
            </w:r>
          </w:p>
        </w:tc>
        <w:tc>
          <w:tcPr>
            <w:tcW w:w="2094" w:type="dxa"/>
            <w:tcMar>
              <w:top w:w="60" w:type="dxa"/>
              <w:left w:w="100" w:type="dxa"/>
              <w:bottom w:w="60" w:type="dxa"/>
              <w:right w:w="100" w:type="dxa"/>
            </w:tcMar>
          </w:tcPr>
          <w:p w14:paraId="6AE9E7D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Paez-Hurtado et al. 2023</w:t>
            </w:r>
          </w:p>
        </w:tc>
        <w:tc>
          <w:tcPr>
            <w:tcW w:w="4923" w:type="dxa"/>
            <w:tcMar>
              <w:top w:w="60" w:type="dxa"/>
              <w:left w:w="100" w:type="dxa"/>
              <w:bottom w:w="60" w:type="dxa"/>
              <w:right w:w="100" w:type="dxa"/>
            </w:tcMar>
          </w:tcPr>
          <w:p w14:paraId="2A6F313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Mechanisms of action of vitamin B1 (thiamine), B6 (pyridoxine), and B12 (cobalamin) in pain: a narrative review</w:t>
            </w:r>
          </w:p>
        </w:tc>
        <w:tc>
          <w:tcPr>
            <w:tcW w:w="6537" w:type="dxa"/>
            <w:tcMar>
              <w:top w:w="60" w:type="dxa"/>
              <w:left w:w="100" w:type="dxa"/>
              <w:bottom w:w="60" w:type="dxa"/>
              <w:right w:w="100" w:type="dxa"/>
            </w:tcMar>
          </w:tcPr>
          <w:p w14:paraId="06BFE13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as an analgesic.</w:t>
            </w:r>
          </w:p>
        </w:tc>
      </w:tr>
      <w:tr w:rsidR="00EA496D" w:rsidRPr="00F56AD6" w14:paraId="63B0F956" w14:textId="77777777" w:rsidTr="00EA496D">
        <w:tc>
          <w:tcPr>
            <w:tcW w:w="846" w:type="dxa"/>
            <w:tcMar>
              <w:top w:w="60" w:type="dxa"/>
              <w:left w:w="100" w:type="dxa"/>
              <w:bottom w:w="60" w:type="dxa"/>
              <w:right w:w="100" w:type="dxa"/>
            </w:tcMar>
          </w:tcPr>
          <w:p w14:paraId="73E8650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356</w:t>
            </w:r>
          </w:p>
        </w:tc>
        <w:tc>
          <w:tcPr>
            <w:tcW w:w="2094" w:type="dxa"/>
            <w:tcMar>
              <w:top w:w="60" w:type="dxa"/>
              <w:left w:w="100" w:type="dxa"/>
              <w:bottom w:w="60" w:type="dxa"/>
              <w:right w:w="100" w:type="dxa"/>
            </w:tcMar>
          </w:tcPr>
          <w:p w14:paraId="3577B9F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Pages-García et al. 2024</w:t>
            </w:r>
          </w:p>
        </w:tc>
        <w:tc>
          <w:tcPr>
            <w:tcW w:w="4923" w:type="dxa"/>
            <w:tcMar>
              <w:top w:w="60" w:type="dxa"/>
              <w:left w:w="100" w:type="dxa"/>
              <w:bottom w:w="60" w:type="dxa"/>
              <w:right w:w="100" w:type="dxa"/>
            </w:tcMar>
          </w:tcPr>
          <w:p w14:paraId="4D263A6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Effectiveness of a Saffron and Withania Supplement on Mood in Women With Mild-to-Moderate Anxiety During the COVID-19 Lockdown</w:t>
            </w:r>
          </w:p>
        </w:tc>
        <w:tc>
          <w:tcPr>
            <w:tcW w:w="6537" w:type="dxa"/>
            <w:tcMar>
              <w:top w:w="60" w:type="dxa"/>
              <w:left w:w="100" w:type="dxa"/>
              <w:bottom w:w="60" w:type="dxa"/>
              <w:right w:w="100" w:type="dxa"/>
            </w:tcMar>
          </w:tcPr>
          <w:p w14:paraId="4E9C77E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helped reduce anxiety.</w:t>
            </w:r>
          </w:p>
        </w:tc>
      </w:tr>
      <w:tr w:rsidR="00EA496D" w:rsidRPr="00F56AD6" w14:paraId="1563DC38" w14:textId="77777777" w:rsidTr="00EA496D">
        <w:tc>
          <w:tcPr>
            <w:tcW w:w="846" w:type="dxa"/>
            <w:tcMar>
              <w:top w:w="60" w:type="dxa"/>
              <w:left w:w="100" w:type="dxa"/>
              <w:bottom w:w="60" w:type="dxa"/>
              <w:right w:w="100" w:type="dxa"/>
            </w:tcMar>
          </w:tcPr>
          <w:p w14:paraId="175A545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357</w:t>
            </w:r>
          </w:p>
        </w:tc>
        <w:tc>
          <w:tcPr>
            <w:tcW w:w="2094" w:type="dxa"/>
            <w:tcMar>
              <w:top w:w="60" w:type="dxa"/>
              <w:left w:w="100" w:type="dxa"/>
              <w:bottom w:w="60" w:type="dxa"/>
              <w:right w:w="100" w:type="dxa"/>
            </w:tcMar>
          </w:tcPr>
          <w:p w14:paraId="7F61C63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Pande et al. 2025</w:t>
            </w:r>
          </w:p>
        </w:tc>
        <w:tc>
          <w:tcPr>
            <w:tcW w:w="4923" w:type="dxa"/>
            <w:tcMar>
              <w:top w:w="60" w:type="dxa"/>
              <w:left w:w="100" w:type="dxa"/>
              <w:bottom w:w="60" w:type="dxa"/>
              <w:right w:w="100" w:type="dxa"/>
            </w:tcMar>
          </w:tcPr>
          <w:p w14:paraId="64FD686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Novel Homozygous MTHFR Variant Causing Homocystinuria: Subtle Phenotypic Clues in Carriers</w:t>
            </w:r>
          </w:p>
        </w:tc>
        <w:tc>
          <w:tcPr>
            <w:tcW w:w="6537" w:type="dxa"/>
            <w:tcMar>
              <w:top w:w="60" w:type="dxa"/>
              <w:left w:w="100" w:type="dxa"/>
              <w:bottom w:w="60" w:type="dxa"/>
              <w:right w:w="100" w:type="dxa"/>
            </w:tcMar>
          </w:tcPr>
          <w:p w14:paraId="689ACAD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management included pyridoxine therapy.</w:t>
            </w:r>
          </w:p>
        </w:tc>
      </w:tr>
      <w:tr w:rsidR="00EA496D" w:rsidRPr="00F56AD6" w14:paraId="0015C681" w14:textId="77777777" w:rsidTr="00EA496D">
        <w:tc>
          <w:tcPr>
            <w:tcW w:w="846" w:type="dxa"/>
            <w:tcMar>
              <w:top w:w="60" w:type="dxa"/>
              <w:left w:w="100" w:type="dxa"/>
              <w:bottom w:w="60" w:type="dxa"/>
              <w:right w:w="100" w:type="dxa"/>
            </w:tcMar>
          </w:tcPr>
          <w:p w14:paraId="3304027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358</w:t>
            </w:r>
          </w:p>
        </w:tc>
        <w:tc>
          <w:tcPr>
            <w:tcW w:w="2094" w:type="dxa"/>
            <w:tcMar>
              <w:top w:w="60" w:type="dxa"/>
              <w:left w:w="100" w:type="dxa"/>
              <w:bottom w:w="60" w:type="dxa"/>
              <w:right w:w="100" w:type="dxa"/>
            </w:tcMar>
          </w:tcPr>
          <w:p w14:paraId="3BDFA34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Panteghini 2025</w:t>
            </w:r>
          </w:p>
        </w:tc>
        <w:tc>
          <w:tcPr>
            <w:tcW w:w="4923" w:type="dxa"/>
            <w:tcMar>
              <w:top w:w="60" w:type="dxa"/>
              <w:left w:w="100" w:type="dxa"/>
              <w:bottom w:w="60" w:type="dxa"/>
              <w:right w:w="100" w:type="dxa"/>
            </w:tcMar>
          </w:tcPr>
          <w:p w14:paraId="0D8824B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Supplementation of pyridoxal-5'-phosphate in aminotransferase reagents: a matter of patient safety</w:t>
            </w:r>
          </w:p>
        </w:tc>
        <w:tc>
          <w:tcPr>
            <w:tcW w:w="6537" w:type="dxa"/>
            <w:tcMar>
              <w:top w:w="60" w:type="dxa"/>
              <w:left w:w="100" w:type="dxa"/>
              <w:bottom w:w="60" w:type="dxa"/>
              <w:right w:w="100" w:type="dxa"/>
            </w:tcMar>
          </w:tcPr>
          <w:p w14:paraId="3AF5BB0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supplementation of B6 is essential in aminotransferase reagents.</w:t>
            </w:r>
          </w:p>
        </w:tc>
      </w:tr>
      <w:tr w:rsidR="00EA496D" w:rsidRPr="00F56AD6" w14:paraId="2379C9C3" w14:textId="77777777" w:rsidTr="00EA496D">
        <w:tc>
          <w:tcPr>
            <w:tcW w:w="846" w:type="dxa"/>
            <w:tcMar>
              <w:top w:w="60" w:type="dxa"/>
              <w:left w:w="100" w:type="dxa"/>
              <w:bottom w:w="60" w:type="dxa"/>
              <w:right w:w="100" w:type="dxa"/>
            </w:tcMar>
          </w:tcPr>
          <w:p w14:paraId="5E6D021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359</w:t>
            </w:r>
          </w:p>
        </w:tc>
        <w:tc>
          <w:tcPr>
            <w:tcW w:w="2094" w:type="dxa"/>
            <w:tcMar>
              <w:top w:w="60" w:type="dxa"/>
              <w:left w:w="100" w:type="dxa"/>
              <w:bottom w:w="60" w:type="dxa"/>
              <w:right w:w="100" w:type="dxa"/>
            </w:tcMar>
          </w:tcPr>
          <w:p w14:paraId="16F684F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Park et al. 2025</w:t>
            </w:r>
          </w:p>
        </w:tc>
        <w:tc>
          <w:tcPr>
            <w:tcW w:w="4923" w:type="dxa"/>
            <w:tcMar>
              <w:top w:w="60" w:type="dxa"/>
              <w:left w:w="100" w:type="dxa"/>
              <w:bottom w:w="60" w:type="dxa"/>
              <w:right w:w="100" w:type="dxa"/>
            </w:tcMar>
          </w:tcPr>
          <w:p w14:paraId="0A5830A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 Between Dietary Intake and Blood Concentrations of One-Carbon-Metabolism-Related Nutrients in European Prospective Investigation into Cancer and Nutrition</w:t>
            </w:r>
          </w:p>
        </w:tc>
        <w:tc>
          <w:tcPr>
            <w:tcW w:w="6537" w:type="dxa"/>
            <w:tcMar>
              <w:top w:w="60" w:type="dxa"/>
              <w:left w:w="100" w:type="dxa"/>
              <w:bottom w:w="60" w:type="dxa"/>
              <w:right w:w="100" w:type="dxa"/>
            </w:tcMar>
          </w:tcPr>
          <w:p w14:paraId="744F5B9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diet influences B6 levels in the blood.</w:t>
            </w:r>
          </w:p>
        </w:tc>
      </w:tr>
      <w:tr w:rsidR="00EA496D" w:rsidRPr="00F56AD6" w14:paraId="19C92A69" w14:textId="77777777" w:rsidTr="00EA496D">
        <w:tc>
          <w:tcPr>
            <w:tcW w:w="846" w:type="dxa"/>
            <w:tcMar>
              <w:top w:w="60" w:type="dxa"/>
              <w:left w:w="100" w:type="dxa"/>
              <w:bottom w:w="60" w:type="dxa"/>
              <w:right w:w="100" w:type="dxa"/>
            </w:tcMar>
          </w:tcPr>
          <w:p w14:paraId="123DF4E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360</w:t>
            </w:r>
          </w:p>
        </w:tc>
        <w:tc>
          <w:tcPr>
            <w:tcW w:w="2094" w:type="dxa"/>
            <w:tcMar>
              <w:top w:w="60" w:type="dxa"/>
              <w:left w:w="100" w:type="dxa"/>
              <w:bottom w:w="60" w:type="dxa"/>
              <w:right w:w="100" w:type="dxa"/>
            </w:tcMar>
          </w:tcPr>
          <w:p w14:paraId="6DE97BE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Paruthi et al. 2025</w:t>
            </w:r>
          </w:p>
        </w:tc>
        <w:tc>
          <w:tcPr>
            <w:tcW w:w="4923" w:type="dxa"/>
            <w:tcMar>
              <w:top w:w="60" w:type="dxa"/>
              <w:left w:w="100" w:type="dxa"/>
              <w:bottom w:w="60" w:type="dxa"/>
              <w:right w:w="100" w:type="dxa"/>
            </w:tcMar>
          </w:tcPr>
          <w:p w14:paraId="3142AD3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Acute vision loss associated with vincristine therapy in T cell lymphoma</w:t>
            </w:r>
          </w:p>
        </w:tc>
        <w:tc>
          <w:tcPr>
            <w:tcW w:w="6537" w:type="dxa"/>
            <w:tcMar>
              <w:top w:w="60" w:type="dxa"/>
              <w:left w:w="100" w:type="dxa"/>
              <w:bottom w:w="60" w:type="dxa"/>
              <w:right w:w="100" w:type="dxa"/>
            </w:tcMar>
          </w:tcPr>
          <w:p w14:paraId="65FC43F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had therapeutic effect.</w:t>
            </w:r>
          </w:p>
        </w:tc>
      </w:tr>
      <w:tr w:rsidR="00EA496D" w:rsidRPr="00F56AD6" w14:paraId="762B5833" w14:textId="77777777" w:rsidTr="00EA496D">
        <w:tc>
          <w:tcPr>
            <w:tcW w:w="846" w:type="dxa"/>
            <w:tcMar>
              <w:top w:w="60" w:type="dxa"/>
              <w:left w:w="100" w:type="dxa"/>
              <w:bottom w:w="60" w:type="dxa"/>
              <w:right w:w="100" w:type="dxa"/>
            </w:tcMar>
          </w:tcPr>
          <w:p w14:paraId="556CCE6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361</w:t>
            </w:r>
          </w:p>
        </w:tc>
        <w:tc>
          <w:tcPr>
            <w:tcW w:w="2094" w:type="dxa"/>
            <w:tcMar>
              <w:top w:w="60" w:type="dxa"/>
              <w:left w:w="100" w:type="dxa"/>
              <w:bottom w:w="60" w:type="dxa"/>
              <w:right w:w="100" w:type="dxa"/>
            </w:tcMar>
          </w:tcPr>
          <w:p w14:paraId="4A36C0C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Patel et al. 2025</w:t>
            </w:r>
          </w:p>
        </w:tc>
        <w:tc>
          <w:tcPr>
            <w:tcW w:w="4923" w:type="dxa"/>
            <w:tcMar>
              <w:top w:w="60" w:type="dxa"/>
              <w:left w:w="100" w:type="dxa"/>
              <w:bottom w:w="60" w:type="dxa"/>
              <w:right w:w="100" w:type="dxa"/>
            </w:tcMar>
          </w:tcPr>
          <w:p w14:paraId="318E3BB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Neuropsychiatric manifestations after gastric bypass progressing to status epilepticus resolving with pyridoxine: a case report and literature review</w:t>
            </w:r>
          </w:p>
        </w:tc>
        <w:tc>
          <w:tcPr>
            <w:tcW w:w="6537" w:type="dxa"/>
            <w:tcMar>
              <w:top w:w="60" w:type="dxa"/>
              <w:left w:w="100" w:type="dxa"/>
              <w:bottom w:w="60" w:type="dxa"/>
              <w:right w:w="100" w:type="dxa"/>
            </w:tcMar>
          </w:tcPr>
          <w:p w14:paraId="3896399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was vital in alleviating neuropsychiatric symptoms.</w:t>
            </w:r>
          </w:p>
        </w:tc>
      </w:tr>
      <w:tr w:rsidR="00EA496D" w:rsidRPr="00F56AD6" w14:paraId="6C511809" w14:textId="77777777" w:rsidTr="00EA496D">
        <w:tc>
          <w:tcPr>
            <w:tcW w:w="846" w:type="dxa"/>
            <w:tcMar>
              <w:top w:w="60" w:type="dxa"/>
              <w:left w:w="100" w:type="dxa"/>
              <w:bottom w:w="60" w:type="dxa"/>
              <w:right w:w="100" w:type="dxa"/>
            </w:tcMar>
          </w:tcPr>
          <w:p w14:paraId="77E3854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362</w:t>
            </w:r>
          </w:p>
        </w:tc>
        <w:tc>
          <w:tcPr>
            <w:tcW w:w="2094" w:type="dxa"/>
            <w:tcMar>
              <w:top w:w="60" w:type="dxa"/>
              <w:left w:w="100" w:type="dxa"/>
              <w:bottom w:w="60" w:type="dxa"/>
              <w:right w:w="100" w:type="dxa"/>
            </w:tcMar>
          </w:tcPr>
          <w:p w14:paraId="6E7CCC3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Pavlak et al. 2024</w:t>
            </w:r>
          </w:p>
        </w:tc>
        <w:tc>
          <w:tcPr>
            <w:tcW w:w="4923" w:type="dxa"/>
            <w:tcMar>
              <w:top w:w="60" w:type="dxa"/>
              <w:left w:w="100" w:type="dxa"/>
              <w:bottom w:w="60" w:type="dxa"/>
              <w:right w:w="100" w:type="dxa"/>
            </w:tcMar>
          </w:tcPr>
          <w:p w14:paraId="44B3F2B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Dietary Intake of Micronutrients and Use of Vitamin and/or Mineral Supplements: Brazilian National Food Survey</w:t>
            </w:r>
          </w:p>
        </w:tc>
        <w:tc>
          <w:tcPr>
            <w:tcW w:w="6537" w:type="dxa"/>
            <w:tcMar>
              <w:top w:w="60" w:type="dxa"/>
              <w:left w:w="100" w:type="dxa"/>
              <w:bottom w:w="60" w:type="dxa"/>
              <w:right w:w="100" w:type="dxa"/>
            </w:tcMar>
          </w:tcPr>
          <w:p w14:paraId="4674078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found that people who use supplements are usually the ones with the best dietary intake already anyway.</w:t>
            </w:r>
          </w:p>
        </w:tc>
      </w:tr>
      <w:tr w:rsidR="00EA496D" w:rsidRPr="00F56AD6" w14:paraId="594DD5F2" w14:textId="77777777" w:rsidTr="00EA496D">
        <w:tc>
          <w:tcPr>
            <w:tcW w:w="846" w:type="dxa"/>
            <w:tcMar>
              <w:top w:w="60" w:type="dxa"/>
              <w:left w:w="100" w:type="dxa"/>
              <w:bottom w:w="60" w:type="dxa"/>
              <w:right w:w="100" w:type="dxa"/>
            </w:tcMar>
          </w:tcPr>
          <w:p w14:paraId="7E13FD3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363</w:t>
            </w:r>
          </w:p>
        </w:tc>
        <w:tc>
          <w:tcPr>
            <w:tcW w:w="2094" w:type="dxa"/>
            <w:tcMar>
              <w:top w:w="60" w:type="dxa"/>
              <w:left w:w="100" w:type="dxa"/>
              <w:bottom w:w="60" w:type="dxa"/>
              <w:right w:w="100" w:type="dxa"/>
            </w:tcMar>
          </w:tcPr>
          <w:p w14:paraId="5FE7039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Paxhia 2022</w:t>
            </w:r>
          </w:p>
        </w:tc>
        <w:tc>
          <w:tcPr>
            <w:tcW w:w="4923" w:type="dxa"/>
            <w:tcMar>
              <w:top w:w="60" w:type="dxa"/>
              <w:left w:w="100" w:type="dxa"/>
              <w:bottom w:w="60" w:type="dxa"/>
              <w:right w:w="100" w:type="dxa"/>
            </w:tcMar>
          </w:tcPr>
          <w:p w14:paraId="3C82CB5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Pyridoxal and α-Ketoglutarate Independently Improve Function of Saccharomyces cerevisiae Thi5 in the Metabolic Network of Salmonella enterica</w:t>
            </w:r>
          </w:p>
        </w:tc>
        <w:tc>
          <w:tcPr>
            <w:tcW w:w="6537" w:type="dxa"/>
            <w:tcMar>
              <w:top w:w="60" w:type="dxa"/>
              <w:left w:w="100" w:type="dxa"/>
              <w:bottom w:w="60" w:type="dxa"/>
              <w:right w:w="100" w:type="dxa"/>
            </w:tcMar>
          </w:tcPr>
          <w:p w14:paraId="00BFCDF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pyridoxine improved function of Thi5 so it was beneficial.</w:t>
            </w:r>
          </w:p>
        </w:tc>
      </w:tr>
      <w:tr w:rsidR="00EA496D" w:rsidRPr="00F56AD6" w14:paraId="7E748E23" w14:textId="77777777" w:rsidTr="00EA496D">
        <w:tc>
          <w:tcPr>
            <w:tcW w:w="846" w:type="dxa"/>
            <w:tcMar>
              <w:top w:w="60" w:type="dxa"/>
              <w:left w:w="100" w:type="dxa"/>
              <w:bottom w:w="60" w:type="dxa"/>
              <w:right w:w="100" w:type="dxa"/>
            </w:tcMar>
          </w:tcPr>
          <w:p w14:paraId="1A1594D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364</w:t>
            </w:r>
          </w:p>
        </w:tc>
        <w:tc>
          <w:tcPr>
            <w:tcW w:w="2094" w:type="dxa"/>
            <w:tcMar>
              <w:top w:w="60" w:type="dxa"/>
              <w:left w:w="100" w:type="dxa"/>
              <w:bottom w:w="60" w:type="dxa"/>
              <w:right w:w="100" w:type="dxa"/>
            </w:tcMar>
          </w:tcPr>
          <w:p w14:paraId="48FC891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Peruzzi 2025</w:t>
            </w:r>
          </w:p>
        </w:tc>
        <w:tc>
          <w:tcPr>
            <w:tcW w:w="4923" w:type="dxa"/>
            <w:tcMar>
              <w:top w:w="60" w:type="dxa"/>
              <w:left w:w="100" w:type="dxa"/>
              <w:bottom w:w="60" w:type="dxa"/>
              <w:right w:w="100" w:type="dxa"/>
            </w:tcMar>
          </w:tcPr>
          <w:p w14:paraId="1B24615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Lumasiran at birth changes the trajectory of primary hyperoxaluria type 1: same disease, different outcomes in two affected siblings</w:t>
            </w:r>
          </w:p>
        </w:tc>
        <w:tc>
          <w:tcPr>
            <w:tcW w:w="6537" w:type="dxa"/>
            <w:tcMar>
              <w:top w:w="60" w:type="dxa"/>
              <w:left w:w="100" w:type="dxa"/>
              <w:bottom w:w="60" w:type="dxa"/>
              <w:right w:w="100" w:type="dxa"/>
            </w:tcMar>
          </w:tcPr>
          <w:p w14:paraId="5DB8327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vitamin B6 not mentioned.</w:t>
            </w:r>
          </w:p>
        </w:tc>
      </w:tr>
      <w:tr w:rsidR="00EA496D" w:rsidRPr="00F56AD6" w14:paraId="12572874" w14:textId="77777777" w:rsidTr="00EA496D">
        <w:tc>
          <w:tcPr>
            <w:tcW w:w="846" w:type="dxa"/>
            <w:tcMar>
              <w:top w:w="60" w:type="dxa"/>
              <w:left w:w="100" w:type="dxa"/>
              <w:bottom w:w="60" w:type="dxa"/>
              <w:right w:w="100" w:type="dxa"/>
            </w:tcMar>
          </w:tcPr>
          <w:p w14:paraId="587DDA8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365</w:t>
            </w:r>
          </w:p>
        </w:tc>
        <w:tc>
          <w:tcPr>
            <w:tcW w:w="2094" w:type="dxa"/>
            <w:tcMar>
              <w:top w:w="60" w:type="dxa"/>
              <w:left w:w="100" w:type="dxa"/>
              <w:bottom w:w="60" w:type="dxa"/>
              <w:right w:w="100" w:type="dxa"/>
            </w:tcMar>
          </w:tcPr>
          <w:p w14:paraId="6F35A37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Petersen et al. 2023</w:t>
            </w:r>
          </w:p>
        </w:tc>
        <w:tc>
          <w:tcPr>
            <w:tcW w:w="4923" w:type="dxa"/>
            <w:tcMar>
              <w:top w:w="60" w:type="dxa"/>
              <w:left w:w="100" w:type="dxa"/>
              <w:bottom w:w="60" w:type="dxa"/>
              <w:right w:w="100" w:type="dxa"/>
            </w:tcMar>
          </w:tcPr>
          <w:p w14:paraId="77CDFDE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Periconceptional intakes of methyl donors and other micronutrients involved in one-carbon metabolism may further reduce the risk of neural tube defects in offspring: a United States population-based case-control study of women meeting the folic acid recom</w:t>
            </w:r>
          </w:p>
        </w:tc>
        <w:tc>
          <w:tcPr>
            <w:tcW w:w="6537" w:type="dxa"/>
            <w:tcMar>
              <w:top w:w="60" w:type="dxa"/>
              <w:left w:w="100" w:type="dxa"/>
              <w:bottom w:w="60" w:type="dxa"/>
              <w:right w:w="100" w:type="dxa"/>
            </w:tcMar>
          </w:tcPr>
          <w:p w14:paraId="34934F5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(no adverse effects from excess B60 - high doses of B6 helped reduce defects.</w:t>
            </w:r>
          </w:p>
        </w:tc>
      </w:tr>
      <w:tr w:rsidR="00EA496D" w:rsidRPr="00F56AD6" w14:paraId="340249E4" w14:textId="77777777" w:rsidTr="00EA496D">
        <w:tc>
          <w:tcPr>
            <w:tcW w:w="846" w:type="dxa"/>
            <w:tcMar>
              <w:top w:w="60" w:type="dxa"/>
              <w:left w:w="100" w:type="dxa"/>
              <w:bottom w:w="60" w:type="dxa"/>
              <w:right w:w="100" w:type="dxa"/>
            </w:tcMar>
          </w:tcPr>
          <w:p w14:paraId="34B7A2F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366</w:t>
            </w:r>
          </w:p>
        </w:tc>
        <w:tc>
          <w:tcPr>
            <w:tcW w:w="2094" w:type="dxa"/>
            <w:tcMar>
              <w:top w:w="60" w:type="dxa"/>
              <w:left w:w="100" w:type="dxa"/>
              <w:bottom w:w="60" w:type="dxa"/>
              <w:right w:w="100" w:type="dxa"/>
            </w:tcMar>
          </w:tcPr>
          <w:p w14:paraId="03F29EE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Pfeiffer et al. 2022</w:t>
            </w:r>
          </w:p>
        </w:tc>
        <w:tc>
          <w:tcPr>
            <w:tcW w:w="4923" w:type="dxa"/>
            <w:tcMar>
              <w:top w:w="60" w:type="dxa"/>
              <w:left w:w="100" w:type="dxa"/>
              <w:bottom w:w="60" w:type="dxa"/>
              <w:right w:w="100" w:type="dxa"/>
            </w:tcMar>
          </w:tcPr>
          <w:p w14:paraId="0DC6522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Calmangafodipir for Prevention of Oxaliplatin-Induced Peripheral Neuropathy: Two Placebo-Controlled, Randomized Phase 3 Studies (POLAR-A/POLAR-M)</w:t>
            </w:r>
          </w:p>
        </w:tc>
        <w:tc>
          <w:tcPr>
            <w:tcW w:w="6537" w:type="dxa"/>
            <w:tcMar>
              <w:top w:w="60" w:type="dxa"/>
              <w:left w:w="100" w:type="dxa"/>
              <w:bottom w:w="60" w:type="dxa"/>
              <w:right w:w="100" w:type="dxa"/>
            </w:tcMar>
          </w:tcPr>
          <w:p w14:paraId="0C4AFE1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or otherwise lacked a relevant vitamin B6 exposure.</w:t>
            </w:r>
          </w:p>
        </w:tc>
      </w:tr>
      <w:tr w:rsidR="00EA496D" w:rsidRPr="00F56AD6" w14:paraId="0D9EB074" w14:textId="77777777" w:rsidTr="00EA496D">
        <w:tc>
          <w:tcPr>
            <w:tcW w:w="846" w:type="dxa"/>
            <w:tcMar>
              <w:top w:w="60" w:type="dxa"/>
              <w:left w:w="100" w:type="dxa"/>
              <w:bottom w:w="60" w:type="dxa"/>
              <w:right w:w="100" w:type="dxa"/>
            </w:tcMar>
          </w:tcPr>
          <w:p w14:paraId="56D976A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367</w:t>
            </w:r>
          </w:p>
        </w:tc>
        <w:tc>
          <w:tcPr>
            <w:tcW w:w="2094" w:type="dxa"/>
            <w:tcMar>
              <w:top w:w="60" w:type="dxa"/>
              <w:left w:w="100" w:type="dxa"/>
              <w:bottom w:w="60" w:type="dxa"/>
              <w:right w:w="100" w:type="dxa"/>
            </w:tcMar>
          </w:tcPr>
          <w:p w14:paraId="6FA917A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Philipp et al. 2026</w:t>
            </w:r>
          </w:p>
        </w:tc>
        <w:tc>
          <w:tcPr>
            <w:tcW w:w="4923" w:type="dxa"/>
            <w:tcMar>
              <w:top w:w="60" w:type="dxa"/>
              <w:left w:w="100" w:type="dxa"/>
              <w:bottom w:w="60" w:type="dxa"/>
              <w:right w:w="100" w:type="dxa"/>
            </w:tcMar>
          </w:tcPr>
          <w:p w14:paraId="44FCD2E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Structure-activity relationship of S-adenosylmethionine analogs as pharmacological chaperones for cystathionine beta-synthase-deficient homocystinuria</w:t>
            </w:r>
          </w:p>
        </w:tc>
        <w:tc>
          <w:tcPr>
            <w:tcW w:w="6537" w:type="dxa"/>
            <w:tcMar>
              <w:top w:w="60" w:type="dxa"/>
              <w:left w:w="100" w:type="dxa"/>
              <w:bottom w:w="60" w:type="dxa"/>
              <w:right w:w="100" w:type="dxa"/>
            </w:tcMar>
          </w:tcPr>
          <w:p w14:paraId="3233F08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alternatives to B6 supplementation.</w:t>
            </w:r>
          </w:p>
        </w:tc>
      </w:tr>
      <w:tr w:rsidR="00EA496D" w:rsidRPr="00F56AD6" w14:paraId="64ACF492" w14:textId="77777777" w:rsidTr="00EA496D">
        <w:tc>
          <w:tcPr>
            <w:tcW w:w="846" w:type="dxa"/>
            <w:tcMar>
              <w:top w:w="60" w:type="dxa"/>
              <w:left w:w="100" w:type="dxa"/>
              <w:bottom w:w="60" w:type="dxa"/>
              <w:right w:w="100" w:type="dxa"/>
            </w:tcMar>
          </w:tcPr>
          <w:p w14:paraId="1BE403F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368</w:t>
            </w:r>
          </w:p>
        </w:tc>
        <w:tc>
          <w:tcPr>
            <w:tcW w:w="2094" w:type="dxa"/>
            <w:tcMar>
              <w:top w:w="60" w:type="dxa"/>
              <w:left w:w="100" w:type="dxa"/>
              <w:bottom w:w="60" w:type="dxa"/>
              <w:right w:w="100" w:type="dxa"/>
            </w:tcMar>
          </w:tcPr>
          <w:p w14:paraId="157912E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Pilesi et al. 2023</w:t>
            </w:r>
          </w:p>
        </w:tc>
        <w:tc>
          <w:tcPr>
            <w:tcW w:w="4923" w:type="dxa"/>
            <w:tcMar>
              <w:top w:w="60" w:type="dxa"/>
              <w:left w:w="100" w:type="dxa"/>
              <w:bottom w:w="60" w:type="dxa"/>
              <w:right w:w="100" w:type="dxa"/>
            </w:tcMar>
          </w:tcPr>
          <w:p w14:paraId="60D7825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gene-nutrient interaction between vitamin B6 and serine hydroxymethyltransferase (SHMT) affects genome integrity in Drosophila</w:t>
            </w:r>
          </w:p>
        </w:tc>
        <w:tc>
          <w:tcPr>
            <w:tcW w:w="6537" w:type="dxa"/>
            <w:tcMar>
              <w:top w:w="60" w:type="dxa"/>
              <w:left w:w="100" w:type="dxa"/>
              <w:bottom w:w="60" w:type="dxa"/>
              <w:right w:w="100" w:type="dxa"/>
            </w:tcMar>
          </w:tcPr>
          <w:p w14:paraId="46AFE33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deficiency negatively effects genome integrity.</w:t>
            </w:r>
          </w:p>
        </w:tc>
      </w:tr>
      <w:tr w:rsidR="00EA496D" w:rsidRPr="00F56AD6" w14:paraId="3D31505E" w14:textId="77777777" w:rsidTr="00EA496D">
        <w:tc>
          <w:tcPr>
            <w:tcW w:w="846" w:type="dxa"/>
            <w:tcMar>
              <w:top w:w="60" w:type="dxa"/>
              <w:left w:w="100" w:type="dxa"/>
              <w:bottom w:w="60" w:type="dxa"/>
              <w:right w:w="100" w:type="dxa"/>
            </w:tcMar>
          </w:tcPr>
          <w:p w14:paraId="5A2F705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369</w:t>
            </w:r>
          </w:p>
        </w:tc>
        <w:tc>
          <w:tcPr>
            <w:tcW w:w="2094" w:type="dxa"/>
            <w:tcMar>
              <w:top w:w="60" w:type="dxa"/>
              <w:left w:w="100" w:type="dxa"/>
              <w:bottom w:w="60" w:type="dxa"/>
              <w:right w:w="100" w:type="dxa"/>
            </w:tcMar>
          </w:tcPr>
          <w:p w14:paraId="68F5714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Pilesi et al. 2024</w:t>
            </w:r>
          </w:p>
        </w:tc>
        <w:tc>
          <w:tcPr>
            <w:tcW w:w="4923" w:type="dxa"/>
            <w:tcMar>
              <w:top w:w="60" w:type="dxa"/>
              <w:left w:w="100" w:type="dxa"/>
              <w:bottom w:w="60" w:type="dxa"/>
              <w:right w:w="100" w:type="dxa"/>
            </w:tcMar>
          </w:tcPr>
          <w:p w14:paraId="2B07890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deficiency cooperates with oncogenic Ras to induce malignant tumors in Drosophila</w:t>
            </w:r>
          </w:p>
        </w:tc>
        <w:tc>
          <w:tcPr>
            <w:tcW w:w="6537" w:type="dxa"/>
            <w:tcMar>
              <w:top w:w="60" w:type="dxa"/>
              <w:left w:w="100" w:type="dxa"/>
              <w:bottom w:w="60" w:type="dxa"/>
              <w:right w:w="100" w:type="dxa"/>
            </w:tcMar>
          </w:tcPr>
          <w:p w14:paraId="5B21DD3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pLP deficiency can impact on cancer by increasing genome instability.</w:t>
            </w:r>
          </w:p>
        </w:tc>
      </w:tr>
      <w:tr w:rsidR="00EA496D" w:rsidRPr="00F56AD6" w14:paraId="500D5B4F" w14:textId="77777777" w:rsidTr="00EA496D">
        <w:tc>
          <w:tcPr>
            <w:tcW w:w="846" w:type="dxa"/>
            <w:tcMar>
              <w:top w:w="60" w:type="dxa"/>
              <w:left w:w="100" w:type="dxa"/>
              <w:bottom w:w="60" w:type="dxa"/>
              <w:right w:w="100" w:type="dxa"/>
            </w:tcMar>
          </w:tcPr>
          <w:p w14:paraId="27E4EC8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370</w:t>
            </w:r>
          </w:p>
        </w:tc>
        <w:tc>
          <w:tcPr>
            <w:tcW w:w="2094" w:type="dxa"/>
            <w:tcMar>
              <w:top w:w="60" w:type="dxa"/>
              <w:left w:w="100" w:type="dxa"/>
              <w:bottom w:w="60" w:type="dxa"/>
              <w:right w:w="100" w:type="dxa"/>
            </w:tcMar>
          </w:tcPr>
          <w:p w14:paraId="1452003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Piyathilake et al. 2022</w:t>
            </w:r>
          </w:p>
        </w:tc>
        <w:tc>
          <w:tcPr>
            <w:tcW w:w="4923" w:type="dxa"/>
            <w:tcMar>
              <w:top w:w="60" w:type="dxa"/>
              <w:left w:w="100" w:type="dxa"/>
              <w:bottom w:w="60" w:type="dxa"/>
              <w:right w:w="100" w:type="dxa"/>
            </w:tcMar>
          </w:tcPr>
          <w:p w14:paraId="28DEC7F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consumption of micronutrients in relation to calorie intake and risk of insulin resistance</w:t>
            </w:r>
          </w:p>
        </w:tc>
        <w:tc>
          <w:tcPr>
            <w:tcW w:w="6537" w:type="dxa"/>
            <w:tcMar>
              <w:top w:w="60" w:type="dxa"/>
              <w:left w:w="100" w:type="dxa"/>
              <w:bottom w:w="60" w:type="dxa"/>
              <w:right w:w="100" w:type="dxa"/>
            </w:tcMar>
          </w:tcPr>
          <w:p w14:paraId="05A96ED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dRIs for pyridoxine were met.</w:t>
            </w:r>
          </w:p>
        </w:tc>
      </w:tr>
      <w:tr w:rsidR="00EA496D" w:rsidRPr="00F56AD6" w14:paraId="0850DF9C" w14:textId="77777777" w:rsidTr="00EA496D">
        <w:tc>
          <w:tcPr>
            <w:tcW w:w="846" w:type="dxa"/>
            <w:tcMar>
              <w:top w:w="60" w:type="dxa"/>
              <w:left w:w="100" w:type="dxa"/>
              <w:bottom w:w="60" w:type="dxa"/>
              <w:right w:w="100" w:type="dxa"/>
            </w:tcMar>
          </w:tcPr>
          <w:p w14:paraId="2B74CA8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371</w:t>
            </w:r>
          </w:p>
        </w:tc>
        <w:tc>
          <w:tcPr>
            <w:tcW w:w="2094" w:type="dxa"/>
            <w:tcMar>
              <w:top w:w="60" w:type="dxa"/>
              <w:left w:w="100" w:type="dxa"/>
              <w:bottom w:w="60" w:type="dxa"/>
              <w:right w:w="100" w:type="dxa"/>
            </w:tcMar>
          </w:tcPr>
          <w:p w14:paraId="3A8B6FC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Plecko 1993</w:t>
            </w:r>
          </w:p>
        </w:tc>
        <w:tc>
          <w:tcPr>
            <w:tcW w:w="4923" w:type="dxa"/>
            <w:tcMar>
              <w:top w:w="60" w:type="dxa"/>
              <w:left w:w="100" w:type="dxa"/>
              <w:bottom w:w="60" w:type="dxa"/>
              <w:right w:w="100" w:type="dxa"/>
            </w:tcMar>
          </w:tcPr>
          <w:p w14:paraId="124CA02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PNPO Deficiency</w:t>
            </w:r>
          </w:p>
        </w:tc>
        <w:tc>
          <w:tcPr>
            <w:tcW w:w="6537" w:type="dxa"/>
            <w:tcMar>
              <w:top w:w="60" w:type="dxa"/>
              <w:left w:w="100" w:type="dxa"/>
              <w:bottom w:w="60" w:type="dxa"/>
              <w:right w:w="100" w:type="dxa"/>
            </w:tcMar>
          </w:tcPr>
          <w:p w14:paraId="20A8D71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adverse side effects briefly mentioned however not in the focus or conclusion of the study rather the focus is how B6 supplementation is necessary for PNPO deficiency. Old study - 1993.</w:t>
            </w:r>
          </w:p>
        </w:tc>
      </w:tr>
      <w:tr w:rsidR="00EA496D" w:rsidRPr="00F56AD6" w14:paraId="6B8114D0" w14:textId="77777777" w:rsidTr="00EA496D">
        <w:tc>
          <w:tcPr>
            <w:tcW w:w="846" w:type="dxa"/>
            <w:tcMar>
              <w:top w:w="60" w:type="dxa"/>
              <w:left w:w="100" w:type="dxa"/>
              <w:bottom w:w="60" w:type="dxa"/>
              <w:right w:w="100" w:type="dxa"/>
            </w:tcMar>
          </w:tcPr>
          <w:p w14:paraId="219F0B0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372</w:t>
            </w:r>
          </w:p>
        </w:tc>
        <w:tc>
          <w:tcPr>
            <w:tcW w:w="2094" w:type="dxa"/>
            <w:tcMar>
              <w:top w:w="60" w:type="dxa"/>
              <w:left w:w="100" w:type="dxa"/>
              <w:bottom w:w="60" w:type="dxa"/>
              <w:right w:w="100" w:type="dxa"/>
            </w:tcMar>
          </w:tcPr>
          <w:p w14:paraId="6D76336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Pokushalov et al. 2024</w:t>
            </w:r>
          </w:p>
        </w:tc>
        <w:tc>
          <w:tcPr>
            <w:tcW w:w="4923" w:type="dxa"/>
            <w:tcMar>
              <w:top w:w="60" w:type="dxa"/>
              <w:left w:w="100" w:type="dxa"/>
              <w:bottom w:w="60" w:type="dxa"/>
              <w:right w:w="100" w:type="dxa"/>
            </w:tcMar>
          </w:tcPr>
          <w:p w14:paraId="6A9FC56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Effect of Methylfolate, Pyridoxal-5'-Phosphate, and Methylcobalamin (Soloways(TM)) Supplementation on Homocysteine and Low-Density Lipoprotein Cholesterol Levels in Patients with Methylenetetrahydrofolate Reductase, Methionine Synthase, and Methionine Syn</w:t>
            </w:r>
          </w:p>
        </w:tc>
        <w:tc>
          <w:tcPr>
            <w:tcW w:w="6537" w:type="dxa"/>
            <w:tcMar>
              <w:top w:w="60" w:type="dxa"/>
              <w:left w:w="100" w:type="dxa"/>
              <w:bottom w:w="60" w:type="dxa"/>
              <w:right w:w="100" w:type="dxa"/>
            </w:tcMar>
          </w:tcPr>
          <w:p w14:paraId="0E659E9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reduced homocysteine levels which is useful for specific disease.</w:t>
            </w:r>
          </w:p>
        </w:tc>
      </w:tr>
      <w:tr w:rsidR="00EA496D" w:rsidRPr="00F56AD6" w14:paraId="2CF6DD93" w14:textId="77777777" w:rsidTr="00EA496D">
        <w:tc>
          <w:tcPr>
            <w:tcW w:w="846" w:type="dxa"/>
            <w:tcMar>
              <w:top w:w="60" w:type="dxa"/>
              <w:left w:w="100" w:type="dxa"/>
              <w:bottom w:w="60" w:type="dxa"/>
              <w:right w:w="100" w:type="dxa"/>
            </w:tcMar>
          </w:tcPr>
          <w:p w14:paraId="52085E3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373</w:t>
            </w:r>
          </w:p>
        </w:tc>
        <w:tc>
          <w:tcPr>
            <w:tcW w:w="2094" w:type="dxa"/>
            <w:tcMar>
              <w:top w:w="60" w:type="dxa"/>
              <w:left w:w="100" w:type="dxa"/>
              <w:bottom w:w="60" w:type="dxa"/>
              <w:right w:w="100" w:type="dxa"/>
            </w:tcMar>
          </w:tcPr>
          <w:p w14:paraId="2613E23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Powers et al. 2023</w:t>
            </w:r>
          </w:p>
        </w:tc>
        <w:tc>
          <w:tcPr>
            <w:tcW w:w="4923" w:type="dxa"/>
            <w:tcMar>
              <w:top w:w="60" w:type="dxa"/>
              <w:left w:w="100" w:type="dxa"/>
              <w:bottom w:w="60" w:type="dxa"/>
              <w:right w:w="100" w:type="dxa"/>
            </w:tcMar>
          </w:tcPr>
          <w:p w14:paraId="63DA173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Over-the-Counter Medications in Pregnancy</w:t>
            </w:r>
          </w:p>
        </w:tc>
        <w:tc>
          <w:tcPr>
            <w:tcW w:w="6537" w:type="dxa"/>
            <w:tcMar>
              <w:top w:w="60" w:type="dxa"/>
              <w:left w:w="100" w:type="dxa"/>
              <w:bottom w:w="60" w:type="dxa"/>
              <w:right w:w="100" w:type="dxa"/>
            </w:tcMar>
          </w:tcPr>
          <w:p w14:paraId="40B9A4D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mentioned as treatment for pregnancy symptoms.</w:t>
            </w:r>
          </w:p>
        </w:tc>
      </w:tr>
      <w:tr w:rsidR="00EA496D" w:rsidRPr="00F56AD6" w14:paraId="547945EE" w14:textId="77777777" w:rsidTr="00EA496D">
        <w:tc>
          <w:tcPr>
            <w:tcW w:w="846" w:type="dxa"/>
            <w:tcMar>
              <w:top w:w="60" w:type="dxa"/>
              <w:left w:w="100" w:type="dxa"/>
              <w:bottom w:w="60" w:type="dxa"/>
              <w:right w:w="100" w:type="dxa"/>
            </w:tcMar>
          </w:tcPr>
          <w:p w14:paraId="159F0CB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374</w:t>
            </w:r>
          </w:p>
        </w:tc>
        <w:tc>
          <w:tcPr>
            <w:tcW w:w="2094" w:type="dxa"/>
            <w:tcMar>
              <w:top w:w="60" w:type="dxa"/>
              <w:left w:w="100" w:type="dxa"/>
              <w:bottom w:w="60" w:type="dxa"/>
              <w:right w:w="100" w:type="dxa"/>
            </w:tcMar>
          </w:tcPr>
          <w:p w14:paraId="11B7D12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Prakash et al. 2025</w:t>
            </w:r>
          </w:p>
        </w:tc>
        <w:tc>
          <w:tcPr>
            <w:tcW w:w="4923" w:type="dxa"/>
            <w:tcMar>
              <w:top w:w="60" w:type="dxa"/>
              <w:left w:w="100" w:type="dxa"/>
              <w:bottom w:w="60" w:type="dxa"/>
              <w:right w:w="100" w:type="dxa"/>
            </w:tcMar>
          </w:tcPr>
          <w:p w14:paraId="53DF84A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Markedly discordant hypophosphatasia in a young girl</w:t>
            </w:r>
          </w:p>
        </w:tc>
        <w:tc>
          <w:tcPr>
            <w:tcW w:w="6537" w:type="dxa"/>
            <w:tcMar>
              <w:top w:w="60" w:type="dxa"/>
              <w:left w:w="100" w:type="dxa"/>
              <w:bottom w:w="60" w:type="dxa"/>
              <w:right w:w="100" w:type="dxa"/>
            </w:tcMar>
          </w:tcPr>
          <w:p w14:paraId="40F00EE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pyridoxal levels as a biochemical signature for HPP.</w:t>
            </w:r>
          </w:p>
        </w:tc>
      </w:tr>
      <w:tr w:rsidR="00EA496D" w:rsidRPr="00F56AD6" w14:paraId="5ACC11A3" w14:textId="77777777" w:rsidTr="00EA496D">
        <w:tc>
          <w:tcPr>
            <w:tcW w:w="846" w:type="dxa"/>
            <w:tcMar>
              <w:top w:w="60" w:type="dxa"/>
              <w:left w:w="100" w:type="dxa"/>
              <w:bottom w:w="60" w:type="dxa"/>
              <w:right w:w="100" w:type="dxa"/>
            </w:tcMar>
          </w:tcPr>
          <w:p w14:paraId="4B7C9F4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375</w:t>
            </w:r>
          </w:p>
        </w:tc>
        <w:tc>
          <w:tcPr>
            <w:tcW w:w="2094" w:type="dxa"/>
            <w:tcMar>
              <w:top w:w="60" w:type="dxa"/>
              <w:left w:w="100" w:type="dxa"/>
              <w:bottom w:w="60" w:type="dxa"/>
              <w:right w:w="100" w:type="dxa"/>
            </w:tcMar>
          </w:tcPr>
          <w:p w14:paraId="06F6CB7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Prasad et al. 2024</w:t>
            </w:r>
          </w:p>
        </w:tc>
        <w:tc>
          <w:tcPr>
            <w:tcW w:w="4923" w:type="dxa"/>
            <w:tcMar>
              <w:top w:w="60" w:type="dxa"/>
              <w:left w:w="100" w:type="dxa"/>
              <w:bottom w:w="60" w:type="dxa"/>
              <w:right w:w="100" w:type="dxa"/>
            </w:tcMar>
          </w:tcPr>
          <w:p w14:paraId="44E7A2C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Nutrient Composition, Physical Characteristics and Sensory Quality of Spinach-Enriched Wheat Bread</w:t>
            </w:r>
          </w:p>
        </w:tc>
        <w:tc>
          <w:tcPr>
            <w:tcW w:w="6537" w:type="dxa"/>
            <w:tcMar>
              <w:top w:w="60" w:type="dxa"/>
              <w:left w:w="100" w:type="dxa"/>
              <w:bottom w:w="60" w:type="dxa"/>
              <w:right w:w="100" w:type="dxa"/>
            </w:tcMar>
          </w:tcPr>
          <w:p w14:paraId="055CF91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setting - B6 in nutrients in spinach enriched bread.</w:t>
            </w:r>
          </w:p>
        </w:tc>
      </w:tr>
      <w:tr w:rsidR="00EA496D" w:rsidRPr="00F56AD6" w14:paraId="2CD92E81" w14:textId="77777777" w:rsidTr="00EA496D">
        <w:tc>
          <w:tcPr>
            <w:tcW w:w="846" w:type="dxa"/>
            <w:tcMar>
              <w:top w:w="60" w:type="dxa"/>
              <w:left w:w="100" w:type="dxa"/>
              <w:bottom w:w="60" w:type="dxa"/>
              <w:right w:w="100" w:type="dxa"/>
            </w:tcMar>
          </w:tcPr>
          <w:p w14:paraId="61CD7BD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376</w:t>
            </w:r>
          </w:p>
        </w:tc>
        <w:tc>
          <w:tcPr>
            <w:tcW w:w="2094" w:type="dxa"/>
            <w:tcMar>
              <w:top w:w="60" w:type="dxa"/>
              <w:left w:w="100" w:type="dxa"/>
              <w:bottom w:w="60" w:type="dxa"/>
              <w:right w:w="100" w:type="dxa"/>
            </w:tcMar>
          </w:tcPr>
          <w:p w14:paraId="2315014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Prombood et al. 2025</w:t>
            </w:r>
          </w:p>
        </w:tc>
        <w:tc>
          <w:tcPr>
            <w:tcW w:w="4923" w:type="dxa"/>
            <w:tcMar>
              <w:top w:w="60" w:type="dxa"/>
              <w:left w:w="100" w:type="dxa"/>
              <w:bottom w:w="60" w:type="dxa"/>
              <w:right w:w="100" w:type="dxa"/>
            </w:tcMar>
          </w:tcPr>
          <w:p w14:paraId="77E0067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Status Assessed by Plasma Vitamers and Homocysteine in Lactating Dairy Cows and Its Relationship to Rumen Fermentation, Plasma Metabolites, and Milk Production in Different Environmental Conditions</w:t>
            </w:r>
          </w:p>
        </w:tc>
        <w:tc>
          <w:tcPr>
            <w:tcW w:w="6537" w:type="dxa"/>
            <w:tcMar>
              <w:top w:w="60" w:type="dxa"/>
              <w:left w:w="100" w:type="dxa"/>
              <w:bottom w:w="60" w:type="dxa"/>
              <w:right w:w="100" w:type="dxa"/>
            </w:tcMar>
          </w:tcPr>
          <w:p w14:paraId="686604F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specific scenario B6 status in milked cows not useful for UL in humans.</w:t>
            </w:r>
          </w:p>
        </w:tc>
      </w:tr>
      <w:tr w:rsidR="00EA496D" w:rsidRPr="00F56AD6" w14:paraId="22BD60F5" w14:textId="77777777" w:rsidTr="00EA496D">
        <w:tc>
          <w:tcPr>
            <w:tcW w:w="846" w:type="dxa"/>
            <w:tcMar>
              <w:top w:w="60" w:type="dxa"/>
              <w:left w:w="100" w:type="dxa"/>
              <w:bottom w:w="60" w:type="dxa"/>
              <w:right w:w="100" w:type="dxa"/>
            </w:tcMar>
          </w:tcPr>
          <w:p w14:paraId="22D9DC3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377</w:t>
            </w:r>
          </w:p>
        </w:tc>
        <w:tc>
          <w:tcPr>
            <w:tcW w:w="2094" w:type="dxa"/>
            <w:tcMar>
              <w:top w:w="60" w:type="dxa"/>
              <w:left w:w="100" w:type="dxa"/>
              <w:bottom w:w="60" w:type="dxa"/>
              <w:right w:w="100" w:type="dxa"/>
            </w:tcMar>
          </w:tcPr>
          <w:p w14:paraId="1AE2CDA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Prus 2026</w:t>
            </w:r>
          </w:p>
        </w:tc>
        <w:tc>
          <w:tcPr>
            <w:tcW w:w="4923" w:type="dxa"/>
            <w:tcMar>
              <w:top w:w="60" w:type="dxa"/>
              <w:left w:w="100" w:type="dxa"/>
              <w:bottom w:w="60" w:type="dxa"/>
              <w:right w:w="100" w:type="dxa"/>
            </w:tcMar>
          </w:tcPr>
          <w:p w14:paraId="09F9449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Moxifloxacin-Induced Peripheral Neuropathy: A Rare Side Effect of Fluoroquinolone Therapy in Tuberculosis Management</w:t>
            </w:r>
          </w:p>
        </w:tc>
        <w:tc>
          <w:tcPr>
            <w:tcW w:w="6537" w:type="dxa"/>
            <w:tcMar>
              <w:top w:w="60" w:type="dxa"/>
              <w:left w:w="100" w:type="dxa"/>
              <w:bottom w:w="60" w:type="dxa"/>
              <w:right w:w="100" w:type="dxa"/>
            </w:tcMar>
          </w:tcPr>
          <w:p w14:paraId="3AC7EC3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pyridoxal treatment to alleviate symptoms no adverse symptoms of B6.</w:t>
            </w:r>
          </w:p>
        </w:tc>
      </w:tr>
      <w:tr w:rsidR="00EA496D" w:rsidRPr="00F56AD6" w14:paraId="2D049EFF" w14:textId="77777777" w:rsidTr="00EA496D">
        <w:tc>
          <w:tcPr>
            <w:tcW w:w="846" w:type="dxa"/>
            <w:tcMar>
              <w:top w:w="60" w:type="dxa"/>
              <w:left w:w="100" w:type="dxa"/>
              <w:bottom w:w="60" w:type="dxa"/>
              <w:right w:w="100" w:type="dxa"/>
            </w:tcMar>
          </w:tcPr>
          <w:p w14:paraId="563D573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378</w:t>
            </w:r>
          </w:p>
        </w:tc>
        <w:tc>
          <w:tcPr>
            <w:tcW w:w="2094" w:type="dxa"/>
            <w:tcMar>
              <w:top w:w="60" w:type="dxa"/>
              <w:left w:w="100" w:type="dxa"/>
              <w:bottom w:w="60" w:type="dxa"/>
              <w:right w:w="100" w:type="dxa"/>
            </w:tcMar>
          </w:tcPr>
          <w:p w14:paraId="0A47CC6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Pulluru et al. 2024</w:t>
            </w:r>
          </w:p>
        </w:tc>
        <w:tc>
          <w:tcPr>
            <w:tcW w:w="4923" w:type="dxa"/>
            <w:tcMar>
              <w:top w:w="60" w:type="dxa"/>
              <w:left w:w="100" w:type="dxa"/>
              <w:bottom w:w="60" w:type="dxa"/>
              <w:right w:w="100" w:type="dxa"/>
            </w:tcMar>
          </w:tcPr>
          <w:p w14:paraId="7F7827D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Seizures due to pyridoxine deficiency in Parkinson's disease</w:t>
            </w:r>
          </w:p>
        </w:tc>
        <w:tc>
          <w:tcPr>
            <w:tcW w:w="6537" w:type="dxa"/>
            <w:tcMar>
              <w:top w:w="60" w:type="dxa"/>
              <w:left w:w="100" w:type="dxa"/>
              <w:bottom w:w="60" w:type="dxa"/>
              <w:right w:w="100" w:type="dxa"/>
            </w:tcMar>
          </w:tcPr>
          <w:p w14:paraId="3F9E0A7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making sure patients with PD have adequate pyridoxine levels.</w:t>
            </w:r>
          </w:p>
        </w:tc>
      </w:tr>
      <w:tr w:rsidR="00EA496D" w:rsidRPr="00F56AD6" w14:paraId="0190095F" w14:textId="77777777" w:rsidTr="00EA496D">
        <w:tc>
          <w:tcPr>
            <w:tcW w:w="846" w:type="dxa"/>
            <w:tcMar>
              <w:top w:w="60" w:type="dxa"/>
              <w:left w:w="100" w:type="dxa"/>
              <w:bottom w:w="60" w:type="dxa"/>
              <w:right w:w="100" w:type="dxa"/>
            </w:tcMar>
          </w:tcPr>
          <w:p w14:paraId="25546AB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379</w:t>
            </w:r>
          </w:p>
        </w:tc>
        <w:tc>
          <w:tcPr>
            <w:tcW w:w="2094" w:type="dxa"/>
            <w:tcMar>
              <w:top w:w="60" w:type="dxa"/>
              <w:left w:w="100" w:type="dxa"/>
              <w:bottom w:w="60" w:type="dxa"/>
              <w:right w:w="100" w:type="dxa"/>
            </w:tcMar>
          </w:tcPr>
          <w:p w14:paraId="328EAC4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Qing et al. 2025</w:t>
            </w:r>
          </w:p>
        </w:tc>
        <w:tc>
          <w:tcPr>
            <w:tcW w:w="4923" w:type="dxa"/>
            <w:tcMar>
              <w:top w:w="60" w:type="dxa"/>
              <w:left w:w="100" w:type="dxa"/>
              <w:bottom w:w="60" w:type="dxa"/>
              <w:right w:w="100" w:type="dxa"/>
            </w:tcMar>
          </w:tcPr>
          <w:p w14:paraId="2674B3D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Gut dysbiosis-induced vitamin B6 metabolic disorder contributes to chronic stress-related abnormal behaviors in a cortisol-independent manner</w:t>
            </w:r>
          </w:p>
        </w:tc>
        <w:tc>
          <w:tcPr>
            <w:tcW w:w="6537" w:type="dxa"/>
            <w:tcMar>
              <w:top w:w="60" w:type="dxa"/>
              <w:left w:w="100" w:type="dxa"/>
              <w:bottom w:w="60" w:type="dxa"/>
              <w:right w:w="100" w:type="dxa"/>
            </w:tcMar>
          </w:tcPr>
          <w:p w14:paraId="6623AC2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supplement can be used as treatment.</w:t>
            </w:r>
          </w:p>
        </w:tc>
      </w:tr>
      <w:tr w:rsidR="00EA496D" w:rsidRPr="00F56AD6" w14:paraId="4CE025C2" w14:textId="77777777" w:rsidTr="00EA496D">
        <w:tc>
          <w:tcPr>
            <w:tcW w:w="846" w:type="dxa"/>
            <w:tcMar>
              <w:top w:w="60" w:type="dxa"/>
              <w:left w:w="100" w:type="dxa"/>
              <w:bottom w:w="60" w:type="dxa"/>
              <w:right w:w="100" w:type="dxa"/>
            </w:tcMar>
          </w:tcPr>
          <w:p w14:paraId="0DC433A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380</w:t>
            </w:r>
          </w:p>
        </w:tc>
        <w:tc>
          <w:tcPr>
            <w:tcW w:w="2094" w:type="dxa"/>
            <w:tcMar>
              <w:top w:w="60" w:type="dxa"/>
              <w:left w:w="100" w:type="dxa"/>
              <w:bottom w:w="60" w:type="dxa"/>
              <w:right w:w="100" w:type="dxa"/>
            </w:tcMar>
          </w:tcPr>
          <w:p w14:paraId="3AFDE1E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Qu et al. 2022</w:t>
            </w:r>
          </w:p>
        </w:tc>
        <w:tc>
          <w:tcPr>
            <w:tcW w:w="4923" w:type="dxa"/>
            <w:tcMar>
              <w:top w:w="60" w:type="dxa"/>
              <w:left w:w="100" w:type="dxa"/>
              <w:bottom w:w="60" w:type="dxa"/>
              <w:right w:w="100" w:type="dxa"/>
            </w:tcMar>
          </w:tcPr>
          <w:p w14:paraId="38D089F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Profound Perturbation in the Metabolome of a Canine Obesity and Metabolic Disorder Model</w:t>
            </w:r>
          </w:p>
        </w:tc>
        <w:tc>
          <w:tcPr>
            <w:tcW w:w="6537" w:type="dxa"/>
            <w:tcMar>
              <w:top w:w="60" w:type="dxa"/>
              <w:left w:w="100" w:type="dxa"/>
              <w:bottom w:w="60" w:type="dxa"/>
              <w:right w:w="100" w:type="dxa"/>
            </w:tcMar>
          </w:tcPr>
          <w:p w14:paraId="334A851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pyridoxal as a measured metabolite.</w:t>
            </w:r>
          </w:p>
        </w:tc>
      </w:tr>
      <w:tr w:rsidR="00EA496D" w:rsidRPr="00F56AD6" w14:paraId="39FD9B6E" w14:textId="77777777" w:rsidTr="00EA496D">
        <w:tc>
          <w:tcPr>
            <w:tcW w:w="846" w:type="dxa"/>
            <w:tcMar>
              <w:top w:w="60" w:type="dxa"/>
              <w:left w:w="100" w:type="dxa"/>
              <w:bottom w:w="60" w:type="dxa"/>
              <w:right w:w="100" w:type="dxa"/>
            </w:tcMar>
          </w:tcPr>
          <w:p w14:paraId="4E1566F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381</w:t>
            </w:r>
          </w:p>
        </w:tc>
        <w:tc>
          <w:tcPr>
            <w:tcW w:w="2094" w:type="dxa"/>
            <w:tcMar>
              <w:top w:w="60" w:type="dxa"/>
              <w:left w:w="100" w:type="dxa"/>
              <w:bottom w:w="60" w:type="dxa"/>
              <w:right w:w="100" w:type="dxa"/>
            </w:tcMar>
          </w:tcPr>
          <w:p w14:paraId="261C8D6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Quan et al. 2025</w:t>
            </w:r>
          </w:p>
        </w:tc>
        <w:tc>
          <w:tcPr>
            <w:tcW w:w="4923" w:type="dxa"/>
            <w:tcMar>
              <w:top w:w="60" w:type="dxa"/>
              <w:left w:w="100" w:type="dxa"/>
              <w:bottom w:w="60" w:type="dxa"/>
              <w:right w:w="100" w:type="dxa"/>
            </w:tcMar>
          </w:tcPr>
          <w:p w14:paraId="3069FA5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From Virulence to Vulnerability: New Insights on Disrupting the d-Alanine Pathway and Its Influences on Polymyxin Resistance in Riemerella anatipestifer</w:t>
            </w:r>
          </w:p>
        </w:tc>
        <w:tc>
          <w:tcPr>
            <w:tcW w:w="6537" w:type="dxa"/>
            <w:tcMar>
              <w:top w:w="60" w:type="dxa"/>
              <w:left w:w="100" w:type="dxa"/>
              <w:bottom w:w="60" w:type="dxa"/>
              <w:right w:w="100" w:type="dxa"/>
            </w:tcMar>
          </w:tcPr>
          <w:p w14:paraId="6CB6C05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pyridoxal critical in particular synthesis.</w:t>
            </w:r>
          </w:p>
        </w:tc>
      </w:tr>
      <w:tr w:rsidR="00EA496D" w:rsidRPr="00F56AD6" w14:paraId="17F2068F" w14:textId="77777777" w:rsidTr="00EA496D">
        <w:tc>
          <w:tcPr>
            <w:tcW w:w="846" w:type="dxa"/>
            <w:tcMar>
              <w:top w:w="60" w:type="dxa"/>
              <w:left w:w="100" w:type="dxa"/>
              <w:bottom w:w="60" w:type="dxa"/>
              <w:right w:w="100" w:type="dxa"/>
            </w:tcMar>
          </w:tcPr>
          <w:p w14:paraId="51408BE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382</w:t>
            </w:r>
          </w:p>
        </w:tc>
        <w:tc>
          <w:tcPr>
            <w:tcW w:w="2094" w:type="dxa"/>
            <w:tcMar>
              <w:top w:w="60" w:type="dxa"/>
              <w:left w:w="100" w:type="dxa"/>
              <w:bottom w:w="60" w:type="dxa"/>
              <w:right w:w="100" w:type="dxa"/>
            </w:tcMar>
          </w:tcPr>
          <w:p w14:paraId="3444C91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Rabinovich et al. 2025</w:t>
            </w:r>
          </w:p>
        </w:tc>
        <w:tc>
          <w:tcPr>
            <w:tcW w:w="4923" w:type="dxa"/>
            <w:tcMar>
              <w:top w:w="60" w:type="dxa"/>
              <w:left w:w="100" w:type="dxa"/>
              <w:bottom w:w="60" w:type="dxa"/>
              <w:right w:w="100" w:type="dxa"/>
            </w:tcMar>
          </w:tcPr>
          <w:p w14:paraId="4DE2F72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Hair straightening and acute kidney injury: a case series from a medical toxicology service</w:t>
            </w:r>
          </w:p>
        </w:tc>
        <w:tc>
          <w:tcPr>
            <w:tcW w:w="6537" w:type="dxa"/>
            <w:tcMar>
              <w:top w:w="60" w:type="dxa"/>
              <w:left w:w="100" w:type="dxa"/>
              <w:bottom w:w="60" w:type="dxa"/>
              <w:right w:w="100" w:type="dxa"/>
            </w:tcMar>
          </w:tcPr>
          <w:p w14:paraId="172F984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/exposure (not B6 excess intake, no adverse health effects from B6) - pyridoxine used as a treatment.</w:t>
            </w:r>
          </w:p>
        </w:tc>
      </w:tr>
      <w:tr w:rsidR="00EA496D" w:rsidRPr="00F56AD6" w14:paraId="0F0A56F1" w14:textId="77777777" w:rsidTr="00EA496D">
        <w:tc>
          <w:tcPr>
            <w:tcW w:w="846" w:type="dxa"/>
            <w:tcMar>
              <w:top w:w="60" w:type="dxa"/>
              <w:left w:w="100" w:type="dxa"/>
              <w:bottom w:w="60" w:type="dxa"/>
              <w:right w:w="100" w:type="dxa"/>
            </w:tcMar>
          </w:tcPr>
          <w:p w14:paraId="3AF24DD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383</w:t>
            </w:r>
          </w:p>
        </w:tc>
        <w:tc>
          <w:tcPr>
            <w:tcW w:w="2094" w:type="dxa"/>
            <w:tcMar>
              <w:top w:w="60" w:type="dxa"/>
              <w:left w:w="100" w:type="dxa"/>
              <w:bottom w:w="60" w:type="dxa"/>
              <w:right w:w="100" w:type="dxa"/>
            </w:tcMar>
          </w:tcPr>
          <w:p w14:paraId="7CA17CF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Raghuvanshi et al. 2023</w:t>
            </w:r>
          </w:p>
        </w:tc>
        <w:tc>
          <w:tcPr>
            <w:tcW w:w="4923" w:type="dxa"/>
            <w:tcMar>
              <w:top w:w="60" w:type="dxa"/>
              <w:left w:w="100" w:type="dxa"/>
              <w:bottom w:w="60" w:type="dxa"/>
              <w:right w:w="100" w:type="dxa"/>
            </w:tcMar>
          </w:tcPr>
          <w:p w14:paraId="5A44B2C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Relationship Between Vitamins and Diabetes</w:t>
            </w:r>
          </w:p>
        </w:tc>
        <w:tc>
          <w:tcPr>
            <w:tcW w:w="6537" w:type="dxa"/>
            <w:tcMar>
              <w:top w:w="60" w:type="dxa"/>
              <w:left w:w="100" w:type="dxa"/>
              <w:bottom w:w="60" w:type="dxa"/>
              <w:right w:w="100" w:type="dxa"/>
            </w:tcMar>
          </w:tcPr>
          <w:p w14:paraId="188A5C7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benefits of B supplementation.</w:t>
            </w:r>
          </w:p>
        </w:tc>
      </w:tr>
      <w:tr w:rsidR="00EA496D" w:rsidRPr="00F56AD6" w14:paraId="24FF0F11" w14:textId="77777777" w:rsidTr="00EA496D">
        <w:tc>
          <w:tcPr>
            <w:tcW w:w="846" w:type="dxa"/>
            <w:tcMar>
              <w:top w:w="60" w:type="dxa"/>
              <w:left w:w="100" w:type="dxa"/>
              <w:bottom w:w="60" w:type="dxa"/>
              <w:right w:w="100" w:type="dxa"/>
            </w:tcMar>
          </w:tcPr>
          <w:p w14:paraId="1AB60BE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384</w:t>
            </w:r>
          </w:p>
        </w:tc>
        <w:tc>
          <w:tcPr>
            <w:tcW w:w="2094" w:type="dxa"/>
            <w:tcMar>
              <w:top w:w="60" w:type="dxa"/>
              <w:left w:w="100" w:type="dxa"/>
              <w:bottom w:w="60" w:type="dxa"/>
              <w:right w:w="100" w:type="dxa"/>
            </w:tcMar>
          </w:tcPr>
          <w:p w14:paraId="54F296A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Rajasekar et al. 2024</w:t>
            </w:r>
          </w:p>
        </w:tc>
        <w:tc>
          <w:tcPr>
            <w:tcW w:w="4923" w:type="dxa"/>
            <w:tcMar>
              <w:top w:w="60" w:type="dxa"/>
              <w:left w:w="100" w:type="dxa"/>
              <w:bottom w:w="60" w:type="dxa"/>
              <w:right w:w="100" w:type="dxa"/>
            </w:tcMar>
          </w:tcPr>
          <w:p w14:paraId="798A24F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Dietary intake with supplementation of vitamin D, vitamin B6, and magnesium on depressive symptoms: a public health perspective</w:t>
            </w:r>
          </w:p>
        </w:tc>
        <w:tc>
          <w:tcPr>
            <w:tcW w:w="6537" w:type="dxa"/>
            <w:tcMar>
              <w:top w:w="60" w:type="dxa"/>
              <w:left w:w="100" w:type="dxa"/>
              <w:bottom w:w="60" w:type="dxa"/>
              <w:right w:w="100" w:type="dxa"/>
            </w:tcMar>
          </w:tcPr>
          <w:p w14:paraId="43B8D63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low B6 lead to depressive symptoms.</w:t>
            </w:r>
          </w:p>
        </w:tc>
      </w:tr>
      <w:tr w:rsidR="00EA496D" w:rsidRPr="00F56AD6" w14:paraId="7A39CCF0" w14:textId="77777777" w:rsidTr="00EA496D">
        <w:tc>
          <w:tcPr>
            <w:tcW w:w="846" w:type="dxa"/>
            <w:tcMar>
              <w:top w:w="60" w:type="dxa"/>
              <w:left w:w="100" w:type="dxa"/>
              <w:bottom w:w="60" w:type="dxa"/>
              <w:right w:w="100" w:type="dxa"/>
            </w:tcMar>
          </w:tcPr>
          <w:p w14:paraId="67F1C82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385</w:t>
            </w:r>
          </w:p>
        </w:tc>
        <w:tc>
          <w:tcPr>
            <w:tcW w:w="2094" w:type="dxa"/>
            <w:tcMar>
              <w:top w:w="60" w:type="dxa"/>
              <w:left w:w="100" w:type="dxa"/>
              <w:bottom w:w="60" w:type="dxa"/>
              <w:right w:w="100" w:type="dxa"/>
            </w:tcMar>
          </w:tcPr>
          <w:p w14:paraId="41987D3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Rane et al. 2022</w:t>
            </w:r>
          </w:p>
        </w:tc>
        <w:tc>
          <w:tcPr>
            <w:tcW w:w="4923" w:type="dxa"/>
            <w:tcMar>
              <w:top w:w="60" w:type="dxa"/>
              <w:left w:w="100" w:type="dxa"/>
              <w:bottom w:w="60" w:type="dxa"/>
              <w:right w:w="100" w:type="dxa"/>
            </w:tcMar>
          </w:tcPr>
          <w:p w14:paraId="1208D39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Low Serum Pyridoxine Levels Worsen Seizure Control in Adult Epilepsy Patients</w:t>
            </w:r>
          </w:p>
        </w:tc>
        <w:tc>
          <w:tcPr>
            <w:tcW w:w="6537" w:type="dxa"/>
            <w:tcMar>
              <w:top w:w="60" w:type="dxa"/>
              <w:left w:w="100" w:type="dxa"/>
              <w:bottom w:w="60" w:type="dxa"/>
              <w:right w:w="100" w:type="dxa"/>
            </w:tcMar>
          </w:tcPr>
          <w:p w14:paraId="77AB1B0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low pyridoxine levels may increase risk of seizures.</w:t>
            </w:r>
          </w:p>
        </w:tc>
      </w:tr>
      <w:tr w:rsidR="00EA496D" w:rsidRPr="00F56AD6" w14:paraId="0E9AF39B" w14:textId="77777777" w:rsidTr="00EA496D">
        <w:tc>
          <w:tcPr>
            <w:tcW w:w="846" w:type="dxa"/>
            <w:tcMar>
              <w:top w:w="60" w:type="dxa"/>
              <w:left w:w="100" w:type="dxa"/>
              <w:bottom w:w="60" w:type="dxa"/>
              <w:right w:w="100" w:type="dxa"/>
            </w:tcMar>
          </w:tcPr>
          <w:p w14:paraId="1677FFE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386</w:t>
            </w:r>
          </w:p>
        </w:tc>
        <w:tc>
          <w:tcPr>
            <w:tcW w:w="2094" w:type="dxa"/>
            <w:tcMar>
              <w:top w:w="60" w:type="dxa"/>
              <w:left w:w="100" w:type="dxa"/>
              <w:bottom w:w="60" w:type="dxa"/>
              <w:right w:w="100" w:type="dxa"/>
            </w:tcMar>
          </w:tcPr>
          <w:p w14:paraId="14A156B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Raynor et al. 2022</w:t>
            </w:r>
          </w:p>
        </w:tc>
        <w:tc>
          <w:tcPr>
            <w:tcW w:w="4923" w:type="dxa"/>
            <w:tcMar>
              <w:top w:w="60" w:type="dxa"/>
              <w:left w:w="100" w:type="dxa"/>
              <w:bottom w:w="60" w:type="dxa"/>
              <w:right w:w="100" w:type="dxa"/>
            </w:tcMar>
          </w:tcPr>
          <w:p w14:paraId="0C87EEB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[Usual transaminase values: should they be reviewed and adjusted?]</w:t>
            </w:r>
          </w:p>
        </w:tc>
        <w:tc>
          <w:tcPr>
            <w:tcW w:w="6537" w:type="dxa"/>
            <w:tcMar>
              <w:top w:w="60" w:type="dxa"/>
              <w:left w:w="100" w:type="dxa"/>
              <w:bottom w:w="60" w:type="dxa"/>
              <w:right w:w="100" w:type="dxa"/>
            </w:tcMar>
          </w:tcPr>
          <w:p w14:paraId="55DCB1B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sample supplementation with B6 can ensure comparability.</w:t>
            </w:r>
          </w:p>
        </w:tc>
      </w:tr>
      <w:tr w:rsidR="00EA496D" w:rsidRPr="00F56AD6" w14:paraId="43B34691" w14:textId="77777777" w:rsidTr="00EA496D">
        <w:tc>
          <w:tcPr>
            <w:tcW w:w="846" w:type="dxa"/>
            <w:tcMar>
              <w:top w:w="60" w:type="dxa"/>
              <w:left w:w="100" w:type="dxa"/>
              <w:bottom w:w="60" w:type="dxa"/>
              <w:right w:w="100" w:type="dxa"/>
            </w:tcMar>
          </w:tcPr>
          <w:p w14:paraId="69803C4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387</w:t>
            </w:r>
          </w:p>
        </w:tc>
        <w:tc>
          <w:tcPr>
            <w:tcW w:w="2094" w:type="dxa"/>
            <w:tcMar>
              <w:top w:w="60" w:type="dxa"/>
              <w:left w:w="100" w:type="dxa"/>
              <w:bottom w:w="60" w:type="dxa"/>
              <w:right w:w="100" w:type="dxa"/>
            </w:tcMar>
          </w:tcPr>
          <w:p w14:paraId="779547C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Renting et al. 2024</w:t>
            </w:r>
          </w:p>
        </w:tc>
        <w:tc>
          <w:tcPr>
            <w:tcW w:w="4923" w:type="dxa"/>
            <w:tcMar>
              <w:top w:w="60" w:type="dxa"/>
              <w:left w:w="100" w:type="dxa"/>
              <w:bottom w:w="60" w:type="dxa"/>
              <w:right w:w="100" w:type="dxa"/>
            </w:tcMar>
          </w:tcPr>
          <w:p w14:paraId="34EEC0C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status and chronic chemotherapy-induced peripheral neuropathy: a prospective cohort study among patients with non-metastatic colorectal cancer receiving oxaliplatin-based chemotherapy</w:t>
            </w:r>
          </w:p>
        </w:tc>
        <w:tc>
          <w:tcPr>
            <w:tcW w:w="6537" w:type="dxa"/>
            <w:tcMar>
              <w:top w:w="60" w:type="dxa"/>
              <w:left w:w="100" w:type="dxa"/>
              <w:bottom w:w="60" w:type="dxa"/>
              <w:right w:w="100" w:type="dxa"/>
            </w:tcMar>
          </w:tcPr>
          <w:p w14:paraId="46659FE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higher levels of B6 reduced bad side effects.</w:t>
            </w:r>
          </w:p>
        </w:tc>
      </w:tr>
      <w:tr w:rsidR="00EA496D" w:rsidRPr="00F56AD6" w14:paraId="6A631283" w14:textId="77777777" w:rsidTr="00EA496D">
        <w:tc>
          <w:tcPr>
            <w:tcW w:w="846" w:type="dxa"/>
            <w:tcMar>
              <w:top w:w="60" w:type="dxa"/>
              <w:left w:w="100" w:type="dxa"/>
              <w:bottom w:w="60" w:type="dxa"/>
              <w:right w:w="100" w:type="dxa"/>
            </w:tcMar>
          </w:tcPr>
          <w:p w14:paraId="4FA6FB9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388</w:t>
            </w:r>
          </w:p>
        </w:tc>
        <w:tc>
          <w:tcPr>
            <w:tcW w:w="2094" w:type="dxa"/>
            <w:tcMar>
              <w:top w:w="60" w:type="dxa"/>
              <w:left w:w="100" w:type="dxa"/>
              <w:bottom w:w="60" w:type="dxa"/>
              <w:right w:w="100" w:type="dxa"/>
            </w:tcMar>
          </w:tcPr>
          <w:p w14:paraId="540FDF8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Restrepo-Mesa et al. 2023</w:t>
            </w:r>
          </w:p>
        </w:tc>
        <w:tc>
          <w:tcPr>
            <w:tcW w:w="4923" w:type="dxa"/>
            <w:tcMar>
              <w:top w:w="60" w:type="dxa"/>
              <w:left w:w="100" w:type="dxa"/>
              <w:bottom w:w="60" w:type="dxa"/>
              <w:right w:w="100" w:type="dxa"/>
            </w:tcMar>
          </w:tcPr>
          <w:p w14:paraId="7FFEEC9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Food and nutrient intake of adolescent women in Medellín, Colombia</w:t>
            </w:r>
          </w:p>
        </w:tc>
        <w:tc>
          <w:tcPr>
            <w:tcW w:w="6537" w:type="dxa"/>
            <w:tcMar>
              <w:top w:w="60" w:type="dxa"/>
              <w:left w:w="100" w:type="dxa"/>
              <w:bottom w:w="60" w:type="dxa"/>
              <w:right w:w="100" w:type="dxa"/>
            </w:tcMar>
          </w:tcPr>
          <w:p w14:paraId="71C6958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population was B6 deficient.</w:t>
            </w:r>
          </w:p>
        </w:tc>
      </w:tr>
      <w:tr w:rsidR="00EA496D" w:rsidRPr="00F56AD6" w14:paraId="1F051E8B" w14:textId="77777777" w:rsidTr="00EA496D">
        <w:tc>
          <w:tcPr>
            <w:tcW w:w="846" w:type="dxa"/>
            <w:tcMar>
              <w:top w:w="60" w:type="dxa"/>
              <w:left w:w="100" w:type="dxa"/>
              <w:bottom w:w="60" w:type="dxa"/>
              <w:right w:w="100" w:type="dxa"/>
            </w:tcMar>
          </w:tcPr>
          <w:p w14:paraId="75CA2DE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389</w:t>
            </w:r>
          </w:p>
        </w:tc>
        <w:tc>
          <w:tcPr>
            <w:tcW w:w="2094" w:type="dxa"/>
            <w:tcMar>
              <w:top w:w="60" w:type="dxa"/>
              <w:left w:w="100" w:type="dxa"/>
              <w:bottom w:w="60" w:type="dxa"/>
              <w:right w:w="100" w:type="dxa"/>
            </w:tcMar>
          </w:tcPr>
          <w:p w14:paraId="684F58C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Reyes-Alvarez et al. 2026</w:t>
            </w:r>
          </w:p>
        </w:tc>
        <w:tc>
          <w:tcPr>
            <w:tcW w:w="4923" w:type="dxa"/>
            <w:tcMar>
              <w:top w:w="60" w:type="dxa"/>
              <w:left w:w="100" w:type="dxa"/>
              <w:bottom w:w="60" w:type="dxa"/>
              <w:right w:w="100" w:type="dxa"/>
            </w:tcMar>
          </w:tcPr>
          <w:p w14:paraId="470E635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Hydroxocobalamin, thiamine, and pyridoxine as an adjunct to standard treatment in chronic low back pain: a randomized clinical trial</w:t>
            </w:r>
          </w:p>
        </w:tc>
        <w:tc>
          <w:tcPr>
            <w:tcW w:w="6537" w:type="dxa"/>
            <w:tcMar>
              <w:top w:w="60" w:type="dxa"/>
              <w:left w:w="100" w:type="dxa"/>
              <w:bottom w:w="60" w:type="dxa"/>
              <w:right w:w="100" w:type="dxa"/>
            </w:tcMar>
          </w:tcPr>
          <w:p w14:paraId="0E0633F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trialled to help with treating back pain.</w:t>
            </w:r>
          </w:p>
        </w:tc>
      </w:tr>
      <w:tr w:rsidR="00EA496D" w:rsidRPr="00F56AD6" w14:paraId="2AFEB5B3" w14:textId="77777777" w:rsidTr="00EA496D">
        <w:tc>
          <w:tcPr>
            <w:tcW w:w="846" w:type="dxa"/>
            <w:tcMar>
              <w:top w:w="60" w:type="dxa"/>
              <w:left w:w="100" w:type="dxa"/>
              <w:bottom w:w="60" w:type="dxa"/>
              <w:right w:w="100" w:type="dxa"/>
            </w:tcMar>
          </w:tcPr>
          <w:p w14:paraId="227185B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390</w:t>
            </w:r>
          </w:p>
        </w:tc>
        <w:tc>
          <w:tcPr>
            <w:tcW w:w="2094" w:type="dxa"/>
            <w:tcMar>
              <w:top w:w="60" w:type="dxa"/>
              <w:left w:w="100" w:type="dxa"/>
              <w:bottom w:w="60" w:type="dxa"/>
              <w:right w:w="100" w:type="dxa"/>
            </w:tcMar>
          </w:tcPr>
          <w:p w14:paraId="7823F22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Ribeiro et al. 2023</w:t>
            </w:r>
          </w:p>
        </w:tc>
        <w:tc>
          <w:tcPr>
            <w:tcW w:w="4923" w:type="dxa"/>
            <w:tcMar>
              <w:top w:w="60" w:type="dxa"/>
              <w:left w:w="100" w:type="dxa"/>
              <w:bottom w:w="60" w:type="dxa"/>
              <w:right w:w="100" w:type="dxa"/>
            </w:tcMar>
          </w:tcPr>
          <w:p w14:paraId="160CD9B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 xml:space="preserve">Evaluation of a ruminally protected blend of pantothenic acid, pyridoxine, folic acid, biotin, and vitamin B12 on finishing steer growth performance, efficiency of dietary net energy </w:t>
            </w:r>
            <w:r w:rsidRPr="00F56AD6">
              <w:rPr>
                <w:rFonts w:asciiTheme="minorHAnsi" w:hAnsiTheme="minorHAnsi" w:cstheme="minorHAnsi"/>
                <w:sz w:val="20"/>
              </w:rPr>
              <w:lastRenderedPageBreak/>
              <w:t>utilization, carcass trait responses, and liver abscess prevalence and s</w:t>
            </w:r>
          </w:p>
        </w:tc>
        <w:tc>
          <w:tcPr>
            <w:tcW w:w="6537" w:type="dxa"/>
            <w:tcMar>
              <w:top w:w="60" w:type="dxa"/>
              <w:left w:w="100" w:type="dxa"/>
              <w:bottom w:w="60" w:type="dxa"/>
              <w:right w:w="100" w:type="dxa"/>
            </w:tcMar>
          </w:tcPr>
          <w:p w14:paraId="060939E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Excluded due to wrong exposure: the study did not assess excess vitamin B6 intake; role of B6 on finishing performance, dietary efficiency and carcass trait response in beef steers.</w:t>
            </w:r>
          </w:p>
        </w:tc>
      </w:tr>
      <w:tr w:rsidR="00EA496D" w:rsidRPr="00F56AD6" w14:paraId="5B959245" w14:textId="77777777" w:rsidTr="00EA496D">
        <w:tc>
          <w:tcPr>
            <w:tcW w:w="846" w:type="dxa"/>
            <w:tcMar>
              <w:top w:w="60" w:type="dxa"/>
              <w:left w:w="100" w:type="dxa"/>
              <w:bottom w:w="60" w:type="dxa"/>
              <w:right w:w="100" w:type="dxa"/>
            </w:tcMar>
          </w:tcPr>
          <w:p w14:paraId="088D4DA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391</w:t>
            </w:r>
          </w:p>
        </w:tc>
        <w:tc>
          <w:tcPr>
            <w:tcW w:w="2094" w:type="dxa"/>
            <w:tcMar>
              <w:top w:w="60" w:type="dxa"/>
              <w:left w:w="100" w:type="dxa"/>
              <w:bottom w:w="60" w:type="dxa"/>
              <w:right w:w="100" w:type="dxa"/>
            </w:tcMar>
          </w:tcPr>
          <w:p w14:paraId="2FE8A6E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Ricci et al. 2021</w:t>
            </w:r>
          </w:p>
        </w:tc>
        <w:tc>
          <w:tcPr>
            <w:tcW w:w="4923" w:type="dxa"/>
            <w:tcMar>
              <w:top w:w="60" w:type="dxa"/>
              <w:left w:w="100" w:type="dxa"/>
              <w:bottom w:w="60" w:type="dxa"/>
              <w:right w:w="100" w:type="dxa"/>
            </w:tcMar>
          </w:tcPr>
          <w:p w14:paraId="0B58D93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Mechanisms of Neuronal Damage in Acute Hepatic Porphyrias</w:t>
            </w:r>
          </w:p>
        </w:tc>
        <w:tc>
          <w:tcPr>
            <w:tcW w:w="6537" w:type="dxa"/>
            <w:tcMar>
              <w:top w:w="60" w:type="dxa"/>
              <w:left w:w="100" w:type="dxa"/>
              <w:bottom w:w="60" w:type="dxa"/>
              <w:right w:w="100" w:type="dxa"/>
            </w:tcMar>
          </w:tcPr>
          <w:p w14:paraId="6A9119B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pyridoxal deficiency as an effect of oxidative damage.</w:t>
            </w:r>
          </w:p>
        </w:tc>
      </w:tr>
      <w:tr w:rsidR="00EA496D" w:rsidRPr="00F56AD6" w14:paraId="264155A6" w14:textId="77777777" w:rsidTr="00EA496D">
        <w:tc>
          <w:tcPr>
            <w:tcW w:w="846" w:type="dxa"/>
            <w:tcMar>
              <w:top w:w="60" w:type="dxa"/>
              <w:left w:w="100" w:type="dxa"/>
              <w:bottom w:w="60" w:type="dxa"/>
              <w:right w:w="100" w:type="dxa"/>
            </w:tcMar>
          </w:tcPr>
          <w:p w14:paraId="141951C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392</w:t>
            </w:r>
          </w:p>
        </w:tc>
        <w:tc>
          <w:tcPr>
            <w:tcW w:w="2094" w:type="dxa"/>
            <w:tcMar>
              <w:top w:w="60" w:type="dxa"/>
              <w:left w:w="100" w:type="dxa"/>
              <w:bottom w:w="60" w:type="dxa"/>
              <w:right w:w="100" w:type="dxa"/>
            </w:tcMar>
          </w:tcPr>
          <w:p w14:paraId="2A62608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RivasNavarrete et al. 2025</w:t>
            </w:r>
          </w:p>
        </w:tc>
        <w:tc>
          <w:tcPr>
            <w:tcW w:w="4923" w:type="dxa"/>
            <w:tcMar>
              <w:top w:w="60" w:type="dxa"/>
              <w:left w:w="100" w:type="dxa"/>
              <w:bottom w:w="60" w:type="dxa"/>
              <w:right w:w="100" w:type="dxa"/>
            </w:tcMar>
          </w:tcPr>
          <w:p w14:paraId="1B1D3DA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Inhibition of advanced glycation end-products by the vitamin B6 vitamer pyridoxamine prevents systemic and skeletal muscle diet-induced metaflammation through modulation of S1P/RhoA/ROCK signalling</w:t>
            </w:r>
          </w:p>
        </w:tc>
        <w:tc>
          <w:tcPr>
            <w:tcW w:w="6537" w:type="dxa"/>
            <w:tcMar>
              <w:top w:w="60" w:type="dxa"/>
              <w:left w:w="100" w:type="dxa"/>
              <w:bottom w:w="60" w:type="dxa"/>
              <w:right w:w="100" w:type="dxa"/>
            </w:tcMar>
          </w:tcPr>
          <w:p w14:paraId="4BD42FF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pyridoxine supplementation may reduce inflammation that would lead to obesity.</w:t>
            </w:r>
          </w:p>
        </w:tc>
      </w:tr>
      <w:tr w:rsidR="00EA496D" w:rsidRPr="00F56AD6" w14:paraId="104074F6" w14:textId="77777777" w:rsidTr="00EA496D">
        <w:tc>
          <w:tcPr>
            <w:tcW w:w="846" w:type="dxa"/>
            <w:tcMar>
              <w:top w:w="60" w:type="dxa"/>
              <w:left w:w="100" w:type="dxa"/>
              <w:bottom w:w="60" w:type="dxa"/>
              <w:right w:w="100" w:type="dxa"/>
            </w:tcMar>
          </w:tcPr>
          <w:p w14:paraId="337F944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393</w:t>
            </w:r>
          </w:p>
        </w:tc>
        <w:tc>
          <w:tcPr>
            <w:tcW w:w="2094" w:type="dxa"/>
            <w:tcMar>
              <w:top w:w="60" w:type="dxa"/>
              <w:left w:w="100" w:type="dxa"/>
              <w:bottom w:w="60" w:type="dxa"/>
              <w:right w:w="100" w:type="dxa"/>
            </w:tcMar>
          </w:tcPr>
          <w:p w14:paraId="4067380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Rizzo et al. 2022</w:t>
            </w:r>
          </w:p>
        </w:tc>
        <w:tc>
          <w:tcPr>
            <w:tcW w:w="4923" w:type="dxa"/>
            <w:tcMar>
              <w:top w:w="60" w:type="dxa"/>
              <w:left w:w="100" w:type="dxa"/>
              <w:bottom w:w="60" w:type="dxa"/>
              <w:right w:w="100" w:type="dxa"/>
            </w:tcMar>
          </w:tcPr>
          <w:p w14:paraId="52DC9FF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Use of Nutritional Supplements Based on L-Theanine and Vitamin B6 in Children with Tourette Syndrome, with Anxiety Disorders: A Pilot Study</w:t>
            </w:r>
          </w:p>
        </w:tc>
        <w:tc>
          <w:tcPr>
            <w:tcW w:w="6537" w:type="dxa"/>
            <w:tcMar>
              <w:top w:w="60" w:type="dxa"/>
              <w:left w:w="100" w:type="dxa"/>
              <w:bottom w:w="60" w:type="dxa"/>
              <w:right w:w="100" w:type="dxa"/>
            </w:tcMar>
          </w:tcPr>
          <w:p w14:paraId="74F258A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can help alleviate Tic disorder symptoms.</w:t>
            </w:r>
          </w:p>
        </w:tc>
      </w:tr>
      <w:tr w:rsidR="00EA496D" w:rsidRPr="00F56AD6" w14:paraId="7E85695F" w14:textId="77777777" w:rsidTr="00EA496D">
        <w:tc>
          <w:tcPr>
            <w:tcW w:w="846" w:type="dxa"/>
            <w:tcMar>
              <w:top w:w="60" w:type="dxa"/>
              <w:left w:w="100" w:type="dxa"/>
              <w:bottom w:w="60" w:type="dxa"/>
              <w:right w:w="100" w:type="dxa"/>
            </w:tcMar>
          </w:tcPr>
          <w:p w14:paraId="13D3B6F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394</w:t>
            </w:r>
          </w:p>
        </w:tc>
        <w:tc>
          <w:tcPr>
            <w:tcW w:w="2094" w:type="dxa"/>
            <w:tcMar>
              <w:top w:w="60" w:type="dxa"/>
              <w:left w:w="100" w:type="dxa"/>
              <w:bottom w:w="60" w:type="dxa"/>
              <w:right w:w="100" w:type="dxa"/>
            </w:tcMar>
          </w:tcPr>
          <w:p w14:paraId="3C1E108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Rodríguez-Araya et al. 2026</w:t>
            </w:r>
          </w:p>
        </w:tc>
        <w:tc>
          <w:tcPr>
            <w:tcW w:w="4923" w:type="dxa"/>
            <w:tcMar>
              <w:top w:w="60" w:type="dxa"/>
              <w:left w:w="100" w:type="dxa"/>
              <w:bottom w:w="60" w:type="dxa"/>
              <w:right w:w="100" w:type="dxa"/>
            </w:tcMar>
          </w:tcPr>
          <w:p w14:paraId="686C976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Challenge of Hypophosphatasia Diagnosis in Patients with Fibromyalgia</w:t>
            </w:r>
          </w:p>
        </w:tc>
        <w:tc>
          <w:tcPr>
            <w:tcW w:w="6537" w:type="dxa"/>
            <w:tcMar>
              <w:top w:w="60" w:type="dxa"/>
              <w:left w:w="100" w:type="dxa"/>
              <w:bottom w:w="60" w:type="dxa"/>
              <w:right w:w="100" w:type="dxa"/>
            </w:tcMar>
          </w:tcPr>
          <w:p w14:paraId="28F9498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as a biomarker.</w:t>
            </w:r>
          </w:p>
        </w:tc>
      </w:tr>
      <w:tr w:rsidR="00EA496D" w:rsidRPr="00F56AD6" w14:paraId="01C8DFDE" w14:textId="77777777" w:rsidTr="00EA496D">
        <w:tc>
          <w:tcPr>
            <w:tcW w:w="846" w:type="dxa"/>
            <w:tcMar>
              <w:top w:w="60" w:type="dxa"/>
              <w:left w:w="100" w:type="dxa"/>
              <w:bottom w:w="60" w:type="dxa"/>
              <w:right w:w="100" w:type="dxa"/>
            </w:tcMar>
          </w:tcPr>
          <w:p w14:paraId="5F28525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395</w:t>
            </w:r>
          </w:p>
        </w:tc>
        <w:tc>
          <w:tcPr>
            <w:tcW w:w="2094" w:type="dxa"/>
            <w:tcMar>
              <w:top w:w="60" w:type="dxa"/>
              <w:left w:w="100" w:type="dxa"/>
              <w:bottom w:w="60" w:type="dxa"/>
              <w:right w:w="100" w:type="dxa"/>
            </w:tcMar>
          </w:tcPr>
          <w:p w14:paraId="28EC35D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Rossmann et al. 2022</w:t>
            </w:r>
          </w:p>
        </w:tc>
        <w:tc>
          <w:tcPr>
            <w:tcW w:w="4923" w:type="dxa"/>
            <w:tcMar>
              <w:top w:w="60" w:type="dxa"/>
              <w:left w:w="100" w:type="dxa"/>
              <w:bottom w:w="60" w:type="dxa"/>
              <w:right w:w="100" w:type="dxa"/>
            </w:tcMar>
          </w:tcPr>
          <w:p w14:paraId="08D954B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Validated UPLC-MS/MS method for the analysis of vitamin B(6) pyridoxal 5́-phosphate, pyridoxal, pyridoxine, pyridoxamine, and pyridoxic acid in human cerebrospinal fluid</w:t>
            </w:r>
          </w:p>
        </w:tc>
        <w:tc>
          <w:tcPr>
            <w:tcW w:w="6537" w:type="dxa"/>
            <w:tcMar>
              <w:top w:w="60" w:type="dxa"/>
              <w:left w:w="100" w:type="dxa"/>
              <w:bottom w:w="60" w:type="dxa"/>
              <w:right w:w="100" w:type="dxa"/>
            </w:tcMar>
          </w:tcPr>
          <w:p w14:paraId="1493B66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method for determining B6 concentrations.</w:t>
            </w:r>
          </w:p>
        </w:tc>
      </w:tr>
      <w:tr w:rsidR="00EA496D" w:rsidRPr="00F56AD6" w14:paraId="121FBD9B" w14:textId="77777777" w:rsidTr="00EA496D">
        <w:tc>
          <w:tcPr>
            <w:tcW w:w="846" w:type="dxa"/>
            <w:tcMar>
              <w:top w:w="60" w:type="dxa"/>
              <w:left w:w="100" w:type="dxa"/>
              <w:bottom w:w="60" w:type="dxa"/>
              <w:right w:w="100" w:type="dxa"/>
            </w:tcMar>
          </w:tcPr>
          <w:p w14:paraId="1240EA5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396</w:t>
            </w:r>
          </w:p>
        </w:tc>
        <w:tc>
          <w:tcPr>
            <w:tcW w:w="2094" w:type="dxa"/>
            <w:tcMar>
              <w:top w:w="60" w:type="dxa"/>
              <w:left w:w="100" w:type="dxa"/>
              <w:bottom w:w="60" w:type="dxa"/>
              <w:right w:w="100" w:type="dxa"/>
            </w:tcMar>
          </w:tcPr>
          <w:p w14:paraId="5F6AE94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Roy et al. 2025</w:t>
            </w:r>
          </w:p>
        </w:tc>
        <w:tc>
          <w:tcPr>
            <w:tcW w:w="4923" w:type="dxa"/>
            <w:tcMar>
              <w:top w:w="60" w:type="dxa"/>
              <w:left w:w="100" w:type="dxa"/>
              <w:bottom w:w="60" w:type="dxa"/>
              <w:right w:w="100" w:type="dxa"/>
            </w:tcMar>
          </w:tcPr>
          <w:p w14:paraId="2383C87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Enhanced rivastigmine delivery through nanoemulsion and pyridoxine supplementation: An in-vivo study on Alzheimer's disease intervention</w:t>
            </w:r>
          </w:p>
        </w:tc>
        <w:tc>
          <w:tcPr>
            <w:tcW w:w="6537" w:type="dxa"/>
            <w:tcMar>
              <w:top w:w="60" w:type="dxa"/>
              <w:left w:w="100" w:type="dxa"/>
              <w:bottom w:w="60" w:type="dxa"/>
              <w:right w:w="100" w:type="dxa"/>
            </w:tcMar>
          </w:tcPr>
          <w:p w14:paraId="11AF6E1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pyridoxine helped the transportation and therefore effectiveness of medication.</w:t>
            </w:r>
          </w:p>
        </w:tc>
      </w:tr>
      <w:tr w:rsidR="00EA496D" w:rsidRPr="00F56AD6" w14:paraId="12D04813" w14:textId="77777777" w:rsidTr="00EA496D">
        <w:tc>
          <w:tcPr>
            <w:tcW w:w="846" w:type="dxa"/>
            <w:tcMar>
              <w:top w:w="60" w:type="dxa"/>
              <w:left w:w="100" w:type="dxa"/>
              <w:bottom w:w="60" w:type="dxa"/>
              <w:right w:w="100" w:type="dxa"/>
            </w:tcMar>
          </w:tcPr>
          <w:p w14:paraId="66B994D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397</w:t>
            </w:r>
          </w:p>
        </w:tc>
        <w:tc>
          <w:tcPr>
            <w:tcW w:w="2094" w:type="dxa"/>
            <w:tcMar>
              <w:top w:w="60" w:type="dxa"/>
              <w:left w:w="100" w:type="dxa"/>
              <w:bottom w:w="60" w:type="dxa"/>
              <w:right w:w="100" w:type="dxa"/>
            </w:tcMar>
          </w:tcPr>
          <w:p w14:paraId="788FB20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Ruan et al. 2024</w:t>
            </w:r>
          </w:p>
        </w:tc>
        <w:tc>
          <w:tcPr>
            <w:tcW w:w="4923" w:type="dxa"/>
            <w:tcMar>
              <w:top w:w="60" w:type="dxa"/>
              <w:left w:w="100" w:type="dxa"/>
              <w:bottom w:w="60" w:type="dxa"/>
              <w:right w:w="100" w:type="dxa"/>
            </w:tcMar>
          </w:tcPr>
          <w:p w14:paraId="3BAE948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 of vitamin B6 intake with the risk and prognosis of diabetic retinopathy: a NHANES-based study</w:t>
            </w:r>
          </w:p>
        </w:tc>
        <w:tc>
          <w:tcPr>
            <w:tcW w:w="6537" w:type="dxa"/>
            <w:tcMar>
              <w:top w:w="60" w:type="dxa"/>
              <w:left w:w="100" w:type="dxa"/>
              <w:bottom w:w="60" w:type="dxa"/>
              <w:right w:w="100" w:type="dxa"/>
            </w:tcMar>
          </w:tcPr>
          <w:p w14:paraId="3385105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may reduce risk of death from cardiovascular diseases.</w:t>
            </w:r>
          </w:p>
        </w:tc>
      </w:tr>
      <w:tr w:rsidR="00EA496D" w:rsidRPr="00F56AD6" w14:paraId="3169489E" w14:textId="77777777" w:rsidTr="00EA496D">
        <w:tc>
          <w:tcPr>
            <w:tcW w:w="846" w:type="dxa"/>
            <w:tcMar>
              <w:top w:w="60" w:type="dxa"/>
              <w:left w:w="100" w:type="dxa"/>
              <w:bottom w:w="60" w:type="dxa"/>
              <w:right w:w="100" w:type="dxa"/>
            </w:tcMar>
          </w:tcPr>
          <w:p w14:paraId="5B69C76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398</w:t>
            </w:r>
          </w:p>
        </w:tc>
        <w:tc>
          <w:tcPr>
            <w:tcW w:w="2094" w:type="dxa"/>
            <w:tcMar>
              <w:top w:w="60" w:type="dxa"/>
              <w:left w:w="100" w:type="dxa"/>
              <w:bottom w:w="60" w:type="dxa"/>
              <w:right w:w="100" w:type="dxa"/>
            </w:tcMar>
          </w:tcPr>
          <w:p w14:paraId="0413DE1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Rubinos et al. 2023</w:t>
            </w:r>
          </w:p>
        </w:tc>
        <w:tc>
          <w:tcPr>
            <w:tcW w:w="4923" w:type="dxa"/>
            <w:tcMar>
              <w:top w:w="60" w:type="dxa"/>
              <w:left w:w="100" w:type="dxa"/>
              <w:bottom w:w="60" w:type="dxa"/>
              <w:right w:w="100" w:type="dxa"/>
            </w:tcMar>
          </w:tcPr>
          <w:p w14:paraId="093ADA4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 of Serum Pyridoxal Phosphate Levels with Established Status Epilepticus</w:t>
            </w:r>
          </w:p>
        </w:tc>
        <w:tc>
          <w:tcPr>
            <w:tcW w:w="6537" w:type="dxa"/>
            <w:tcMar>
              <w:top w:w="60" w:type="dxa"/>
              <w:left w:w="100" w:type="dxa"/>
              <w:bottom w:w="60" w:type="dxa"/>
              <w:right w:w="100" w:type="dxa"/>
            </w:tcMar>
          </w:tcPr>
          <w:p w14:paraId="31D41D0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epilepticus patients may need more B6 supplementation as their levels are lower.</w:t>
            </w:r>
          </w:p>
        </w:tc>
      </w:tr>
      <w:tr w:rsidR="00EA496D" w:rsidRPr="00F56AD6" w14:paraId="49D4E0CB" w14:textId="77777777" w:rsidTr="00EA496D">
        <w:tc>
          <w:tcPr>
            <w:tcW w:w="846" w:type="dxa"/>
            <w:tcMar>
              <w:top w:w="60" w:type="dxa"/>
              <w:left w:w="100" w:type="dxa"/>
              <w:bottom w:w="60" w:type="dxa"/>
              <w:right w:w="100" w:type="dxa"/>
            </w:tcMar>
          </w:tcPr>
          <w:p w14:paraId="2F13910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399</w:t>
            </w:r>
          </w:p>
        </w:tc>
        <w:tc>
          <w:tcPr>
            <w:tcW w:w="2094" w:type="dxa"/>
            <w:tcMar>
              <w:top w:w="60" w:type="dxa"/>
              <w:left w:w="100" w:type="dxa"/>
              <w:bottom w:w="60" w:type="dxa"/>
              <w:right w:w="100" w:type="dxa"/>
            </w:tcMar>
          </w:tcPr>
          <w:p w14:paraId="1CB01CF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Rudnicki-Velasquez et al. 2025</w:t>
            </w:r>
          </w:p>
        </w:tc>
        <w:tc>
          <w:tcPr>
            <w:tcW w:w="4923" w:type="dxa"/>
            <w:tcMar>
              <w:top w:w="60" w:type="dxa"/>
              <w:left w:w="100" w:type="dxa"/>
              <w:bottom w:w="60" w:type="dxa"/>
              <w:right w:w="100" w:type="dxa"/>
            </w:tcMar>
          </w:tcPr>
          <w:p w14:paraId="2B537AD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Simultaneous Determination of the B(1) and B(6) Vitamers Reveals Their Loss During a Single Peritoneal Dialysis Session: Chromatographic and Chemometric Approach</w:t>
            </w:r>
          </w:p>
        </w:tc>
        <w:tc>
          <w:tcPr>
            <w:tcW w:w="6537" w:type="dxa"/>
            <w:tcMar>
              <w:top w:w="60" w:type="dxa"/>
              <w:left w:w="100" w:type="dxa"/>
              <w:bottom w:w="60" w:type="dxa"/>
              <w:right w:w="100" w:type="dxa"/>
            </w:tcMar>
          </w:tcPr>
          <w:p w14:paraId="3C9C0E1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focuses on how B6 concentration is reduced during peritoneal dialysis and one may need to supplement.</w:t>
            </w:r>
          </w:p>
        </w:tc>
      </w:tr>
      <w:tr w:rsidR="00EA496D" w:rsidRPr="00F56AD6" w14:paraId="722339DE" w14:textId="77777777" w:rsidTr="00EA496D">
        <w:tc>
          <w:tcPr>
            <w:tcW w:w="846" w:type="dxa"/>
            <w:tcMar>
              <w:top w:w="60" w:type="dxa"/>
              <w:left w:w="100" w:type="dxa"/>
              <w:bottom w:w="60" w:type="dxa"/>
              <w:right w:w="100" w:type="dxa"/>
            </w:tcMar>
          </w:tcPr>
          <w:p w14:paraId="06C0A92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400</w:t>
            </w:r>
          </w:p>
        </w:tc>
        <w:tc>
          <w:tcPr>
            <w:tcW w:w="2094" w:type="dxa"/>
            <w:tcMar>
              <w:top w:w="60" w:type="dxa"/>
              <w:left w:w="100" w:type="dxa"/>
              <w:bottom w:w="60" w:type="dxa"/>
              <w:right w:w="100" w:type="dxa"/>
            </w:tcMar>
          </w:tcPr>
          <w:p w14:paraId="282736F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RuizdeGalarreta et al. 2023</w:t>
            </w:r>
          </w:p>
        </w:tc>
        <w:tc>
          <w:tcPr>
            <w:tcW w:w="4923" w:type="dxa"/>
            <w:tcMar>
              <w:top w:w="60" w:type="dxa"/>
              <w:left w:w="100" w:type="dxa"/>
              <w:bottom w:w="60" w:type="dxa"/>
              <w:right w:w="100" w:type="dxa"/>
            </w:tcMar>
          </w:tcPr>
          <w:p w14:paraId="0374286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Antifibrogenic and apoptotic effects of Ocoxin in cultured rat hepatic stellate cells</w:t>
            </w:r>
          </w:p>
        </w:tc>
        <w:tc>
          <w:tcPr>
            <w:tcW w:w="6537" w:type="dxa"/>
            <w:tcMar>
              <w:top w:w="60" w:type="dxa"/>
              <w:left w:w="100" w:type="dxa"/>
              <w:bottom w:w="60" w:type="dxa"/>
              <w:right w:w="100" w:type="dxa"/>
            </w:tcMar>
          </w:tcPr>
          <w:p w14:paraId="1A3EB14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not vitamin B6.</w:t>
            </w:r>
          </w:p>
        </w:tc>
      </w:tr>
      <w:tr w:rsidR="00EA496D" w:rsidRPr="00F56AD6" w14:paraId="5046F5E2" w14:textId="77777777" w:rsidTr="00EA496D">
        <w:tc>
          <w:tcPr>
            <w:tcW w:w="846" w:type="dxa"/>
            <w:tcMar>
              <w:top w:w="60" w:type="dxa"/>
              <w:left w:w="100" w:type="dxa"/>
              <w:bottom w:w="60" w:type="dxa"/>
              <w:right w:w="100" w:type="dxa"/>
            </w:tcMar>
          </w:tcPr>
          <w:p w14:paraId="4C6FF46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401</w:t>
            </w:r>
          </w:p>
        </w:tc>
        <w:tc>
          <w:tcPr>
            <w:tcW w:w="2094" w:type="dxa"/>
            <w:tcMar>
              <w:top w:w="60" w:type="dxa"/>
              <w:left w:w="100" w:type="dxa"/>
              <w:bottom w:w="60" w:type="dxa"/>
              <w:right w:w="100" w:type="dxa"/>
            </w:tcMar>
          </w:tcPr>
          <w:p w14:paraId="7DFF1B7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Ryback 2023</w:t>
            </w:r>
          </w:p>
        </w:tc>
        <w:tc>
          <w:tcPr>
            <w:tcW w:w="4923" w:type="dxa"/>
            <w:tcMar>
              <w:top w:w="60" w:type="dxa"/>
              <w:left w:w="100" w:type="dxa"/>
              <w:bottom w:w="60" w:type="dxa"/>
              <w:right w:w="100" w:type="dxa"/>
            </w:tcMar>
          </w:tcPr>
          <w:p w14:paraId="3ECD38C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Coenzyme biosynthesis in response to precursor availability reveals incorporation of β-alanine from pantothenate in prototrophic bacteria</w:t>
            </w:r>
          </w:p>
        </w:tc>
        <w:tc>
          <w:tcPr>
            <w:tcW w:w="6537" w:type="dxa"/>
            <w:tcMar>
              <w:top w:w="60" w:type="dxa"/>
              <w:left w:w="100" w:type="dxa"/>
              <w:bottom w:w="60" w:type="dxa"/>
              <w:right w:w="100" w:type="dxa"/>
            </w:tcMar>
          </w:tcPr>
          <w:p w14:paraId="620761F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population: bacteria.</w:t>
            </w:r>
          </w:p>
        </w:tc>
      </w:tr>
      <w:tr w:rsidR="00EA496D" w:rsidRPr="00F56AD6" w14:paraId="1438C153" w14:textId="77777777" w:rsidTr="00EA496D">
        <w:tc>
          <w:tcPr>
            <w:tcW w:w="846" w:type="dxa"/>
            <w:tcMar>
              <w:top w:w="60" w:type="dxa"/>
              <w:left w:w="100" w:type="dxa"/>
              <w:bottom w:w="60" w:type="dxa"/>
              <w:right w:w="100" w:type="dxa"/>
            </w:tcMar>
          </w:tcPr>
          <w:p w14:paraId="4D53CA2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402</w:t>
            </w:r>
          </w:p>
        </w:tc>
        <w:tc>
          <w:tcPr>
            <w:tcW w:w="2094" w:type="dxa"/>
            <w:tcMar>
              <w:top w:w="60" w:type="dxa"/>
              <w:left w:w="100" w:type="dxa"/>
              <w:bottom w:w="60" w:type="dxa"/>
              <w:right w:w="100" w:type="dxa"/>
            </w:tcMar>
          </w:tcPr>
          <w:p w14:paraId="227FE97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Sacharow 1993</w:t>
            </w:r>
          </w:p>
        </w:tc>
        <w:tc>
          <w:tcPr>
            <w:tcW w:w="4923" w:type="dxa"/>
            <w:tcMar>
              <w:top w:w="60" w:type="dxa"/>
              <w:left w:w="100" w:type="dxa"/>
              <w:bottom w:w="60" w:type="dxa"/>
              <w:right w:w="100" w:type="dxa"/>
            </w:tcMar>
          </w:tcPr>
          <w:p w14:paraId="202CD1F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Homocystinuria due to Cystathionine Beta-Synthase Deficiency</w:t>
            </w:r>
          </w:p>
        </w:tc>
        <w:tc>
          <w:tcPr>
            <w:tcW w:w="6537" w:type="dxa"/>
            <w:tcMar>
              <w:top w:w="60" w:type="dxa"/>
              <w:left w:w="100" w:type="dxa"/>
              <w:bottom w:w="60" w:type="dxa"/>
              <w:right w:w="100" w:type="dxa"/>
            </w:tcMar>
          </w:tcPr>
          <w:p w14:paraId="727F2EF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as therapeutic.</w:t>
            </w:r>
          </w:p>
        </w:tc>
      </w:tr>
      <w:tr w:rsidR="00EA496D" w:rsidRPr="00F56AD6" w14:paraId="34072703" w14:textId="77777777" w:rsidTr="00EA496D">
        <w:tc>
          <w:tcPr>
            <w:tcW w:w="846" w:type="dxa"/>
            <w:tcMar>
              <w:top w:w="60" w:type="dxa"/>
              <w:left w:w="100" w:type="dxa"/>
              <w:bottom w:w="60" w:type="dxa"/>
              <w:right w:w="100" w:type="dxa"/>
            </w:tcMar>
          </w:tcPr>
          <w:p w14:paraId="605D44A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403</w:t>
            </w:r>
          </w:p>
        </w:tc>
        <w:tc>
          <w:tcPr>
            <w:tcW w:w="2094" w:type="dxa"/>
            <w:tcMar>
              <w:top w:w="60" w:type="dxa"/>
              <w:left w:w="100" w:type="dxa"/>
              <w:bottom w:w="60" w:type="dxa"/>
              <w:right w:w="100" w:type="dxa"/>
            </w:tcMar>
          </w:tcPr>
          <w:p w14:paraId="75206B2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Saldanha et al. 2023</w:t>
            </w:r>
          </w:p>
        </w:tc>
        <w:tc>
          <w:tcPr>
            <w:tcW w:w="4923" w:type="dxa"/>
            <w:tcMar>
              <w:top w:w="60" w:type="dxa"/>
              <w:left w:w="100" w:type="dxa"/>
              <w:bottom w:w="60" w:type="dxa"/>
              <w:right w:w="100" w:type="dxa"/>
            </w:tcMar>
          </w:tcPr>
          <w:p w14:paraId="77BC7E6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case study: Correlation of the nutrient composition in Chinese Hamster Ovary cultures with cell growth, antibody titre and quality attributes using multivariate analyses for guiding medium and feed optimization in early upstream process development</w:t>
            </w:r>
          </w:p>
        </w:tc>
        <w:tc>
          <w:tcPr>
            <w:tcW w:w="6537" w:type="dxa"/>
            <w:tcMar>
              <w:top w:w="60" w:type="dxa"/>
              <w:left w:w="100" w:type="dxa"/>
              <w:bottom w:w="60" w:type="dxa"/>
              <w:right w:w="100" w:type="dxa"/>
            </w:tcMar>
          </w:tcPr>
          <w:p w14:paraId="154931C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concentration of pyridoxal governed initial cell growth.</w:t>
            </w:r>
          </w:p>
        </w:tc>
      </w:tr>
      <w:tr w:rsidR="00EA496D" w:rsidRPr="00F56AD6" w14:paraId="0689A007" w14:textId="77777777" w:rsidTr="00EA496D">
        <w:tc>
          <w:tcPr>
            <w:tcW w:w="846" w:type="dxa"/>
            <w:tcMar>
              <w:top w:w="60" w:type="dxa"/>
              <w:left w:w="100" w:type="dxa"/>
              <w:bottom w:w="60" w:type="dxa"/>
              <w:right w:w="100" w:type="dxa"/>
            </w:tcMar>
          </w:tcPr>
          <w:p w14:paraId="11706CC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404</w:t>
            </w:r>
          </w:p>
        </w:tc>
        <w:tc>
          <w:tcPr>
            <w:tcW w:w="2094" w:type="dxa"/>
            <w:tcMar>
              <w:top w:w="60" w:type="dxa"/>
              <w:left w:w="100" w:type="dxa"/>
              <w:bottom w:w="60" w:type="dxa"/>
              <w:right w:w="100" w:type="dxa"/>
            </w:tcMar>
          </w:tcPr>
          <w:p w14:paraId="21096A6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Salehi-Sahlabadi et al. 2022</w:t>
            </w:r>
          </w:p>
        </w:tc>
        <w:tc>
          <w:tcPr>
            <w:tcW w:w="4923" w:type="dxa"/>
            <w:tcMar>
              <w:top w:w="60" w:type="dxa"/>
              <w:left w:w="100" w:type="dxa"/>
              <w:bottom w:w="60" w:type="dxa"/>
              <w:right w:w="100" w:type="dxa"/>
            </w:tcMar>
          </w:tcPr>
          <w:p w14:paraId="0143CB0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Nutrient patterns and non-alcoholic fatty liver disease in Iranian Adul: A case-control study</w:t>
            </w:r>
          </w:p>
        </w:tc>
        <w:tc>
          <w:tcPr>
            <w:tcW w:w="6537" w:type="dxa"/>
            <w:tcMar>
              <w:top w:w="60" w:type="dxa"/>
              <w:left w:w="100" w:type="dxa"/>
              <w:bottom w:w="60" w:type="dxa"/>
              <w:right w:w="100" w:type="dxa"/>
            </w:tcMar>
          </w:tcPr>
          <w:p w14:paraId="20D0D50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measuring pyridoxine as a nutrient pattern for NAFLD.</w:t>
            </w:r>
          </w:p>
        </w:tc>
      </w:tr>
      <w:tr w:rsidR="00EA496D" w:rsidRPr="00F56AD6" w14:paraId="74581F3F" w14:textId="77777777" w:rsidTr="00EA496D">
        <w:tc>
          <w:tcPr>
            <w:tcW w:w="846" w:type="dxa"/>
            <w:tcMar>
              <w:top w:w="60" w:type="dxa"/>
              <w:left w:w="100" w:type="dxa"/>
              <w:bottom w:w="60" w:type="dxa"/>
              <w:right w:w="100" w:type="dxa"/>
            </w:tcMar>
          </w:tcPr>
          <w:p w14:paraId="68CCDEC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405</w:t>
            </w:r>
          </w:p>
        </w:tc>
        <w:tc>
          <w:tcPr>
            <w:tcW w:w="2094" w:type="dxa"/>
            <w:tcMar>
              <w:top w:w="60" w:type="dxa"/>
              <w:left w:w="100" w:type="dxa"/>
              <w:bottom w:w="60" w:type="dxa"/>
              <w:right w:w="100" w:type="dxa"/>
            </w:tcMar>
          </w:tcPr>
          <w:p w14:paraId="168B83A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ŠalkováKráľová et al. 2023</w:t>
            </w:r>
          </w:p>
        </w:tc>
        <w:tc>
          <w:tcPr>
            <w:tcW w:w="4923" w:type="dxa"/>
            <w:tcMar>
              <w:top w:w="60" w:type="dxa"/>
              <w:left w:w="100" w:type="dxa"/>
              <w:bottom w:w="60" w:type="dxa"/>
              <w:right w:w="100" w:type="dxa"/>
            </w:tcMar>
          </w:tcPr>
          <w:p w14:paraId="01454E9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Dietary habits and dietary nutrient intake in patients with age-related macular degeneration: A case-control study</w:t>
            </w:r>
          </w:p>
        </w:tc>
        <w:tc>
          <w:tcPr>
            <w:tcW w:w="6537" w:type="dxa"/>
            <w:tcMar>
              <w:top w:w="60" w:type="dxa"/>
              <w:left w:w="100" w:type="dxa"/>
              <w:bottom w:w="60" w:type="dxa"/>
              <w:right w:w="100" w:type="dxa"/>
            </w:tcMar>
          </w:tcPr>
          <w:p w14:paraId="5AE3E86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nutrient increased in different diet.</w:t>
            </w:r>
          </w:p>
        </w:tc>
      </w:tr>
      <w:tr w:rsidR="00EA496D" w:rsidRPr="00F56AD6" w14:paraId="35EEEC91" w14:textId="77777777" w:rsidTr="00EA496D">
        <w:tc>
          <w:tcPr>
            <w:tcW w:w="846" w:type="dxa"/>
            <w:tcMar>
              <w:top w:w="60" w:type="dxa"/>
              <w:left w:w="100" w:type="dxa"/>
              <w:bottom w:w="60" w:type="dxa"/>
              <w:right w:w="100" w:type="dxa"/>
            </w:tcMar>
          </w:tcPr>
          <w:p w14:paraId="73B3990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406</w:t>
            </w:r>
          </w:p>
        </w:tc>
        <w:tc>
          <w:tcPr>
            <w:tcW w:w="2094" w:type="dxa"/>
            <w:tcMar>
              <w:top w:w="60" w:type="dxa"/>
              <w:left w:w="100" w:type="dxa"/>
              <w:bottom w:w="60" w:type="dxa"/>
              <w:right w:w="100" w:type="dxa"/>
            </w:tcMar>
          </w:tcPr>
          <w:p w14:paraId="4C02F6D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Sankar et al. 2024</w:t>
            </w:r>
          </w:p>
        </w:tc>
        <w:tc>
          <w:tcPr>
            <w:tcW w:w="4923" w:type="dxa"/>
            <w:tcMar>
              <w:top w:w="60" w:type="dxa"/>
              <w:left w:w="100" w:type="dxa"/>
              <w:bottom w:w="60" w:type="dxa"/>
              <w:right w:w="100" w:type="dxa"/>
            </w:tcMar>
          </w:tcPr>
          <w:p w14:paraId="28C55B3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Isoniazid-historical development, metabolism associated toxicity and a perspective on its pharmacological improvement</w:t>
            </w:r>
          </w:p>
        </w:tc>
        <w:tc>
          <w:tcPr>
            <w:tcW w:w="6537" w:type="dxa"/>
            <w:tcMar>
              <w:top w:w="60" w:type="dxa"/>
              <w:left w:w="100" w:type="dxa"/>
              <w:bottom w:w="60" w:type="dxa"/>
              <w:right w:w="100" w:type="dxa"/>
            </w:tcMar>
          </w:tcPr>
          <w:p w14:paraId="3649528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reviews how isoniazid can cause B6 deficiency.</w:t>
            </w:r>
          </w:p>
        </w:tc>
      </w:tr>
      <w:tr w:rsidR="00EA496D" w:rsidRPr="00F56AD6" w14:paraId="37DE0CE1" w14:textId="77777777" w:rsidTr="00EA496D">
        <w:tc>
          <w:tcPr>
            <w:tcW w:w="846" w:type="dxa"/>
            <w:tcMar>
              <w:top w:w="60" w:type="dxa"/>
              <w:left w:w="100" w:type="dxa"/>
              <w:bottom w:w="60" w:type="dxa"/>
              <w:right w:w="100" w:type="dxa"/>
            </w:tcMar>
          </w:tcPr>
          <w:p w14:paraId="29F6380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407</w:t>
            </w:r>
          </w:p>
        </w:tc>
        <w:tc>
          <w:tcPr>
            <w:tcW w:w="2094" w:type="dxa"/>
            <w:tcMar>
              <w:top w:w="60" w:type="dxa"/>
              <w:left w:w="100" w:type="dxa"/>
              <w:bottom w:w="60" w:type="dxa"/>
              <w:right w:w="100" w:type="dxa"/>
            </w:tcMar>
          </w:tcPr>
          <w:p w14:paraId="65CFB3E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Sarkar et al. 2026</w:t>
            </w:r>
          </w:p>
        </w:tc>
        <w:tc>
          <w:tcPr>
            <w:tcW w:w="4923" w:type="dxa"/>
            <w:tcMar>
              <w:top w:w="60" w:type="dxa"/>
              <w:left w:w="100" w:type="dxa"/>
              <w:bottom w:w="60" w:type="dxa"/>
              <w:right w:w="100" w:type="dxa"/>
            </w:tcMar>
          </w:tcPr>
          <w:p w14:paraId="6C35F64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Sterol Endoperoxides and Their Antileishmanial Effects: Influence on Viability, Oxygen Metabolism and Sterol Synthesis</w:t>
            </w:r>
          </w:p>
        </w:tc>
        <w:tc>
          <w:tcPr>
            <w:tcW w:w="6537" w:type="dxa"/>
            <w:tcMar>
              <w:top w:w="60" w:type="dxa"/>
              <w:left w:w="100" w:type="dxa"/>
              <w:bottom w:w="60" w:type="dxa"/>
              <w:right w:w="100" w:type="dxa"/>
            </w:tcMar>
          </w:tcPr>
          <w:p w14:paraId="6D357BD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population: in vitro.</w:t>
            </w:r>
          </w:p>
        </w:tc>
      </w:tr>
      <w:tr w:rsidR="00EA496D" w:rsidRPr="00F56AD6" w14:paraId="2922EFF2" w14:textId="77777777" w:rsidTr="00EA496D">
        <w:tc>
          <w:tcPr>
            <w:tcW w:w="846" w:type="dxa"/>
            <w:tcMar>
              <w:top w:w="60" w:type="dxa"/>
              <w:left w:w="100" w:type="dxa"/>
              <w:bottom w:w="60" w:type="dxa"/>
              <w:right w:w="100" w:type="dxa"/>
            </w:tcMar>
          </w:tcPr>
          <w:p w14:paraId="5CA0D8B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408</w:t>
            </w:r>
          </w:p>
        </w:tc>
        <w:tc>
          <w:tcPr>
            <w:tcW w:w="2094" w:type="dxa"/>
            <w:tcMar>
              <w:top w:w="60" w:type="dxa"/>
              <w:left w:w="100" w:type="dxa"/>
              <w:bottom w:w="60" w:type="dxa"/>
              <w:right w:w="100" w:type="dxa"/>
            </w:tcMar>
          </w:tcPr>
          <w:p w14:paraId="21A7FC6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Sas et al. 2024</w:t>
            </w:r>
          </w:p>
        </w:tc>
        <w:tc>
          <w:tcPr>
            <w:tcW w:w="4923" w:type="dxa"/>
            <w:tcMar>
              <w:top w:w="60" w:type="dxa"/>
              <w:left w:w="100" w:type="dxa"/>
              <w:bottom w:w="60" w:type="dxa"/>
              <w:right w:w="100" w:type="dxa"/>
            </w:tcMar>
          </w:tcPr>
          <w:p w14:paraId="448A5C7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Natural history of urine and plasma oxalate in children with primary hyperoxaluria type 1</w:t>
            </w:r>
          </w:p>
        </w:tc>
        <w:tc>
          <w:tcPr>
            <w:tcW w:w="6537" w:type="dxa"/>
            <w:tcMar>
              <w:top w:w="60" w:type="dxa"/>
              <w:left w:w="100" w:type="dxa"/>
              <w:bottom w:w="60" w:type="dxa"/>
              <w:right w:w="100" w:type="dxa"/>
            </w:tcMar>
          </w:tcPr>
          <w:p w14:paraId="0B0A672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measuring effect of pyridoxamine on urine etc. no adverse effects reported.</w:t>
            </w:r>
          </w:p>
        </w:tc>
      </w:tr>
      <w:tr w:rsidR="00EA496D" w:rsidRPr="00F56AD6" w14:paraId="5D6E29C7" w14:textId="77777777" w:rsidTr="00EA496D">
        <w:tc>
          <w:tcPr>
            <w:tcW w:w="846" w:type="dxa"/>
            <w:tcMar>
              <w:top w:w="60" w:type="dxa"/>
              <w:left w:w="100" w:type="dxa"/>
              <w:bottom w:w="60" w:type="dxa"/>
              <w:right w:w="100" w:type="dxa"/>
            </w:tcMar>
          </w:tcPr>
          <w:p w14:paraId="3C5BEF0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409</w:t>
            </w:r>
          </w:p>
        </w:tc>
        <w:tc>
          <w:tcPr>
            <w:tcW w:w="2094" w:type="dxa"/>
            <w:tcMar>
              <w:top w:w="60" w:type="dxa"/>
              <w:left w:w="100" w:type="dxa"/>
              <w:bottom w:w="60" w:type="dxa"/>
              <w:right w:w="100" w:type="dxa"/>
            </w:tcMar>
          </w:tcPr>
          <w:p w14:paraId="2DEDD0C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Sawhney et al. 2022</w:t>
            </w:r>
          </w:p>
        </w:tc>
        <w:tc>
          <w:tcPr>
            <w:tcW w:w="4923" w:type="dxa"/>
            <w:tcMar>
              <w:top w:w="60" w:type="dxa"/>
              <w:left w:w="100" w:type="dxa"/>
              <w:bottom w:w="60" w:type="dxa"/>
              <w:right w:w="100" w:type="dxa"/>
            </w:tcMar>
          </w:tcPr>
          <w:p w14:paraId="176E8DE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Isolated Pyridoxine Deficiency Presenting as Peripheral Neuropathy Post-chemotherapy</w:t>
            </w:r>
          </w:p>
        </w:tc>
        <w:tc>
          <w:tcPr>
            <w:tcW w:w="6537" w:type="dxa"/>
            <w:tcMar>
              <w:top w:w="60" w:type="dxa"/>
              <w:left w:w="100" w:type="dxa"/>
              <w:bottom w:w="60" w:type="dxa"/>
              <w:right w:w="100" w:type="dxa"/>
            </w:tcMar>
          </w:tcPr>
          <w:p w14:paraId="074782B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deficiency causing PN.</w:t>
            </w:r>
          </w:p>
        </w:tc>
      </w:tr>
      <w:tr w:rsidR="00EA496D" w:rsidRPr="00F56AD6" w14:paraId="67411BFA" w14:textId="77777777" w:rsidTr="00EA496D">
        <w:tc>
          <w:tcPr>
            <w:tcW w:w="846" w:type="dxa"/>
            <w:tcMar>
              <w:top w:w="60" w:type="dxa"/>
              <w:left w:w="100" w:type="dxa"/>
              <w:bottom w:w="60" w:type="dxa"/>
              <w:right w:w="100" w:type="dxa"/>
            </w:tcMar>
          </w:tcPr>
          <w:p w14:paraId="664590D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410</w:t>
            </w:r>
          </w:p>
        </w:tc>
        <w:tc>
          <w:tcPr>
            <w:tcW w:w="2094" w:type="dxa"/>
            <w:tcMar>
              <w:top w:w="60" w:type="dxa"/>
              <w:left w:w="100" w:type="dxa"/>
              <w:bottom w:w="60" w:type="dxa"/>
              <w:right w:w="100" w:type="dxa"/>
            </w:tcMar>
          </w:tcPr>
          <w:p w14:paraId="15D2178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Sayedahmed et al. 2026</w:t>
            </w:r>
          </w:p>
        </w:tc>
        <w:tc>
          <w:tcPr>
            <w:tcW w:w="4923" w:type="dxa"/>
            <w:tcMar>
              <w:top w:w="60" w:type="dxa"/>
              <w:left w:w="100" w:type="dxa"/>
              <w:bottom w:w="60" w:type="dxa"/>
              <w:right w:w="100" w:type="dxa"/>
            </w:tcMar>
          </w:tcPr>
          <w:p w14:paraId="37DDF30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An integrated in vitro antioxidant/in vivo metabolomics approach unravels the synergistic effects between oregano essential oil and vitamin C as a nutritional strategy for alleviating heat stress in rabbits</w:t>
            </w:r>
          </w:p>
        </w:tc>
        <w:tc>
          <w:tcPr>
            <w:tcW w:w="6537" w:type="dxa"/>
            <w:tcMar>
              <w:top w:w="60" w:type="dxa"/>
              <w:left w:w="100" w:type="dxa"/>
              <w:bottom w:w="60" w:type="dxa"/>
              <w:right w:w="100" w:type="dxa"/>
            </w:tcMar>
          </w:tcPr>
          <w:p w14:paraId="58C0607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was reduced by specific treatment.</w:t>
            </w:r>
          </w:p>
        </w:tc>
      </w:tr>
      <w:tr w:rsidR="00EA496D" w:rsidRPr="00F56AD6" w14:paraId="04C93061" w14:textId="77777777" w:rsidTr="00EA496D">
        <w:tc>
          <w:tcPr>
            <w:tcW w:w="846" w:type="dxa"/>
            <w:tcMar>
              <w:top w:w="60" w:type="dxa"/>
              <w:left w:w="100" w:type="dxa"/>
              <w:bottom w:w="60" w:type="dxa"/>
              <w:right w:w="100" w:type="dxa"/>
            </w:tcMar>
          </w:tcPr>
          <w:p w14:paraId="47DB3DD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411</w:t>
            </w:r>
          </w:p>
        </w:tc>
        <w:tc>
          <w:tcPr>
            <w:tcW w:w="2094" w:type="dxa"/>
            <w:tcMar>
              <w:top w:w="60" w:type="dxa"/>
              <w:left w:w="100" w:type="dxa"/>
              <w:bottom w:w="60" w:type="dxa"/>
              <w:right w:w="100" w:type="dxa"/>
            </w:tcMar>
          </w:tcPr>
          <w:p w14:paraId="40E0D3F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Schichtl et al. 2025</w:t>
            </w:r>
          </w:p>
        </w:tc>
        <w:tc>
          <w:tcPr>
            <w:tcW w:w="4923" w:type="dxa"/>
            <w:tcMar>
              <w:top w:w="60" w:type="dxa"/>
              <w:left w:w="100" w:type="dxa"/>
              <w:bottom w:w="60" w:type="dxa"/>
              <w:right w:w="100" w:type="dxa"/>
            </w:tcMar>
          </w:tcPr>
          <w:p w14:paraId="0C2FDF8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Pyridoxamine promotes heat-induced protein modifications in whey as evaluated by structure- and binding site-specific profiling using high-performance liquid chromatography-tandem mass spectrometry in scheduled multiple reaction mode</w:t>
            </w:r>
          </w:p>
        </w:tc>
        <w:tc>
          <w:tcPr>
            <w:tcW w:w="6537" w:type="dxa"/>
            <w:tcMar>
              <w:top w:w="60" w:type="dxa"/>
              <w:left w:w="100" w:type="dxa"/>
              <w:bottom w:w="60" w:type="dxa"/>
              <w:right w:w="100" w:type="dxa"/>
            </w:tcMar>
          </w:tcPr>
          <w:p w14:paraId="239E239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pyridoxamine in whey protein production.</w:t>
            </w:r>
          </w:p>
        </w:tc>
      </w:tr>
      <w:tr w:rsidR="00EA496D" w:rsidRPr="00F56AD6" w14:paraId="0DEF05F0" w14:textId="77777777" w:rsidTr="00EA496D">
        <w:tc>
          <w:tcPr>
            <w:tcW w:w="846" w:type="dxa"/>
            <w:tcMar>
              <w:top w:w="60" w:type="dxa"/>
              <w:left w:w="100" w:type="dxa"/>
              <w:bottom w:w="60" w:type="dxa"/>
              <w:right w:w="100" w:type="dxa"/>
            </w:tcMar>
          </w:tcPr>
          <w:p w14:paraId="3551B3C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412</w:t>
            </w:r>
          </w:p>
        </w:tc>
        <w:tc>
          <w:tcPr>
            <w:tcW w:w="2094" w:type="dxa"/>
            <w:tcMar>
              <w:top w:w="60" w:type="dxa"/>
              <w:left w:w="100" w:type="dxa"/>
              <w:bottom w:w="60" w:type="dxa"/>
              <w:right w:w="100" w:type="dxa"/>
            </w:tcMar>
          </w:tcPr>
          <w:p w14:paraId="1A69EE0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Schorgg et al. 2022</w:t>
            </w:r>
          </w:p>
        </w:tc>
        <w:tc>
          <w:tcPr>
            <w:tcW w:w="4923" w:type="dxa"/>
            <w:tcMar>
              <w:top w:w="60" w:type="dxa"/>
              <w:left w:w="100" w:type="dxa"/>
              <w:bottom w:w="60" w:type="dxa"/>
              <w:right w:w="100" w:type="dxa"/>
            </w:tcMar>
          </w:tcPr>
          <w:p w14:paraId="6CDC254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Increased vitamin B6 turnover is associated with greater mortality risk in the general US population: A prospective biomarker study</w:t>
            </w:r>
          </w:p>
        </w:tc>
        <w:tc>
          <w:tcPr>
            <w:tcW w:w="6537" w:type="dxa"/>
            <w:tcMar>
              <w:top w:w="60" w:type="dxa"/>
              <w:left w:w="100" w:type="dxa"/>
              <w:bottom w:w="60" w:type="dxa"/>
              <w:right w:w="100" w:type="dxa"/>
            </w:tcMar>
          </w:tcPr>
          <w:p w14:paraId="548F063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patients with increased PLP turnover may need increased B6 supplementation.</w:t>
            </w:r>
          </w:p>
        </w:tc>
      </w:tr>
      <w:tr w:rsidR="00EA496D" w:rsidRPr="00F56AD6" w14:paraId="252AEC89" w14:textId="77777777" w:rsidTr="00EA496D">
        <w:tc>
          <w:tcPr>
            <w:tcW w:w="846" w:type="dxa"/>
            <w:tcMar>
              <w:top w:w="60" w:type="dxa"/>
              <w:left w:w="100" w:type="dxa"/>
              <w:bottom w:w="60" w:type="dxa"/>
              <w:right w:w="100" w:type="dxa"/>
            </w:tcMar>
          </w:tcPr>
          <w:p w14:paraId="25C38F5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413</w:t>
            </w:r>
          </w:p>
        </w:tc>
        <w:tc>
          <w:tcPr>
            <w:tcW w:w="2094" w:type="dxa"/>
            <w:tcMar>
              <w:top w:w="60" w:type="dxa"/>
              <w:left w:w="100" w:type="dxa"/>
              <w:bottom w:w="60" w:type="dxa"/>
              <w:right w:w="100" w:type="dxa"/>
            </w:tcMar>
          </w:tcPr>
          <w:p w14:paraId="5A5FF86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Schuurmans et al. 2025</w:t>
            </w:r>
          </w:p>
        </w:tc>
        <w:tc>
          <w:tcPr>
            <w:tcW w:w="4923" w:type="dxa"/>
            <w:tcMar>
              <w:top w:w="60" w:type="dxa"/>
              <w:left w:w="100" w:type="dxa"/>
              <w:bottom w:w="60" w:type="dxa"/>
              <w:right w:w="100" w:type="dxa"/>
            </w:tcMar>
          </w:tcPr>
          <w:p w14:paraId="2EC9F09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Targeting AASS alleviates neurotoxicity and improves mitochondrial function in astrocyte models for pyridoxine-dependent epilepsy</w:t>
            </w:r>
          </w:p>
        </w:tc>
        <w:tc>
          <w:tcPr>
            <w:tcW w:w="6537" w:type="dxa"/>
            <w:tcMar>
              <w:top w:w="60" w:type="dxa"/>
              <w:left w:w="100" w:type="dxa"/>
              <w:bottom w:w="60" w:type="dxa"/>
              <w:right w:w="100" w:type="dxa"/>
            </w:tcMar>
          </w:tcPr>
          <w:p w14:paraId="141FDB4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to help prevent neurotoxicity.</w:t>
            </w:r>
          </w:p>
        </w:tc>
      </w:tr>
      <w:tr w:rsidR="00EA496D" w:rsidRPr="00F56AD6" w14:paraId="709BB7DD" w14:textId="77777777" w:rsidTr="00EA496D">
        <w:tc>
          <w:tcPr>
            <w:tcW w:w="846" w:type="dxa"/>
            <w:tcMar>
              <w:top w:w="60" w:type="dxa"/>
              <w:left w:w="100" w:type="dxa"/>
              <w:bottom w:w="60" w:type="dxa"/>
              <w:right w:w="100" w:type="dxa"/>
            </w:tcMar>
          </w:tcPr>
          <w:p w14:paraId="7AC105C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414</w:t>
            </w:r>
          </w:p>
        </w:tc>
        <w:tc>
          <w:tcPr>
            <w:tcW w:w="2094" w:type="dxa"/>
            <w:tcMar>
              <w:top w:w="60" w:type="dxa"/>
              <w:left w:w="100" w:type="dxa"/>
              <w:bottom w:w="60" w:type="dxa"/>
              <w:right w:w="100" w:type="dxa"/>
            </w:tcMar>
          </w:tcPr>
          <w:p w14:paraId="5A07A47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Seale et al. 2025</w:t>
            </w:r>
          </w:p>
        </w:tc>
        <w:tc>
          <w:tcPr>
            <w:tcW w:w="4923" w:type="dxa"/>
            <w:tcMar>
              <w:top w:w="60" w:type="dxa"/>
              <w:left w:w="100" w:type="dxa"/>
              <w:bottom w:w="60" w:type="dxa"/>
              <w:right w:w="100" w:type="dxa"/>
            </w:tcMar>
          </w:tcPr>
          <w:p w14:paraId="723D6F2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Dietary Micronutrient Intake and the Prevalence of Metabolic Conditions among Children from the United States-Affiliated Pacific Region in the Children's Healthy Living Program</w:t>
            </w:r>
          </w:p>
        </w:tc>
        <w:tc>
          <w:tcPr>
            <w:tcW w:w="6537" w:type="dxa"/>
            <w:tcMar>
              <w:top w:w="60" w:type="dxa"/>
              <w:left w:w="100" w:type="dxa"/>
              <w:bottom w:w="60" w:type="dxa"/>
              <w:right w:w="100" w:type="dxa"/>
            </w:tcMar>
          </w:tcPr>
          <w:p w14:paraId="39DD0F2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as a micronutrient measurement in obesity study.</w:t>
            </w:r>
          </w:p>
        </w:tc>
      </w:tr>
      <w:tr w:rsidR="00EA496D" w:rsidRPr="00F56AD6" w14:paraId="0B0F90E4" w14:textId="77777777" w:rsidTr="00EA496D">
        <w:tc>
          <w:tcPr>
            <w:tcW w:w="846" w:type="dxa"/>
            <w:tcMar>
              <w:top w:w="60" w:type="dxa"/>
              <w:left w:w="100" w:type="dxa"/>
              <w:bottom w:w="60" w:type="dxa"/>
              <w:right w:w="100" w:type="dxa"/>
            </w:tcMar>
          </w:tcPr>
          <w:p w14:paraId="20E991E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415</w:t>
            </w:r>
          </w:p>
        </w:tc>
        <w:tc>
          <w:tcPr>
            <w:tcW w:w="2094" w:type="dxa"/>
            <w:tcMar>
              <w:top w:w="60" w:type="dxa"/>
              <w:left w:w="100" w:type="dxa"/>
              <w:bottom w:w="60" w:type="dxa"/>
              <w:right w:w="100" w:type="dxa"/>
            </w:tcMar>
          </w:tcPr>
          <w:p w14:paraId="3B8FCF4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Sedillo et al. 2024</w:t>
            </w:r>
          </w:p>
        </w:tc>
        <w:tc>
          <w:tcPr>
            <w:tcW w:w="4923" w:type="dxa"/>
            <w:tcMar>
              <w:top w:w="60" w:type="dxa"/>
              <w:left w:w="100" w:type="dxa"/>
              <w:bottom w:w="60" w:type="dxa"/>
              <w:right w:w="100" w:type="dxa"/>
            </w:tcMar>
          </w:tcPr>
          <w:p w14:paraId="171051C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Prevalence estimate of sphingosine phosphate lyase insufficiency syndrome in worldwide and select populations</w:t>
            </w:r>
          </w:p>
        </w:tc>
        <w:tc>
          <w:tcPr>
            <w:tcW w:w="6537" w:type="dxa"/>
            <w:tcMar>
              <w:top w:w="60" w:type="dxa"/>
              <w:left w:w="100" w:type="dxa"/>
              <w:bottom w:w="60" w:type="dxa"/>
              <w:right w:w="100" w:type="dxa"/>
            </w:tcMar>
          </w:tcPr>
          <w:p w14:paraId="681F125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pyridoxine supplementation may be therapeutic.</w:t>
            </w:r>
          </w:p>
        </w:tc>
      </w:tr>
      <w:tr w:rsidR="00EA496D" w:rsidRPr="00F56AD6" w14:paraId="65FE7212" w14:textId="77777777" w:rsidTr="00EA496D">
        <w:tc>
          <w:tcPr>
            <w:tcW w:w="846" w:type="dxa"/>
            <w:tcMar>
              <w:top w:w="60" w:type="dxa"/>
              <w:left w:w="100" w:type="dxa"/>
              <w:bottom w:w="60" w:type="dxa"/>
              <w:right w:w="100" w:type="dxa"/>
            </w:tcMar>
          </w:tcPr>
          <w:p w14:paraId="6F3622E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416</w:t>
            </w:r>
          </w:p>
        </w:tc>
        <w:tc>
          <w:tcPr>
            <w:tcW w:w="2094" w:type="dxa"/>
            <w:tcMar>
              <w:top w:w="60" w:type="dxa"/>
              <w:left w:w="100" w:type="dxa"/>
              <w:bottom w:w="60" w:type="dxa"/>
              <w:right w:w="100" w:type="dxa"/>
            </w:tcMar>
          </w:tcPr>
          <w:p w14:paraId="0AE64BA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Seefried et al. 2026</w:t>
            </w:r>
          </w:p>
        </w:tc>
        <w:tc>
          <w:tcPr>
            <w:tcW w:w="4923" w:type="dxa"/>
            <w:tcMar>
              <w:top w:w="60" w:type="dxa"/>
              <w:left w:w="100" w:type="dxa"/>
              <w:bottom w:w="60" w:type="dxa"/>
              <w:right w:w="100" w:type="dxa"/>
            </w:tcMar>
          </w:tcPr>
          <w:p w14:paraId="3FF19EE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randomized Phase 1b trial evaluating the pharmacodynamics of ilofotase alfa in adults with hypophosphatasia</w:t>
            </w:r>
          </w:p>
        </w:tc>
        <w:tc>
          <w:tcPr>
            <w:tcW w:w="6537" w:type="dxa"/>
            <w:tcMar>
              <w:top w:w="60" w:type="dxa"/>
              <w:left w:w="100" w:type="dxa"/>
              <w:bottom w:w="60" w:type="dxa"/>
              <w:right w:w="100" w:type="dxa"/>
            </w:tcMar>
          </w:tcPr>
          <w:p w14:paraId="3369340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pyridoxal levels used as a biomarker in study.</w:t>
            </w:r>
          </w:p>
        </w:tc>
      </w:tr>
      <w:tr w:rsidR="00EA496D" w:rsidRPr="00F56AD6" w14:paraId="76CF9C3C" w14:textId="77777777" w:rsidTr="00EA496D">
        <w:tc>
          <w:tcPr>
            <w:tcW w:w="846" w:type="dxa"/>
            <w:tcMar>
              <w:top w:w="60" w:type="dxa"/>
              <w:left w:w="100" w:type="dxa"/>
              <w:bottom w:w="60" w:type="dxa"/>
              <w:right w:w="100" w:type="dxa"/>
            </w:tcMar>
          </w:tcPr>
          <w:p w14:paraId="6D6B01D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417</w:t>
            </w:r>
          </w:p>
        </w:tc>
        <w:tc>
          <w:tcPr>
            <w:tcW w:w="2094" w:type="dxa"/>
            <w:tcMar>
              <w:top w:w="60" w:type="dxa"/>
              <w:left w:w="100" w:type="dxa"/>
              <w:bottom w:w="60" w:type="dxa"/>
              <w:right w:w="100" w:type="dxa"/>
            </w:tcMar>
          </w:tcPr>
          <w:p w14:paraId="3D32852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Sekine et al. 2025</w:t>
            </w:r>
          </w:p>
        </w:tc>
        <w:tc>
          <w:tcPr>
            <w:tcW w:w="4923" w:type="dxa"/>
            <w:tcMar>
              <w:top w:w="60" w:type="dxa"/>
              <w:left w:w="100" w:type="dxa"/>
              <w:bottom w:w="60" w:type="dxa"/>
              <w:right w:w="100" w:type="dxa"/>
            </w:tcMar>
          </w:tcPr>
          <w:p w14:paraId="5629E56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Oxygen needs sulfur, sulfur needs oxygen: a relationship of interdependence</w:t>
            </w:r>
          </w:p>
        </w:tc>
        <w:tc>
          <w:tcPr>
            <w:tcW w:w="6537" w:type="dxa"/>
            <w:tcMar>
              <w:top w:w="60" w:type="dxa"/>
              <w:left w:w="100" w:type="dxa"/>
              <w:bottom w:w="60" w:type="dxa"/>
              <w:right w:w="100" w:type="dxa"/>
            </w:tcMar>
          </w:tcPr>
          <w:p w14:paraId="2051A26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not vitamin B6.</w:t>
            </w:r>
          </w:p>
        </w:tc>
      </w:tr>
      <w:tr w:rsidR="00EA496D" w:rsidRPr="00F56AD6" w14:paraId="4EFA1BB3" w14:textId="77777777" w:rsidTr="00EA496D">
        <w:tc>
          <w:tcPr>
            <w:tcW w:w="846" w:type="dxa"/>
            <w:tcMar>
              <w:top w:w="60" w:type="dxa"/>
              <w:left w:w="100" w:type="dxa"/>
              <w:bottom w:w="60" w:type="dxa"/>
              <w:right w:w="100" w:type="dxa"/>
            </w:tcMar>
          </w:tcPr>
          <w:p w14:paraId="15A995B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418</w:t>
            </w:r>
          </w:p>
        </w:tc>
        <w:tc>
          <w:tcPr>
            <w:tcW w:w="2094" w:type="dxa"/>
            <w:tcMar>
              <w:top w:w="60" w:type="dxa"/>
              <w:left w:w="100" w:type="dxa"/>
              <w:bottom w:w="60" w:type="dxa"/>
              <w:right w:w="100" w:type="dxa"/>
            </w:tcMar>
          </w:tcPr>
          <w:p w14:paraId="25E096B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Sengupta et al. 2022</w:t>
            </w:r>
          </w:p>
        </w:tc>
        <w:tc>
          <w:tcPr>
            <w:tcW w:w="4923" w:type="dxa"/>
            <w:tcMar>
              <w:top w:w="60" w:type="dxa"/>
              <w:left w:w="100" w:type="dxa"/>
              <w:bottom w:w="60" w:type="dxa"/>
              <w:right w:w="100" w:type="dxa"/>
            </w:tcMar>
          </w:tcPr>
          <w:p w14:paraId="3402EE8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Comparative Study to Evaluate the Effect of Low-Protein Diet Supplementation with Taurine and N-Acetylcysteine, N-Acetylcysteine and Pyridoxamine Dihydrochloride in Preventing the Progression of Chronic Renal Failure in Patients with Non-Diabetic Kidney D</w:t>
            </w:r>
          </w:p>
        </w:tc>
        <w:tc>
          <w:tcPr>
            <w:tcW w:w="6537" w:type="dxa"/>
            <w:tcMar>
              <w:top w:w="60" w:type="dxa"/>
              <w:left w:w="100" w:type="dxa"/>
              <w:bottom w:w="60" w:type="dxa"/>
              <w:right w:w="100" w:type="dxa"/>
            </w:tcMar>
          </w:tcPr>
          <w:p w14:paraId="6F84A6A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therapeutic benefit of pyridoxamine.</w:t>
            </w:r>
          </w:p>
        </w:tc>
      </w:tr>
      <w:tr w:rsidR="00EA496D" w:rsidRPr="00F56AD6" w14:paraId="33C5B59F" w14:textId="77777777" w:rsidTr="00EA496D">
        <w:tc>
          <w:tcPr>
            <w:tcW w:w="846" w:type="dxa"/>
            <w:tcMar>
              <w:top w:w="60" w:type="dxa"/>
              <w:left w:w="100" w:type="dxa"/>
              <w:bottom w:w="60" w:type="dxa"/>
              <w:right w:w="100" w:type="dxa"/>
            </w:tcMar>
          </w:tcPr>
          <w:p w14:paraId="6C05835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419</w:t>
            </w:r>
          </w:p>
        </w:tc>
        <w:tc>
          <w:tcPr>
            <w:tcW w:w="2094" w:type="dxa"/>
            <w:tcMar>
              <w:top w:w="60" w:type="dxa"/>
              <w:left w:w="100" w:type="dxa"/>
              <w:bottom w:w="60" w:type="dxa"/>
              <w:right w:w="100" w:type="dxa"/>
            </w:tcMar>
          </w:tcPr>
          <w:p w14:paraId="2A8D386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Shah et al. 2023</w:t>
            </w:r>
          </w:p>
        </w:tc>
        <w:tc>
          <w:tcPr>
            <w:tcW w:w="4923" w:type="dxa"/>
            <w:tcMar>
              <w:top w:w="60" w:type="dxa"/>
              <w:left w:w="100" w:type="dxa"/>
              <w:bottom w:w="60" w:type="dxa"/>
              <w:right w:w="100" w:type="dxa"/>
            </w:tcMar>
          </w:tcPr>
          <w:p w14:paraId="06B9116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Mass Poisoning From Ethylene Glycol at a U.S. Military Base</w:t>
            </w:r>
          </w:p>
        </w:tc>
        <w:tc>
          <w:tcPr>
            <w:tcW w:w="6537" w:type="dxa"/>
            <w:tcMar>
              <w:top w:w="60" w:type="dxa"/>
              <w:left w:w="100" w:type="dxa"/>
              <w:bottom w:w="60" w:type="dxa"/>
              <w:right w:w="100" w:type="dxa"/>
            </w:tcMar>
          </w:tcPr>
          <w:p w14:paraId="04DD2AF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patients were given B6 as part of treatment.</w:t>
            </w:r>
          </w:p>
        </w:tc>
      </w:tr>
      <w:tr w:rsidR="00EA496D" w:rsidRPr="00F56AD6" w14:paraId="6D5CD976" w14:textId="77777777" w:rsidTr="00EA496D">
        <w:tc>
          <w:tcPr>
            <w:tcW w:w="846" w:type="dxa"/>
            <w:tcMar>
              <w:top w:w="60" w:type="dxa"/>
              <w:left w:w="100" w:type="dxa"/>
              <w:bottom w:w="60" w:type="dxa"/>
              <w:right w:w="100" w:type="dxa"/>
            </w:tcMar>
          </w:tcPr>
          <w:p w14:paraId="42D56C9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420</w:t>
            </w:r>
          </w:p>
        </w:tc>
        <w:tc>
          <w:tcPr>
            <w:tcW w:w="2094" w:type="dxa"/>
            <w:tcMar>
              <w:top w:w="60" w:type="dxa"/>
              <w:left w:w="100" w:type="dxa"/>
              <w:bottom w:w="60" w:type="dxa"/>
              <w:right w:w="100" w:type="dxa"/>
            </w:tcMar>
          </w:tcPr>
          <w:p w14:paraId="10B33F1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Shajani-Yi et al. 2022</w:t>
            </w:r>
          </w:p>
        </w:tc>
        <w:tc>
          <w:tcPr>
            <w:tcW w:w="4923" w:type="dxa"/>
            <w:tcMar>
              <w:top w:w="60" w:type="dxa"/>
              <w:left w:w="100" w:type="dxa"/>
              <w:bottom w:w="60" w:type="dxa"/>
              <w:right w:w="100" w:type="dxa"/>
            </w:tcMar>
          </w:tcPr>
          <w:p w14:paraId="4788EAB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Urine phosphoethanolamine is a specific biomarker for hypophosphatasia in adults</w:t>
            </w:r>
          </w:p>
        </w:tc>
        <w:tc>
          <w:tcPr>
            <w:tcW w:w="6537" w:type="dxa"/>
            <w:tcMar>
              <w:top w:w="60" w:type="dxa"/>
              <w:left w:w="100" w:type="dxa"/>
              <w:bottom w:w="60" w:type="dxa"/>
              <w:right w:w="100" w:type="dxa"/>
            </w:tcMar>
          </w:tcPr>
          <w:p w14:paraId="6AA23F2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as genetic marker.</w:t>
            </w:r>
          </w:p>
        </w:tc>
      </w:tr>
      <w:tr w:rsidR="00EA496D" w:rsidRPr="00F56AD6" w14:paraId="433C853D" w14:textId="77777777" w:rsidTr="00EA496D">
        <w:tc>
          <w:tcPr>
            <w:tcW w:w="846" w:type="dxa"/>
            <w:tcMar>
              <w:top w:w="60" w:type="dxa"/>
              <w:left w:w="100" w:type="dxa"/>
              <w:bottom w:w="60" w:type="dxa"/>
              <w:right w:w="100" w:type="dxa"/>
            </w:tcMar>
          </w:tcPr>
          <w:p w14:paraId="1E0F631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421</w:t>
            </w:r>
          </w:p>
        </w:tc>
        <w:tc>
          <w:tcPr>
            <w:tcW w:w="2094" w:type="dxa"/>
            <w:tcMar>
              <w:top w:w="60" w:type="dxa"/>
              <w:left w:w="100" w:type="dxa"/>
              <w:bottom w:w="60" w:type="dxa"/>
              <w:right w:w="100" w:type="dxa"/>
            </w:tcMar>
          </w:tcPr>
          <w:p w14:paraId="4F59B13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Shang et al. 2024</w:t>
            </w:r>
          </w:p>
        </w:tc>
        <w:tc>
          <w:tcPr>
            <w:tcW w:w="4923" w:type="dxa"/>
            <w:tcMar>
              <w:top w:w="60" w:type="dxa"/>
              <w:left w:w="100" w:type="dxa"/>
              <w:bottom w:w="60" w:type="dxa"/>
              <w:right w:w="100" w:type="dxa"/>
            </w:tcMar>
          </w:tcPr>
          <w:p w14:paraId="3EEF68F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microRNA maintains nutrient homeostasis in the symbiont-host interaction</w:t>
            </w:r>
          </w:p>
        </w:tc>
        <w:tc>
          <w:tcPr>
            <w:tcW w:w="6537" w:type="dxa"/>
            <w:tcMar>
              <w:top w:w="60" w:type="dxa"/>
              <w:left w:w="100" w:type="dxa"/>
              <w:bottom w:w="60" w:type="dxa"/>
              <w:right w:w="100" w:type="dxa"/>
            </w:tcMar>
          </w:tcPr>
          <w:p w14:paraId="019B70A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population: in vitro not relevant.</w:t>
            </w:r>
          </w:p>
        </w:tc>
      </w:tr>
      <w:tr w:rsidR="00EA496D" w:rsidRPr="00F56AD6" w14:paraId="3D93E52E" w14:textId="77777777" w:rsidTr="00EA496D">
        <w:tc>
          <w:tcPr>
            <w:tcW w:w="846" w:type="dxa"/>
            <w:tcMar>
              <w:top w:w="60" w:type="dxa"/>
              <w:left w:w="100" w:type="dxa"/>
              <w:bottom w:w="60" w:type="dxa"/>
              <w:right w:w="100" w:type="dxa"/>
            </w:tcMar>
          </w:tcPr>
          <w:p w14:paraId="03D04A3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422</w:t>
            </w:r>
          </w:p>
        </w:tc>
        <w:tc>
          <w:tcPr>
            <w:tcW w:w="2094" w:type="dxa"/>
            <w:tcMar>
              <w:top w:w="60" w:type="dxa"/>
              <w:left w:w="100" w:type="dxa"/>
              <w:bottom w:w="60" w:type="dxa"/>
              <w:right w:w="100" w:type="dxa"/>
            </w:tcMar>
          </w:tcPr>
          <w:p w14:paraId="68BB986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Shemer et al. 2025</w:t>
            </w:r>
          </w:p>
        </w:tc>
        <w:tc>
          <w:tcPr>
            <w:tcW w:w="4923" w:type="dxa"/>
            <w:tcMar>
              <w:top w:w="60" w:type="dxa"/>
              <w:left w:w="100" w:type="dxa"/>
              <w:bottom w:w="60" w:type="dxa"/>
              <w:right w:w="100" w:type="dxa"/>
            </w:tcMar>
          </w:tcPr>
          <w:p w14:paraId="7FD2E71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Biotin or Pyridoxine Versus Combined Regimen in the Treatment of Onychoschizia</w:t>
            </w:r>
          </w:p>
        </w:tc>
        <w:tc>
          <w:tcPr>
            <w:tcW w:w="6537" w:type="dxa"/>
            <w:tcMar>
              <w:top w:w="60" w:type="dxa"/>
              <w:left w:w="100" w:type="dxa"/>
              <w:bottom w:w="60" w:type="dxa"/>
              <w:right w:w="100" w:type="dxa"/>
            </w:tcMar>
          </w:tcPr>
          <w:p w14:paraId="58F802E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no adverse effects reported and B6 was beneficial.</w:t>
            </w:r>
          </w:p>
        </w:tc>
      </w:tr>
      <w:tr w:rsidR="00EA496D" w:rsidRPr="00F56AD6" w14:paraId="2DFBCD1E" w14:textId="77777777" w:rsidTr="00EA496D">
        <w:tc>
          <w:tcPr>
            <w:tcW w:w="846" w:type="dxa"/>
            <w:tcMar>
              <w:top w:w="60" w:type="dxa"/>
              <w:left w:w="100" w:type="dxa"/>
              <w:bottom w:w="60" w:type="dxa"/>
              <w:right w:w="100" w:type="dxa"/>
            </w:tcMar>
          </w:tcPr>
          <w:p w14:paraId="6DCBF55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423</w:t>
            </w:r>
          </w:p>
        </w:tc>
        <w:tc>
          <w:tcPr>
            <w:tcW w:w="2094" w:type="dxa"/>
            <w:tcMar>
              <w:top w:w="60" w:type="dxa"/>
              <w:left w:w="100" w:type="dxa"/>
              <w:bottom w:w="60" w:type="dxa"/>
              <w:right w:w="100" w:type="dxa"/>
            </w:tcMar>
          </w:tcPr>
          <w:p w14:paraId="448F1BF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Sheng et al. 2025</w:t>
            </w:r>
          </w:p>
        </w:tc>
        <w:tc>
          <w:tcPr>
            <w:tcW w:w="4923" w:type="dxa"/>
            <w:tcMar>
              <w:top w:w="60" w:type="dxa"/>
              <w:left w:w="100" w:type="dxa"/>
              <w:bottom w:w="60" w:type="dxa"/>
              <w:right w:w="100" w:type="dxa"/>
            </w:tcMar>
          </w:tcPr>
          <w:p w14:paraId="412F953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Study of the association of niacin and vitamin B6 intake with endometriosis: Evidence from NHANES 2003-2006</w:t>
            </w:r>
          </w:p>
        </w:tc>
        <w:tc>
          <w:tcPr>
            <w:tcW w:w="6537" w:type="dxa"/>
            <w:tcMar>
              <w:top w:w="60" w:type="dxa"/>
              <w:left w:w="100" w:type="dxa"/>
              <w:bottom w:w="60" w:type="dxa"/>
              <w:right w:w="100" w:type="dxa"/>
            </w:tcMar>
          </w:tcPr>
          <w:p w14:paraId="597D10D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vitamin B6 had negative correlation to endometriosis.</w:t>
            </w:r>
          </w:p>
        </w:tc>
      </w:tr>
      <w:tr w:rsidR="00EA496D" w:rsidRPr="00F56AD6" w14:paraId="4EEEF1CC" w14:textId="77777777" w:rsidTr="00EA496D">
        <w:tc>
          <w:tcPr>
            <w:tcW w:w="846" w:type="dxa"/>
            <w:tcMar>
              <w:top w:w="60" w:type="dxa"/>
              <w:left w:w="100" w:type="dxa"/>
              <w:bottom w:w="60" w:type="dxa"/>
              <w:right w:w="100" w:type="dxa"/>
            </w:tcMar>
          </w:tcPr>
          <w:p w14:paraId="2FF8B68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424</w:t>
            </w:r>
          </w:p>
        </w:tc>
        <w:tc>
          <w:tcPr>
            <w:tcW w:w="2094" w:type="dxa"/>
            <w:tcMar>
              <w:top w:w="60" w:type="dxa"/>
              <w:left w:w="100" w:type="dxa"/>
              <w:bottom w:w="60" w:type="dxa"/>
              <w:right w:w="100" w:type="dxa"/>
            </w:tcMar>
          </w:tcPr>
          <w:p w14:paraId="737FA04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Sheng et al. 2025</w:t>
            </w:r>
          </w:p>
        </w:tc>
        <w:tc>
          <w:tcPr>
            <w:tcW w:w="4923" w:type="dxa"/>
            <w:tcMar>
              <w:top w:w="60" w:type="dxa"/>
              <w:left w:w="100" w:type="dxa"/>
              <w:bottom w:w="60" w:type="dxa"/>
              <w:right w:w="100" w:type="dxa"/>
            </w:tcMar>
          </w:tcPr>
          <w:p w14:paraId="02349CF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association of dietary nutrients consumption with hepatic steatosis and fibrosis from NHANES 2017-2020</w:t>
            </w:r>
          </w:p>
        </w:tc>
        <w:tc>
          <w:tcPr>
            <w:tcW w:w="6537" w:type="dxa"/>
            <w:tcMar>
              <w:top w:w="60" w:type="dxa"/>
              <w:left w:w="100" w:type="dxa"/>
              <w:bottom w:w="60" w:type="dxa"/>
              <w:right w:w="100" w:type="dxa"/>
            </w:tcMar>
          </w:tcPr>
          <w:p w14:paraId="377642D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adverse effects of B6) - Higher intake of pyridoxine is associated with lower levels of liver fat.</w:t>
            </w:r>
          </w:p>
        </w:tc>
      </w:tr>
      <w:tr w:rsidR="00EA496D" w:rsidRPr="00F56AD6" w14:paraId="4D64CBFA" w14:textId="77777777" w:rsidTr="00EA496D">
        <w:tc>
          <w:tcPr>
            <w:tcW w:w="846" w:type="dxa"/>
            <w:tcMar>
              <w:top w:w="60" w:type="dxa"/>
              <w:left w:w="100" w:type="dxa"/>
              <w:bottom w:w="60" w:type="dxa"/>
              <w:right w:w="100" w:type="dxa"/>
            </w:tcMar>
          </w:tcPr>
          <w:p w14:paraId="3FBEF8B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425</w:t>
            </w:r>
          </w:p>
        </w:tc>
        <w:tc>
          <w:tcPr>
            <w:tcW w:w="2094" w:type="dxa"/>
            <w:tcMar>
              <w:top w:w="60" w:type="dxa"/>
              <w:left w:w="100" w:type="dxa"/>
              <w:bottom w:w="60" w:type="dxa"/>
              <w:right w:w="100" w:type="dxa"/>
            </w:tcMar>
          </w:tcPr>
          <w:p w14:paraId="1C58B45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Shi et al. 2022</w:t>
            </w:r>
          </w:p>
        </w:tc>
        <w:tc>
          <w:tcPr>
            <w:tcW w:w="4923" w:type="dxa"/>
            <w:tcMar>
              <w:top w:w="60" w:type="dxa"/>
              <w:left w:w="100" w:type="dxa"/>
              <w:bottom w:w="60" w:type="dxa"/>
              <w:right w:w="100" w:type="dxa"/>
            </w:tcMar>
          </w:tcPr>
          <w:p w14:paraId="120B2CF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Alterations of gut microbial pathways and virulence factors in hemodialysis patients</w:t>
            </w:r>
          </w:p>
        </w:tc>
        <w:tc>
          <w:tcPr>
            <w:tcW w:w="6537" w:type="dxa"/>
            <w:tcMar>
              <w:top w:w="60" w:type="dxa"/>
              <w:left w:w="100" w:type="dxa"/>
              <w:bottom w:w="60" w:type="dxa"/>
              <w:right w:w="100" w:type="dxa"/>
            </w:tcMar>
          </w:tcPr>
          <w:p w14:paraId="51C9FFB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pyridoxamine was increased in HD patients which effects virulence factors.</w:t>
            </w:r>
          </w:p>
        </w:tc>
      </w:tr>
      <w:tr w:rsidR="00EA496D" w:rsidRPr="00F56AD6" w14:paraId="4A4BC5E7" w14:textId="77777777" w:rsidTr="00EA496D">
        <w:tc>
          <w:tcPr>
            <w:tcW w:w="846" w:type="dxa"/>
            <w:tcMar>
              <w:top w:w="60" w:type="dxa"/>
              <w:left w:w="100" w:type="dxa"/>
              <w:bottom w:w="60" w:type="dxa"/>
              <w:right w:w="100" w:type="dxa"/>
            </w:tcMar>
          </w:tcPr>
          <w:p w14:paraId="2EF2194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426</w:t>
            </w:r>
          </w:p>
        </w:tc>
        <w:tc>
          <w:tcPr>
            <w:tcW w:w="2094" w:type="dxa"/>
            <w:tcMar>
              <w:top w:w="60" w:type="dxa"/>
              <w:left w:w="100" w:type="dxa"/>
              <w:bottom w:w="60" w:type="dxa"/>
              <w:right w:w="100" w:type="dxa"/>
            </w:tcMar>
          </w:tcPr>
          <w:p w14:paraId="18BF878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Shikh et al. 2022</w:t>
            </w:r>
          </w:p>
        </w:tc>
        <w:tc>
          <w:tcPr>
            <w:tcW w:w="4923" w:type="dxa"/>
            <w:tcMar>
              <w:top w:w="60" w:type="dxa"/>
              <w:left w:w="100" w:type="dxa"/>
              <w:bottom w:w="60" w:type="dxa"/>
              <w:right w:w="100" w:type="dxa"/>
            </w:tcMar>
          </w:tcPr>
          <w:p w14:paraId="06BE8F9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effectiveness of BIFIFORM KIDS in the prevention of the incidence of acute respiratory infections in children]</w:t>
            </w:r>
          </w:p>
        </w:tc>
        <w:tc>
          <w:tcPr>
            <w:tcW w:w="6537" w:type="dxa"/>
            <w:tcMar>
              <w:top w:w="60" w:type="dxa"/>
              <w:left w:w="100" w:type="dxa"/>
              <w:bottom w:w="60" w:type="dxa"/>
              <w:right w:w="100" w:type="dxa"/>
            </w:tcMar>
          </w:tcPr>
          <w:p w14:paraId="5796ABD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was part of the treatment but not elaborated on effects.</w:t>
            </w:r>
          </w:p>
        </w:tc>
      </w:tr>
      <w:tr w:rsidR="00EA496D" w:rsidRPr="00F56AD6" w14:paraId="4D858F0C" w14:textId="77777777" w:rsidTr="00EA496D">
        <w:tc>
          <w:tcPr>
            <w:tcW w:w="846" w:type="dxa"/>
            <w:tcMar>
              <w:top w:w="60" w:type="dxa"/>
              <w:left w:w="100" w:type="dxa"/>
              <w:bottom w:w="60" w:type="dxa"/>
              <w:right w:w="100" w:type="dxa"/>
            </w:tcMar>
          </w:tcPr>
          <w:p w14:paraId="57F4047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427</w:t>
            </w:r>
          </w:p>
        </w:tc>
        <w:tc>
          <w:tcPr>
            <w:tcW w:w="2094" w:type="dxa"/>
            <w:tcMar>
              <w:top w:w="60" w:type="dxa"/>
              <w:left w:w="100" w:type="dxa"/>
              <w:bottom w:w="60" w:type="dxa"/>
              <w:right w:w="100" w:type="dxa"/>
            </w:tcMar>
          </w:tcPr>
          <w:p w14:paraId="475CF38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Shrateh et al. 2024</w:t>
            </w:r>
          </w:p>
        </w:tc>
        <w:tc>
          <w:tcPr>
            <w:tcW w:w="4923" w:type="dxa"/>
            <w:tcMar>
              <w:top w:w="60" w:type="dxa"/>
              <w:left w:w="100" w:type="dxa"/>
              <w:bottom w:w="60" w:type="dxa"/>
              <w:right w:w="100" w:type="dxa"/>
            </w:tcMar>
          </w:tcPr>
          <w:p w14:paraId="53F7136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Comparing pyridoxine with dopaminergic agonists (cabergoline and bromocriptine): Unveiling the strategy for lactation inhibition - A systematic review of clinical trials</w:t>
            </w:r>
          </w:p>
        </w:tc>
        <w:tc>
          <w:tcPr>
            <w:tcW w:w="6537" w:type="dxa"/>
            <w:tcMar>
              <w:top w:w="60" w:type="dxa"/>
              <w:left w:w="100" w:type="dxa"/>
              <w:bottom w:w="60" w:type="dxa"/>
              <w:right w:w="100" w:type="dxa"/>
            </w:tcMar>
          </w:tcPr>
          <w:p w14:paraId="48B11BD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mentioned as an inferior medication to others for lactation.</w:t>
            </w:r>
          </w:p>
        </w:tc>
      </w:tr>
      <w:tr w:rsidR="00EA496D" w:rsidRPr="00F56AD6" w14:paraId="2D5F444E" w14:textId="77777777" w:rsidTr="00EA496D">
        <w:tc>
          <w:tcPr>
            <w:tcW w:w="846" w:type="dxa"/>
            <w:tcMar>
              <w:top w:w="60" w:type="dxa"/>
              <w:left w:w="100" w:type="dxa"/>
              <w:bottom w:w="60" w:type="dxa"/>
              <w:right w:w="100" w:type="dxa"/>
            </w:tcMar>
          </w:tcPr>
          <w:p w14:paraId="17CDA2F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428</w:t>
            </w:r>
          </w:p>
        </w:tc>
        <w:tc>
          <w:tcPr>
            <w:tcW w:w="2094" w:type="dxa"/>
            <w:tcMar>
              <w:top w:w="60" w:type="dxa"/>
              <w:left w:w="100" w:type="dxa"/>
              <w:bottom w:w="60" w:type="dxa"/>
              <w:right w:w="100" w:type="dxa"/>
            </w:tcMar>
          </w:tcPr>
          <w:p w14:paraId="46F0BA6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Shtyrlin et al. 2023</w:t>
            </w:r>
          </w:p>
        </w:tc>
        <w:tc>
          <w:tcPr>
            <w:tcW w:w="4923" w:type="dxa"/>
            <w:tcMar>
              <w:top w:w="60" w:type="dxa"/>
              <w:left w:w="100" w:type="dxa"/>
              <w:bottom w:w="60" w:type="dxa"/>
              <w:right w:w="100" w:type="dxa"/>
            </w:tcMar>
          </w:tcPr>
          <w:p w14:paraId="1C2B42B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Synthesis and biological evaluation of fluoroquinolones containing a pyridoxine derivatives moiety</w:t>
            </w:r>
          </w:p>
        </w:tc>
        <w:tc>
          <w:tcPr>
            <w:tcW w:w="6537" w:type="dxa"/>
            <w:tcMar>
              <w:top w:w="60" w:type="dxa"/>
              <w:left w:w="100" w:type="dxa"/>
              <w:bottom w:w="60" w:type="dxa"/>
              <w:right w:w="100" w:type="dxa"/>
            </w:tcMar>
          </w:tcPr>
          <w:p w14:paraId="42AACBF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population: in vitro.</w:t>
            </w:r>
          </w:p>
        </w:tc>
      </w:tr>
      <w:tr w:rsidR="00EA496D" w:rsidRPr="00F56AD6" w14:paraId="6C874061" w14:textId="77777777" w:rsidTr="00EA496D">
        <w:tc>
          <w:tcPr>
            <w:tcW w:w="846" w:type="dxa"/>
            <w:tcMar>
              <w:top w:w="60" w:type="dxa"/>
              <w:left w:w="100" w:type="dxa"/>
              <w:bottom w:w="60" w:type="dxa"/>
              <w:right w:w="100" w:type="dxa"/>
            </w:tcMar>
          </w:tcPr>
          <w:p w14:paraId="3ACC370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429</w:t>
            </w:r>
          </w:p>
        </w:tc>
        <w:tc>
          <w:tcPr>
            <w:tcW w:w="2094" w:type="dxa"/>
            <w:tcMar>
              <w:top w:w="60" w:type="dxa"/>
              <w:left w:w="100" w:type="dxa"/>
              <w:bottom w:w="60" w:type="dxa"/>
              <w:right w:w="100" w:type="dxa"/>
            </w:tcMar>
          </w:tcPr>
          <w:p w14:paraId="4769024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Sillis et al. 2026</w:t>
            </w:r>
          </w:p>
        </w:tc>
        <w:tc>
          <w:tcPr>
            <w:tcW w:w="4923" w:type="dxa"/>
            <w:tcMar>
              <w:top w:w="60" w:type="dxa"/>
              <w:left w:w="100" w:type="dxa"/>
              <w:bottom w:w="60" w:type="dxa"/>
              <w:right w:w="100" w:type="dxa"/>
            </w:tcMar>
          </w:tcPr>
          <w:p w14:paraId="228A4B9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Medication, Vaccine, and Folic Acid Use Among Pregnant Women in Belgium: Insights from the BELpREG Cohort</w:t>
            </w:r>
          </w:p>
        </w:tc>
        <w:tc>
          <w:tcPr>
            <w:tcW w:w="6537" w:type="dxa"/>
            <w:tcMar>
              <w:top w:w="60" w:type="dxa"/>
              <w:left w:w="100" w:type="dxa"/>
              <w:bottom w:w="60" w:type="dxa"/>
              <w:right w:w="100" w:type="dxa"/>
            </w:tcMar>
          </w:tcPr>
          <w:p w14:paraId="2E82D73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shows frequency of use of pyridoxine not effect.</w:t>
            </w:r>
          </w:p>
        </w:tc>
      </w:tr>
      <w:tr w:rsidR="00EA496D" w:rsidRPr="00F56AD6" w14:paraId="302DD7B0" w14:textId="77777777" w:rsidTr="00EA496D">
        <w:tc>
          <w:tcPr>
            <w:tcW w:w="846" w:type="dxa"/>
            <w:tcMar>
              <w:top w:w="60" w:type="dxa"/>
              <w:left w:w="100" w:type="dxa"/>
              <w:bottom w:w="60" w:type="dxa"/>
              <w:right w:w="100" w:type="dxa"/>
            </w:tcMar>
          </w:tcPr>
          <w:p w14:paraId="1BBDBC8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430</w:t>
            </w:r>
          </w:p>
        </w:tc>
        <w:tc>
          <w:tcPr>
            <w:tcW w:w="2094" w:type="dxa"/>
            <w:tcMar>
              <w:top w:w="60" w:type="dxa"/>
              <w:left w:w="100" w:type="dxa"/>
              <w:bottom w:w="60" w:type="dxa"/>
              <w:right w:w="100" w:type="dxa"/>
            </w:tcMar>
          </w:tcPr>
          <w:p w14:paraId="58F75C0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Śliwiński 2024</w:t>
            </w:r>
          </w:p>
        </w:tc>
        <w:tc>
          <w:tcPr>
            <w:tcW w:w="4923" w:type="dxa"/>
            <w:tcMar>
              <w:top w:w="60" w:type="dxa"/>
              <w:left w:w="100" w:type="dxa"/>
              <w:bottom w:w="60" w:type="dxa"/>
              <w:right w:w="100" w:type="dxa"/>
            </w:tcMar>
          </w:tcPr>
          <w:p w14:paraId="2492DE4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Circulating B vitamins metabolites in depressive disorders - connections with the microbiota-gut-brain axis</w:t>
            </w:r>
          </w:p>
        </w:tc>
        <w:tc>
          <w:tcPr>
            <w:tcW w:w="6537" w:type="dxa"/>
            <w:tcMar>
              <w:top w:w="60" w:type="dxa"/>
              <w:left w:w="100" w:type="dxa"/>
              <w:bottom w:w="60" w:type="dxa"/>
              <w:right w:w="100" w:type="dxa"/>
            </w:tcMar>
          </w:tcPr>
          <w:p w14:paraId="3165F9D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and direction of effect; this narrative review addressed B vitamins and depression via the gut-brain axis, not adverse effects from excess vitamin B6 intake.</w:t>
            </w:r>
          </w:p>
        </w:tc>
      </w:tr>
      <w:tr w:rsidR="00EA496D" w:rsidRPr="00F56AD6" w14:paraId="4FAF4CE1" w14:textId="77777777" w:rsidTr="00EA496D">
        <w:tc>
          <w:tcPr>
            <w:tcW w:w="846" w:type="dxa"/>
            <w:tcMar>
              <w:top w:w="60" w:type="dxa"/>
              <w:left w:w="100" w:type="dxa"/>
              <w:bottom w:w="60" w:type="dxa"/>
              <w:right w:w="100" w:type="dxa"/>
            </w:tcMar>
          </w:tcPr>
          <w:p w14:paraId="69B8521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431</w:t>
            </w:r>
          </w:p>
        </w:tc>
        <w:tc>
          <w:tcPr>
            <w:tcW w:w="2094" w:type="dxa"/>
            <w:tcMar>
              <w:top w:w="60" w:type="dxa"/>
              <w:left w:w="100" w:type="dxa"/>
              <w:bottom w:w="60" w:type="dxa"/>
              <w:right w:w="100" w:type="dxa"/>
            </w:tcMar>
          </w:tcPr>
          <w:p w14:paraId="5F31AC9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Sofyan et al. 2022</w:t>
            </w:r>
          </w:p>
        </w:tc>
        <w:tc>
          <w:tcPr>
            <w:tcW w:w="4923" w:type="dxa"/>
            <w:tcMar>
              <w:top w:w="60" w:type="dxa"/>
              <w:left w:w="100" w:type="dxa"/>
              <w:bottom w:w="60" w:type="dxa"/>
              <w:right w:w="100" w:type="dxa"/>
            </w:tcMar>
          </w:tcPr>
          <w:p w14:paraId="0FB8240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 Vitamins, work-related stress and emotional mental disorders: a cross-sectional study among nurses in Indonesia</w:t>
            </w:r>
          </w:p>
        </w:tc>
        <w:tc>
          <w:tcPr>
            <w:tcW w:w="6537" w:type="dxa"/>
            <w:tcMar>
              <w:top w:w="60" w:type="dxa"/>
              <w:left w:w="100" w:type="dxa"/>
              <w:bottom w:w="60" w:type="dxa"/>
              <w:right w:w="100" w:type="dxa"/>
            </w:tcMar>
          </w:tcPr>
          <w:p w14:paraId="264C143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nurses emotional state was helped by B6.</w:t>
            </w:r>
          </w:p>
        </w:tc>
      </w:tr>
      <w:tr w:rsidR="00EA496D" w:rsidRPr="00F56AD6" w14:paraId="3D5A20BB" w14:textId="77777777" w:rsidTr="00EA496D">
        <w:tc>
          <w:tcPr>
            <w:tcW w:w="846" w:type="dxa"/>
            <w:tcMar>
              <w:top w:w="60" w:type="dxa"/>
              <w:left w:w="100" w:type="dxa"/>
              <w:bottom w:w="60" w:type="dxa"/>
              <w:right w:w="100" w:type="dxa"/>
            </w:tcMar>
          </w:tcPr>
          <w:p w14:paraId="13252C9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432</w:t>
            </w:r>
          </w:p>
        </w:tc>
        <w:tc>
          <w:tcPr>
            <w:tcW w:w="2094" w:type="dxa"/>
            <w:tcMar>
              <w:top w:w="60" w:type="dxa"/>
              <w:left w:w="100" w:type="dxa"/>
              <w:bottom w:w="60" w:type="dxa"/>
              <w:right w:w="100" w:type="dxa"/>
            </w:tcMar>
          </w:tcPr>
          <w:p w14:paraId="142CFA1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Song et al. 2022</w:t>
            </w:r>
          </w:p>
        </w:tc>
        <w:tc>
          <w:tcPr>
            <w:tcW w:w="4923" w:type="dxa"/>
            <w:tcMar>
              <w:top w:w="60" w:type="dxa"/>
              <w:left w:w="100" w:type="dxa"/>
              <w:bottom w:w="60" w:type="dxa"/>
              <w:right w:w="100" w:type="dxa"/>
            </w:tcMar>
          </w:tcPr>
          <w:p w14:paraId="1C84398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 between Micronutrient Intake and Breast Cancer Risk According to Body Mass Index in South Korean Adult Women: A Cohort Study</w:t>
            </w:r>
          </w:p>
        </w:tc>
        <w:tc>
          <w:tcPr>
            <w:tcW w:w="6537" w:type="dxa"/>
            <w:tcMar>
              <w:top w:w="60" w:type="dxa"/>
              <w:left w:w="100" w:type="dxa"/>
              <w:bottom w:w="60" w:type="dxa"/>
              <w:right w:w="100" w:type="dxa"/>
            </w:tcMar>
          </w:tcPr>
          <w:p w14:paraId="179EACD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vitamin B6 supplements reduced risk of breast cancer.</w:t>
            </w:r>
          </w:p>
        </w:tc>
      </w:tr>
      <w:tr w:rsidR="00EA496D" w:rsidRPr="00F56AD6" w14:paraId="608813C2" w14:textId="77777777" w:rsidTr="00EA496D">
        <w:tc>
          <w:tcPr>
            <w:tcW w:w="846" w:type="dxa"/>
            <w:tcMar>
              <w:top w:w="60" w:type="dxa"/>
              <w:left w:w="100" w:type="dxa"/>
              <w:bottom w:w="60" w:type="dxa"/>
              <w:right w:w="100" w:type="dxa"/>
            </w:tcMar>
          </w:tcPr>
          <w:p w14:paraId="45A6713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433</w:t>
            </w:r>
          </w:p>
        </w:tc>
        <w:tc>
          <w:tcPr>
            <w:tcW w:w="2094" w:type="dxa"/>
            <w:tcMar>
              <w:top w:w="60" w:type="dxa"/>
              <w:left w:w="100" w:type="dxa"/>
              <w:bottom w:w="60" w:type="dxa"/>
              <w:right w:w="100" w:type="dxa"/>
            </w:tcMar>
          </w:tcPr>
          <w:p w14:paraId="1D52F9B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Song et al. 2024</w:t>
            </w:r>
          </w:p>
        </w:tc>
        <w:tc>
          <w:tcPr>
            <w:tcW w:w="4923" w:type="dxa"/>
            <w:tcMar>
              <w:top w:w="60" w:type="dxa"/>
              <w:left w:w="100" w:type="dxa"/>
              <w:bottom w:w="60" w:type="dxa"/>
              <w:right w:w="100" w:type="dxa"/>
            </w:tcMar>
          </w:tcPr>
          <w:p w14:paraId="1341CE8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Prevents Heart Failure with Preserved Ejection Fraction Through Downstream of Kinase 3 in a Mouse Model</w:t>
            </w:r>
          </w:p>
        </w:tc>
        <w:tc>
          <w:tcPr>
            <w:tcW w:w="6537" w:type="dxa"/>
            <w:tcMar>
              <w:top w:w="60" w:type="dxa"/>
              <w:left w:w="100" w:type="dxa"/>
              <w:bottom w:w="60" w:type="dxa"/>
              <w:right w:w="100" w:type="dxa"/>
            </w:tcMar>
          </w:tcPr>
          <w:p w14:paraId="5E9DA32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 B6 helped mice prevent heart failure.</w:t>
            </w:r>
          </w:p>
        </w:tc>
      </w:tr>
      <w:tr w:rsidR="00EA496D" w:rsidRPr="00F56AD6" w14:paraId="47B95420" w14:textId="77777777" w:rsidTr="00EA496D">
        <w:tc>
          <w:tcPr>
            <w:tcW w:w="846" w:type="dxa"/>
            <w:tcMar>
              <w:top w:w="60" w:type="dxa"/>
              <w:left w:w="100" w:type="dxa"/>
              <w:bottom w:w="60" w:type="dxa"/>
              <w:right w:w="100" w:type="dxa"/>
            </w:tcMar>
          </w:tcPr>
          <w:p w14:paraId="5F6AF37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434</w:t>
            </w:r>
          </w:p>
        </w:tc>
        <w:tc>
          <w:tcPr>
            <w:tcW w:w="2094" w:type="dxa"/>
            <w:tcMar>
              <w:top w:w="60" w:type="dxa"/>
              <w:left w:w="100" w:type="dxa"/>
              <w:bottom w:w="60" w:type="dxa"/>
              <w:right w:w="100" w:type="dxa"/>
            </w:tcMar>
          </w:tcPr>
          <w:p w14:paraId="250AC49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Song et al. 2024</w:t>
            </w:r>
          </w:p>
        </w:tc>
        <w:tc>
          <w:tcPr>
            <w:tcW w:w="4923" w:type="dxa"/>
            <w:tcMar>
              <w:top w:w="60" w:type="dxa"/>
              <w:left w:w="100" w:type="dxa"/>
              <w:bottom w:w="60" w:type="dxa"/>
              <w:right w:w="100" w:type="dxa"/>
            </w:tcMar>
          </w:tcPr>
          <w:p w14:paraId="2925B79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Genome-Wide Approach of Gene-Nutrient Intake Interaction Study for Essential Hypertension in a Large Korean Cohort (KoGES)</w:t>
            </w:r>
          </w:p>
        </w:tc>
        <w:tc>
          <w:tcPr>
            <w:tcW w:w="6537" w:type="dxa"/>
            <w:tcMar>
              <w:top w:w="60" w:type="dxa"/>
              <w:left w:w="100" w:type="dxa"/>
              <w:bottom w:w="60" w:type="dxa"/>
              <w:right w:w="100" w:type="dxa"/>
            </w:tcMar>
          </w:tcPr>
          <w:p w14:paraId="27000B2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briefly mentions B6 may influence HTN risk.</w:t>
            </w:r>
          </w:p>
        </w:tc>
      </w:tr>
      <w:tr w:rsidR="00EA496D" w:rsidRPr="00F56AD6" w14:paraId="6450432D" w14:textId="77777777" w:rsidTr="00EA496D">
        <w:tc>
          <w:tcPr>
            <w:tcW w:w="846" w:type="dxa"/>
            <w:tcMar>
              <w:top w:w="60" w:type="dxa"/>
              <w:left w:w="100" w:type="dxa"/>
              <w:bottom w:w="60" w:type="dxa"/>
              <w:right w:w="100" w:type="dxa"/>
            </w:tcMar>
          </w:tcPr>
          <w:p w14:paraId="2BDD31D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435</w:t>
            </w:r>
          </w:p>
        </w:tc>
        <w:tc>
          <w:tcPr>
            <w:tcW w:w="2094" w:type="dxa"/>
            <w:tcMar>
              <w:top w:w="60" w:type="dxa"/>
              <w:left w:w="100" w:type="dxa"/>
              <w:bottom w:w="60" w:type="dxa"/>
              <w:right w:w="100" w:type="dxa"/>
            </w:tcMar>
          </w:tcPr>
          <w:p w14:paraId="5FCE7D6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Sousou et al. 2023</w:t>
            </w:r>
          </w:p>
        </w:tc>
        <w:tc>
          <w:tcPr>
            <w:tcW w:w="4923" w:type="dxa"/>
            <w:tcMar>
              <w:top w:w="60" w:type="dxa"/>
              <w:left w:w="100" w:type="dxa"/>
              <w:bottom w:w="60" w:type="dxa"/>
              <w:right w:w="100" w:type="dxa"/>
            </w:tcMar>
          </w:tcPr>
          <w:p w14:paraId="0FAE4A1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Pyridoxine Deficiency and Neurologic Dysfunction: An Unlikely Association</w:t>
            </w:r>
          </w:p>
        </w:tc>
        <w:tc>
          <w:tcPr>
            <w:tcW w:w="6537" w:type="dxa"/>
            <w:tcMar>
              <w:top w:w="60" w:type="dxa"/>
              <w:left w:w="100" w:type="dxa"/>
              <w:bottom w:w="60" w:type="dxa"/>
              <w:right w:w="100" w:type="dxa"/>
            </w:tcMar>
          </w:tcPr>
          <w:p w14:paraId="2C5C19A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the study showed that an ill man with peripheral neuropathy had his symptoms reduced by the supplementation of B6.</w:t>
            </w:r>
          </w:p>
        </w:tc>
      </w:tr>
      <w:tr w:rsidR="00EA496D" w:rsidRPr="00F56AD6" w14:paraId="68871AEA" w14:textId="77777777" w:rsidTr="00EA496D">
        <w:tc>
          <w:tcPr>
            <w:tcW w:w="846" w:type="dxa"/>
            <w:tcMar>
              <w:top w:w="60" w:type="dxa"/>
              <w:left w:w="100" w:type="dxa"/>
              <w:bottom w:w="60" w:type="dxa"/>
              <w:right w:w="100" w:type="dxa"/>
            </w:tcMar>
          </w:tcPr>
          <w:p w14:paraId="762E01B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436</w:t>
            </w:r>
          </w:p>
        </w:tc>
        <w:tc>
          <w:tcPr>
            <w:tcW w:w="2094" w:type="dxa"/>
            <w:tcMar>
              <w:top w:w="60" w:type="dxa"/>
              <w:left w:w="100" w:type="dxa"/>
              <w:bottom w:w="60" w:type="dxa"/>
              <w:right w:w="100" w:type="dxa"/>
            </w:tcMar>
          </w:tcPr>
          <w:p w14:paraId="5E03D62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Stolwijk et al. 2022</w:t>
            </w:r>
          </w:p>
        </w:tc>
        <w:tc>
          <w:tcPr>
            <w:tcW w:w="4923" w:type="dxa"/>
            <w:tcMar>
              <w:top w:w="60" w:type="dxa"/>
              <w:left w:w="100" w:type="dxa"/>
              <w:bottom w:w="60" w:type="dxa"/>
              <w:right w:w="100" w:type="dxa"/>
            </w:tcMar>
          </w:tcPr>
          <w:p w14:paraId="543BF4A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vitamin a day keeps the doctor away: The need for high quality pyridoxal-5'-phosphate</w:t>
            </w:r>
          </w:p>
        </w:tc>
        <w:tc>
          <w:tcPr>
            <w:tcW w:w="6537" w:type="dxa"/>
            <w:tcMar>
              <w:top w:w="60" w:type="dxa"/>
              <w:left w:w="100" w:type="dxa"/>
              <w:bottom w:w="60" w:type="dxa"/>
              <w:right w:w="100" w:type="dxa"/>
            </w:tcMar>
          </w:tcPr>
          <w:p w14:paraId="1B24A97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 shows benefits of PLP in seizures and highlights need for HQ medication.</w:t>
            </w:r>
          </w:p>
        </w:tc>
      </w:tr>
      <w:tr w:rsidR="00EA496D" w:rsidRPr="00F56AD6" w14:paraId="67C29576" w14:textId="77777777" w:rsidTr="00EA496D">
        <w:tc>
          <w:tcPr>
            <w:tcW w:w="846" w:type="dxa"/>
            <w:tcMar>
              <w:top w:w="60" w:type="dxa"/>
              <w:left w:w="100" w:type="dxa"/>
              <w:bottom w:w="60" w:type="dxa"/>
              <w:right w:w="100" w:type="dxa"/>
            </w:tcMar>
          </w:tcPr>
          <w:p w14:paraId="2220828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437</w:t>
            </w:r>
          </w:p>
        </w:tc>
        <w:tc>
          <w:tcPr>
            <w:tcW w:w="2094" w:type="dxa"/>
            <w:tcMar>
              <w:top w:w="60" w:type="dxa"/>
              <w:left w:w="100" w:type="dxa"/>
              <w:bottom w:w="60" w:type="dxa"/>
              <w:right w:w="100" w:type="dxa"/>
            </w:tcMar>
          </w:tcPr>
          <w:p w14:paraId="543CA17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Stoś et al. 2021</w:t>
            </w:r>
          </w:p>
        </w:tc>
        <w:tc>
          <w:tcPr>
            <w:tcW w:w="4923" w:type="dxa"/>
            <w:tcMar>
              <w:top w:w="60" w:type="dxa"/>
              <w:left w:w="100" w:type="dxa"/>
              <w:bottom w:w="60" w:type="dxa"/>
              <w:right w:w="100" w:type="dxa"/>
            </w:tcMar>
          </w:tcPr>
          <w:p w14:paraId="350AB74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Assessment of Food Supplement Consumption in Polish Population of Adults</w:t>
            </w:r>
          </w:p>
        </w:tc>
        <w:tc>
          <w:tcPr>
            <w:tcW w:w="6537" w:type="dxa"/>
            <w:tcMar>
              <w:top w:w="60" w:type="dxa"/>
              <w:left w:w="100" w:type="dxa"/>
              <w:bottom w:w="60" w:type="dxa"/>
              <w:right w:w="100" w:type="dxa"/>
            </w:tcMar>
          </w:tcPr>
          <w:p w14:paraId="772529D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polish population use B6 and sometimes in excess (over the UL) but no adverse health effects studied.</w:t>
            </w:r>
          </w:p>
        </w:tc>
      </w:tr>
      <w:tr w:rsidR="00EA496D" w:rsidRPr="00F56AD6" w14:paraId="023FF482" w14:textId="77777777" w:rsidTr="00EA496D">
        <w:tc>
          <w:tcPr>
            <w:tcW w:w="846" w:type="dxa"/>
            <w:tcMar>
              <w:top w:w="60" w:type="dxa"/>
              <w:left w:w="100" w:type="dxa"/>
              <w:bottom w:w="60" w:type="dxa"/>
              <w:right w:w="100" w:type="dxa"/>
            </w:tcMar>
          </w:tcPr>
          <w:p w14:paraId="2EECBBF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438</w:t>
            </w:r>
          </w:p>
        </w:tc>
        <w:tc>
          <w:tcPr>
            <w:tcW w:w="2094" w:type="dxa"/>
            <w:tcMar>
              <w:top w:w="60" w:type="dxa"/>
              <w:left w:w="100" w:type="dxa"/>
              <w:bottom w:w="60" w:type="dxa"/>
              <w:right w:w="100" w:type="dxa"/>
            </w:tcMar>
          </w:tcPr>
          <w:p w14:paraId="4AF4B6D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Subbotin et al. 2026</w:t>
            </w:r>
          </w:p>
        </w:tc>
        <w:tc>
          <w:tcPr>
            <w:tcW w:w="4923" w:type="dxa"/>
            <w:tcMar>
              <w:top w:w="60" w:type="dxa"/>
              <w:left w:w="100" w:type="dxa"/>
              <w:bottom w:w="60" w:type="dxa"/>
              <w:right w:w="100" w:type="dxa"/>
            </w:tcMar>
          </w:tcPr>
          <w:p w14:paraId="29185A5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PDXK-Related Neuropathy: A Case With a Novel Splice-Altering Missense Variant and Literature Review</w:t>
            </w:r>
          </w:p>
        </w:tc>
        <w:tc>
          <w:tcPr>
            <w:tcW w:w="6537" w:type="dxa"/>
            <w:tcMar>
              <w:top w:w="60" w:type="dxa"/>
              <w:left w:w="100" w:type="dxa"/>
              <w:bottom w:w="60" w:type="dxa"/>
              <w:right w:w="100" w:type="dxa"/>
            </w:tcMar>
          </w:tcPr>
          <w:p w14:paraId="264D659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neuropathy can be managed with pyridoxal 5' - phosphate supplementation.</w:t>
            </w:r>
          </w:p>
        </w:tc>
      </w:tr>
      <w:tr w:rsidR="00EA496D" w:rsidRPr="00F56AD6" w14:paraId="67E78A7D" w14:textId="77777777" w:rsidTr="00EA496D">
        <w:tc>
          <w:tcPr>
            <w:tcW w:w="846" w:type="dxa"/>
            <w:tcMar>
              <w:top w:w="60" w:type="dxa"/>
              <w:left w:w="100" w:type="dxa"/>
              <w:bottom w:w="60" w:type="dxa"/>
              <w:right w:w="100" w:type="dxa"/>
            </w:tcMar>
          </w:tcPr>
          <w:p w14:paraId="6A93C2B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439</w:t>
            </w:r>
          </w:p>
        </w:tc>
        <w:tc>
          <w:tcPr>
            <w:tcW w:w="2094" w:type="dxa"/>
            <w:tcMar>
              <w:top w:w="60" w:type="dxa"/>
              <w:left w:w="100" w:type="dxa"/>
              <w:bottom w:w="60" w:type="dxa"/>
              <w:right w:w="100" w:type="dxa"/>
            </w:tcMar>
          </w:tcPr>
          <w:p w14:paraId="41A2D09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Sukmak et al. 2025</w:t>
            </w:r>
          </w:p>
        </w:tc>
        <w:tc>
          <w:tcPr>
            <w:tcW w:w="4923" w:type="dxa"/>
            <w:tcMar>
              <w:top w:w="60" w:type="dxa"/>
              <w:left w:w="100" w:type="dxa"/>
              <w:bottom w:w="60" w:type="dxa"/>
              <w:right w:w="100" w:type="dxa"/>
            </w:tcMar>
          </w:tcPr>
          <w:p w14:paraId="1E29DC7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Monosodium Glutamate Consumption Disrupts Vitamin B6 Status in Rat Kidney</w:t>
            </w:r>
          </w:p>
        </w:tc>
        <w:tc>
          <w:tcPr>
            <w:tcW w:w="6537" w:type="dxa"/>
            <w:tcMar>
              <w:top w:w="60" w:type="dxa"/>
              <w:left w:w="100" w:type="dxa"/>
              <w:bottom w:w="60" w:type="dxa"/>
              <w:right w:w="100" w:type="dxa"/>
            </w:tcMar>
          </w:tcPr>
          <w:p w14:paraId="46FCB63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mSG effects B6 levels in kidney.</w:t>
            </w:r>
          </w:p>
        </w:tc>
      </w:tr>
      <w:tr w:rsidR="00EA496D" w:rsidRPr="00F56AD6" w14:paraId="540E54B2" w14:textId="77777777" w:rsidTr="00EA496D">
        <w:tc>
          <w:tcPr>
            <w:tcW w:w="846" w:type="dxa"/>
            <w:tcMar>
              <w:top w:w="60" w:type="dxa"/>
              <w:left w:w="100" w:type="dxa"/>
              <w:bottom w:w="60" w:type="dxa"/>
              <w:right w:w="100" w:type="dxa"/>
            </w:tcMar>
          </w:tcPr>
          <w:p w14:paraId="38B8B8D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440</w:t>
            </w:r>
          </w:p>
        </w:tc>
        <w:tc>
          <w:tcPr>
            <w:tcW w:w="2094" w:type="dxa"/>
            <w:tcMar>
              <w:top w:w="60" w:type="dxa"/>
              <w:left w:w="100" w:type="dxa"/>
              <w:bottom w:w="60" w:type="dxa"/>
              <w:right w:w="100" w:type="dxa"/>
            </w:tcMar>
          </w:tcPr>
          <w:p w14:paraId="2197413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Sun et al. 2021</w:t>
            </w:r>
          </w:p>
        </w:tc>
        <w:tc>
          <w:tcPr>
            <w:tcW w:w="4923" w:type="dxa"/>
            <w:tcMar>
              <w:top w:w="60" w:type="dxa"/>
              <w:left w:w="100" w:type="dxa"/>
              <w:bottom w:w="60" w:type="dxa"/>
              <w:right w:w="100" w:type="dxa"/>
            </w:tcMar>
          </w:tcPr>
          <w:p w14:paraId="42AD5DD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Effects of Compound Probiotics on Cecal Microbiome and Metabolome of Shaoxing Duck</w:t>
            </w:r>
          </w:p>
        </w:tc>
        <w:tc>
          <w:tcPr>
            <w:tcW w:w="6537" w:type="dxa"/>
            <w:tcMar>
              <w:top w:w="60" w:type="dxa"/>
              <w:left w:w="100" w:type="dxa"/>
              <w:bottom w:w="60" w:type="dxa"/>
              <w:right w:w="100" w:type="dxa"/>
            </w:tcMar>
          </w:tcPr>
          <w:p w14:paraId="0FF5641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the pathways of Vitamin B6 metabolism were benefited by probiotics.</w:t>
            </w:r>
          </w:p>
        </w:tc>
      </w:tr>
      <w:tr w:rsidR="00EA496D" w:rsidRPr="00F56AD6" w14:paraId="0DE594EA" w14:textId="77777777" w:rsidTr="00EA496D">
        <w:tc>
          <w:tcPr>
            <w:tcW w:w="846" w:type="dxa"/>
            <w:tcMar>
              <w:top w:w="60" w:type="dxa"/>
              <w:left w:w="100" w:type="dxa"/>
              <w:bottom w:w="60" w:type="dxa"/>
              <w:right w:w="100" w:type="dxa"/>
            </w:tcMar>
          </w:tcPr>
          <w:p w14:paraId="44D4184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441</w:t>
            </w:r>
          </w:p>
        </w:tc>
        <w:tc>
          <w:tcPr>
            <w:tcW w:w="2094" w:type="dxa"/>
            <w:tcMar>
              <w:top w:w="60" w:type="dxa"/>
              <w:left w:w="100" w:type="dxa"/>
              <w:bottom w:w="60" w:type="dxa"/>
              <w:right w:w="100" w:type="dxa"/>
            </w:tcMar>
          </w:tcPr>
          <w:p w14:paraId="17B4B0B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Sun et al. 2023</w:t>
            </w:r>
          </w:p>
        </w:tc>
        <w:tc>
          <w:tcPr>
            <w:tcW w:w="4923" w:type="dxa"/>
            <w:tcMar>
              <w:top w:w="60" w:type="dxa"/>
              <w:left w:w="100" w:type="dxa"/>
              <w:bottom w:w="60" w:type="dxa"/>
              <w:right w:w="100" w:type="dxa"/>
            </w:tcMar>
          </w:tcPr>
          <w:p w14:paraId="09ED250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Protective effect of vitamin B(6) against doxorubicin-induced cardiotoxicity by modulating NHE1 expression</w:t>
            </w:r>
          </w:p>
        </w:tc>
        <w:tc>
          <w:tcPr>
            <w:tcW w:w="6537" w:type="dxa"/>
            <w:tcMar>
              <w:top w:w="60" w:type="dxa"/>
              <w:left w:w="100" w:type="dxa"/>
              <w:bottom w:w="60" w:type="dxa"/>
              <w:right w:w="100" w:type="dxa"/>
            </w:tcMar>
          </w:tcPr>
          <w:p w14:paraId="69B2DD6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(no relevant adverse health effect reported) B6 has antioxidative and antiapoptosis effects to improve cardiac function.</w:t>
            </w:r>
          </w:p>
        </w:tc>
      </w:tr>
      <w:tr w:rsidR="00EA496D" w:rsidRPr="00F56AD6" w14:paraId="032A0525" w14:textId="77777777" w:rsidTr="00EA496D">
        <w:tc>
          <w:tcPr>
            <w:tcW w:w="846" w:type="dxa"/>
            <w:tcMar>
              <w:top w:w="60" w:type="dxa"/>
              <w:left w:w="100" w:type="dxa"/>
              <w:bottom w:w="60" w:type="dxa"/>
              <w:right w:w="100" w:type="dxa"/>
            </w:tcMar>
          </w:tcPr>
          <w:p w14:paraId="3B8E813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442</w:t>
            </w:r>
          </w:p>
        </w:tc>
        <w:tc>
          <w:tcPr>
            <w:tcW w:w="2094" w:type="dxa"/>
            <w:tcMar>
              <w:top w:w="60" w:type="dxa"/>
              <w:left w:w="100" w:type="dxa"/>
              <w:bottom w:w="60" w:type="dxa"/>
              <w:right w:w="100" w:type="dxa"/>
            </w:tcMar>
          </w:tcPr>
          <w:p w14:paraId="64FFFB4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Sunder et al. 2026</w:t>
            </w:r>
          </w:p>
        </w:tc>
        <w:tc>
          <w:tcPr>
            <w:tcW w:w="4923" w:type="dxa"/>
            <w:tcMar>
              <w:top w:w="60" w:type="dxa"/>
              <w:left w:w="100" w:type="dxa"/>
              <w:bottom w:w="60" w:type="dxa"/>
              <w:right w:w="100" w:type="dxa"/>
            </w:tcMar>
          </w:tcPr>
          <w:p w14:paraId="4B5722D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Synergistic DLP bioprinting of high-fidelity nerve guidance conduits using a chitosan-collagen methacryloyl conductive bioink with neurotrophic factors</w:t>
            </w:r>
          </w:p>
        </w:tc>
        <w:tc>
          <w:tcPr>
            <w:tcW w:w="6537" w:type="dxa"/>
            <w:tcMar>
              <w:top w:w="60" w:type="dxa"/>
              <w:left w:w="100" w:type="dxa"/>
              <w:bottom w:w="60" w:type="dxa"/>
              <w:right w:w="100" w:type="dxa"/>
            </w:tcMar>
          </w:tcPr>
          <w:p w14:paraId="68E0625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population: (in vitro / cell study).</w:t>
            </w:r>
          </w:p>
        </w:tc>
      </w:tr>
      <w:tr w:rsidR="00EA496D" w:rsidRPr="00F56AD6" w14:paraId="5083856E" w14:textId="77777777" w:rsidTr="00EA496D">
        <w:tc>
          <w:tcPr>
            <w:tcW w:w="846" w:type="dxa"/>
            <w:tcMar>
              <w:top w:w="60" w:type="dxa"/>
              <w:left w:w="100" w:type="dxa"/>
              <w:bottom w:w="60" w:type="dxa"/>
              <w:right w:w="100" w:type="dxa"/>
            </w:tcMar>
          </w:tcPr>
          <w:p w14:paraId="7E1405E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443</w:t>
            </w:r>
          </w:p>
        </w:tc>
        <w:tc>
          <w:tcPr>
            <w:tcW w:w="2094" w:type="dxa"/>
            <w:tcMar>
              <w:top w:w="60" w:type="dxa"/>
              <w:left w:w="100" w:type="dxa"/>
              <w:bottom w:w="60" w:type="dxa"/>
              <w:right w:w="100" w:type="dxa"/>
            </w:tcMar>
          </w:tcPr>
          <w:p w14:paraId="61324D6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Sureja et al. 2023</w:t>
            </w:r>
          </w:p>
        </w:tc>
        <w:tc>
          <w:tcPr>
            <w:tcW w:w="4923" w:type="dxa"/>
            <w:tcMar>
              <w:top w:w="60" w:type="dxa"/>
              <w:left w:w="100" w:type="dxa"/>
              <w:bottom w:w="60" w:type="dxa"/>
              <w:right w:w="100" w:type="dxa"/>
            </w:tcMar>
          </w:tcPr>
          <w:p w14:paraId="61CF351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 xml:space="preserve">Efficacy and Tolerability Evaluation of a Nutraceutical Composition Containing Vitex agnus-castus Extract (EVX40™), Pyridoxine, and </w:t>
            </w:r>
            <w:r w:rsidRPr="00F56AD6">
              <w:rPr>
                <w:rFonts w:asciiTheme="minorHAnsi" w:hAnsiTheme="minorHAnsi" w:cstheme="minorHAnsi"/>
                <w:sz w:val="20"/>
              </w:rPr>
              <w:lastRenderedPageBreak/>
              <w:t>Magnesium in Premenstrual Syndrome: A Real-World, Interventional, Comparative Study</w:t>
            </w:r>
          </w:p>
        </w:tc>
        <w:tc>
          <w:tcPr>
            <w:tcW w:w="6537" w:type="dxa"/>
            <w:tcMar>
              <w:top w:w="60" w:type="dxa"/>
              <w:left w:w="100" w:type="dxa"/>
              <w:bottom w:w="60" w:type="dxa"/>
              <w:right w:w="100" w:type="dxa"/>
            </w:tcMar>
          </w:tcPr>
          <w:p w14:paraId="6535802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Excluded due to wrong exposure: the study did not assess excess vitamin B6 intake;, Wrong outcome - B6 supplementation can help PMS.</w:t>
            </w:r>
          </w:p>
        </w:tc>
      </w:tr>
      <w:tr w:rsidR="00EA496D" w:rsidRPr="00F56AD6" w14:paraId="2385A709" w14:textId="77777777" w:rsidTr="00EA496D">
        <w:tc>
          <w:tcPr>
            <w:tcW w:w="846" w:type="dxa"/>
            <w:tcMar>
              <w:top w:w="60" w:type="dxa"/>
              <w:left w:w="100" w:type="dxa"/>
              <w:bottom w:w="60" w:type="dxa"/>
              <w:right w:w="100" w:type="dxa"/>
            </w:tcMar>
          </w:tcPr>
          <w:p w14:paraId="60A2BE8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444</w:t>
            </w:r>
          </w:p>
        </w:tc>
        <w:tc>
          <w:tcPr>
            <w:tcW w:w="2094" w:type="dxa"/>
            <w:tcMar>
              <w:top w:w="60" w:type="dxa"/>
              <w:left w:w="100" w:type="dxa"/>
              <w:bottom w:w="60" w:type="dxa"/>
              <w:right w:w="100" w:type="dxa"/>
            </w:tcMar>
          </w:tcPr>
          <w:p w14:paraId="5E750F2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Syring et al. 2024</w:t>
            </w:r>
          </w:p>
        </w:tc>
        <w:tc>
          <w:tcPr>
            <w:tcW w:w="4923" w:type="dxa"/>
            <w:tcMar>
              <w:top w:w="60" w:type="dxa"/>
              <w:left w:w="100" w:type="dxa"/>
              <w:bottom w:w="60" w:type="dxa"/>
              <w:right w:w="100" w:type="dxa"/>
            </w:tcMar>
          </w:tcPr>
          <w:p w14:paraId="4BD2FC2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One-carbon metabolite supplementation increases vitamin B12, folate, and methionine cycle metabolites in beef heifers and fetuses in an energy dependent manner at day 63 of gestation</w:t>
            </w:r>
          </w:p>
        </w:tc>
        <w:tc>
          <w:tcPr>
            <w:tcW w:w="6537" w:type="dxa"/>
            <w:tcMar>
              <w:top w:w="60" w:type="dxa"/>
              <w:left w:w="100" w:type="dxa"/>
              <w:bottom w:w="60" w:type="dxa"/>
              <w:right w:w="100" w:type="dxa"/>
            </w:tcMar>
          </w:tcPr>
          <w:p w14:paraId="7820F5E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or otherwise lacked a relevant vitamin B6 exposure.</w:t>
            </w:r>
          </w:p>
        </w:tc>
      </w:tr>
      <w:tr w:rsidR="00EA496D" w:rsidRPr="00F56AD6" w14:paraId="414EB17B" w14:textId="77777777" w:rsidTr="00EA496D">
        <w:tc>
          <w:tcPr>
            <w:tcW w:w="846" w:type="dxa"/>
            <w:tcMar>
              <w:top w:w="60" w:type="dxa"/>
              <w:left w:w="100" w:type="dxa"/>
              <w:bottom w:w="60" w:type="dxa"/>
              <w:right w:w="100" w:type="dxa"/>
            </w:tcMar>
          </w:tcPr>
          <w:p w14:paraId="5965C62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445</w:t>
            </w:r>
          </w:p>
        </w:tc>
        <w:tc>
          <w:tcPr>
            <w:tcW w:w="2094" w:type="dxa"/>
            <w:tcMar>
              <w:top w:w="60" w:type="dxa"/>
              <w:left w:w="100" w:type="dxa"/>
              <w:bottom w:w="60" w:type="dxa"/>
              <w:right w:w="100" w:type="dxa"/>
            </w:tcMar>
          </w:tcPr>
          <w:p w14:paraId="306ED33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Ta et al. 2023</w:t>
            </w:r>
          </w:p>
        </w:tc>
        <w:tc>
          <w:tcPr>
            <w:tcW w:w="4923" w:type="dxa"/>
            <w:tcMar>
              <w:top w:w="60" w:type="dxa"/>
              <w:left w:w="100" w:type="dxa"/>
              <w:bottom w:w="60" w:type="dxa"/>
              <w:right w:w="100" w:type="dxa"/>
            </w:tcMar>
          </w:tcPr>
          <w:p w14:paraId="26AA3FD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Metabolomics analysis reveals amelioration effects of yellowhorn tea extract on hyperlipidemia, inflammation, and oxidative stress in high-fat diet-fed mice</w:t>
            </w:r>
          </w:p>
        </w:tc>
        <w:tc>
          <w:tcPr>
            <w:tcW w:w="6537" w:type="dxa"/>
            <w:tcMar>
              <w:top w:w="60" w:type="dxa"/>
              <w:left w:w="100" w:type="dxa"/>
              <w:bottom w:w="60" w:type="dxa"/>
              <w:right w:w="100" w:type="dxa"/>
            </w:tcMar>
          </w:tcPr>
          <w:p w14:paraId="6C60314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pyridoxine level was affected after yellowhorn tea.</w:t>
            </w:r>
          </w:p>
        </w:tc>
      </w:tr>
      <w:tr w:rsidR="00EA496D" w:rsidRPr="00F56AD6" w14:paraId="6443C3DE" w14:textId="77777777" w:rsidTr="00EA496D">
        <w:tc>
          <w:tcPr>
            <w:tcW w:w="846" w:type="dxa"/>
            <w:tcMar>
              <w:top w:w="60" w:type="dxa"/>
              <w:left w:w="100" w:type="dxa"/>
              <w:bottom w:w="60" w:type="dxa"/>
              <w:right w:w="100" w:type="dxa"/>
            </w:tcMar>
          </w:tcPr>
          <w:p w14:paraId="02FB82F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446</w:t>
            </w:r>
          </w:p>
        </w:tc>
        <w:tc>
          <w:tcPr>
            <w:tcW w:w="2094" w:type="dxa"/>
            <w:tcMar>
              <w:top w:w="60" w:type="dxa"/>
              <w:left w:w="100" w:type="dxa"/>
              <w:bottom w:w="60" w:type="dxa"/>
              <w:right w:w="100" w:type="dxa"/>
            </w:tcMar>
          </w:tcPr>
          <w:p w14:paraId="05DB276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Talli et al. 2025</w:t>
            </w:r>
          </w:p>
        </w:tc>
        <w:tc>
          <w:tcPr>
            <w:tcW w:w="4923" w:type="dxa"/>
            <w:tcMar>
              <w:top w:w="60" w:type="dxa"/>
              <w:left w:w="100" w:type="dxa"/>
              <w:bottom w:w="60" w:type="dxa"/>
              <w:right w:w="100" w:type="dxa"/>
            </w:tcMar>
          </w:tcPr>
          <w:p w14:paraId="43844C3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Measurement of AST and ALT with Pyridoxal-5'-Phosphate according to IFCC: A decades-long gap seems to be filled</w:t>
            </w:r>
          </w:p>
        </w:tc>
        <w:tc>
          <w:tcPr>
            <w:tcW w:w="6537" w:type="dxa"/>
            <w:tcMar>
              <w:top w:w="60" w:type="dxa"/>
              <w:left w:w="100" w:type="dxa"/>
              <w:bottom w:w="60" w:type="dxa"/>
              <w:right w:w="100" w:type="dxa"/>
            </w:tcMar>
          </w:tcPr>
          <w:p w14:paraId="456C3BE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talks about correlations to patients with low B6.</w:t>
            </w:r>
          </w:p>
        </w:tc>
      </w:tr>
      <w:tr w:rsidR="00EA496D" w:rsidRPr="00F56AD6" w14:paraId="7D6B4F82" w14:textId="77777777" w:rsidTr="00EA496D">
        <w:tc>
          <w:tcPr>
            <w:tcW w:w="846" w:type="dxa"/>
            <w:tcMar>
              <w:top w:w="60" w:type="dxa"/>
              <w:left w:w="100" w:type="dxa"/>
              <w:bottom w:w="60" w:type="dxa"/>
              <w:right w:w="100" w:type="dxa"/>
            </w:tcMar>
          </w:tcPr>
          <w:p w14:paraId="16BE148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447</w:t>
            </w:r>
          </w:p>
        </w:tc>
        <w:tc>
          <w:tcPr>
            <w:tcW w:w="2094" w:type="dxa"/>
            <w:tcMar>
              <w:top w:w="60" w:type="dxa"/>
              <w:left w:w="100" w:type="dxa"/>
              <w:bottom w:w="60" w:type="dxa"/>
              <w:right w:w="100" w:type="dxa"/>
            </w:tcMar>
          </w:tcPr>
          <w:p w14:paraId="1525988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Tanwar et al. 2026</w:t>
            </w:r>
          </w:p>
        </w:tc>
        <w:tc>
          <w:tcPr>
            <w:tcW w:w="4923" w:type="dxa"/>
            <w:tcMar>
              <w:top w:w="60" w:type="dxa"/>
              <w:left w:w="100" w:type="dxa"/>
              <w:bottom w:w="60" w:type="dxa"/>
              <w:right w:w="100" w:type="dxa"/>
            </w:tcMar>
          </w:tcPr>
          <w:p w14:paraId="5E59D3C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Reduction of glycation stress as a geroscience intervention: protocol for a pilot RCT in postmenopausal women</w:t>
            </w:r>
          </w:p>
        </w:tc>
        <w:tc>
          <w:tcPr>
            <w:tcW w:w="6537" w:type="dxa"/>
            <w:tcMar>
              <w:top w:w="60" w:type="dxa"/>
              <w:left w:w="100" w:type="dxa"/>
              <w:bottom w:w="60" w:type="dxa"/>
              <w:right w:w="100" w:type="dxa"/>
            </w:tcMar>
          </w:tcPr>
          <w:p w14:paraId="371D62F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pyridoxal supplementation can help postmenopausal women.</w:t>
            </w:r>
          </w:p>
        </w:tc>
      </w:tr>
      <w:tr w:rsidR="00EA496D" w:rsidRPr="00F56AD6" w14:paraId="0F3AD75A" w14:textId="77777777" w:rsidTr="00EA496D">
        <w:tc>
          <w:tcPr>
            <w:tcW w:w="846" w:type="dxa"/>
            <w:tcMar>
              <w:top w:w="60" w:type="dxa"/>
              <w:left w:w="100" w:type="dxa"/>
              <w:bottom w:w="60" w:type="dxa"/>
              <w:right w:w="100" w:type="dxa"/>
            </w:tcMar>
          </w:tcPr>
          <w:p w14:paraId="18D638F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448</w:t>
            </w:r>
          </w:p>
        </w:tc>
        <w:tc>
          <w:tcPr>
            <w:tcW w:w="2094" w:type="dxa"/>
            <w:tcMar>
              <w:top w:w="60" w:type="dxa"/>
              <w:left w:w="100" w:type="dxa"/>
              <w:bottom w:w="60" w:type="dxa"/>
              <w:right w:w="100" w:type="dxa"/>
            </w:tcMar>
          </w:tcPr>
          <w:p w14:paraId="6D55516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Thananowan et al. 2025</w:t>
            </w:r>
          </w:p>
        </w:tc>
        <w:tc>
          <w:tcPr>
            <w:tcW w:w="4923" w:type="dxa"/>
            <w:tcMar>
              <w:top w:w="60" w:type="dxa"/>
              <w:left w:w="100" w:type="dxa"/>
              <w:bottom w:w="60" w:type="dxa"/>
              <w:right w:w="100" w:type="dxa"/>
            </w:tcMar>
          </w:tcPr>
          <w:p w14:paraId="7D2089D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Pyridoxine supplementation for levetiracetam-related neuropsychiatric adverse events in pediatric and adolescent epilepsy: a prospective, double-blind, randomized, placebo-controlled trial</w:t>
            </w:r>
          </w:p>
        </w:tc>
        <w:tc>
          <w:tcPr>
            <w:tcW w:w="6537" w:type="dxa"/>
            <w:tcMar>
              <w:top w:w="60" w:type="dxa"/>
              <w:left w:w="100" w:type="dxa"/>
              <w:bottom w:w="60" w:type="dxa"/>
              <w:right w:w="100" w:type="dxa"/>
            </w:tcMar>
          </w:tcPr>
          <w:p w14:paraId="6454407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no adverse effects from pyridoxal treatment.</w:t>
            </w:r>
          </w:p>
        </w:tc>
      </w:tr>
      <w:tr w:rsidR="00EA496D" w:rsidRPr="00F56AD6" w14:paraId="481DB2A3" w14:textId="77777777" w:rsidTr="00EA496D">
        <w:tc>
          <w:tcPr>
            <w:tcW w:w="846" w:type="dxa"/>
            <w:tcMar>
              <w:top w:w="60" w:type="dxa"/>
              <w:left w:w="100" w:type="dxa"/>
              <w:bottom w:w="60" w:type="dxa"/>
              <w:right w:w="100" w:type="dxa"/>
            </w:tcMar>
          </w:tcPr>
          <w:p w14:paraId="5F64464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449</w:t>
            </w:r>
          </w:p>
        </w:tc>
        <w:tc>
          <w:tcPr>
            <w:tcW w:w="2094" w:type="dxa"/>
            <w:tcMar>
              <w:top w:w="60" w:type="dxa"/>
              <w:left w:w="100" w:type="dxa"/>
              <w:bottom w:w="60" w:type="dxa"/>
              <w:right w:w="100" w:type="dxa"/>
            </w:tcMar>
          </w:tcPr>
          <w:p w14:paraId="24E9D11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Thanuma et al. 2025</w:t>
            </w:r>
          </w:p>
        </w:tc>
        <w:tc>
          <w:tcPr>
            <w:tcW w:w="4923" w:type="dxa"/>
            <w:tcMar>
              <w:top w:w="60" w:type="dxa"/>
              <w:left w:w="100" w:type="dxa"/>
              <w:bottom w:w="60" w:type="dxa"/>
              <w:right w:w="100" w:type="dxa"/>
            </w:tcMar>
          </w:tcPr>
          <w:p w14:paraId="39062B8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Metabolomic analysis of bioactive compounds in dill (Anethum graveolens L.) extracts</w:t>
            </w:r>
          </w:p>
        </w:tc>
        <w:tc>
          <w:tcPr>
            <w:tcW w:w="6537" w:type="dxa"/>
            <w:tcMar>
              <w:top w:w="60" w:type="dxa"/>
              <w:left w:w="100" w:type="dxa"/>
              <w:bottom w:w="60" w:type="dxa"/>
              <w:right w:w="100" w:type="dxa"/>
            </w:tcMar>
          </w:tcPr>
          <w:p w14:paraId="3CC0B64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shows dill can increase pyridoxal levels.</w:t>
            </w:r>
          </w:p>
        </w:tc>
      </w:tr>
      <w:tr w:rsidR="00EA496D" w:rsidRPr="00F56AD6" w14:paraId="1BCE3E43" w14:textId="77777777" w:rsidTr="00EA496D">
        <w:tc>
          <w:tcPr>
            <w:tcW w:w="846" w:type="dxa"/>
            <w:tcMar>
              <w:top w:w="60" w:type="dxa"/>
              <w:left w:w="100" w:type="dxa"/>
              <w:bottom w:w="60" w:type="dxa"/>
              <w:right w:w="100" w:type="dxa"/>
            </w:tcMar>
          </w:tcPr>
          <w:p w14:paraId="365ADFD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450</w:t>
            </w:r>
          </w:p>
        </w:tc>
        <w:tc>
          <w:tcPr>
            <w:tcW w:w="2094" w:type="dxa"/>
            <w:tcMar>
              <w:top w:w="60" w:type="dxa"/>
              <w:left w:w="100" w:type="dxa"/>
              <w:bottom w:w="60" w:type="dxa"/>
              <w:right w:w="100" w:type="dxa"/>
            </w:tcMar>
          </w:tcPr>
          <w:p w14:paraId="5749558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Thavornnart et al. 2026</w:t>
            </w:r>
          </w:p>
        </w:tc>
        <w:tc>
          <w:tcPr>
            <w:tcW w:w="4923" w:type="dxa"/>
            <w:tcMar>
              <w:top w:w="60" w:type="dxa"/>
              <w:left w:w="100" w:type="dxa"/>
              <w:bottom w:w="60" w:type="dxa"/>
              <w:right w:w="100" w:type="dxa"/>
            </w:tcMar>
          </w:tcPr>
          <w:p w14:paraId="3362040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Cocrystal Formation of Quercetin and Nutraceutical Coformers via a Facile Technique with Improved Solubility and Biological Properties</w:t>
            </w:r>
          </w:p>
        </w:tc>
        <w:tc>
          <w:tcPr>
            <w:tcW w:w="6537" w:type="dxa"/>
            <w:tcMar>
              <w:top w:w="60" w:type="dxa"/>
              <w:left w:w="100" w:type="dxa"/>
              <w:bottom w:w="60" w:type="dxa"/>
              <w:right w:w="100" w:type="dxa"/>
            </w:tcMar>
          </w:tcPr>
          <w:p w14:paraId="5240D23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focus is on solubility of pharmaceutical compounds.</w:t>
            </w:r>
          </w:p>
        </w:tc>
      </w:tr>
      <w:tr w:rsidR="00EA496D" w:rsidRPr="00F56AD6" w14:paraId="4446A32B" w14:textId="77777777" w:rsidTr="00EA496D">
        <w:tc>
          <w:tcPr>
            <w:tcW w:w="846" w:type="dxa"/>
            <w:tcMar>
              <w:top w:w="60" w:type="dxa"/>
              <w:left w:w="100" w:type="dxa"/>
              <w:bottom w:w="60" w:type="dxa"/>
              <w:right w:w="100" w:type="dxa"/>
            </w:tcMar>
          </w:tcPr>
          <w:p w14:paraId="52374A7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451</w:t>
            </w:r>
          </w:p>
        </w:tc>
        <w:tc>
          <w:tcPr>
            <w:tcW w:w="2094" w:type="dxa"/>
            <w:tcMar>
              <w:top w:w="60" w:type="dxa"/>
              <w:left w:w="100" w:type="dxa"/>
              <w:bottom w:w="60" w:type="dxa"/>
              <w:right w:w="100" w:type="dxa"/>
            </w:tcMar>
          </w:tcPr>
          <w:p w14:paraId="2E314F1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Tian et al. 2024</w:t>
            </w:r>
          </w:p>
        </w:tc>
        <w:tc>
          <w:tcPr>
            <w:tcW w:w="4923" w:type="dxa"/>
            <w:tcMar>
              <w:top w:w="60" w:type="dxa"/>
              <w:left w:w="100" w:type="dxa"/>
              <w:bottom w:w="60" w:type="dxa"/>
              <w:right w:w="100" w:type="dxa"/>
            </w:tcMar>
          </w:tcPr>
          <w:p w14:paraId="34B3E93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and folate intake are associated with lower risk of severe headache or migraine in adults: An analysis based on NHANES 1999-2004</w:t>
            </w:r>
          </w:p>
        </w:tc>
        <w:tc>
          <w:tcPr>
            <w:tcW w:w="6537" w:type="dxa"/>
            <w:tcMar>
              <w:top w:w="60" w:type="dxa"/>
              <w:left w:w="100" w:type="dxa"/>
              <w:bottom w:w="60" w:type="dxa"/>
              <w:right w:w="100" w:type="dxa"/>
            </w:tcMar>
          </w:tcPr>
          <w:p w14:paraId="7507B8B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may help with migraines.</w:t>
            </w:r>
          </w:p>
        </w:tc>
      </w:tr>
      <w:tr w:rsidR="00EA496D" w:rsidRPr="00F56AD6" w14:paraId="6A83A009" w14:textId="77777777" w:rsidTr="00EA496D">
        <w:tc>
          <w:tcPr>
            <w:tcW w:w="846" w:type="dxa"/>
            <w:tcMar>
              <w:top w:w="60" w:type="dxa"/>
              <w:left w:w="100" w:type="dxa"/>
              <w:bottom w:w="60" w:type="dxa"/>
              <w:right w:w="100" w:type="dxa"/>
            </w:tcMar>
          </w:tcPr>
          <w:p w14:paraId="64EE7C2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452</w:t>
            </w:r>
          </w:p>
        </w:tc>
        <w:tc>
          <w:tcPr>
            <w:tcW w:w="2094" w:type="dxa"/>
            <w:tcMar>
              <w:top w:w="60" w:type="dxa"/>
              <w:left w:w="100" w:type="dxa"/>
              <w:bottom w:w="60" w:type="dxa"/>
              <w:right w:w="100" w:type="dxa"/>
            </w:tcMar>
          </w:tcPr>
          <w:p w14:paraId="2C1E456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Titcomb et al. 2023</w:t>
            </w:r>
          </w:p>
        </w:tc>
        <w:tc>
          <w:tcPr>
            <w:tcW w:w="4923" w:type="dxa"/>
            <w:tcMar>
              <w:top w:w="60" w:type="dxa"/>
              <w:left w:w="100" w:type="dxa"/>
              <w:bottom w:w="60" w:type="dxa"/>
              <w:right w:w="100" w:type="dxa"/>
            </w:tcMar>
          </w:tcPr>
          <w:p w14:paraId="20595AB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Inadequate Niacin Intake Disrupts Growth and Retinol Homeostasis Resulting in Higher Liver and Lower Serum Retinol Concentrations in Male Rats</w:t>
            </w:r>
          </w:p>
        </w:tc>
        <w:tc>
          <w:tcPr>
            <w:tcW w:w="6537" w:type="dxa"/>
            <w:tcMar>
              <w:top w:w="60" w:type="dxa"/>
              <w:left w:w="100" w:type="dxa"/>
              <w:bottom w:w="60" w:type="dxa"/>
              <w:right w:w="100" w:type="dxa"/>
            </w:tcMar>
          </w:tcPr>
          <w:p w14:paraId="1EF9A6E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only mentioned in passing as a measurement.</w:t>
            </w:r>
          </w:p>
        </w:tc>
      </w:tr>
      <w:tr w:rsidR="00EA496D" w:rsidRPr="00F56AD6" w14:paraId="097D005D" w14:textId="77777777" w:rsidTr="00EA496D">
        <w:tc>
          <w:tcPr>
            <w:tcW w:w="846" w:type="dxa"/>
            <w:tcMar>
              <w:top w:w="60" w:type="dxa"/>
              <w:left w:w="100" w:type="dxa"/>
              <w:bottom w:w="60" w:type="dxa"/>
              <w:right w:w="100" w:type="dxa"/>
            </w:tcMar>
          </w:tcPr>
          <w:p w14:paraId="569F701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453</w:t>
            </w:r>
          </w:p>
        </w:tc>
        <w:tc>
          <w:tcPr>
            <w:tcW w:w="2094" w:type="dxa"/>
            <w:tcMar>
              <w:top w:w="60" w:type="dxa"/>
              <w:left w:w="100" w:type="dxa"/>
              <w:bottom w:w="60" w:type="dxa"/>
              <w:right w:w="100" w:type="dxa"/>
            </w:tcMar>
          </w:tcPr>
          <w:p w14:paraId="3D9C98C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Todorović et al. 2025</w:t>
            </w:r>
          </w:p>
        </w:tc>
        <w:tc>
          <w:tcPr>
            <w:tcW w:w="4923" w:type="dxa"/>
            <w:tcMar>
              <w:top w:w="60" w:type="dxa"/>
              <w:left w:w="100" w:type="dxa"/>
              <w:bottom w:w="60" w:type="dxa"/>
              <w:right w:w="100" w:type="dxa"/>
            </w:tcMar>
          </w:tcPr>
          <w:p w14:paraId="3B9E8D8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Effects of vitamin B6 on cardiometabolic biomarkers, cardiac oxidative stress and enzymes activities, and cardiovascular histomorphometric parameters in hyperhomocysteinemic rats</w:t>
            </w:r>
          </w:p>
        </w:tc>
        <w:tc>
          <w:tcPr>
            <w:tcW w:w="6537" w:type="dxa"/>
            <w:tcMar>
              <w:top w:w="60" w:type="dxa"/>
              <w:left w:w="100" w:type="dxa"/>
              <w:bottom w:w="60" w:type="dxa"/>
              <w:right w:w="100" w:type="dxa"/>
            </w:tcMar>
          </w:tcPr>
          <w:p w14:paraId="4CA8F99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supplementation benefit in cardiovascular systems.</w:t>
            </w:r>
          </w:p>
        </w:tc>
      </w:tr>
      <w:tr w:rsidR="00EA496D" w:rsidRPr="00F56AD6" w14:paraId="6BBCA554" w14:textId="77777777" w:rsidTr="00EA496D">
        <w:tc>
          <w:tcPr>
            <w:tcW w:w="846" w:type="dxa"/>
            <w:tcMar>
              <w:top w:w="60" w:type="dxa"/>
              <w:left w:w="100" w:type="dxa"/>
              <w:bottom w:w="60" w:type="dxa"/>
              <w:right w:w="100" w:type="dxa"/>
            </w:tcMar>
          </w:tcPr>
          <w:p w14:paraId="1B839AB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454</w:t>
            </w:r>
          </w:p>
        </w:tc>
        <w:tc>
          <w:tcPr>
            <w:tcW w:w="2094" w:type="dxa"/>
            <w:tcMar>
              <w:top w:w="60" w:type="dxa"/>
              <w:left w:w="100" w:type="dxa"/>
              <w:bottom w:w="60" w:type="dxa"/>
              <w:right w:w="100" w:type="dxa"/>
            </w:tcMar>
          </w:tcPr>
          <w:p w14:paraId="22D361C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TorcidaSedano et al. 2022</w:t>
            </w:r>
          </w:p>
        </w:tc>
        <w:tc>
          <w:tcPr>
            <w:tcW w:w="4923" w:type="dxa"/>
            <w:tcMar>
              <w:top w:w="60" w:type="dxa"/>
              <w:left w:w="100" w:type="dxa"/>
              <w:bottom w:w="60" w:type="dxa"/>
              <w:right w:w="100" w:type="dxa"/>
            </w:tcMar>
          </w:tcPr>
          <w:p w14:paraId="225A0BF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Status epilepticus after gastric bypass surgery</w:t>
            </w:r>
          </w:p>
        </w:tc>
        <w:tc>
          <w:tcPr>
            <w:tcW w:w="6537" w:type="dxa"/>
            <w:tcMar>
              <w:top w:w="60" w:type="dxa"/>
              <w:left w:w="100" w:type="dxa"/>
              <w:bottom w:w="60" w:type="dxa"/>
              <w:right w:w="100" w:type="dxa"/>
            </w:tcMar>
          </w:tcPr>
          <w:p w14:paraId="73890CC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benefit of B6 supplementation after gastric bypass surgery.</w:t>
            </w:r>
          </w:p>
        </w:tc>
      </w:tr>
      <w:tr w:rsidR="00EA496D" w:rsidRPr="00F56AD6" w14:paraId="3981EDC4" w14:textId="77777777" w:rsidTr="00EA496D">
        <w:tc>
          <w:tcPr>
            <w:tcW w:w="846" w:type="dxa"/>
            <w:tcMar>
              <w:top w:w="60" w:type="dxa"/>
              <w:left w:w="100" w:type="dxa"/>
              <w:bottom w:w="60" w:type="dxa"/>
              <w:right w:w="100" w:type="dxa"/>
            </w:tcMar>
          </w:tcPr>
          <w:p w14:paraId="3F1F82C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455</w:t>
            </w:r>
          </w:p>
        </w:tc>
        <w:tc>
          <w:tcPr>
            <w:tcW w:w="2094" w:type="dxa"/>
            <w:tcMar>
              <w:top w:w="60" w:type="dxa"/>
              <w:left w:w="100" w:type="dxa"/>
              <w:bottom w:w="60" w:type="dxa"/>
              <w:right w:w="100" w:type="dxa"/>
            </w:tcMar>
          </w:tcPr>
          <w:p w14:paraId="36E8B82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Tribble et al. 2025</w:t>
            </w:r>
          </w:p>
        </w:tc>
        <w:tc>
          <w:tcPr>
            <w:tcW w:w="4923" w:type="dxa"/>
            <w:tcMar>
              <w:top w:w="60" w:type="dxa"/>
              <w:left w:w="100" w:type="dxa"/>
              <w:bottom w:w="60" w:type="dxa"/>
              <w:right w:w="100" w:type="dxa"/>
            </w:tcMar>
          </w:tcPr>
          <w:p w14:paraId="18EC876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Dysfunctional one-carbon metabolism identifies vitamins B(6), B(9), B(12), and choline as neuroprotective in glaucoma</w:t>
            </w:r>
          </w:p>
        </w:tc>
        <w:tc>
          <w:tcPr>
            <w:tcW w:w="6537" w:type="dxa"/>
            <w:tcMar>
              <w:top w:w="60" w:type="dxa"/>
              <w:left w:w="100" w:type="dxa"/>
              <w:bottom w:w="60" w:type="dxa"/>
              <w:right w:w="100" w:type="dxa"/>
            </w:tcMar>
          </w:tcPr>
          <w:p w14:paraId="45145EB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supplementation to be neuroprotective.</w:t>
            </w:r>
          </w:p>
        </w:tc>
      </w:tr>
      <w:tr w:rsidR="00EA496D" w:rsidRPr="00F56AD6" w14:paraId="29B307F1" w14:textId="77777777" w:rsidTr="00EA496D">
        <w:tc>
          <w:tcPr>
            <w:tcW w:w="846" w:type="dxa"/>
            <w:tcMar>
              <w:top w:w="60" w:type="dxa"/>
              <w:left w:w="100" w:type="dxa"/>
              <w:bottom w:w="60" w:type="dxa"/>
              <w:right w:w="100" w:type="dxa"/>
            </w:tcMar>
          </w:tcPr>
          <w:p w14:paraId="488B51E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456</w:t>
            </w:r>
          </w:p>
        </w:tc>
        <w:tc>
          <w:tcPr>
            <w:tcW w:w="2094" w:type="dxa"/>
            <w:tcMar>
              <w:top w:w="60" w:type="dxa"/>
              <w:left w:w="100" w:type="dxa"/>
              <w:bottom w:w="60" w:type="dxa"/>
              <w:right w:w="100" w:type="dxa"/>
            </w:tcMar>
          </w:tcPr>
          <w:p w14:paraId="23D181E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Tripathi et al. 2024</w:t>
            </w:r>
          </w:p>
        </w:tc>
        <w:tc>
          <w:tcPr>
            <w:tcW w:w="4923" w:type="dxa"/>
            <w:tcMar>
              <w:top w:w="60" w:type="dxa"/>
              <w:left w:w="100" w:type="dxa"/>
              <w:bottom w:w="60" w:type="dxa"/>
              <w:right w:w="100" w:type="dxa"/>
            </w:tcMar>
          </w:tcPr>
          <w:p w14:paraId="377242B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From A to E: Uniting vitamins against stroke risk-A systematic review and network meta-analysis</w:t>
            </w:r>
          </w:p>
        </w:tc>
        <w:tc>
          <w:tcPr>
            <w:tcW w:w="6537" w:type="dxa"/>
            <w:tcMar>
              <w:top w:w="60" w:type="dxa"/>
              <w:left w:w="100" w:type="dxa"/>
              <w:bottom w:w="60" w:type="dxa"/>
              <w:right w:w="100" w:type="dxa"/>
            </w:tcMar>
          </w:tcPr>
          <w:p w14:paraId="3576CD6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supplementation of vitamins against stroke.</w:t>
            </w:r>
          </w:p>
        </w:tc>
      </w:tr>
      <w:tr w:rsidR="00EA496D" w:rsidRPr="00F56AD6" w14:paraId="0CDD532D" w14:textId="77777777" w:rsidTr="00EA496D">
        <w:tc>
          <w:tcPr>
            <w:tcW w:w="846" w:type="dxa"/>
            <w:tcMar>
              <w:top w:w="60" w:type="dxa"/>
              <w:left w:w="100" w:type="dxa"/>
              <w:bottom w:w="60" w:type="dxa"/>
              <w:right w:w="100" w:type="dxa"/>
            </w:tcMar>
          </w:tcPr>
          <w:p w14:paraId="5444776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457</w:t>
            </w:r>
          </w:p>
        </w:tc>
        <w:tc>
          <w:tcPr>
            <w:tcW w:w="2094" w:type="dxa"/>
            <w:tcMar>
              <w:top w:w="60" w:type="dxa"/>
              <w:left w:w="100" w:type="dxa"/>
              <w:bottom w:w="60" w:type="dxa"/>
              <w:right w:w="100" w:type="dxa"/>
            </w:tcMar>
          </w:tcPr>
          <w:p w14:paraId="61A47B0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Trotter et al. 2023</w:t>
            </w:r>
          </w:p>
        </w:tc>
        <w:tc>
          <w:tcPr>
            <w:tcW w:w="4923" w:type="dxa"/>
            <w:tcMar>
              <w:top w:w="60" w:type="dxa"/>
              <w:left w:w="100" w:type="dxa"/>
              <w:bottom w:w="60" w:type="dxa"/>
              <w:right w:w="100" w:type="dxa"/>
            </w:tcMar>
          </w:tcPr>
          <w:p w14:paraId="7E0FF37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Large-scale genetic characterization of the model sulfate-reducing bacterium, Desulfovibrio vulgaris Hildenborough</w:t>
            </w:r>
          </w:p>
        </w:tc>
        <w:tc>
          <w:tcPr>
            <w:tcW w:w="6537" w:type="dxa"/>
            <w:tcMar>
              <w:top w:w="60" w:type="dxa"/>
              <w:left w:w="100" w:type="dxa"/>
              <w:bottom w:w="60" w:type="dxa"/>
              <w:right w:w="100" w:type="dxa"/>
            </w:tcMar>
          </w:tcPr>
          <w:p w14:paraId="44FBD9B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talks about synthesis of pyridoxal in passing.</w:t>
            </w:r>
          </w:p>
        </w:tc>
      </w:tr>
      <w:tr w:rsidR="00EA496D" w:rsidRPr="00F56AD6" w14:paraId="5B793886" w14:textId="77777777" w:rsidTr="00EA496D">
        <w:tc>
          <w:tcPr>
            <w:tcW w:w="846" w:type="dxa"/>
            <w:tcMar>
              <w:top w:w="60" w:type="dxa"/>
              <w:left w:w="100" w:type="dxa"/>
              <w:bottom w:w="60" w:type="dxa"/>
              <w:right w:w="100" w:type="dxa"/>
            </w:tcMar>
          </w:tcPr>
          <w:p w14:paraId="21CC903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458</w:t>
            </w:r>
          </w:p>
        </w:tc>
        <w:tc>
          <w:tcPr>
            <w:tcW w:w="2094" w:type="dxa"/>
            <w:tcMar>
              <w:top w:w="60" w:type="dxa"/>
              <w:left w:w="100" w:type="dxa"/>
              <w:bottom w:w="60" w:type="dxa"/>
              <w:right w:w="100" w:type="dxa"/>
            </w:tcMar>
          </w:tcPr>
          <w:p w14:paraId="3FC5173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Tseng et al. 2022</w:t>
            </w:r>
          </w:p>
        </w:tc>
        <w:tc>
          <w:tcPr>
            <w:tcW w:w="4923" w:type="dxa"/>
            <w:tcMar>
              <w:top w:w="60" w:type="dxa"/>
              <w:left w:w="100" w:type="dxa"/>
              <w:bottom w:w="60" w:type="dxa"/>
              <w:right w:w="100" w:type="dxa"/>
            </w:tcMar>
          </w:tcPr>
          <w:p w14:paraId="0717C01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Timing of therapy and neurodevelopmental outcomes in 18 families with pyridoxine-dependent epilepsy</w:t>
            </w:r>
          </w:p>
        </w:tc>
        <w:tc>
          <w:tcPr>
            <w:tcW w:w="6537" w:type="dxa"/>
            <w:tcMar>
              <w:top w:w="60" w:type="dxa"/>
              <w:left w:w="100" w:type="dxa"/>
              <w:bottom w:w="60" w:type="dxa"/>
              <w:right w:w="100" w:type="dxa"/>
            </w:tcMar>
          </w:tcPr>
          <w:p w14:paraId="3532086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pyridoxine may help neurodevelopmental outcomes.</w:t>
            </w:r>
          </w:p>
        </w:tc>
      </w:tr>
      <w:tr w:rsidR="00EA496D" w:rsidRPr="00F56AD6" w14:paraId="385940E7" w14:textId="77777777" w:rsidTr="00EA496D">
        <w:tc>
          <w:tcPr>
            <w:tcW w:w="846" w:type="dxa"/>
            <w:tcMar>
              <w:top w:w="60" w:type="dxa"/>
              <w:left w:w="100" w:type="dxa"/>
              <w:bottom w:w="60" w:type="dxa"/>
              <w:right w:w="100" w:type="dxa"/>
            </w:tcMar>
          </w:tcPr>
          <w:p w14:paraId="547A561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459</w:t>
            </w:r>
          </w:p>
        </w:tc>
        <w:tc>
          <w:tcPr>
            <w:tcW w:w="2094" w:type="dxa"/>
            <w:tcMar>
              <w:top w:w="60" w:type="dxa"/>
              <w:left w:w="100" w:type="dxa"/>
              <w:bottom w:w="60" w:type="dxa"/>
              <w:right w:w="100" w:type="dxa"/>
            </w:tcMar>
          </w:tcPr>
          <w:p w14:paraId="7446131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Tummolo et al. 2023</w:t>
            </w:r>
          </w:p>
        </w:tc>
        <w:tc>
          <w:tcPr>
            <w:tcW w:w="4923" w:type="dxa"/>
            <w:tcMar>
              <w:top w:w="60" w:type="dxa"/>
              <w:left w:w="100" w:type="dxa"/>
              <w:bottom w:w="60" w:type="dxa"/>
              <w:right w:w="100" w:type="dxa"/>
            </w:tcMar>
          </w:tcPr>
          <w:p w14:paraId="3F57258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Micronutrient Deficiency in Inherited Metabolic Disorders Requiring Diet Regimen: A Brief Critical Review</w:t>
            </w:r>
          </w:p>
        </w:tc>
        <w:tc>
          <w:tcPr>
            <w:tcW w:w="6537" w:type="dxa"/>
            <w:tcMar>
              <w:top w:w="60" w:type="dxa"/>
              <w:left w:w="100" w:type="dxa"/>
              <w:bottom w:w="60" w:type="dxa"/>
              <w:right w:w="100" w:type="dxa"/>
            </w:tcMar>
          </w:tcPr>
          <w:p w14:paraId="0D48AE7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deficiencies in different diets.</w:t>
            </w:r>
          </w:p>
        </w:tc>
      </w:tr>
      <w:tr w:rsidR="00EA496D" w:rsidRPr="00F56AD6" w14:paraId="2DD39EA9" w14:textId="77777777" w:rsidTr="00EA496D">
        <w:tc>
          <w:tcPr>
            <w:tcW w:w="846" w:type="dxa"/>
            <w:tcMar>
              <w:top w:w="60" w:type="dxa"/>
              <w:left w:w="100" w:type="dxa"/>
              <w:bottom w:w="60" w:type="dxa"/>
              <w:right w:w="100" w:type="dxa"/>
            </w:tcMar>
          </w:tcPr>
          <w:p w14:paraId="531BB09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460</w:t>
            </w:r>
          </w:p>
        </w:tc>
        <w:tc>
          <w:tcPr>
            <w:tcW w:w="2094" w:type="dxa"/>
            <w:tcMar>
              <w:top w:w="60" w:type="dxa"/>
              <w:left w:w="100" w:type="dxa"/>
              <w:bottom w:w="60" w:type="dxa"/>
              <w:right w:w="100" w:type="dxa"/>
            </w:tcMar>
          </w:tcPr>
          <w:p w14:paraId="68516B9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Tyrberg et al. 2022</w:t>
            </w:r>
          </w:p>
        </w:tc>
        <w:tc>
          <w:tcPr>
            <w:tcW w:w="4923" w:type="dxa"/>
            <w:tcMar>
              <w:top w:w="60" w:type="dxa"/>
              <w:left w:w="100" w:type="dxa"/>
              <w:bottom w:w="60" w:type="dxa"/>
              <w:right w:w="100" w:type="dxa"/>
            </w:tcMar>
          </w:tcPr>
          <w:p w14:paraId="169858B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effect of vitamin B supplementation on neuronal injury in people living with HIV: a randomized controlled trial</w:t>
            </w:r>
          </w:p>
        </w:tc>
        <w:tc>
          <w:tcPr>
            <w:tcW w:w="6537" w:type="dxa"/>
            <w:tcMar>
              <w:top w:w="60" w:type="dxa"/>
              <w:left w:w="100" w:type="dxa"/>
              <w:bottom w:w="60" w:type="dxa"/>
              <w:right w:w="100" w:type="dxa"/>
            </w:tcMar>
          </w:tcPr>
          <w:p w14:paraId="6D8F4EE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effect of vitamin B6 supplementation.</w:t>
            </w:r>
          </w:p>
        </w:tc>
      </w:tr>
      <w:tr w:rsidR="00EA496D" w:rsidRPr="00F56AD6" w14:paraId="34CC6822" w14:textId="77777777" w:rsidTr="00EA496D">
        <w:tc>
          <w:tcPr>
            <w:tcW w:w="846" w:type="dxa"/>
            <w:tcMar>
              <w:top w:w="60" w:type="dxa"/>
              <w:left w:w="100" w:type="dxa"/>
              <w:bottom w:w="60" w:type="dxa"/>
              <w:right w:w="100" w:type="dxa"/>
            </w:tcMar>
          </w:tcPr>
          <w:p w14:paraId="2A7A74A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461</w:t>
            </w:r>
          </w:p>
        </w:tc>
        <w:tc>
          <w:tcPr>
            <w:tcW w:w="2094" w:type="dxa"/>
            <w:tcMar>
              <w:top w:w="60" w:type="dxa"/>
              <w:left w:w="100" w:type="dxa"/>
              <w:bottom w:w="60" w:type="dxa"/>
              <w:right w:w="100" w:type="dxa"/>
            </w:tcMar>
          </w:tcPr>
          <w:p w14:paraId="36DA6B3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Ülger et al. 2025</w:t>
            </w:r>
          </w:p>
        </w:tc>
        <w:tc>
          <w:tcPr>
            <w:tcW w:w="4923" w:type="dxa"/>
            <w:tcMar>
              <w:top w:w="60" w:type="dxa"/>
              <w:left w:w="100" w:type="dxa"/>
              <w:bottom w:w="60" w:type="dxa"/>
              <w:right w:w="100" w:type="dxa"/>
            </w:tcMar>
          </w:tcPr>
          <w:p w14:paraId="7450AF9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effect of dietary carbohydrate quality on depression and anxiety levels in adolescents</w:t>
            </w:r>
          </w:p>
        </w:tc>
        <w:tc>
          <w:tcPr>
            <w:tcW w:w="6537" w:type="dxa"/>
            <w:tcMar>
              <w:top w:w="60" w:type="dxa"/>
              <w:left w:w="100" w:type="dxa"/>
              <w:bottom w:w="60" w:type="dxa"/>
              <w:right w:w="100" w:type="dxa"/>
            </w:tcMar>
          </w:tcPr>
          <w:p w14:paraId="566D290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adolescence with poor nutrients at higher risk of anxiety and depression.</w:t>
            </w:r>
          </w:p>
        </w:tc>
      </w:tr>
      <w:tr w:rsidR="00EA496D" w:rsidRPr="00F56AD6" w14:paraId="29A9F702" w14:textId="77777777" w:rsidTr="00EA496D">
        <w:tc>
          <w:tcPr>
            <w:tcW w:w="846" w:type="dxa"/>
            <w:tcMar>
              <w:top w:w="60" w:type="dxa"/>
              <w:left w:w="100" w:type="dxa"/>
              <w:bottom w:w="60" w:type="dxa"/>
              <w:right w:w="100" w:type="dxa"/>
            </w:tcMar>
          </w:tcPr>
          <w:p w14:paraId="20C3B1B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462</w:t>
            </w:r>
          </w:p>
        </w:tc>
        <w:tc>
          <w:tcPr>
            <w:tcW w:w="2094" w:type="dxa"/>
            <w:tcMar>
              <w:top w:w="60" w:type="dxa"/>
              <w:left w:w="100" w:type="dxa"/>
              <w:bottom w:w="60" w:type="dxa"/>
              <w:right w:w="100" w:type="dxa"/>
            </w:tcMar>
          </w:tcPr>
          <w:p w14:paraId="0E85EA1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Ureta-Velasco et al. 2023</w:t>
            </w:r>
          </w:p>
        </w:tc>
        <w:tc>
          <w:tcPr>
            <w:tcW w:w="4923" w:type="dxa"/>
            <w:tcMar>
              <w:top w:w="60" w:type="dxa"/>
              <w:left w:w="100" w:type="dxa"/>
              <w:bottom w:w="60" w:type="dxa"/>
              <w:right w:w="100" w:type="dxa"/>
            </w:tcMar>
          </w:tcPr>
          <w:p w14:paraId="42722CB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Associations of Dietary Intake and Nutrient Status with Micronutrient and Lipid Composition in Breast Milk of Donor Women</w:t>
            </w:r>
          </w:p>
        </w:tc>
        <w:tc>
          <w:tcPr>
            <w:tcW w:w="6537" w:type="dxa"/>
            <w:tcMar>
              <w:top w:w="60" w:type="dxa"/>
              <w:left w:w="100" w:type="dxa"/>
              <w:bottom w:w="60" w:type="dxa"/>
              <w:right w:w="100" w:type="dxa"/>
            </w:tcMar>
          </w:tcPr>
          <w:p w14:paraId="3129BFA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pyridoxal as a weak correlation in unrelated study of breast milk.</w:t>
            </w:r>
          </w:p>
        </w:tc>
      </w:tr>
      <w:tr w:rsidR="00EA496D" w:rsidRPr="00F56AD6" w14:paraId="1E1314E2" w14:textId="77777777" w:rsidTr="00EA496D">
        <w:tc>
          <w:tcPr>
            <w:tcW w:w="846" w:type="dxa"/>
            <w:tcMar>
              <w:top w:w="60" w:type="dxa"/>
              <w:left w:w="100" w:type="dxa"/>
              <w:bottom w:w="60" w:type="dxa"/>
              <w:right w:w="100" w:type="dxa"/>
            </w:tcMar>
          </w:tcPr>
          <w:p w14:paraId="7875C7F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463</w:t>
            </w:r>
          </w:p>
        </w:tc>
        <w:tc>
          <w:tcPr>
            <w:tcW w:w="2094" w:type="dxa"/>
            <w:tcMar>
              <w:top w:w="60" w:type="dxa"/>
              <w:left w:w="100" w:type="dxa"/>
              <w:bottom w:w="60" w:type="dxa"/>
              <w:right w:w="100" w:type="dxa"/>
            </w:tcMar>
          </w:tcPr>
          <w:p w14:paraId="5984359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Ureta-Velasco et al. 2024</w:t>
            </w:r>
          </w:p>
        </w:tc>
        <w:tc>
          <w:tcPr>
            <w:tcW w:w="4923" w:type="dxa"/>
            <w:tcMar>
              <w:top w:w="60" w:type="dxa"/>
              <w:left w:w="100" w:type="dxa"/>
              <w:bottom w:w="60" w:type="dxa"/>
              <w:right w:w="100" w:type="dxa"/>
            </w:tcMar>
          </w:tcPr>
          <w:p w14:paraId="40083E1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Day-to-Day Fluctuation in Micronutrient Content in Human Milk Relative to Maternal Diet</w:t>
            </w:r>
          </w:p>
        </w:tc>
        <w:tc>
          <w:tcPr>
            <w:tcW w:w="6537" w:type="dxa"/>
            <w:tcMar>
              <w:top w:w="60" w:type="dxa"/>
              <w:left w:w="100" w:type="dxa"/>
              <w:bottom w:w="60" w:type="dxa"/>
              <w:right w:w="100" w:type="dxa"/>
            </w:tcMar>
          </w:tcPr>
          <w:p w14:paraId="1743C61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micronutrient variations in breast milk compared to maternal diet.</w:t>
            </w:r>
          </w:p>
        </w:tc>
      </w:tr>
      <w:tr w:rsidR="00EA496D" w:rsidRPr="00F56AD6" w14:paraId="3CF365E3" w14:textId="77777777" w:rsidTr="00EA496D">
        <w:tc>
          <w:tcPr>
            <w:tcW w:w="846" w:type="dxa"/>
            <w:tcMar>
              <w:top w:w="60" w:type="dxa"/>
              <w:left w:w="100" w:type="dxa"/>
              <w:bottom w:w="60" w:type="dxa"/>
              <w:right w:w="100" w:type="dxa"/>
            </w:tcMar>
          </w:tcPr>
          <w:p w14:paraId="5D14E23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464</w:t>
            </w:r>
          </w:p>
        </w:tc>
        <w:tc>
          <w:tcPr>
            <w:tcW w:w="2094" w:type="dxa"/>
            <w:tcMar>
              <w:top w:w="60" w:type="dxa"/>
              <w:left w:w="100" w:type="dxa"/>
              <w:bottom w:w="60" w:type="dxa"/>
              <w:right w:w="100" w:type="dxa"/>
            </w:tcMar>
          </w:tcPr>
          <w:p w14:paraId="05382A9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Vahid et al. 2023</w:t>
            </w:r>
          </w:p>
        </w:tc>
        <w:tc>
          <w:tcPr>
            <w:tcW w:w="4923" w:type="dxa"/>
            <w:tcMar>
              <w:top w:w="60" w:type="dxa"/>
              <w:left w:w="100" w:type="dxa"/>
              <w:bottom w:w="60" w:type="dxa"/>
              <w:right w:w="100" w:type="dxa"/>
            </w:tcMar>
          </w:tcPr>
          <w:p w14:paraId="56C6699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Mental Health Conditions, Including Depression and Stress, Are Associated with Increased Odds of Gastric Cancer-Insights into the Role of Diet: A Case-Control Study</w:t>
            </w:r>
          </w:p>
        </w:tc>
        <w:tc>
          <w:tcPr>
            <w:tcW w:w="6537" w:type="dxa"/>
            <w:tcMar>
              <w:top w:w="60" w:type="dxa"/>
              <w:left w:w="100" w:type="dxa"/>
              <w:bottom w:w="60" w:type="dxa"/>
              <w:right w:w="100" w:type="dxa"/>
            </w:tcMar>
          </w:tcPr>
          <w:p w14:paraId="14CDF9C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outcome - B6 supplementation can help reduce gastric cancer and possibly depression and anxiety.</w:t>
            </w:r>
          </w:p>
        </w:tc>
      </w:tr>
      <w:tr w:rsidR="00EA496D" w:rsidRPr="00F56AD6" w14:paraId="7C907A48" w14:textId="77777777" w:rsidTr="00EA496D">
        <w:tc>
          <w:tcPr>
            <w:tcW w:w="846" w:type="dxa"/>
            <w:tcMar>
              <w:top w:w="60" w:type="dxa"/>
              <w:left w:w="100" w:type="dxa"/>
              <w:bottom w:w="60" w:type="dxa"/>
              <w:right w:w="100" w:type="dxa"/>
            </w:tcMar>
          </w:tcPr>
          <w:p w14:paraId="60988A3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465</w:t>
            </w:r>
          </w:p>
        </w:tc>
        <w:tc>
          <w:tcPr>
            <w:tcW w:w="2094" w:type="dxa"/>
            <w:tcMar>
              <w:top w:w="60" w:type="dxa"/>
              <w:left w:w="100" w:type="dxa"/>
              <w:bottom w:w="60" w:type="dxa"/>
              <w:right w:w="100" w:type="dxa"/>
            </w:tcMar>
          </w:tcPr>
          <w:p w14:paraId="56FAFDC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vanKarnebeek et al. 2025</w:t>
            </w:r>
          </w:p>
        </w:tc>
        <w:tc>
          <w:tcPr>
            <w:tcW w:w="4923" w:type="dxa"/>
            <w:tcMar>
              <w:top w:w="60" w:type="dxa"/>
              <w:left w:w="100" w:type="dxa"/>
              <w:bottom w:w="60" w:type="dxa"/>
              <w:right w:w="100" w:type="dxa"/>
            </w:tcMar>
          </w:tcPr>
          <w:p w14:paraId="75E7868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New treatment for pyridoxine-dependent epilepsy due to ALDH7A1 deficiency: first proof-of-principle of upstream enzyme inhibition in the mouse</w:t>
            </w:r>
          </w:p>
        </w:tc>
        <w:tc>
          <w:tcPr>
            <w:tcW w:w="6537" w:type="dxa"/>
            <w:tcMar>
              <w:top w:w="60" w:type="dxa"/>
              <w:left w:w="100" w:type="dxa"/>
              <w:bottom w:w="60" w:type="dxa"/>
              <w:right w:w="100" w:type="dxa"/>
            </w:tcMar>
          </w:tcPr>
          <w:p w14:paraId="4E21AA5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supplementation not helping in resistant patients on seizure medication.</w:t>
            </w:r>
          </w:p>
        </w:tc>
      </w:tr>
      <w:tr w:rsidR="00EA496D" w:rsidRPr="00F56AD6" w14:paraId="6EC8AD94" w14:textId="77777777" w:rsidTr="00EA496D">
        <w:tc>
          <w:tcPr>
            <w:tcW w:w="846" w:type="dxa"/>
            <w:tcMar>
              <w:top w:w="60" w:type="dxa"/>
              <w:left w:w="100" w:type="dxa"/>
              <w:bottom w:w="60" w:type="dxa"/>
              <w:right w:w="100" w:type="dxa"/>
            </w:tcMar>
          </w:tcPr>
          <w:p w14:paraId="4DB0229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466</w:t>
            </w:r>
          </w:p>
        </w:tc>
        <w:tc>
          <w:tcPr>
            <w:tcW w:w="2094" w:type="dxa"/>
            <w:tcMar>
              <w:top w:w="60" w:type="dxa"/>
              <w:left w:w="100" w:type="dxa"/>
              <w:bottom w:w="60" w:type="dxa"/>
              <w:right w:w="100" w:type="dxa"/>
            </w:tcMar>
          </w:tcPr>
          <w:p w14:paraId="792B5C8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Vargas-Quesada et al. 2025</w:t>
            </w:r>
          </w:p>
        </w:tc>
        <w:tc>
          <w:tcPr>
            <w:tcW w:w="4923" w:type="dxa"/>
            <w:tcMar>
              <w:top w:w="60" w:type="dxa"/>
              <w:left w:w="100" w:type="dxa"/>
              <w:bottom w:w="60" w:type="dxa"/>
              <w:right w:w="100" w:type="dxa"/>
            </w:tcMar>
          </w:tcPr>
          <w:p w14:paraId="0F88D1C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Adherence to the EAT-Lancet diet and its association with micronutrient intake in the urban population of eight Latin American countries</w:t>
            </w:r>
          </w:p>
        </w:tc>
        <w:tc>
          <w:tcPr>
            <w:tcW w:w="6537" w:type="dxa"/>
            <w:tcMar>
              <w:top w:w="60" w:type="dxa"/>
              <w:left w:w="100" w:type="dxa"/>
              <w:bottom w:w="60" w:type="dxa"/>
              <w:right w:w="100" w:type="dxa"/>
            </w:tcMar>
          </w:tcPr>
          <w:p w14:paraId="0EE47E2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study showed LA countries had fine levels of B6 in their diet.</w:t>
            </w:r>
          </w:p>
        </w:tc>
      </w:tr>
      <w:tr w:rsidR="00EA496D" w:rsidRPr="00F56AD6" w14:paraId="7159B529" w14:textId="77777777" w:rsidTr="00EA496D">
        <w:tc>
          <w:tcPr>
            <w:tcW w:w="846" w:type="dxa"/>
            <w:tcMar>
              <w:top w:w="60" w:type="dxa"/>
              <w:left w:w="100" w:type="dxa"/>
              <w:bottom w:w="60" w:type="dxa"/>
              <w:right w:w="100" w:type="dxa"/>
            </w:tcMar>
          </w:tcPr>
          <w:p w14:paraId="23B7F9E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467</w:t>
            </w:r>
          </w:p>
        </w:tc>
        <w:tc>
          <w:tcPr>
            <w:tcW w:w="2094" w:type="dxa"/>
            <w:tcMar>
              <w:top w:w="60" w:type="dxa"/>
              <w:left w:w="100" w:type="dxa"/>
              <w:bottom w:w="60" w:type="dxa"/>
              <w:right w:w="100" w:type="dxa"/>
            </w:tcMar>
          </w:tcPr>
          <w:p w14:paraId="63FC005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Vasconcelos et al. 2025</w:t>
            </w:r>
          </w:p>
        </w:tc>
        <w:tc>
          <w:tcPr>
            <w:tcW w:w="4923" w:type="dxa"/>
            <w:tcMar>
              <w:top w:w="60" w:type="dxa"/>
              <w:left w:w="100" w:type="dxa"/>
              <w:bottom w:w="60" w:type="dxa"/>
              <w:right w:w="100" w:type="dxa"/>
            </w:tcMar>
          </w:tcPr>
          <w:p w14:paraId="55A6047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Folic acid and autism: updated evidences</w:t>
            </w:r>
          </w:p>
        </w:tc>
        <w:tc>
          <w:tcPr>
            <w:tcW w:w="6537" w:type="dxa"/>
            <w:tcMar>
              <w:top w:w="60" w:type="dxa"/>
              <w:left w:w="100" w:type="dxa"/>
              <w:bottom w:w="60" w:type="dxa"/>
              <w:right w:w="100" w:type="dxa"/>
            </w:tcMar>
          </w:tcPr>
          <w:p w14:paraId="5D07050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focuses on folic acid intake in relation to autism.</w:t>
            </w:r>
          </w:p>
        </w:tc>
      </w:tr>
      <w:tr w:rsidR="00EA496D" w:rsidRPr="00F56AD6" w14:paraId="5E09370C" w14:textId="77777777" w:rsidTr="00EA496D">
        <w:tc>
          <w:tcPr>
            <w:tcW w:w="846" w:type="dxa"/>
            <w:tcMar>
              <w:top w:w="60" w:type="dxa"/>
              <w:left w:w="100" w:type="dxa"/>
              <w:bottom w:w="60" w:type="dxa"/>
              <w:right w:w="100" w:type="dxa"/>
            </w:tcMar>
          </w:tcPr>
          <w:p w14:paraId="1987E64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468</w:t>
            </w:r>
          </w:p>
        </w:tc>
        <w:tc>
          <w:tcPr>
            <w:tcW w:w="2094" w:type="dxa"/>
            <w:tcMar>
              <w:top w:w="60" w:type="dxa"/>
              <w:left w:w="100" w:type="dxa"/>
              <w:bottom w:w="60" w:type="dxa"/>
              <w:right w:w="100" w:type="dxa"/>
            </w:tcMar>
          </w:tcPr>
          <w:p w14:paraId="0D98DE9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Ventura et al. 2022</w:t>
            </w:r>
          </w:p>
        </w:tc>
        <w:tc>
          <w:tcPr>
            <w:tcW w:w="4923" w:type="dxa"/>
            <w:tcMar>
              <w:top w:w="60" w:type="dxa"/>
              <w:left w:w="100" w:type="dxa"/>
              <w:bottom w:w="60" w:type="dxa"/>
              <w:right w:w="100" w:type="dxa"/>
            </w:tcMar>
          </w:tcPr>
          <w:p w14:paraId="3C9F5F2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Hyperhomocysteinemia in acute hepatic porphyria (AHP) and implications for treatment with givosiran</w:t>
            </w:r>
          </w:p>
        </w:tc>
        <w:tc>
          <w:tcPr>
            <w:tcW w:w="6537" w:type="dxa"/>
            <w:tcMar>
              <w:top w:w="60" w:type="dxa"/>
              <w:left w:w="100" w:type="dxa"/>
              <w:bottom w:w="60" w:type="dxa"/>
              <w:right w:w="100" w:type="dxa"/>
            </w:tcMar>
          </w:tcPr>
          <w:p w14:paraId="49124C6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and Wrong outcome - benefits of B6 supplementation at certain homocysteine levels.</w:t>
            </w:r>
          </w:p>
        </w:tc>
      </w:tr>
      <w:tr w:rsidR="00EA496D" w:rsidRPr="00F56AD6" w14:paraId="3D0005A2" w14:textId="77777777" w:rsidTr="00EA496D">
        <w:tc>
          <w:tcPr>
            <w:tcW w:w="846" w:type="dxa"/>
            <w:tcMar>
              <w:top w:w="60" w:type="dxa"/>
              <w:left w:w="100" w:type="dxa"/>
              <w:bottom w:w="60" w:type="dxa"/>
              <w:right w:w="100" w:type="dxa"/>
            </w:tcMar>
          </w:tcPr>
          <w:p w14:paraId="2291B35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469</w:t>
            </w:r>
          </w:p>
        </w:tc>
        <w:tc>
          <w:tcPr>
            <w:tcW w:w="2094" w:type="dxa"/>
            <w:tcMar>
              <w:top w:w="60" w:type="dxa"/>
              <w:left w:w="100" w:type="dxa"/>
              <w:bottom w:w="60" w:type="dxa"/>
              <w:right w:w="100" w:type="dxa"/>
            </w:tcMar>
          </w:tcPr>
          <w:p w14:paraId="4A9993E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Vera et al. 2022</w:t>
            </w:r>
          </w:p>
        </w:tc>
        <w:tc>
          <w:tcPr>
            <w:tcW w:w="4923" w:type="dxa"/>
            <w:tcMar>
              <w:top w:w="60" w:type="dxa"/>
              <w:left w:w="100" w:type="dxa"/>
              <w:bottom w:w="60" w:type="dxa"/>
              <w:right w:w="100" w:type="dxa"/>
            </w:tcMar>
          </w:tcPr>
          <w:p w14:paraId="00CBDE7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ALT upper reference interval debate: Blame it on the alcohol</w:t>
            </w:r>
          </w:p>
        </w:tc>
        <w:tc>
          <w:tcPr>
            <w:tcW w:w="6537" w:type="dxa"/>
            <w:tcMar>
              <w:top w:w="60" w:type="dxa"/>
              <w:left w:w="100" w:type="dxa"/>
              <w:bottom w:w="60" w:type="dxa"/>
              <w:right w:w="100" w:type="dxa"/>
            </w:tcMar>
          </w:tcPr>
          <w:p w14:paraId="28220AA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vit B vitamer was used as a measurement in the study not main topic.</w:t>
            </w:r>
          </w:p>
        </w:tc>
      </w:tr>
      <w:tr w:rsidR="00EA496D" w:rsidRPr="00F56AD6" w14:paraId="52F398AB" w14:textId="77777777" w:rsidTr="00EA496D">
        <w:tc>
          <w:tcPr>
            <w:tcW w:w="846" w:type="dxa"/>
            <w:tcMar>
              <w:top w:w="60" w:type="dxa"/>
              <w:left w:w="100" w:type="dxa"/>
              <w:bottom w:w="60" w:type="dxa"/>
              <w:right w:w="100" w:type="dxa"/>
            </w:tcMar>
          </w:tcPr>
          <w:p w14:paraId="44E4F01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470</w:t>
            </w:r>
          </w:p>
        </w:tc>
        <w:tc>
          <w:tcPr>
            <w:tcW w:w="2094" w:type="dxa"/>
            <w:tcMar>
              <w:top w:w="60" w:type="dxa"/>
              <w:left w:w="100" w:type="dxa"/>
              <w:bottom w:w="60" w:type="dxa"/>
              <w:right w:w="100" w:type="dxa"/>
            </w:tcMar>
          </w:tcPr>
          <w:p w14:paraId="1DDB17B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Vernì 2024</w:t>
            </w:r>
          </w:p>
        </w:tc>
        <w:tc>
          <w:tcPr>
            <w:tcW w:w="4923" w:type="dxa"/>
            <w:tcMar>
              <w:top w:w="60" w:type="dxa"/>
              <w:left w:w="100" w:type="dxa"/>
              <w:bottom w:w="60" w:type="dxa"/>
              <w:right w:w="100" w:type="dxa"/>
            </w:tcMar>
          </w:tcPr>
          <w:p w14:paraId="7929A94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and diabetes and its role in counteracting advanced glycation end products</w:t>
            </w:r>
          </w:p>
        </w:tc>
        <w:tc>
          <w:tcPr>
            <w:tcW w:w="6537" w:type="dxa"/>
            <w:tcMar>
              <w:top w:w="60" w:type="dxa"/>
              <w:left w:w="100" w:type="dxa"/>
              <w:bottom w:w="60" w:type="dxa"/>
              <w:right w:w="100" w:type="dxa"/>
            </w:tcMar>
          </w:tcPr>
          <w:p w14:paraId="4E4F4AC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but vitamin B6 supplementation benefits in diabetes.</w:t>
            </w:r>
          </w:p>
        </w:tc>
      </w:tr>
      <w:tr w:rsidR="00EA496D" w:rsidRPr="00F56AD6" w14:paraId="02A050FC" w14:textId="77777777" w:rsidTr="00EA496D">
        <w:tc>
          <w:tcPr>
            <w:tcW w:w="846" w:type="dxa"/>
            <w:tcMar>
              <w:top w:w="60" w:type="dxa"/>
              <w:left w:w="100" w:type="dxa"/>
              <w:bottom w:w="60" w:type="dxa"/>
              <w:right w:w="100" w:type="dxa"/>
            </w:tcMar>
          </w:tcPr>
          <w:p w14:paraId="6634A7B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471</w:t>
            </w:r>
          </w:p>
        </w:tc>
        <w:tc>
          <w:tcPr>
            <w:tcW w:w="2094" w:type="dxa"/>
            <w:tcMar>
              <w:top w:w="60" w:type="dxa"/>
              <w:left w:w="100" w:type="dxa"/>
              <w:bottom w:w="60" w:type="dxa"/>
              <w:right w:w="100" w:type="dxa"/>
            </w:tcMar>
          </w:tcPr>
          <w:p w14:paraId="0D122DC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Vernì et al. 2026</w:t>
            </w:r>
          </w:p>
        </w:tc>
        <w:tc>
          <w:tcPr>
            <w:tcW w:w="4923" w:type="dxa"/>
            <w:tcMar>
              <w:top w:w="60" w:type="dxa"/>
              <w:left w:w="100" w:type="dxa"/>
              <w:bottom w:w="60" w:type="dxa"/>
              <w:right w:w="100" w:type="dxa"/>
            </w:tcMar>
          </w:tcPr>
          <w:p w14:paraId="0D723A0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From Fly to Human: Translational Relevance of Drosophila Models in the Study of Vitamin B6 and Cancer Relationship</w:t>
            </w:r>
          </w:p>
        </w:tc>
        <w:tc>
          <w:tcPr>
            <w:tcW w:w="6537" w:type="dxa"/>
            <w:tcMar>
              <w:top w:w="60" w:type="dxa"/>
              <w:left w:w="100" w:type="dxa"/>
              <w:bottom w:w="60" w:type="dxa"/>
              <w:right w:w="100" w:type="dxa"/>
            </w:tcMar>
          </w:tcPr>
          <w:p w14:paraId="7227F9A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and Wrong outcome - B6 deficiency can lead to cancer.</w:t>
            </w:r>
          </w:p>
        </w:tc>
      </w:tr>
      <w:tr w:rsidR="00EA496D" w:rsidRPr="00F56AD6" w14:paraId="5EA787D5" w14:textId="77777777" w:rsidTr="00EA496D">
        <w:tc>
          <w:tcPr>
            <w:tcW w:w="846" w:type="dxa"/>
            <w:tcMar>
              <w:top w:w="60" w:type="dxa"/>
              <w:left w:w="100" w:type="dxa"/>
              <w:bottom w:w="60" w:type="dxa"/>
              <w:right w:w="100" w:type="dxa"/>
            </w:tcMar>
          </w:tcPr>
          <w:p w14:paraId="5B4F8FB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472</w:t>
            </w:r>
          </w:p>
        </w:tc>
        <w:tc>
          <w:tcPr>
            <w:tcW w:w="2094" w:type="dxa"/>
            <w:tcMar>
              <w:top w:w="60" w:type="dxa"/>
              <w:left w:w="100" w:type="dxa"/>
              <w:bottom w:w="60" w:type="dxa"/>
              <w:right w:w="100" w:type="dxa"/>
            </w:tcMar>
          </w:tcPr>
          <w:p w14:paraId="164933D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Vohra et al. 2024</w:t>
            </w:r>
          </w:p>
        </w:tc>
        <w:tc>
          <w:tcPr>
            <w:tcW w:w="4923" w:type="dxa"/>
            <w:tcMar>
              <w:top w:w="60" w:type="dxa"/>
              <w:left w:w="100" w:type="dxa"/>
              <w:bottom w:w="60" w:type="dxa"/>
              <w:right w:w="100" w:type="dxa"/>
            </w:tcMar>
          </w:tcPr>
          <w:p w14:paraId="115710E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19-year longitudinal assessment of gyromitrin-containing (Gyromitra spp.) mushroom poisonings in Michigan</w:t>
            </w:r>
          </w:p>
        </w:tc>
        <w:tc>
          <w:tcPr>
            <w:tcW w:w="6537" w:type="dxa"/>
            <w:tcMar>
              <w:top w:w="60" w:type="dxa"/>
              <w:left w:w="100" w:type="dxa"/>
              <w:bottom w:w="60" w:type="dxa"/>
              <w:right w:w="100" w:type="dxa"/>
            </w:tcMar>
          </w:tcPr>
          <w:p w14:paraId="54305E8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or otherwise lacked a relevant vitamin B6 exposure.</w:t>
            </w:r>
          </w:p>
        </w:tc>
      </w:tr>
      <w:tr w:rsidR="00EA496D" w:rsidRPr="00F56AD6" w14:paraId="2745D926" w14:textId="77777777" w:rsidTr="00EA496D">
        <w:tc>
          <w:tcPr>
            <w:tcW w:w="846" w:type="dxa"/>
            <w:tcMar>
              <w:top w:w="60" w:type="dxa"/>
              <w:left w:w="100" w:type="dxa"/>
              <w:bottom w:w="60" w:type="dxa"/>
              <w:right w:w="100" w:type="dxa"/>
            </w:tcMar>
          </w:tcPr>
          <w:p w14:paraId="5C12DCF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473</w:t>
            </w:r>
          </w:p>
        </w:tc>
        <w:tc>
          <w:tcPr>
            <w:tcW w:w="2094" w:type="dxa"/>
            <w:tcMar>
              <w:top w:w="60" w:type="dxa"/>
              <w:left w:w="100" w:type="dxa"/>
              <w:bottom w:w="60" w:type="dxa"/>
              <w:right w:w="100" w:type="dxa"/>
            </w:tcMar>
          </w:tcPr>
          <w:p w14:paraId="5AB3700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Vorobieva et al. 2023</w:t>
            </w:r>
          </w:p>
        </w:tc>
        <w:tc>
          <w:tcPr>
            <w:tcW w:w="4923" w:type="dxa"/>
            <w:tcMar>
              <w:top w:w="60" w:type="dxa"/>
              <w:left w:w="100" w:type="dxa"/>
              <w:bottom w:w="60" w:type="dxa"/>
              <w:right w:w="100" w:type="dxa"/>
            </w:tcMar>
          </w:tcPr>
          <w:p w14:paraId="30DDB24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results of the use of a combined probiotic (Lactobacillus rhamnosus GG and Bifidobacterium animalis spp. lactis ВB-12) in children with gastrointestinal and skin manifestations of food allergy]</w:t>
            </w:r>
          </w:p>
        </w:tc>
        <w:tc>
          <w:tcPr>
            <w:tcW w:w="6537" w:type="dxa"/>
            <w:tcMar>
              <w:top w:w="60" w:type="dxa"/>
              <w:left w:w="100" w:type="dxa"/>
              <w:bottom w:w="60" w:type="dxa"/>
              <w:right w:w="100" w:type="dxa"/>
            </w:tcMar>
          </w:tcPr>
          <w:p w14:paraId="440C4F2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vitamin B6 helped children with gastrointestinal issues and skin issues.</w:t>
            </w:r>
          </w:p>
        </w:tc>
      </w:tr>
      <w:tr w:rsidR="00EA496D" w:rsidRPr="00F56AD6" w14:paraId="3352C895" w14:textId="77777777" w:rsidTr="00EA496D">
        <w:tc>
          <w:tcPr>
            <w:tcW w:w="846" w:type="dxa"/>
            <w:tcMar>
              <w:top w:w="60" w:type="dxa"/>
              <w:left w:w="100" w:type="dxa"/>
              <w:bottom w:w="60" w:type="dxa"/>
              <w:right w:w="100" w:type="dxa"/>
            </w:tcMar>
          </w:tcPr>
          <w:p w14:paraId="3DA846F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474</w:t>
            </w:r>
          </w:p>
        </w:tc>
        <w:tc>
          <w:tcPr>
            <w:tcW w:w="2094" w:type="dxa"/>
            <w:tcMar>
              <w:top w:w="60" w:type="dxa"/>
              <w:left w:w="100" w:type="dxa"/>
              <w:bottom w:w="60" w:type="dxa"/>
              <w:right w:w="100" w:type="dxa"/>
            </w:tcMar>
          </w:tcPr>
          <w:p w14:paraId="7BB677F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Wang et al. 2026</w:t>
            </w:r>
          </w:p>
        </w:tc>
        <w:tc>
          <w:tcPr>
            <w:tcW w:w="4923" w:type="dxa"/>
            <w:tcMar>
              <w:top w:w="60" w:type="dxa"/>
              <w:left w:w="100" w:type="dxa"/>
              <w:bottom w:w="60" w:type="dxa"/>
              <w:right w:w="100" w:type="dxa"/>
            </w:tcMar>
          </w:tcPr>
          <w:p w14:paraId="22255EE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Genetic vitamin B6 deficiency exacerbates alcohol behavioral responses, metabolism, and toxicity in Drosophila</w:t>
            </w:r>
          </w:p>
        </w:tc>
        <w:tc>
          <w:tcPr>
            <w:tcW w:w="6537" w:type="dxa"/>
            <w:tcMar>
              <w:top w:w="60" w:type="dxa"/>
              <w:left w:w="100" w:type="dxa"/>
              <w:bottom w:w="60" w:type="dxa"/>
              <w:right w:w="100" w:type="dxa"/>
            </w:tcMar>
          </w:tcPr>
          <w:p w14:paraId="0EB7916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shows correlation between B6 and alcohol behaviour. Does show that increased alcohol use leads to deficiency however it is unrelated to toxicity.</w:t>
            </w:r>
          </w:p>
        </w:tc>
      </w:tr>
      <w:tr w:rsidR="00EA496D" w:rsidRPr="00F56AD6" w14:paraId="0D39067D" w14:textId="77777777" w:rsidTr="00EA496D">
        <w:tc>
          <w:tcPr>
            <w:tcW w:w="846" w:type="dxa"/>
            <w:tcMar>
              <w:top w:w="60" w:type="dxa"/>
              <w:left w:w="100" w:type="dxa"/>
              <w:bottom w:w="60" w:type="dxa"/>
              <w:right w:w="100" w:type="dxa"/>
            </w:tcMar>
          </w:tcPr>
          <w:p w14:paraId="09E5C8A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475</w:t>
            </w:r>
          </w:p>
        </w:tc>
        <w:tc>
          <w:tcPr>
            <w:tcW w:w="2094" w:type="dxa"/>
            <w:tcMar>
              <w:top w:w="60" w:type="dxa"/>
              <w:left w:w="100" w:type="dxa"/>
              <w:bottom w:w="60" w:type="dxa"/>
              <w:right w:w="100" w:type="dxa"/>
            </w:tcMar>
          </w:tcPr>
          <w:p w14:paraId="4F4EB3C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Wang et al. 2022</w:t>
            </w:r>
          </w:p>
        </w:tc>
        <w:tc>
          <w:tcPr>
            <w:tcW w:w="4923" w:type="dxa"/>
            <w:tcMar>
              <w:top w:w="60" w:type="dxa"/>
              <w:left w:w="100" w:type="dxa"/>
              <w:bottom w:w="60" w:type="dxa"/>
              <w:right w:w="100" w:type="dxa"/>
            </w:tcMar>
          </w:tcPr>
          <w:p w14:paraId="1954040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Colorimetric detection of alkaline phosphatase activity based on pyridoxal phosphate-induced chromatic switch of polydiacetylene nano-liposomes</w:t>
            </w:r>
          </w:p>
        </w:tc>
        <w:tc>
          <w:tcPr>
            <w:tcW w:w="6537" w:type="dxa"/>
            <w:tcMar>
              <w:top w:w="60" w:type="dxa"/>
              <w:left w:w="100" w:type="dxa"/>
              <w:bottom w:w="60" w:type="dxa"/>
              <w:right w:w="100" w:type="dxa"/>
            </w:tcMar>
          </w:tcPr>
          <w:p w14:paraId="472C655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discusses mechanisms of alkaline phosphatase related to B6.</w:t>
            </w:r>
          </w:p>
        </w:tc>
      </w:tr>
      <w:tr w:rsidR="00EA496D" w:rsidRPr="00F56AD6" w14:paraId="6F36E225" w14:textId="77777777" w:rsidTr="00EA496D">
        <w:tc>
          <w:tcPr>
            <w:tcW w:w="846" w:type="dxa"/>
            <w:tcMar>
              <w:top w:w="60" w:type="dxa"/>
              <w:left w:w="100" w:type="dxa"/>
              <w:bottom w:w="60" w:type="dxa"/>
              <w:right w:w="100" w:type="dxa"/>
            </w:tcMar>
          </w:tcPr>
          <w:p w14:paraId="5FBAA64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476</w:t>
            </w:r>
          </w:p>
        </w:tc>
        <w:tc>
          <w:tcPr>
            <w:tcW w:w="2094" w:type="dxa"/>
            <w:tcMar>
              <w:top w:w="60" w:type="dxa"/>
              <w:left w:w="100" w:type="dxa"/>
              <w:bottom w:w="60" w:type="dxa"/>
              <w:right w:w="100" w:type="dxa"/>
            </w:tcMar>
          </w:tcPr>
          <w:p w14:paraId="1688D1F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Wang et al. 2024</w:t>
            </w:r>
          </w:p>
        </w:tc>
        <w:tc>
          <w:tcPr>
            <w:tcW w:w="4923" w:type="dxa"/>
            <w:tcMar>
              <w:top w:w="60" w:type="dxa"/>
              <w:left w:w="100" w:type="dxa"/>
              <w:bottom w:w="60" w:type="dxa"/>
              <w:right w:w="100" w:type="dxa"/>
            </w:tcMar>
          </w:tcPr>
          <w:p w14:paraId="19EC067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Intratumoral CXCL13(+) CD160(+) CD8(+) T cells promote the formation of tertiary lymphoid structures to enhance the efficacy of immunotherapy in advanced gastric cancer</w:t>
            </w:r>
          </w:p>
        </w:tc>
        <w:tc>
          <w:tcPr>
            <w:tcW w:w="6537" w:type="dxa"/>
            <w:tcMar>
              <w:top w:w="60" w:type="dxa"/>
              <w:left w:w="100" w:type="dxa"/>
              <w:bottom w:w="60" w:type="dxa"/>
              <w:right w:w="100" w:type="dxa"/>
            </w:tcMar>
          </w:tcPr>
          <w:p w14:paraId="0EBFCD6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shows benefits of B6 in cancer prevention.</w:t>
            </w:r>
          </w:p>
        </w:tc>
      </w:tr>
      <w:tr w:rsidR="00EA496D" w:rsidRPr="00F56AD6" w14:paraId="3203DF25" w14:textId="77777777" w:rsidTr="00EA496D">
        <w:tc>
          <w:tcPr>
            <w:tcW w:w="846" w:type="dxa"/>
            <w:tcMar>
              <w:top w:w="60" w:type="dxa"/>
              <w:left w:w="100" w:type="dxa"/>
              <w:bottom w:w="60" w:type="dxa"/>
              <w:right w:w="100" w:type="dxa"/>
            </w:tcMar>
          </w:tcPr>
          <w:p w14:paraId="278E927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477</w:t>
            </w:r>
          </w:p>
        </w:tc>
        <w:tc>
          <w:tcPr>
            <w:tcW w:w="2094" w:type="dxa"/>
            <w:tcMar>
              <w:top w:w="60" w:type="dxa"/>
              <w:left w:w="100" w:type="dxa"/>
              <w:bottom w:w="60" w:type="dxa"/>
              <w:right w:w="100" w:type="dxa"/>
            </w:tcMar>
          </w:tcPr>
          <w:p w14:paraId="23959DC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Wang et al. 2026</w:t>
            </w:r>
          </w:p>
        </w:tc>
        <w:tc>
          <w:tcPr>
            <w:tcW w:w="4923" w:type="dxa"/>
            <w:tcMar>
              <w:top w:w="60" w:type="dxa"/>
              <w:left w:w="100" w:type="dxa"/>
              <w:bottom w:w="60" w:type="dxa"/>
              <w:right w:w="100" w:type="dxa"/>
            </w:tcMar>
          </w:tcPr>
          <w:p w14:paraId="3DD3684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alleviating effects of vitamin B6 and choline on β-lactoglobulin Maillard reaction: Insight into the mechanisms via mass spectrometry and interaction analysis</w:t>
            </w:r>
          </w:p>
        </w:tc>
        <w:tc>
          <w:tcPr>
            <w:tcW w:w="6537" w:type="dxa"/>
            <w:tcMar>
              <w:top w:w="60" w:type="dxa"/>
              <w:left w:w="100" w:type="dxa"/>
              <w:bottom w:w="60" w:type="dxa"/>
              <w:right w:w="100" w:type="dxa"/>
            </w:tcMar>
          </w:tcPr>
          <w:p w14:paraId="725495C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Wrong context - Discusses the biomechanisms of B6 - VB6 and choline decreased the extent of glycation at specific sites, showed the inhibitory effects of VB6 and choline on glycation but not in relation to B6 toxicity and dose supplementation.</w:t>
            </w:r>
          </w:p>
        </w:tc>
      </w:tr>
      <w:tr w:rsidR="00EA496D" w:rsidRPr="00F56AD6" w14:paraId="04869A57" w14:textId="77777777" w:rsidTr="00EA496D">
        <w:tc>
          <w:tcPr>
            <w:tcW w:w="846" w:type="dxa"/>
            <w:tcMar>
              <w:top w:w="60" w:type="dxa"/>
              <w:left w:w="100" w:type="dxa"/>
              <w:bottom w:w="60" w:type="dxa"/>
              <w:right w:w="100" w:type="dxa"/>
            </w:tcMar>
          </w:tcPr>
          <w:p w14:paraId="59946A1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478</w:t>
            </w:r>
          </w:p>
        </w:tc>
        <w:tc>
          <w:tcPr>
            <w:tcW w:w="2094" w:type="dxa"/>
            <w:tcMar>
              <w:top w:w="60" w:type="dxa"/>
              <w:left w:w="100" w:type="dxa"/>
              <w:bottom w:w="60" w:type="dxa"/>
              <w:right w:w="100" w:type="dxa"/>
            </w:tcMar>
          </w:tcPr>
          <w:p w14:paraId="2DB660B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Wang et al. 2023</w:t>
            </w:r>
          </w:p>
        </w:tc>
        <w:tc>
          <w:tcPr>
            <w:tcW w:w="4923" w:type="dxa"/>
            <w:tcMar>
              <w:top w:w="60" w:type="dxa"/>
              <w:left w:w="100" w:type="dxa"/>
              <w:bottom w:w="60" w:type="dxa"/>
              <w:right w:w="100" w:type="dxa"/>
            </w:tcMar>
          </w:tcPr>
          <w:p w14:paraId="48A982C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 of B vitamin intake and total homocysteine levels with all-cause and cause-specific mortality in central obesity</w:t>
            </w:r>
          </w:p>
        </w:tc>
        <w:tc>
          <w:tcPr>
            <w:tcW w:w="6537" w:type="dxa"/>
            <w:tcMar>
              <w:top w:w="60" w:type="dxa"/>
              <w:left w:w="100" w:type="dxa"/>
              <w:bottom w:w="60" w:type="dxa"/>
              <w:right w:w="100" w:type="dxa"/>
            </w:tcMar>
          </w:tcPr>
          <w:p w14:paraId="2A0B09E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presents benefits of B6 supplementation.</w:t>
            </w:r>
          </w:p>
        </w:tc>
      </w:tr>
      <w:tr w:rsidR="00EA496D" w:rsidRPr="00F56AD6" w14:paraId="1F332B3F" w14:textId="77777777" w:rsidTr="00EA496D">
        <w:tc>
          <w:tcPr>
            <w:tcW w:w="846" w:type="dxa"/>
            <w:tcMar>
              <w:top w:w="60" w:type="dxa"/>
              <w:left w:w="100" w:type="dxa"/>
              <w:bottom w:w="60" w:type="dxa"/>
              <w:right w:w="100" w:type="dxa"/>
            </w:tcMar>
          </w:tcPr>
          <w:p w14:paraId="3ADBA56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479</w:t>
            </w:r>
          </w:p>
        </w:tc>
        <w:tc>
          <w:tcPr>
            <w:tcW w:w="2094" w:type="dxa"/>
            <w:tcMar>
              <w:top w:w="60" w:type="dxa"/>
              <w:left w:w="100" w:type="dxa"/>
              <w:bottom w:w="60" w:type="dxa"/>
              <w:right w:w="100" w:type="dxa"/>
            </w:tcMar>
          </w:tcPr>
          <w:p w14:paraId="1765BAF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Wang et al. 2025</w:t>
            </w:r>
          </w:p>
        </w:tc>
        <w:tc>
          <w:tcPr>
            <w:tcW w:w="4923" w:type="dxa"/>
            <w:tcMar>
              <w:top w:w="60" w:type="dxa"/>
              <w:left w:w="100" w:type="dxa"/>
              <w:bottom w:w="60" w:type="dxa"/>
              <w:right w:w="100" w:type="dxa"/>
            </w:tcMar>
          </w:tcPr>
          <w:p w14:paraId="34C3297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allosterically activates AMPK to promote postischemic angiogenesis in mice</w:t>
            </w:r>
          </w:p>
        </w:tc>
        <w:tc>
          <w:tcPr>
            <w:tcW w:w="6537" w:type="dxa"/>
            <w:tcMar>
              <w:top w:w="60" w:type="dxa"/>
              <w:left w:w="100" w:type="dxa"/>
              <w:bottom w:w="60" w:type="dxa"/>
              <w:right w:w="100" w:type="dxa"/>
            </w:tcMar>
          </w:tcPr>
          <w:p w14:paraId="3E1AA4D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shows benefits of B6 supplementation in mice.</w:t>
            </w:r>
          </w:p>
        </w:tc>
      </w:tr>
      <w:tr w:rsidR="00EA496D" w:rsidRPr="00F56AD6" w14:paraId="4C3C409A" w14:textId="77777777" w:rsidTr="00EA496D">
        <w:tc>
          <w:tcPr>
            <w:tcW w:w="846" w:type="dxa"/>
            <w:tcMar>
              <w:top w:w="60" w:type="dxa"/>
              <w:left w:w="100" w:type="dxa"/>
              <w:bottom w:w="60" w:type="dxa"/>
              <w:right w:w="100" w:type="dxa"/>
            </w:tcMar>
          </w:tcPr>
          <w:p w14:paraId="090EC08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480</w:t>
            </w:r>
          </w:p>
        </w:tc>
        <w:tc>
          <w:tcPr>
            <w:tcW w:w="2094" w:type="dxa"/>
            <w:tcMar>
              <w:top w:w="60" w:type="dxa"/>
              <w:left w:w="100" w:type="dxa"/>
              <w:bottom w:w="60" w:type="dxa"/>
              <w:right w:w="100" w:type="dxa"/>
            </w:tcMar>
          </w:tcPr>
          <w:p w14:paraId="15FC5D6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Wang et al. 2024</w:t>
            </w:r>
          </w:p>
        </w:tc>
        <w:tc>
          <w:tcPr>
            <w:tcW w:w="4923" w:type="dxa"/>
            <w:tcMar>
              <w:top w:w="60" w:type="dxa"/>
              <w:left w:w="100" w:type="dxa"/>
              <w:bottom w:w="60" w:type="dxa"/>
              <w:right w:w="100" w:type="dxa"/>
            </w:tcMar>
          </w:tcPr>
          <w:p w14:paraId="0D96E20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Associations among dietary 1-carbon metabolism nutrients, genetic risk, and Alzheimer disease: a prospective cohort study</w:t>
            </w:r>
          </w:p>
        </w:tc>
        <w:tc>
          <w:tcPr>
            <w:tcW w:w="6537" w:type="dxa"/>
            <w:tcMar>
              <w:top w:w="60" w:type="dxa"/>
              <w:left w:w="100" w:type="dxa"/>
              <w:bottom w:w="60" w:type="dxa"/>
              <w:right w:w="100" w:type="dxa"/>
            </w:tcMar>
          </w:tcPr>
          <w:p w14:paraId="706ACCB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study found OCMs in diet decreased risk of AD.</w:t>
            </w:r>
          </w:p>
        </w:tc>
      </w:tr>
      <w:tr w:rsidR="00EA496D" w:rsidRPr="00F56AD6" w14:paraId="32126E64" w14:textId="77777777" w:rsidTr="00EA496D">
        <w:tc>
          <w:tcPr>
            <w:tcW w:w="846" w:type="dxa"/>
            <w:tcMar>
              <w:top w:w="60" w:type="dxa"/>
              <w:left w:w="100" w:type="dxa"/>
              <w:bottom w:w="60" w:type="dxa"/>
              <w:right w:w="100" w:type="dxa"/>
            </w:tcMar>
          </w:tcPr>
          <w:p w14:paraId="3E872FB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481</w:t>
            </w:r>
          </w:p>
        </w:tc>
        <w:tc>
          <w:tcPr>
            <w:tcW w:w="2094" w:type="dxa"/>
            <w:tcMar>
              <w:top w:w="60" w:type="dxa"/>
              <w:left w:w="100" w:type="dxa"/>
              <w:bottom w:w="60" w:type="dxa"/>
              <w:right w:w="100" w:type="dxa"/>
            </w:tcMar>
          </w:tcPr>
          <w:p w14:paraId="633F065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Wassie et al. 2022</w:t>
            </w:r>
          </w:p>
        </w:tc>
        <w:tc>
          <w:tcPr>
            <w:tcW w:w="4923" w:type="dxa"/>
            <w:tcMar>
              <w:top w:w="60" w:type="dxa"/>
              <w:left w:w="100" w:type="dxa"/>
              <w:bottom w:w="60" w:type="dxa"/>
              <w:right w:w="100" w:type="dxa"/>
            </w:tcMar>
          </w:tcPr>
          <w:p w14:paraId="03E2A5D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Microbiome-metabolome analysis reveals alterations in the composition and metabolism of caecal microbiota and metabolites with dietary Enteromorpha polysaccharide and Yeast glycoprotein in chickens</w:t>
            </w:r>
          </w:p>
        </w:tc>
        <w:tc>
          <w:tcPr>
            <w:tcW w:w="6537" w:type="dxa"/>
            <w:tcMar>
              <w:top w:w="60" w:type="dxa"/>
              <w:left w:w="100" w:type="dxa"/>
              <w:bottom w:w="60" w:type="dxa"/>
              <w:right w:w="100" w:type="dxa"/>
            </w:tcMar>
          </w:tcPr>
          <w:p w14:paraId="29014DC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shows benefits of B6 in chickens diets.</w:t>
            </w:r>
          </w:p>
        </w:tc>
      </w:tr>
      <w:tr w:rsidR="00EA496D" w:rsidRPr="00F56AD6" w14:paraId="2D04CC2F" w14:textId="77777777" w:rsidTr="00EA496D">
        <w:tc>
          <w:tcPr>
            <w:tcW w:w="846" w:type="dxa"/>
            <w:tcMar>
              <w:top w:w="60" w:type="dxa"/>
              <w:left w:w="100" w:type="dxa"/>
              <w:bottom w:w="60" w:type="dxa"/>
              <w:right w:w="100" w:type="dxa"/>
            </w:tcMar>
          </w:tcPr>
          <w:p w14:paraId="0821BFA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482</w:t>
            </w:r>
          </w:p>
        </w:tc>
        <w:tc>
          <w:tcPr>
            <w:tcW w:w="2094" w:type="dxa"/>
            <w:tcMar>
              <w:top w:w="60" w:type="dxa"/>
              <w:left w:w="100" w:type="dxa"/>
              <w:bottom w:w="60" w:type="dxa"/>
              <w:right w:w="100" w:type="dxa"/>
            </w:tcMar>
          </w:tcPr>
          <w:p w14:paraId="11C254E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Welan 2023</w:t>
            </w:r>
          </w:p>
        </w:tc>
        <w:tc>
          <w:tcPr>
            <w:tcW w:w="4923" w:type="dxa"/>
            <w:tcMar>
              <w:top w:w="60" w:type="dxa"/>
              <w:left w:w="100" w:type="dxa"/>
              <w:bottom w:w="60" w:type="dxa"/>
              <w:right w:w="100" w:type="dxa"/>
            </w:tcMar>
          </w:tcPr>
          <w:p w14:paraId="673F85E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Effect of Vitamin B6 on Osteoporosis Fracture</w:t>
            </w:r>
          </w:p>
        </w:tc>
        <w:tc>
          <w:tcPr>
            <w:tcW w:w="6537" w:type="dxa"/>
            <w:tcMar>
              <w:top w:w="60" w:type="dxa"/>
              <w:left w:w="100" w:type="dxa"/>
              <w:bottom w:w="60" w:type="dxa"/>
              <w:right w:w="100" w:type="dxa"/>
            </w:tcMar>
          </w:tcPr>
          <w:p w14:paraId="0B007E9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but benefits of B6 supplementation for osteoporosis.</w:t>
            </w:r>
          </w:p>
        </w:tc>
      </w:tr>
      <w:tr w:rsidR="00EA496D" w:rsidRPr="00F56AD6" w14:paraId="4C920A39" w14:textId="77777777" w:rsidTr="00EA496D">
        <w:tc>
          <w:tcPr>
            <w:tcW w:w="846" w:type="dxa"/>
            <w:tcMar>
              <w:top w:w="60" w:type="dxa"/>
              <w:left w:w="100" w:type="dxa"/>
              <w:bottom w:w="60" w:type="dxa"/>
              <w:right w:w="100" w:type="dxa"/>
            </w:tcMar>
          </w:tcPr>
          <w:p w14:paraId="2C19E77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483</w:t>
            </w:r>
          </w:p>
        </w:tc>
        <w:tc>
          <w:tcPr>
            <w:tcW w:w="2094" w:type="dxa"/>
            <w:tcMar>
              <w:top w:w="60" w:type="dxa"/>
              <w:left w:w="100" w:type="dxa"/>
              <w:bottom w:w="60" w:type="dxa"/>
              <w:right w:w="100" w:type="dxa"/>
            </w:tcMar>
          </w:tcPr>
          <w:p w14:paraId="78D08EA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Whyte et al. 2024</w:t>
            </w:r>
          </w:p>
        </w:tc>
        <w:tc>
          <w:tcPr>
            <w:tcW w:w="4923" w:type="dxa"/>
            <w:tcMar>
              <w:top w:w="60" w:type="dxa"/>
              <w:left w:w="100" w:type="dxa"/>
              <w:bottom w:w="60" w:type="dxa"/>
              <w:right w:w="100" w:type="dxa"/>
            </w:tcMar>
          </w:tcPr>
          <w:p w14:paraId="73FD63C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Pediatric hypophosphatasia: avoid diagnosis missteps!</w:t>
            </w:r>
          </w:p>
        </w:tc>
        <w:tc>
          <w:tcPr>
            <w:tcW w:w="6537" w:type="dxa"/>
            <w:tcMar>
              <w:top w:w="60" w:type="dxa"/>
              <w:left w:w="100" w:type="dxa"/>
              <w:bottom w:w="60" w:type="dxa"/>
              <w:right w:w="100" w:type="dxa"/>
            </w:tcMar>
          </w:tcPr>
          <w:p w14:paraId="5AE98B4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B6 accumulation mentioned as symptom of HPP.</w:t>
            </w:r>
          </w:p>
        </w:tc>
      </w:tr>
      <w:tr w:rsidR="00EA496D" w:rsidRPr="00F56AD6" w14:paraId="1E79285B" w14:textId="77777777" w:rsidTr="00EA496D">
        <w:tc>
          <w:tcPr>
            <w:tcW w:w="846" w:type="dxa"/>
            <w:tcMar>
              <w:top w:w="60" w:type="dxa"/>
              <w:left w:w="100" w:type="dxa"/>
              <w:bottom w:w="60" w:type="dxa"/>
              <w:right w:w="100" w:type="dxa"/>
            </w:tcMar>
          </w:tcPr>
          <w:p w14:paraId="199F133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484</w:t>
            </w:r>
          </w:p>
        </w:tc>
        <w:tc>
          <w:tcPr>
            <w:tcW w:w="2094" w:type="dxa"/>
            <w:tcMar>
              <w:top w:w="60" w:type="dxa"/>
              <w:left w:w="100" w:type="dxa"/>
              <w:bottom w:w="60" w:type="dxa"/>
              <w:right w:w="100" w:type="dxa"/>
            </w:tcMar>
          </w:tcPr>
          <w:p w14:paraId="06B0C4A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Wiedeman et al. 2023</w:t>
            </w:r>
          </w:p>
        </w:tc>
        <w:tc>
          <w:tcPr>
            <w:tcW w:w="4923" w:type="dxa"/>
            <w:tcMar>
              <w:top w:w="60" w:type="dxa"/>
              <w:left w:w="100" w:type="dxa"/>
              <w:bottom w:w="60" w:type="dxa"/>
              <w:right w:w="100" w:type="dxa"/>
            </w:tcMar>
          </w:tcPr>
          <w:p w14:paraId="4675F45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Children Aged 5-6 Years in Vancouver, Canada Meet Dietary Recommendations for Folate and Vitamin B12 but not Choline</w:t>
            </w:r>
          </w:p>
        </w:tc>
        <w:tc>
          <w:tcPr>
            <w:tcW w:w="6537" w:type="dxa"/>
            <w:tcMar>
              <w:top w:w="60" w:type="dxa"/>
              <w:left w:w="100" w:type="dxa"/>
              <w:bottom w:w="60" w:type="dxa"/>
              <w:right w:w="100" w:type="dxa"/>
            </w:tcMar>
          </w:tcPr>
          <w:p w14:paraId="362AAE9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focus (vitamin B6 does not appear in conclusions) and study focuses on children meeting dietary requirements not the toxicity of B6.</w:t>
            </w:r>
          </w:p>
        </w:tc>
      </w:tr>
      <w:tr w:rsidR="00EA496D" w:rsidRPr="00F56AD6" w14:paraId="25C5A362" w14:textId="77777777" w:rsidTr="00EA496D">
        <w:tc>
          <w:tcPr>
            <w:tcW w:w="846" w:type="dxa"/>
            <w:tcMar>
              <w:top w:w="60" w:type="dxa"/>
              <w:left w:w="100" w:type="dxa"/>
              <w:bottom w:w="60" w:type="dxa"/>
              <w:right w:w="100" w:type="dxa"/>
            </w:tcMar>
          </w:tcPr>
          <w:p w14:paraId="290DFFC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485</w:t>
            </w:r>
          </w:p>
        </w:tc>
        <w:tc>
          <w:tcPr>
            <w:tcW w:w="2094" w:type="dxa"/>
            <w:tcMar>
              <w:top w:w="60" w:type="dxa"/>
              <w:left w:w="100" w:type="dxa"/>
              <w:bottom w:w="60" w:type="dxa"/>
              <w:right w:w="100" w:type="dxa"/>
            </w:tcMar>
          </w:tcPr>
          <w:p w14:paraId="191B460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Wilke et al. 2026</w:t>
            </w:r>
          </w:p>
        </w:tc>
        <w:tc>
          <w:tcPr>
            <w:tcW w:w="4923" w:type="dxa"/>
            <w:tcMar>
              <w:top w:w="60" w:type="dxa"/>
              <w:left w:w="100" w:type="dxa"/>
              <w:bottom w:w="60" w:type="dxa"/>
              <w:right w:w="100" w:type="dxa"/>
            </w:tcMar>
          </w:tcPr>
          <w:p w14:paraId="465A12E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Functional Characterization of Two Novel Biallelic PIGV Variants in a Patient With Myoclonic Seizures and Elevated Alkaline Phosphatase: A Case Report</w:t>
            </w:r>
          </w:p>
        </w:tc>
        <w:tc>
          <w:tcPr>
            <w:tcW w:w="6537" w:type="dxa"/>
            <w:tcMar>
              <w:top w:w="60" w:type="dxa"/>
              <w:left w:w="100" w:type="dxa"/>
              <w:bottom w:w="60" w:type="dxa"/>
              <w:right w:w="100" w:type="dxa"/>
            </w:tcMar>
          </w:tcPr>
          <w:p w14:paraId="0893B64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Focus/topic (not vitamin B6 toxicity) - vitamin B6 mentioned in passing.</w:t>
            </w:r>
          </w:p>
        </w:tc>
      </w:tr>
      <w:tr w:rsidR="00EA496D" w:rsidRPr="00F56AD6" w14:paraId="1EDEF8A8" w14:textId="77777777" w:rsidTr="00EA496D">
        <w:tc>
          <w:tcPr>
            <w:tcW w:w="846" w:type="dxa"/>
            <w:tcMar>
              <w:top w:w="60" w:type="dxa"/>
              <w:left w:w="100" w:type="dxa"/>
              <w:bottom w:w="60" w:type="dxa"/>
              <w:right w:w="100" w:type="dxa"/>
            </w:tcMar>
          </w:tcPr>
          <w:p w14:paraId="2A19A04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486</w:t>
            </w:r>
          </w:p>
        </w:tc>
        <w:tc>
          <w:tcPr>
            <w:tcW w:w="2094" w:type="dxa"/>
            <w:tcMar>
              <w:top w:w="60" w:type="dxa"/>
              <w:left w:w="100" w:type="dxa"/>
              <w:bottom w:w="60" w:type="dxa"/>
              <w:right w:w="100" w:type="dxa"/>
            </w:tcMar>
          </w:tcPr>
          <w:p w14:paraId="3427583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Wimer et al. 2025</w:t>
            </w:r>
          </w:p>
        </w:tc>
        <w:tc>
          <w:tcPr>
            <w:tcW w:w="4923" w:type="dxa"/>
            <w:tcMar>
              <w:top w:w="60" w:type="dxa"/>
              <w:left w:w="100" w:type="dxa"/>
              <w:bottom w:w="60" w:type="dxa"/>
              <w:right w:w="100" w:type="dxa"/>
            </w:tcMar>
          </w:tcPr>
          <w:p w14:paraId="646F9F8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Glycation-lowering compounds inhibit ghrelin signaling to reduce food intake, lower insulin resistance, and extend lifespan</w:t>
            </w:r>
          </w:p>
        </w:tc>
        <w:tc>
          <w:tcPr>
            <w:tcW w:w="6537" w:type="dxa"/>
            <w:tcMar>
              <w:top w:w="60" w:type="dxa"/>
              <w:left w:w="100" w:type="dxa"/>
              <w:bottom w:w="60" w:type="dxa"/>
              <w:right w:w="100" w:type="dxa"/>
            </w:tcMar>
          </w:tcPr>
          <w:p w14:paraId="2946DED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discusses B6 deficiency reducing food intake.</w:t>
            </w:r>
          </w:p>
        </w:tc>
      </w:tr>
      <w:tr w:rsidR="00EA496D" w:rsidRPr="00F56AD6" w14:paraId="323C9BC6" w14:textId="77777777" w:rsidTr="00EA496D">
        <w:tc>
          <w:tcPr>
            <w:tcW w:w="846" w:type="dxa"/>
            <w:tcMar>
              <w:top w:w="60" w:type="dxa"/>
              <w:left w:w="100" w:type="dxa"/>
              <w:bottom w:w="60" w:type="dxa"/>
              <w:right w:w="100" w:type="dxa"/>
            </w:tcMar>
          </w:tcPr>
          <w:p w14:paraId="6AF5FAC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487</w:t>
            </w:r>
          </w:p>
        </w:tc>
        <w:tc>
          <w:tcPr>
            <w:tcW w:w="2094" w:type="dxa"/>
            <w:tcMar>
              <w:top w:w="60" w:type="dxa"/>
              <w:left w:w="100" w:type="dxa"/>
              <w:bottom w:w="60" w:type="dxa"/>
              <w:right w:w="100" w:type="dxa"/>
            </w:tcMar>
          </w:tcPr>
          <w:p w14:paraId="79A1A10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Wise et al. 2022</w:t>
            </w:r>
          </w:p>
        </w:tc>
        <w:tc>
          <w:tcPr>
            <w:tcW w:w="4923" w:type="dxa"/>
            <w:tcMar>
              <w:top w:w="60" w:type="dxa"/>
              <w:left w:w="100" w:type="dxa"/>
              <w:bottom w:w="60" w:type="dxa"/>
              <w:right w:w="100" w:type="dxa"/>
            </w:tcMar>
          </w:tcPr>
          <w:p w14:paraId="48AB0DA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Refractory Seizures Secondary to Vitamin B6 Deficiency in Parkinson Disease: The Role of Carbidopa-Levodopa</w:t>
            </w:r>
          </w:p>
        </w:tc>
        <w:tc>
          <w:tcPr>
            <w:tcW w:w="6537" w:type="dxa"/>
            <w:tcMar>
              <w:top w:w="60" w:type="dxa"/>
              <w:left w:w="100" w:type="dxa"/>
              <w:bottom w:w="60" w:type="dxa"/>
              <w:right w:w="100" w:type="dxa"/>
            </w:tcMar>
          </w:tcPr>
          <w:p w14:paraId="65380C4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discusses vitB6 deficiency.</w:t>
            </w:r>
          </w:p>
        </w:tc>
      </w:tr>
      <w:tr w:rsidR="00EA496D" w:rsidRPr="00F56AD6" w14:paraId="23B292B9" w14:textId="77777777" w:rsidTr="00EA496D">
        <w:tc>
          <w:tcPr>
            <w:tcW w:w="846" w:type="dxa"/>
            <w:tcMar>
              <w:top w:w="60" w:type="dxa"/>
              <w:left w:w="100" w:type="dxa"/>
              <w:bottom w:w="60" w:type="dxa"/>
              <w:right w:w="100" w:type="dxa"/>
            </w:tcMar>
          </w:tcPr>
          <w:p w14:paraId="5A30BE7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488</w:t>
            </w:r>
          </w:p>
        </w:tc>
        <w:tc>
          <w:tcPr>
            <w:tcW w:w="2094" w:type="dxa"/>
            <w:tcMar>
              <w:top w:w="60" w:type="dxa"/>
              <w:left w:w="100" w:type="dxa"/>
              <w:bottom w:w="60" w:type="dxa"/>
              <w:right w:w="100" w:type="dxa"/>
            </w:tcMar>
          </w:tcPr>
          <w:p w14:paraId="1B06C1C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Wu et al. 2025</w:t>
            </w:r>
          </w:p>
        </w:tc>
        <w:tc>
          <w:tcPr>
            <w:tcW w:w="4923" w:type="dxa"/>
            <w:tcMar>
              <w:top w:w="60" w:type="dxa"/>
              <w:left w:w="100" w:type="dxa"/>
              <w:bottom w:w="60" w:type="dxa"/>
              <w:right w:w="100" w:type="dxa"/>
            </w:tcMar>
          </w:tcPr>
          <w:p w14:paraId="6D44C92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Dysregulation of astrocyte-derived matrix gla protein impairs dendritic spine development in pyridoxine-dependent epilepsy</w:t>
            </w:r>
          </w:p>
        </w:tc>
        <w:tc>
          <w:tcPr>
            <w:tcW w:w="6537" w:type="dxa"/>
            <w:tcMar>
              <w:top w:w="60" w:type="dxa"/>
              <w:left w:w="100" w:type="dxa"/>
              <w:bottom w:w="60" w:type="dxa"/>
              <w:right w:w="100" w:type="dxa"/>
            </w:tcMar>
          </w:tcPr>
          <w:p w14:paraId="02E4EF0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exposure: the study did not assess excess vitamin B6 intake; focus is alternatives for PDE.</w:t>
            </w:r>
          </w:p>
        </w:tc>
      </w:tr>
      <w:tr w:rsidR="00EA496D" w:rsidRPr="00F56AD6" w14:paraId="12F6DF69" w14:textId="77777777" w:rsidTr="00EA496D">
        <w:tc>
          <w:tcPr>
            <w:tcW w:w="846" w:type="dxa"/>
            <w:tcMar>
              <w:top w:w="60" w:type="dxa"/>
              <w:left w:w="100" w:type="dxa"/>
              <w:bottom w:w="60" w:type="dxa"/>
              <w:right w:w="100" w:type="dxa"/>
            </w:tcMar>
          </w:tcPr>
          <w:p w14:paraId="14B3790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489</w:t>
            </w:r>
          </w:p>
        </w:tc>
        <w:tc>
          <w:tcPr>
            <w:tcW w:w="2094" w:type="dxa"/>
            <w:tcMar>
              <w:top w:w="60" w:type="dxa"/>
              <w:left w:w="100" w:type="dxa"/>
              <w:bottom w:w="60" w:type="dxa"/>
              <w:right w:w="100" w:type="dxa"/>
            </w:tcMar>
          </w:tcPr>
          <w:p w14:paraId="44361C3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Wu et al. 2025</w:t>
            </w:r>
          </w:p>
        </w:tc>
        <w:tc>
          <w:tcPr>
            <w:tcW w:w="4923" w:type="dxa"/>
            <w:tcMar>
              <w:top w:w="60" w:type="dxa"/>
              <w:left w:w="100" w:type="dxa"/>
              <w:bottom w:w="60" w:type="dxa"/>
              <w:right w:w="100" w:type="dxa"/>
            </w:tcMar>
          </w:tcPr>
          <w:p w14:paraId="6AE63A2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Oral preventive medications for migraine in adults aged 18-65: a network meta-analysis</w:t>
            </w:r>
          </w:p>
        </w:tc>
        <w:tc>
          <w:tcPr>
            <w:tcW w:w="6537" w:type="dxa"/>
            <w:tcMar>
              <w:top w:w="60" w:type="dxa"/>
              <w:left w:w="100" w:type="dxa"/>
              <w:bottom w:w="60" w:type="dxa"/>
              <w:right w:w="100" w:type="dxa"/>
            </w:tcMar>
          </w:tcPr>
          <w:p w14:paraId="1D52F7B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w:t>
            </w:r>
          </w:p>
        </w:tc>
      </w:tr>
      <w:tr w:rsidR="00EA496D" w:rsidRPr="00F56AD6" w14:paraId="0BCE0C9D" w14:textId="77777777" w:rsidTr="00EA496D">
        <w:tc>
          <w:tcPr>
            <w:tcW w:w="846" w:type="dxa"/>
            <w:tcMar>
              <w:top w:w="60" w:type="dxa"/>
              <w:left w:w="100" w:type="dxa"/>
              <w:bottom w:w="60" w:type="dxa"/>
              <w:right w:w="100" w:type="dxa"/>
            </w:tcMar>
          </w:tcPr>
          <w:p w14:paraId="23E5792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490</w:t>
            </w:r>
          </w:p>
        </w:tc>
        <w:tc>
          <w:tcPr>
            <w:tcW w:w="2094" w:type="dxa"/>
            <w:tcMar>
              <w:top w:w="60" w:type="dxa"/>
              <w:left w:w="100" w:type="dxa"/>
              <w:bottom w:w="60" w:type="dxa"/>
              <w:right w:w="100" w:type="dxa"/>
            </w:tcMar>
          </w:tcPr>
          <w:p w14:paraId="3565242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Wu et al. 2022</w:t>
            </w:r>
          </w:p>
        </w:tc>
        <w:tc>
          <w:tcPr>
            <w:tcW w:w="4923" w:type="dxa"/>
            <w:tcMar>
              <w:top w:w="60" w:type="dxa"/>
              <w:left w:w="100" w:type="dxa"/>
              <w:bottom w:w="60" w:type="dxa"/>
              <w:right w:w="100" w:type="dxa"/>
            </w:tcMar>
          </w:tcPr>
          <w:p w14:paraId="0429EB3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Food additive sodium bisulfite induces intracellular imbalance of biothiols levels in NCM460 colonic cells to trigger intestinal inflammation in mice</w:t>
            </w:r>
          </w:p>
        </w:tc>
        <w:tc>
          <w:tcPr>
            <w:tcW w:w="6537" w:type="dxa"/>
            <w:tcMar>
              <w:top w:w="60" w:type="dxa"/>
              <w:left w:w="100" w:type="dxa"/>
              <w:bottom w:w="60" w:type="dxa"/>
              <w:right w:w="100" w:type="dxa"/>
            </w:tcMar>
          </w:tcPr>
          <w:p w14:paraId="5730F25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vitamin B(6) (VB(6)) supplementation successfully ameliorated NaHSO(3) - induced damage in NCM460 cells and the colon of Balb/c mice.</w:t>
            </w:r>
          </w:p>
        </w:tc>
      </w:tr>
      <w:tr w:rsidR="00EA496D" w:rsidRPr="00F56AD6" w14:paraId="6BFD31AC" w14:textId="77777777" w:rsidTr="00EA496D">
        <w:tc>
          <w:tcPr>
            <w:tcW w:w="846" w:type="dxa"/>
            <w:tcMar>
              <w:top w:w="60" w:type="dxa"/>
              <w:left w:w="100" w:type="dxa"/>
              <w:bottom w:w="60" w:type="dxa"/>
              <w:right w:w="100" w:type="dxa"/>
            </w:tcMar>
          </w:tcPr>
          <w:p w14:paraId="7AC6931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491</w:t>
            </w:r>
          </w:p>
        </w:tc>
        <w:tc>
          <w:tcPr>
            <w:tcW w:w="2094" w:type="dxa"/>
            <w:tcMar>
              <w:top w:w="60" w:type="dxa"/>
              <w:left w:w="100" w:type="dxa"/>
              <w:bottom w:w="60" w:type="dxa"/>
              <w:right w:w="100" w:type="dxa"/>
            </w:tcMar>
          </w:tcPr>
          <w:p w14:paraId="2F04B73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Wu et al. 2023</w:t>
            </w:r>
          </w:p>
        </w:tc>
        <w:tc>
          <w:tcPr>
            <w:tcW w:w="4923" w:type="dxa"/>
            <w:tcMar>
              <w:top w:w="60" w:type="dxa"/>
              <w:left w:w="100" w:type="dxa"/>
              <w:bottom w:w="60" w:type="dxa"/>
              <w:right w:w="100" w:type="dxa"/>
            </w:tcMar>
          </w:tcPr>
          <w:p w14:paraId="62F569C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Associations of dietary B vitamins intakes with depression in adults</w:t>
            </w:r>
          </w:p>
        </w:tc>
        <w:tc>
          <w:tcPr>
            <w:tcW w:w="6537" w:type="dxa"/>
            <w:tcMar>
              <w:top w:w="60" w:type="dxa"/>
              <w:left w:w="100" w:type="dxa"/>
              <w:bottom w:w="60" w:type="dxa"/>
              <w:right w:w="100" w:type="dxa"/>
            </w:tcMar>
          </w:tcPr>
          <w:p w14:paraId="7BE71AD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helps reduce/ prevent depression.</w:t>
            </w:r>
          </w:p>
        </w:tc>
      </w:tr>
      <w:tr w:rsidR="00EA496D" w:rsidRPr="00F56AD6" w14:paraId="160C4E1C" w14:textId="77777777" w:rsidTr="00EA496D">
        <w:tc>
          <w:tcPr>
            <w:tcW w:w="846" w:type="dxa"/>
            <w:tcMar>
              <w:top w:w="60" w:type="dxa"/>
              <w:left w:w="100" w:type="dxa"/>
              <w:bottom w:w="60" w:type="dxa"/>
              <w:right w:w="100" w:type="dxa"/>
            </w:tcMar>
          </w:tcPr>
          <w:p w14:paraId="6B677AA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492</w:t>
            </w:r>
          </w:p>
        </w:tc>
        <w:tc>
          <w:tcPr>
            <w:tcW w:w="2094" w:type="dxa"/>
            <w:tcMar>
              <w:top w:w="60" w:type="dxa"/>
              <w:left w:w="100" w:type="dxa"/>
              <w:bottom w:w="60" w:type="dxa"/>
              <w:right w:w="100" w:type="dxa"/>
            </w:tcMar>
          </w:tcPr>
          <w:p w14:paraId="7BD983E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Wu et al. 2025</w:t>
            </w:r>
          </w:p>
        </w:tc>
        <w:tc>
          <w:tcPr>
            <w:tcW w:w="4923" w:type="dxa"/>
            <w:tcMar>
              <w:top w:w="60" w:type="dxa"/>
              <w:left w:w="100" w:type="dxa"/>
              <w:bottom w:w="60" w:type="dxa"/>
              <w:right w:w="100" w:type="dxa"/>
            </w:tcMar>
          </w:tcPr>
          <w:p w14:paraId="62A52A8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form produced by Lactobacillus induces metabolic disorder and suppresses multi-pathogenic bacteria</w:t>
            </w:r>
          </w:p>
        </w:tc>
        <w:tc>
          <w:tcPr>
            <w:tcW w:w="6537" w:type="dxa"/>
            <w:tcMar>
              <w:top w:w="60" w:type="dxa"/>
              <w:left w:w="100" w:type="dxa"/>
              <w:bottom w:w="60" w:type="dxa"/>
              <w:right w:w="100" w:type="dxa"/>
            </w:tcMar>
          </w:tcPr>
          <w:p w14:paraId="755D442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population: (in vitro / cell study) - B6 induces metabolic disorder and suppresses bacteria.</w:t>
            </w:r>
          </w:p>
        </w:tc>
      </w:tr>
      <w:tr w:rsidR="00EA496D" w:rsidRPr="00F56AD6" w14:paraId="5E3B517B" w14:textId="77777777" w:rsidTr="00EA496D">
        <w:tc>
          <w:tcPr>
            <w:tcW w:w="846" w:type="dxa"/>
            <w:tcMar>
              <w:top w:w="60" w:type="dxa"/>
              <w:left w:w="100" w:type="dxa"/>
              <w:bottom w:w="60" w:type="dxa"/>
              <w:right w:w="100" w:type="dxa"/>
            </w:tcMar>
          </w:tcPr>
          <w:p w14:paraId="711D35A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493</w:t>
            </w:r>
          </w:p>
        </w:tc>
        <w:tc>
          <w:tcPr>
            <w:tcW w:w="2094" w:type="dxa"/>
            <w:tcMar>
              <w:top w:w="60" w:type="dxa"/>
              <w:left w:w="100" w:type="dxa"/>
              <w:bottom w:w="60" w:type="dxa"/>
              <w:right w:w="100" w:type="dxa"/>
            </w:tcMar>
          </w:tcPr>
          <w:p w14:paraId="08A02B5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Wu et al. 2022</w:t>
            </w:r>
          </w:p>
        </w:tc>
        <w:tc>
          <w:tcPr>
            <w:tcW w:w="4923" w:type="dxa"/>
            <w:tcMar>
              <w:top w:w="60" w:type="dxa"/>
              <w:left w:w="100" w:type="dxa"/>
              <w:bottom w:w="60" w:type="dxa"/>
              <w:right w:w="100" w:type="dxa"/>
            </w:tcMar>
          </w:tcPr>
          <w:p w14:paraId="03AAD91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Associations of dietary vitamin B1, vitamin B2, vitamin B6, and vitamin B12 with the risk of depression: a systematic review and meta-analysis</w:t>
            </w:r>
          </w:p>
        </w:tc>
        <w:tc>
          <w:tcPr>
            <w:tcW w:w="6537" w:type="dxa"/>
            <w:tcMar>
              <w:top w:w="60" w:type="dxa"/>
              <w:left w:w="100" w:type="dxa"/>
              <w:bottom w:w="60" w:type="dxa"/>
              <w:right w:w="100" w:type="dxa"/>
            </w:tcMar>
          </w:tcPr>
          <w:p w14:paraId="4C57C55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inversely affected depression in females.</w:t>
            </w:r>
          </w:p>
        </w:tc>
      </w:tr>
      <w:tr w:rsidR="00EA496D" w:rsidRPr="00F56AD6" w14:paraId="68E0788B" w14:textId="77777777" w:rsidTr="00EA496D">
        <w:tc>
          <w:tcPr>
            <w:tcW w:w="846" w:type="dxa"/>
            <w:tcMar>
              <w:top w:w="60" w:type="dxa"/>
              <w:left w:w="100" w:type="dxa"/>
              <w:bottom w:w="60" w:type="dxa"/>
              <w:right w:w="100" w:type="dxa"/>
            </w:tcMar>
          </w:tcPr>
          <w:p w14:paraId="24B1CD9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494</w:t>
            </w:r>
          </w:p>
        </w:tc>
        <w:tc>
          <w:tcPr>
            <w:tcW w:w="2094" w:type="dxa"/>
            <w:tcMar>
              <w:top w:w="60" w:type="dxa"/>
              <w:left w:w="100" w:type="dxa"/>
              <w:bottom w:w="60" w:type="dxa"/>
              <w:right w:w="100" w:type="dxa"/>
            </w:tcMar>
          </w:tcPr>
          <w:p w14:paraId="54285DD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Xiaozhe et al. 2022</w:t>
            </w:r>
          </w:p>
        </w:tc>
        <w:tc>
          <w:tcPr>
            <w:tcW w:w="4923" w:type="dxa"/>
            <w:tcMar>
              <w:top w:w="60" w:type="dxa"/>
              <w:left w:w="100" w:type="dxa"/>
              <w:bottom w:w="60" w:type="dxa"/>
              <w:right w:w="100" w:type="dxa"/>
            </w:tcMar>
          </w:tcPr>
          <w:p w14:paraId="2BA4C7F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Pyridoxine Is Effective for Preventing Hand-Foot Syndrome Induced by Pegylated Liposomal Doxorubicin for Multiple Myeloma: The Results of a Randomized Study</w:t>
            </w:r>
          </w:p>
        </w:tc>
        <w:tc>
          <w:tcPr>
            <w:tcW w:w="6537" w:type="dxa"/>
            <w:tcMar>
              <w:top w:w="60" w:type="dxa"/>
              <w:left w:w="100" w:type="dxa"/>
              <w:bottom w:w="60" w:type="dxa"/>
              <w:right w:w="100" w:type="dxa"/>
            </w:tcMar>
          </w:tcPr>
          <w:p w14:paraId="6B99084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improved symptoms.</w:t>
            </w:r>
          </w:p>
        </w:tc>
      </w:tr>
      <w:tr w:rsidR="00EA496D" w:rsidRPr="00F56AD6" w14:paraId="5A88EBB6" w14:textId="77777777" w:rsidTr="00EA496D">
        <w:tc>
          <w:tcPr>
            <w:tcW w:w="846" w:type="dxa"/>
            <w:tcMar>
              <w:top w:w="60" w:type="dxa"/>
              <w:left w:w="100" w:type="dxa"/>
              <w:bottom w:w="60" w:type="dxa"/>
              <w:right w:w="100" w:type="dxa"/>
            </w:tcMar>
          </w:tcPr>
          <w:p w14:paraId="067D4F0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495</w:t>
            </w:r>
          </w:p>
        </w:tc>
        <w:tc>
          <w:tcPr>
            <w:tcW w:w="2094" w:type="dxa"/>
            <w:tcMar>
              <w:top w:w="60" w:type="dxa"/>
              <w:left w:w="100" w:type="dxa"/>
              <w:bottom w:w="60" w:type="dxa"/>
              <w:right w:w="100" w:type="dxa"/>
            </w:tcMar>
          </w:tcPr>
          <w:p w14:paraId="104D93E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Xie et al. 2023</w:t>
            </w:r>
          </w:p>
        </w:tc>
        <w:tc>
          <w:tcPr>
            <w:tcW w:w="4923" w:type="dxa"/>
            <w:tcMar>
              <w:top w:w="60" w:type="dxa"/>
              <w:left w:w="100" w:type="dxa"/>
              <w:bottom w:w="60" w:type="dxa"/>
              <w:right w:w="100" w:type="dxa"/>
            </w:tcMar>
          </w:tcPr>
          <w:p w14:paraId="0B303FB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Dietary supplementation of pyridoxine can enhance the growth performance and improve the protein, lipid utilization efficiency of mandarin fish (Siniperca chuatsi)</w:t>
            </w:r>
          </w:p>
        </w:tc>
        <w:tc>
          <w:tcPr>
            <w:tcW w:w="6537" w:type="dxa"/>
            <w:tcMar>
              <w:top w:w="60" w:type="dxa"/>
              <w:left w:w="100" w:type="dxa"/>
              <w:bottom w:w="60" w:type="dxa"/>
              <w:right w:w="100" w:type="dxa"/>
            </w:tcMar>
          </w:tcPr>
          <w:p w14:paraId="550922C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fish grew from B6 supplementation.</w:t>
            </w:r>
          </w:p>
        </w:tc>
      </w:tr>
      <w:tr w:rsidR="00EA496D" w:rsidRPr="00F56AD6" w14:paraId="66D763E3" w14:textId="77777777" w:rsidTr="00EA496D">
        <w:tc>
          <w:tcPr>
            <w:tcW w:w="846" w:type="dxa"/>
            <w:tcMar>
              <w:top w:w="60" w:type="dxa"/>
              <w:left w:w="100" w:type="dxa"/>
              <w:bottom w:w="60" w:type="dxa"/>
              <w:right w:w="100" w:type="dxa"/>
            </w:tcMar>
          </w:tcPr>
          <w:p w14:paraId="51C78BC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496</w:t>
            </w:r>
          </w:p>
        </w:tc>
        <w:tc>
          <w:tcPr>
            <w:tcW w:w="2094" w:type="dxa"/>
            <w:tcMar>
              <w:top w:w="60" w:type="dxa"/>
              <w:left w:w="100" w:type="dxa"/>
              <w:bottom w:w="60" w:type="dxa"/>
              <w:right w:w="100" w:type="dxa"/>
            </w:tcMar>
          </w:tcPr>
          <w:p w14:paraId="6F49D88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Xiong et al. 2023</w:t>
            </w:r>
          </w:p>
        </w:tc>
        <w:tc>
          <w:tcPr>
            <w:tcW w:w="4923" w:type="dxa"/>
            <w:tcMar>
              <w:top w:w="60" w:type="dxa"/>
              <w:left w:w="100" w:type="dxa"/>
              <w:bottom w:w="60" w:type="dxa"/>
              <w:right w:w="100" w:type="dxa"/>
            </w:tcMar>
          </w:tcPr>
          <w:p w14:paraId="7F05D78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Folate, vitamin B(6), and vitamin B(12) intakes are negatively associated with the prevalence of hypertension: A national population-based study</w:t>
            </w:r>
          </w:p>
        </w:tc>
        <w:tc>
          <w:tcPr>
            <w:tcW w:w="6537" w:type="dxa"/>
            <w:tcMar>
              <w:top w:w="60" w:type="dxa"/>
              <w:left w:w="100" w:type="dxa"/>
              <w:bottom w:w="60" w:type="dxa"/>
              <w:right w:w="100" w:type="dxa"/>
            </w:tcMar>
          </w:tcPr>
          <w:p w14:paraId="1E2AB11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shows benefits of B6 for hypertension.</w:t>
            </w:r>
          </w:p>
        </w:tc>
      </w:tr>
      <w:tr w:rsidR="00EA496D" w:rsidRPr="00F56AD6" w14:paraId="73AE0C65" w14:textId="77777777" w:rsidTr="00EA496D">
        <w:tc>
          <w:tcPr>
            <w:tcW w:w="846" w:type="dxa"/>
            <w:tcMar>
              <w:top w:w="60" w:type="dxa"/>
              <w:left w:w="100" w:type="dxa"/>
              <w:bottom w:w="60" w:type="dxa"/>
              <w:right w:w="100" w:type="dxa"/>
            </w:tcMar>
          </w:tcPr>
          <w:p w14:paraId="701FFAB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497</w:t>
            </w:r>
          </w:p>
        </w:tc>
        <w:tc>
          <w:tcPr>
            <w:tcW w:w="2094" w:type="dxa"/>
            <w:tcMar>
              <w:top w:w="60" w:type="dxa"/>
              <w:left w:w="100" w:type="dxa"/>
              <w:bottom w:w="60" w:type="dxa"/>
              <w:right w:w="100" w:type="dxa"/>
            </w:tcMar>
          </w:tcPr>
          <w:p w14:paraId="15E1427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Xu et al. 2022</w:t>
            </w:r>
          </w:p>
        </w:tc>
        <w:tc>
          <w:tcPr>
            <w:tcW w:w="4923" w:type="dxa"/>
            <w:tcMar>
              <w:top w:w="60" w:type="dxa"/>
              <w:left w:w="100" w:type="dxa"/>
              <w:bottom w:w="60" w:type="dxa"/>
              <w:right w:w="100" w:type="dxa"/>
            </w:tcMar>
          </w:tcPr>
          <w:p w14:paraId="7DC004A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B(9), and B(12) Intakes and Cognitive Performance in Elders: National Health and Nutrition Examination Survey, 2011-2014</w:t>
            </w:r>
          </w:p>
        </w:tc>
        <w:tc>
          <w:tcPr>
            <w:tcW w:w="6537" w:type="dxa"/>
            <w:tcMar>
              <w:top w:w="60" w:type="dxa"/>
              <w:left w:w="100" w:type="dxa"/>
              <w:bottom w:w="60" w:type="dxa"/>
              <w:right w:w="100" w:type="dxa"/>
            </w:tcMar>
          </w:tcPr>
          <w:p w14:paraId="4A7E8B2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was not found to have a correlation in conclusions. Wrong direction of effect - looking at B6 improving cog. per.</w:t>
            </w:r>
          </w:p>
        </w:tc>
      </w:tr>
      <w:tr w:rsidR="00EA496D" w:rsidRPr="00F56AD6" w14:paraId="7C881435" w14:textId="77777777" w:rsidTr="00EA496D">
        <w:tc>
          <w:tcPr>
            <w:tcW w:w="846" w:type="dxa"/>
            <w:tcMar>
              <w:top w:w="60" w:type="dxa"/>
              <w:left w:w="100" w:type="dxa"/>
              <w:bottom w:w="60" w:type="dxa"/>
              <w:right w:w="100" w:type="dxa"/>
            </w:tcMar>
          </w:tcPr>
          <w:p w14:paraId="771E70B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498</w:t>
            </w:r>
          </w:p>
        </w:tc>
        <w:tc>
          <w:tcPr>
            <w:tcW w:w="2094" w:type="dxa"/>
            <w:tcMar>
              <w:top w:w="60" w:type="dxa"/>
              <w:left w:w="100" w:type="dxa"/>
              <w:bottom w:w="60" w:type="dxa"/>
              <w:right w:w="100" w:type="dxa"/>
            </w:tcMar>
          </w:tcPr>
          <w:p w14:paraId="65D7A17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Xu et al. 2024</w:t>
            </w:r>
          </w:p>
        </w:tc>
        <w:tc>
          <w:tcPr>
            <w:tcW w:w="4923" w:type="dxa"/>
            <w:tcMar>
              <w:top w:w="60" w:type="dxa"/>
              <w:left w:w="100" w:type="dxa"/>
              <w:bottom w:w="60" w:type="dxa"/>
              <w:right w:w="100" w:type="dxa"/>
            </w:tcMar>
          </w:tcPr>
          <w:p w14:paraId="1C59D22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Analysis of differentially expressed proteins in lymph fluids related to lymphatic metastasis in a breast cancer rabbit model guided by contrast</w:t>
            </w:r>
            <w:r w:rsidRPr="00F56AD6">
              <w:rPr>
                <w:rFonts w:ascii="Cambria Math" w:hAnsi="Cambria Math" w:cs="Cambria Math"/>
                <w:sz w:val="20"/>
              </w:rPr>
              <w:t>‑</w:t>
            </w:r>
            <w:r w:rsidRPr="00F56AD6">
              <w:rPr>
                <w:rFonts w:asciiTheme="minorHAnsi" w:hAnsiTheme="minorHAnsi" w:cstheme="minorHAnsi"/>
                <w:sz w:val="20"/>
              </w:rPr>
              <w:t>enhanced ultrasound</w:t>
            </w:r>
          </w:p>
        </w:tc>
        <w:tc>
          <w:tcPr>
            <w:tcW w:w="6537" w:type="dxa"/>
            <w:tcMar>
              <w:top w:w="60" w:type="dxa"/>
              <w:left w:w="100" w:type="dxa"/>
              <w:bottom w:w="60" w:type="dxa"/>
              <w:right w:w="100" w:type="dxa"/>
            </w:tcMar>
          </w:tcPr>
          <w:p w14:paraId="3CE01B6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focus/topic - breast cancer in rabbits. B6 mechanism mentioned in passing.</w:t>
            </w:r>
          </w:p>
        </w:tc>
      </w:tr>
      <w:tr w:rsidR="00EA496D" w:rsidRPr="00F56AD6" w14:paraId="1274C53D" w14:textId="77777777" w:rsidTr="00EA496D">
        <w:tc>
          <w:tcPr>
            <w:tcW w:w="846" w:type="dxa"/>
            <w:tcMar>
              <w:top w:w="60" w:type="dxa"/>
              <w:left w:w="100" w:type="dxa"/>
              <w:bottom w:w="60" w:type="dxa"/>
              <w:right w:w="100" w:type="dxa"/>
            </w:tcMar>
          </w:tcPr>
          <w:p w14:paraId="0B7C34A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499</w:t>
            </w:r>
          </w:p>
        </w:tc>
        <w:tc>
          <w:tcPr>
            <w:tcW w:w="2094" w:type="dxa"/>
            <w:tcMar>
              <w:top w:w="60" w:type="dxa"/>
              <w:left w:w="100" w:type="dxa"/>
              <w:bottom w:w="60" w:type="dxa"/>
              <w:right w:w="100" w:type="dxa"/>
            </w:tcMar>
          </w:tcPr>
          <w:p w14:paraId="36FBFC9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Xu et al. 2025</w:t>
            </w:r>
          </w:p>
        </w:tc>
        <w:tc>
          <w:tcPr>
            <w:tcW w:w="4923" w:type="dxa"/>
            <w:tcMar>
              <w:top w:w="60" w:type="dxa"/>
              <w:left w:w="100" w:type="dxa"/>
              <w:bottom w:w="60" w:type="dxa"/>
              <w:right w:w="100" w:type="dxa"/>
            </w:tcMar>
          </w:tcPr>
          <w:p w14:paraId="7C1659F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resensitizes mcr-carrying Gram-negative bacteria to colistin</w:t>
            </w:r>
          </w:p>
        </w:tc>
        <w:tc>
          <w:tcPr>
            <w:tcW w:w="6537" w:type="dxa"/>
            <w:tcMar>
              <w:top w:w="60" w:type="dxa"/>
              <w:left w:w="100" w:type="dxa"/>
              <w:bottom w:w="60" w:type="dxa"/>
              <w:right w:w="100" w:type="dxa"/>
            </w:tcMar>
          </w:tcPr>
          <w:p w14:paraId="00853CA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focus/topic - B6 affected in study but not related to B6 toxicity.</w:t>
            </w:r>
          </w:p>
        </w:tc>
      </w:tr>
      <w:tr w:rsidR="00EA496D" w:rsidRPr="00F56AD6" w14:paraId="727E07AB" w14:textId="77777777" w:rsidTr="00EA496D">
        <w:tc>
          <w:tcPr>
            <w:tcW w:w="846" w:type="dxa"/>
            <w:tcMar>
              <w:top w:w="60" w:type="dxa"/>
              <w:left w:w="100" w:type="dxa"/>
              <w:bottom w:w="60" w:type="dxa"/>
              <w:right w:w="100" w:type="dxa"/>
            </w:tcMar>
          </w:tcPr>
          <w:p w14:paraId="24BF5E3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500</w:t>
            </w:r>
          </w:p>
        </w:tc>
        <w:tc>
          <w:tcPr>
            <w:tcW w:w="2094" w:type="dxa"/>
            <w:tcMar>
              <w:top w:w="60" w:type="dxa"/>
              <w:left w:w="100" w:type="dxa"/>
              <w:bottom w:w="60" w:type="dxa"/>
              <w:right w:w="100" w:type="dxa"/>
            </w:tcMar>
          </w:tcPr>
          <w:p w14:paraId="5C8E845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Xue et al. 2024</w:t>
            </w:r>
          </w:p>
        </w:tc>
        <w:tc>
          <w:tcPr>
            <w:tcW w:w="4923" w:type="dxa"/>
            <w:tcMar>
              <w:top w:w="60" w:type="dxa"/>
              <w:left w:w="100" w:type="dxa"/>
              <w:bottom w:w="60" w:type="dxa"/>
              <w:right w:w="100" w:type="dxa"/>
            </w:tcMar>
          </w:tcPr>
          <w:p w14:paraId="6278C93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Pyridoxine supplementation before puberty ameliorates MAM-induced cognitive and sensorimotor gating impairments</w:t>
            </w:r>
          </w:p>
        </w:tc>
        <w:tc>
          <w:tcPr>
            <w:tcW w:w="6537" w:type="dxa"/>
            <w:tcMar>
              <w:top w:w="60" w:type="dxa"/>
              <w:left w:w="100" w:type="dxa"/>
              <w:bottom w:w="60" w:type="dxa"/>
              <w:right w:w="100" w:type="dxa"/>
            </w:tcMar>
          </w:tcPr>
          <w:p w14:paraId="4ECB90C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benefit of B6 supplementation for cognitive etc. impairments.</w:t>
            </w:r>
          </w:p>
        </w:tc>
      </w:tr>
      <w:tr w:rsidR="00EA496D" w:rsidRPr="00F56AD6" w14:paraId="6FC79812" w14:textId="77777777" w:rsidTr="00EA496D">
        <w:tc>
          <w:tcPr>
            <w:tcW w:w="846" w:type="dxa"/>
            <w:tcMar>
              <w:top w:w="60" w:type="dxa"/>
              <w:left w:w="100" w:type="dxa"/>
              <w:bottom w:w="60" w:type="dxa"/>
              <w:right w:w="100" w:type="dxa"/>
            </w:tcMar>
          </w:tcPr>
          <w:p w14:paraId="67F9221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501</w:t>
            </w:r>
          </w:p>
        </w:tc>
        <w:tc>
          <w:tcPr>
            <w:tcW w:w="2094" w:type="dxa"/>
            <w:tcMar>
              <w:top w:w="60" w:type="dxa"/>
              <w:left w:w="100" w:type="dxa"/>
              <w:bottom w:w="60" w:type="dxa"/>
              <w:right w:w="100" w:type="dxa"/>
            </w:tcMar>
          </w:tcPr>
          <w:p w14:paraId="5B9E50B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Xue 2023</w:t>
            </w:r>
          </w:p>
        </w:tc>
        <w:tc>
          <w:tcPr>
            <w:tcW w:w="4923" w:type="dxa"/>
            <w:tcMar>
              <w:top w:w="60" w:type="dxa"/>
              <w:left w:w="100" w:type="dxa"/>
              <w:bottom w:w="60" w:type="dxa"/>
              <w:right w:w="100" w:type="dxa"/>
            </w:tcMar>
          </w:tcPr>
          <w:p w14:paraId="638BF77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Investigation of enzymatic quality and quantity using pyridoxal 5'-phosphate (PLP) regeneration system as a decoy in Escherichia coli</w:t>
            </w:r>
          </w:p>
        </w:tc>
        <w:tc>
          <w:tcPr>
            <w:tcW w:w="6537" w:type="dxa"/>
            <w:tcMar>
              <w:top w:w="60" w:type="dxa"/>
              <w:left w:w="100" w:type="dxa"/>
              <w:bottom w:w="60" w:type="dxa"/>
              <w:right w:w="100" w:type="dxa"/>
            </w:tcMar>
          </w:tcPr>
          <w:p w14:paraId="0BA2634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population: in vitro. Wrong focus - enzyme quality from B6 related system.</w:t>
            </w:r>
          </w:p>
        </w:tc>
      </w:tr>
      <w:tr w:rsidR="00EA496D" w:rsidRPr="00F56AD6" w14:paraId="0303D5EF" w14:textId="77777777" w:rsidTr="00EA496D">
        <w:tc>
          <w:tcPr>
            <w:tcW w:w="846" w:type="dxa"/>
            <w:tcMar>
              <w:top w:w="60" w:type="dxa"/>
              <w:left w:w="100" w:type="dxa"/>
              <w:bottom w:w="60" w:type="dxa"/>
              <w:right w:w="100" w:type="dxa"/>
            </w:tcMar>
          </w:tcPr>
          <w:p w14:paraId="5721DF5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502</w:t>
            </w:r>
          </w:p>
        </w:tc>
        <w:tc>
          <w:tcPr>
            <w:tcW w:w="2094" w:type="dxa"/>
            <w:tcMar>
              <w:top w:w="60" w:type="dxa"/>
              <w:left w:w="100" w:type="dxa"/>
              <w:bottom w:w="60" w:type="dxa"/>
              <w:right w:w="100" w:type="dxa"/>
            </w:tcMar>
          </w:tcPr>
          <w:p w14:paraId="4982606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Xue et al. 2024</w:t>
            </w:r>
          </w:p>
        </w:tc>
        <w:tc>
          <w:tcPr>
            <w:tcW w:w="4923" w:type="dxa"/>
            <w:tcMar>
              <w:top w:w="60" w:type="dxa"/>
              <w:left w:w="100" w:type="dxa"/>
              <w:bottom w:w="60" w:type="dxa"/>
              <w:right w:w="100" w:type="dxa"/>
            </w:tcMar>
          </w:tcPr>
          <w:p w14:paraId="29BA228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 marine environmental microbiome mediates physiological outcomes in host nematodes</w:t>
            </w:r>
          </w:p>
        </w:tc>
        <w:tc>
          <w:tcPr>
            <w:tcW w:w="6537" w:type="dxa"/>
            <w:tcMar>
              <w:top w:w="60" w:type="dxa"/>
              <w:left w:w="100" w:type="dxa"/>
              <w:bottom w:w="60" w:type="dxa"/>
              <w:right w:w="100" w:type="dxa"/>
            </w:tcMar>
          </w:tcPr>
          <w:p w14:paraId="64CC0C6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B6 accelerated growth in fish.</w:t>
            </w:r>
          </w:p>
        </w:tc>
      </w:tr>
      <w:tr w:rsidR="00EA496D" w:rsidRPr="00F56AD6" w14:paraId="5C053D6B" w14:textId="77777777" w:rsidTr="00EA496D">
        <w:tc>
          <w:tcPr>
            <w:tcW w:w="846" w:type="dxa"/>
            <w:tcMar>
              <w:top w:w="60" w:type="dxa"/>
              <w:left w:w="100" w:type="dxa"/>
              <w:bottom w:w="60" w:type="dxa"/>
              <w:right w:w="100" w:type="dxa"/>
            </w:tcMar>
          </w:tcPr>
          <w:p w14:paraId="4532EC7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503</w:t>
            </w:r>
          </w:p>
        </w:tc>
        <w:tc>
          <w:tcPr>
            <w:tcW w:w="2094" w:type="dxa"/>
            <w:tcMar>
              <w:top w:w="60" w:type="dxa"/>
              <w:left w:w="100" w:type="dxa"/>
              <w:bottom w:w="60" w:type="dxa"/>
              <w:right w:w="100" w:type="dxa"/>
            </w:tcMar>
          </w:tcPr>
          <w:p w14:paraId="4DA7803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Yan et al. 2024</w:t>
            </w:r>
          </w:p>
        </w:tc>
        <w:tc>
          <w:tcPr>
            <w:tcW w:w="4923" w:type="dxa"/>
            <w:tcMar>
              <w:top w:w="60" w:type="dxa"/>
              <w:left w:w="100" w:type="dxa"/>
              <w:bottom w:w="60" w:type="dxa"/>
              <w:right w:w="100" w:type="dxa"/>
            </w:tcMar>
          </w:tcPr>
          <w:p w14:paraId="2DEF3BD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Disrupted de novo pyrimidine biosynthesis impairs adult hippocampal neurogenesis and cognition in pyridoxine-dependent epilepsy</w:t>
            </w:r>
          </w:p>
        </w:tc>
        <w:tc>
          <w:tcPr>
            <w:tcW w:w="6537" w:type="dxa"/>
            <w:tcMar>
              <w:top w:w="60" w:type="dxa"/>
              <w:left w:w="100" w:type="dxa"/>
              <w:bottom w:w="60" w:type="dxa"/>
              <w:right w:w="100" w:type="dxa"/>
            </w:tcMar>
          </w:tcPr>
          <w:p w14:paraId="4DD769D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focus - study says we need more than B6 to treat illness.</w:t>
            </w:r>
          </w:p>
        </w:tc>
      </w:tr>
      <w:tr w:rsidR="00EA496D" w:rsidRPr="00F56AD6" w14:paraId="1F66104F" w14:textId="77777777" w:rsidTr="00EA496D">
        <w:tc>
          <w:tcPr>
            <w:tcW w:w="846" w:type="dxa"/>
            <w:tcMar>
              <w:top w:w="60" w:type="dxa"/>
              <w:left w:w="100" w:type="dxa"/>
              <w:bottom w:w="60" w:type="dxa"/>
              <w:right w:w="100" w:type="dxa"/>
            </w:tcMar>
          </w:tcPr>
          <w:p w14:paraId="50120E8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504</w:t>
            </w:r>
          </w:p>
        </w:tc>
        <w:tc>
          <w:tcPr>
            <w:tcW w:w="2094" w:type="dxa"/>
            <w:tcMar>
              <w:top w:w="60" w:type="dxa"/>
              <w:left w:w="100" w:type="dxa"/>
              <w:bottom w:w="60" w:type="dxa"/>
              <w:right w:w="100" w:type="dxa"/>
            </w:tcMar>
          </w:tcPr>
          <w:p w14:paraId="5FC551D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Yan et al. 2025</w:t>
            </w:r>
          </w:p>
        </w:tc>
        <w:tc>
          <w:tcPr>
            <w:tcW w:w="4923" w:type="dxa"/>
            <w:tcMar>
              <w:top w:w="60" w:type="dxa"/>
              <w:left w:w="100" w:type="dxa"/>
              <w:bottom w:w="60" w:type="dxa"/>
              <w:right w:w="100" w:type="dxa"/>
            </w:tcMar>
          </w:tcPr>
          <w:p w14:paraId="2FE2D49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Alleviates Aflatoxin B1-Induced Impairment of Testis Development by Activating the PI3K/Akt Signaling Pathway</w:t>
            </w:r>
          </w:p>
        </w:tc>
        <w:tc>
          <w:tcPr>
            <w:tcW w:w="6537" w:type="dxa"/>
            <w:tcMar>
              <w:top w:w="60" w:type="dxa"/>
              <w:left w:w="100" w:type="dxa"/>
              <w:bottom w:w="60" w:type="dxa"/>
              <w:right w:w="100" w:type="dxa"/>
            </w:tcMar>
          </w:tcPr>
          <w:p w14:paraId="2C038DD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benefit of B6 supplementation not toxicity.</w:t>
            </w:r>
          </w:p>
        </w:tc>
      </w:tr>
      <w:tr w:rsidR="00EA496D" w:rsidRPr="00F56AD6" w14:paraId="1FD4769C" w14:textId="77777777" w:rsidTr="00EA496D">
        <w:tc>
          <w:tcPr>
            <w:tcW w:w="846" w:type="dxa"/>
            <w:tcMar>
              <w:top w:w="60" w:type="dxa"/>
              <w:left w:w="100" w:type="dxa"/>
              <w:bottom w:w="60" w:type="dxa"/>
              <w:right w:w="100" w:type="dxa"/>
            </w:tcMar>
          </w:tcPr>
          <w:p w14:paraId="298C62F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505</w:t>
            </w:r>
          </w:p>
        </w:tc>
        <w:tc>
          <w:tcPr>
            <w:tcW w:w="2094" w:type="dxa"/>
            <w:tcMar>
              <w:top w:w="60" w:type="dxa"/>
              <w:left w:w="100" w:type="dxa"/>
              <w:bottom w:w="60" w:type="dxa"/>
              <w:right w:w="100" w:type="dxa"/>
            </w:tcMar>
          </w:tcPr>
          <w:p w14:paraId="09BC92E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Yang et al. 2024</w:t>
            </w:r>
          </w:p>
        </w:tc>
        <w:tc>
          <w:tcPr>
            <w:tcW w:w="4923" w:type="dxa"/>
            <w:tcMar>
              <w:top w:w="60" w:type="dxa"/>
              <w:left w:w="100" w:type="dxa"/>
              <w:bottom w:w="60" w:type="dxa"/>
              <w:right w:w="100" w:type="dxa"/>
            </w:tcMar>
          </w:tcPr>
          <w:p w14:paraId="225BF86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Effects of Exposure to Different Types of Metal-Organic Framework Nanoparticles on the Gut Microbiota and Liver Metabolism of Adult Zebrafish</w:t>
            </w:r>
          </w:p>
        </w:tc>
        <w:tc>
          <w:tcPr>
            <w:tcW w:w="6537" w:type="dxa"/>
            <w:tcMar>
              <w:top w:w="60" w:type="dxa"/>
              <w:left w:w="100" w:type="dxa"/>
              <w:bottom w:w="60" w:type="dxa"/>
              <w:right w:w="100" w:type="dxa"/>
            </w:tcMar>
          </w:tcPr>
          <w:p w14:paraId="3D55CE3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focus - effect of B6 from MOF NP in fish.</w:t>
            </w:r>
          </w:p>
        </w:tc>
      </w:tr>
      <w:tr w:rsidR="00EA496D" w:rsidRPr="00F56AD6" w14:paraId="37548846" w14:textId="77777777" w:rsidTr="00EA496D">
        <w:tc>
          <w:tcPr>
            <w:tcW w:w="846" w:type="dxa"/>
            <w:tcMar>
              <w:top w:w="60" w:type="dxa"/>
              <w:left w:w="100" w:type="dxa"/>
              <w:bottom w:w="60" w:type="dxa"/>
              <w:right w:w="100" w:type="dxa"/>
            </w:tcMar>
          </w:tcPr>
          <w:p w14:paraId="34D710B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506</w:t>
            </w:r>
          </w:p>
        </w:tc>
        <w:tc>
          <w:tcPr>
            <w:tcW w:w="2094" w:type="dxa"/>
            <w:tcMar>
              <w:top w:w="60" w:type="dxa"/>
              <w:left w:w="100" w:type="dxa"/>
              <w:bottom w:w="60" w:type="dxa"/>
              <w:right w:w="100" w:type="dxa"/>
            </w:tcMar>
          </w:tcPr>
          <w:p w14:paraId="39A938B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Yasuda et al. 2022</w:t>
            </w:r>
          </w:p>
        </w:tc>
        <w:tc>
          <w:tcPr>
            <w:tcW w:w="4923" w:type="dxa"/>
            <w:tcMar>
              <w:top w:w="60" w:type="dxa"/>
              <w:left w:w="100" w:type="dxa"/>
              <w:bottom w:w="60" w:type="dxa"/>
              <w:right w:w="100" w:type="dxa"/>
            </w:tcMar>
          </w:tcPr>
          <w:p w14:paraId="2BF17E1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deficiency as a cause of polyneuropathy in POEMS syndrome: rapid recovery with supplementation in two cases</w:t>
            </w:r>
          </w:p>
        </w:tc>
        <w:tc>
          <w:tcPr>
            <w:tcW w:w="6537" w:type="dxa"/>
            <w:tcMar>
              <w:top w:w="60" w:type="dxa"/>
              <w:left w:w="100" w:type="dxa"/>
              <w:bottom w:w="60" w:type="dxa"/>
              <w:right w:w="100" w:type="dxa"/>
            </w:tcMar>
          </w:tcPr>
          <w:p w14:paraId="6A7F791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polyneuropathy treated with B6 supplementation.</w:t>
            </w:r>
          </w:p>
        </w:tc>
      </w:tr>
      <w:tr w:rsidR="00EA496D" w:rsidRPr="00F56AD6" w14:paraId="3B490333" w14:textId="77777777" w:rsidTr="00EA496D">
        <w:tc>
          <w:tcPr>
            <w:tcW w:w="846" w:type="dxa"/>
            <w:tcMar>
              <w:top w:w="60" w:type="dxa"/>
              <w:left w:w="100" w:type="dxa"/>
              <w:bottom w:w="60" w:type="dxa"/>
              <w:right w:w="100" w:type="dxa"/>
            </w:tcMar>
          </w:tcPr>
          <w:p w14:paraId="40FCAC0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507</w:t>
            </w:r>
          </w:p>
        </w:tc>
        <w:tc>
          <w:tcPr>
            <w:tcW w:w="2094" w:type="dxa"/>
            <w:tcMar>
              <w:top w:w="60" w:type="dxa"/>
              <w:left w:w="100" w:type="dxa"/>
              <w:bottom w:w="60" w:type="dxa"/>
              <w:right w:w="100" w:type="dxa"/>
            </w:tcMar>
          </w:tcPr>
          <w:p w14:paraId="385FCCF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Yasuda et al. 2022</w:t>
            </w:r>
          </w:p>
        </w:tc>
        <w:tc>
          <w:tcPr>
            <w:tcW w:w="4923" w:type="dxa"/>
            <w:tcMar>
              <w:top w:w="60" w:type="dxa"/>
              <w:left w:w="100" w:type="dxa"/>
              <w:bottom w:w="60" w:type="dxa"/>
              <w:right w:w="100" w:type="dxa"/>
            </w:tcMar>
          </w:tcPr>
          <w:p w14:paraId="4E475D2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Deficiency Anemia Attributed to Levodopa/Carbidopa Intestinal Gel Therapy for Parkinson's Disease: A Diagnostic Pitfall for Myelodysplastic Syndrome with Ring Sideroblasts</w:t>
            </w:r>
          </w:p>
        </w:tc>
        <w:tc>
          <w:tcPr>
            <w:tcW w:w="6537" w:type="dxa"/>
            <w:tcMar>
              <w:top w:w="60" w:type="dxa"/>
              <w:left w:w="100" w:type="dxa"/>
              <w:bottom w:w="60" w:type="dxa"/>
              <w:right w:w="100" w:type="dxa"/>
            </w:tcMar>
          </w:tcPr>
          <w:p w14:paraId="22CD5BD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benefits of B6 supplementation.</w:t>
            </w:r>
          </w:p>
        </w:tc>
      </w:tr>
      <w:tr w:rsidR="00EA496D" w:rsidRPr="00F56AD6" w14:paraId="04276B31" w14:textId="77777777" w:rsidTr="00EA496D">
        <w:tc>
          <w:tcPr>
            <w:tcW w:w="846" w:type="dxa"/>
            <w:tcMar>
              <w:top w:w="60" w:type="dxa"/>
              <w:left w:w="100" w:type="dxa"/>
              <w:bottom w:w="60" w:type="dxa"/>
              <w:right w:w="100" w:type="dxa"/>
            </w:tcMar>
          </w:tcPr>
          <w:p w14:paraId="7B0C88E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508</w:t>
            </w:r>
          </w:p>
        </w:tc>
        <w:tc>
          <w:tcPr>
            <w:tcW w:w="2094" w:type="dxa"/>
            <w:tcMar>
              <w:top w:w="60" w:type="dxa"/>
              <w:left w:w="100" w:type="dxa"/>
              <w:bottom w:w="60" w:type="dxa"/>
              <w:right w:w="100" w:type="dxa"/>
            </w:tcMar>
          </w:tcPr>
          <w:p w14:paraId="2AEDDE4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Yin et al. 2025</w:t>
            </w:r>
          </w:p>
        </w:tc>
        <w:tc>
          <w:tcPr>
            <w:tcW w:w="4923" w:type="dxa"/>
            <w:tcMar>
              <w:top w:w="60" w:type="dxa"/>
              <w:left w:w="100" w:type="dxa"/>
              <w:bottom w:w="60" w:type="dxa"/>
              <w:right w:w="100" w:type="dxa"/>
            </w:tcMar>
          </w:tcPr>
          <w:p w14:paraId="02758FD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Integrative analysis of microbiome and metabolome reveals the effect of deoxynivalenol on growth performance, liver and intestinal health of largemouth bass (Micropterus salmoides)</w:t>
            </w:r>
          </w:p>
        </w:tc>
        <w:tc>
          <w:tcPr>
            <w:tcW w:w="6537" w:type="dxa"/>
            <w:tcMar>
              <w:top w:w="60" w:type="dxa"/>
              <w:left w:w="100" w:type="dxa"/>
              <w:bottom w:w="60" w:type="dxa"/>
              <w:right w:w="100" w:type="dxa"/>
            </w:tcMar>
          </w:tcPr>
          <w:p w14:paraId="731B94C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focus of discussion - B6 as a biomarker.</w:t>
            </w:r>
          </w:p>
        </w:tc>
      </w:tr>
      <w:tr w:rsidR="00EA496D" w:rsidRPr="00F56AD6" w14:paraId="2A6596B9" w14:textId="77777777" w:rsidTr="00EA496D">
        <w:tc>
          <w:tcPr>
            <w:tcW w:w="846" w:type="dxa"/>
            <w:tcMar>
              <w:top w:w="60" w:type="dxa"/>
              <w:left w:w="100" w:type="dxa"/>
              <w:bottom w:w="60" w:type="dxa"/>
              <w:right w:w="100" w:type="dxa"/>
            </w:tcMar>
          </w:tcPr>
          <w:p w14:paraId="7747F98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509</w:t>
            </w:r>
          </w:p>
        </w:tc>
        <w:tc>
          <w:tcPr>
            <w:tcW w:w="2094" w:type="dxa"/>
            <w:tcMar>
              <w:top w:w="60" w:type="dxa"/>
              <w:left w:w="100" w:type="dxa"/>
              <w:bottom w:w="60" w:type="dxa"/>
              <w:right w:w="100" w:type="dxa"/>
            </w:tcMar>
          </w:tcPr>
          <w:p w14:paraId="1F3DDD1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Yu et al. 2024</w:t>
            </w:r>
          </w:p>
        </w:tc>
        <w:tc>
          <w:tcPr>
            <w:tcW w:w="4923" w:type="dxa"/>
            <w:tcMar>
              <w:top w:w="60" w:type="dxa"/>
              <w:left w:w="100" w:type="dxa"/>
              <w:bottom w:w="60" w:type="dxa"/>
              <w:right w:w="100" w:type="dxa"/>
            </w:tcMar>
          </w:tcPr>
          <w:p w14:paraId="23574B7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Dietary Pyridoxine Requirements of Coho Salmon (Oncorhynchus kisutch) Post-Smolts</w:t>
            </w:r>
          </w:p>
        </w:tc>
        <w:tc>
          <w:tcPr>
            <w:tcW w:w="6537" w:type="dxa"/>
            <w:tcMar>
              <w:top w:w="60" w:type="dxa"/>
              <w:left w:w="100" w:type="dxa"/>
              <w:bottom w:w="60" w:type="dxa"/>
              <w:right w:w="100" w:type="dxa"/>
            </w:tcMar>
          </w:tcPr>
          <w:p w14:paraId="66F6F01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benefits of supplementing salmon with B6.</w:t>
            </w:r>
          </w:p>
        </w:tc>
      </w:tr>
      <w:tr w:rsidR="00EA496D" w:rsidRPr="00F56AD6" w14:paraId="5DE92C2C" w14:textId="77777777" w:rsidTr="00EA496D">
        <w:tc>
          <w:tcPr>
            <w:tcW w:w="846" w:type="dxa"/>
            <w:tcMar>
              <w:top w:w="60" w:type="dxa"/>
              <w:left w:w="100" w:type="dxa"/>
              <w:bottom w:w="60" w:type="dxa"/>
              <w:right w:w="100" w:type="dxa"/>
            </w:tcMar>
          </w:tcPr>
          <w:p w14:paraId="1653EE0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510</w:t>
            </w:r>
          </w:p>
        </w:tc>
        <w:tc>
          <w:tcPr>
            <w:tcW w:w="2094" w:type="dxa"/>
            <w:tcMar>
              <w:top w:w="60" w:type="dxa"/>
              <w:left w:w="100" w:type="dxa"/>
              <w:bottom w:w="60" w:type="dxa"/>
              <w:right w:w="100" w:type="dxa"/>
            </w:tcMar>
          </w:tcPr>
          <w:p w14:paraId="2CE0676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Yu et al. 2022</w:t>
            </w:r>
          </w:p>
        </w:tc>
        <w:tc>
          <w:tcPr>
            <w:tcW w:w="4923" w:type="dxa"/>
            <w:tcMar>
              <w:top w:w="60" w:type="dxa"/>
              <w:left w:w="100" w:type="dxa"/>
              <w:bottom w:w="60" w:type="dxa"/>
              <w:right w:w="100" w:type="dxa"/>
            </w:tcMar>
          </w:tcPr>
          <w:p w14:paraId="37ECA05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Theoretical study of myriocin-binding mechanism targeting serine palmitoyltransferase</w:t>
            </w:r>
          </w:p>
        </w:tc>
        <w:tc>
          <w:tcPr>
            <w:tcW w:w="6537" w:type="dxa"/>
            <w:tcMar>
              <w:top w:w="60" w:type="dxa"/>
              <w:left w:w="100" w:type="dxa"/>
              <w:bottom w:w="60" w:type="dxa"/>
              <w:right w:w="100" w:type="dxa"/>
            </w:tcMar>
          </w:tcPr>
          <w:p w14:paraId="0BD0A22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focus - biomechanics involving B6 for unrelated binding mechanism.</w:t>
            </w:r>
          </w:p>
        </w:tc>
      </w:tr>
      <w:tr w:rsidR="00EA496D" w:rsidRPr="00F56AD6" w14:paraId="45D7C585" w14:textId="77777777" w:rsidTr="00EA496D">
        <w:tc>
          <w:tcPr>
            <w:tcW w:w="846" w:type="dxa"/>
            <w:tcMar>
              <w:top w:w="60" w:type="dxa"/>
              <w:left w:w="100" w:type="dxa"/>
              <w:bottom w:w="60" w:type="dxa"/>
              <w:right w:w="100" w:type="dxa"/>
            </w:tcMar>
          </w:tcPr>
          <w:p w14:paraId="55507FC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511</w:t>
            </w:r>
          </w:p>
        </w:tc>
        <w:tc>
          <w:tcPr>
            <w:tcW w:w="2094" w:type="dxa"/>
            <w:tcMar>
              <w:top w:w="60" w:type="dxa"/>
              <w:left w:w="100" w:type="dxa"/>
              <w:bottom w:w="60" w:type="dxa"/>
              <w:right w:w="100" w:type="dxa"/>
            </w:tcMar>
          </w:tcPr>
          <w:p w14:paraId="0C43EA4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Yuan et al. 2024</w:t>
            </w:r>
          </w:p>
        </w:tc>
        <w:tc>
          <w:tcPr>
            <w:tcW w:w="4923" w:type="dxa"/>
            <w:tcMar>
              <w:top w:w="60" w:type="dxa"/>
              <w:left w:w="100" w:type="dxa"/>
              <w:bottom w:w="60" w:type="dxa"/>
              <w:right w:w="100" w:type="dxa"/>
            </w:tcMar>
          </w:tcPr>
          <w:p w14:paraId="247FD44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Immunotoxicity of 2-Acetyl-4-tetrahydroxybutylimidazole in BALB/c mice with different vitamin B6 nutritional statuses</w:t>
            </w:r>
          </w:p>
        </w:tc>
        <w:tc>
          <w:tcPr>
            <w:tcW w:w="6537" w:type="dxa"/>
            <w:tcMar>
              <w:top w:w="60" w:type="dxa"/>
              <w:left w:w="100" w:type="dxa"/>
              <w:bottom w:w="60" w:type="dxa"/>
              <w:right w:w="100" w:type="dxa"/>
            </w:tcMar>
          </w:tcPr>
          <w:p w14:paraId="5700696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context - B6 as an independent variable for mouse neurotoxicity.</w:t>
            </w:r>
          </w:p>
        </w:tc>
      </w:tr>
      <w:tr w:rsidR="00EA496D" w:rsidRPr="00F56AD6" w14:paraId="4A6F46F8" w14:textId="77777777" w:rsidTr="00EA496D">
        <w:tc>
          <w:tcPr>
            <w:tcW w:w="846" w:type="dxa"/>
            <w:tcMar>
              <w:top w:w="60" w:type="dxa"/>
              <w:left w:w="100" w:type="dxa"/>
              <w:bottom w:w="60" w:type="dxa"/>
              <w:right w:w="100" w:type="dxa"/>
            </w:tcMar>
          </w:tcPr>
          <w:p w14:paraId="01C14EE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512</w:t>
            </w:r>
          </w:p>
        </w:tc>
        <w:tc>
          <w:tcPr>
            <w:tcW w:w="2094" w:type="dxa"/>
            <w:tcMar>
              <w:top w:w="60" w:type="dxa"/>
              <w:left w:w="100" w:type="dxa"/>
              <w:bottom w:w="60" w:type="dxa"/>
              <w:right w:w="100" w:type="dxa"/>
            </w:tcMar>
          </w:tcPr>
          <w:p w14:paraId="6FFC56E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Yuan et al. 2026</w:t>
            </w:r>
          </w:p>
        </w:tc>
        <w:tc>
          <w:tcPr>
            <w:tcW w:w="4923" w:type="dxa"/>
            <w:tcMar>
              <w:top w:w="60" w:type="dxa"/>
              <w:left w:w="100" w:type="dxa"/>
              <w:bottom w:w="60" w:type="dxa"/>
              <w:right w:w="100" w:type="dxa"/>
            </w:tcMar>
          </w:tcPr>
          <w:p w14:paraId="3E9F6A4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Comparative analysis of brain transcriptomics, intestinal metabolomics and intestinal microbial diversity between two body weight-differentiated groups of mandarin fish (Siniperca chuatsi) after artificial feed acclimation</w:t>
            </w:r>
          </w:p>
        </w:tc>
        <w:tc>
          <w:tcPr>
            <w:tcW w:w="6537" w:type="dxa"/>
            <w:tcMar>
              <w:top w:w="60" w:type="dxa"/>
              <w:left w:w="100" w:type="dxa"/>
              <w:bottom w:w="60" w:type="dxa"/>
              <w:right w:w="100" w:type="dxa"/>
            </w:tcMar>
          </w:tcPr>
          <w:p w14:paraId="04BC64A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focus - nutrients in brain of fish.</w:t>
            </w:r>
          </w:p>
        </w:tc>
      </w:tr>
      <w:tr w:rsidR="00EA496D" w:rsidRPr="00F56AD6" w14:paraId="55855FCC" w14:textId="77777777" w:rsidTr="00EA496D">
        <w:tc>
          <w:tcPr>
            <w:tcW w:w="846" w:type="dxa"/>
            <w:tcMar>
              <w:top w:w="60" w:type="dxa"/>
              <w:left w:w="100" w:type="dxa"/>
              <w:bottom w:w="60" w:type="dxa"/>
              <w:right w:w="100" w:type="dxa"/>
            </w:tcMar>
          </w:tcPr>
          <w:p w14:paraId="2A02772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513</w:t>
            </w:r>
          </w:p>
        </w:tc>
        <w:tc>
          <w:tcPr>
            <w:tcW w:w="2094" w:type="dxa"/>
            <w:tcMar>
              <w:top w:w="60" w:type="dxa"/>
              <w:left w:w="100" w:type="dxa"/>
              <w:bottom w:w="60" w:type="dxa"/>
              <w:right w:w="100" w:type="dxa"/>
            </w:tcMar>
          </w:tcPr>
          <w:p w14:paraId="3BA2E67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Zhang et al. 2023</w:t>
            </w:r>
          </w:p>
        </w:tc>
        <w:tc>
          <w:tcPr>
            <w:tcW w:w="4923" w:type="dxa"/>
            <w:tcMar>
              <w:top w:w="60" w:type="dxa"/>
              <w:left w:w="100" w:type="dxa"/>
              <w:bottom w:w="60" w:type="dxa"/>
              <w:right w:w="100" w:type="dxa"/>
            </w:tcMar>
          </w:tcPr>
          <w:p w14:paraId="736F68D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Associations of dietary folate, vitamin B6 and B12 intake with cardiovascular outcomes in 115664 participants: a large UK population-based cohort</w:t>
            </w:r>
          </w:p>
        </w:tc>
        <w:tc>
          <w:tcPr>
            <w:tcW w:w="6537" w:type="dxa"/>
            <w:tcMar>
              <w:top w:w="60" w:type="dxa"/>
              <w:left w:w="100" w:type="dxa"/>
              <w:bottom w:w="60" w:type="dxa"/>
              <w:right w:w="100" w:type="dxa"/>
            </w:tcMar>
          </w:tcPr>
          <w:p w14:paraId="14171B7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studies benefits of B6 supplementation for CVD not toxicity from excess use.</w:t>
            </w:r>
          </w:p>
        </w:tc>
      </w:tr>
      <w:tr w:rsidR="00EA496D" w:rsidRPr="00F56AD6" w14:paraId="01AA973B" w14:textId="77777777" w:rsidTr="00EA496D">
        <w:tc>
          <w:tcPr>
            <w:tcW w:w="846" w:type="dxa"/>
            <w:tcMar>
              <w:top w:w="60" w:type="dxa"/>
              <w:left w:w="100" w:type="dxa"/>
              <w:bottom w:w="60" w:type="dxa"/>
              <w:right w:w="100" w:type="dxa"/>
            </w:tcMar>
          </w:tcPr>
          <w:p w14:paraId="78B8FE7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514</w:t>
            </w:r>
          </w:p>
        </w:tc>
        <w:tc>
          <w:tcPr>
            <w:tcW w:w="2094" w:type="dxa"/>
            <w:tcMar>
              <w:top w:w="60" w:type="dxa"/>
              <w:left w:w="100" w:type="dxa"/>
              <w:bottom w:w="60" w:type="dxa"/>
              <w:right w:w="100" w:type="dxa"/>
            </w:tcMar>
          </w:tcPr>
          <w:p w14:paraId="6C06B72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Zhang et al. 2024</w:t>
            </w:r>
          </w:p>
        </w:tc>
        <w:tc>
          <w:tcPr>
            <w:tcW w:w="4923" w:type="dxa"/>
            <w:tcMar>
              <w:top w:w="60" w:type="dxa"/>
              <w:left w:w="100" w:type="dxa"/>
              <w:bottom w:w="60" w:type="dxa"/>
              <w:right w:w="100" w:type="dxa"/>
            </w:tcMar>
          </w:tcPr>
          <w:p w14:paraId="58AE301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Plasma vitamin levels and pathway analysis in boys with autism spectrum disorders</w:t>
            </w:r>
          </w:p>
        </w:tc>
        <w:tc>
          <w:tcPr>
            <w:tcW w:w="6537" w:type="dxa"/>
            <w:tcMar>
              <w:top w:w="60" w:type="dxa"/>
              <w:left w:w="100" w:type="dxa"/>
              <w:bottom w:w="60" w:type="dxa"/>
              <w:right w:w="100" w:type="dxa"/>
            </w:tcMar>
          </w:tcPr>
          <w:p w14:paraId="2D78784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and Wrong outcome - studying if B6 supplementation can help ASD in boys, outcome inconclusive (further study needed). Does not relate to toxicity of B6.</w:t>
            </w:r>
          </w:p>
        </w:tc>
      </w:tr>
      <w:tr w:rsidR="00EA496D" w:rsidRPr="00F56AD6" w14:paraId="798397F5" w14:textId="77777777" w:rsidTr="00EA496D">
        <w:tc>
          <w:tcPr>
            <w:tcW w:w="846" w:type="dxa"/>
            <w:tcMar>
              <w:top w:w="60" w:type="dxa"/>
              <w:left w:w="100" w:type="dxa"/>
              <w:bottom w:w="60" w:type="dxa"/>
              <w:right w:w="100" w:type="dxa"/>
            </w:tcMar>
          </w:tcPr>
          <w:p w14:paraId="087873B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515</w:t>
            </w:r>
          </w:p>
        </w:tc>
        <w:tc>
          <w:tcPr>
            <w:tcW w:w="2094" w:type="dxa"/>
            <w:tcMar>
              <w:top w:w="60" w:type="dxa"/>
              <w:left w:w="100" w:type="dxa"/>
              <w:bottom w:w="60" w:type="dxa"/>
              <w:right w:w="100" w:type="dxa"/>
            </w:tcMar>
          </w:tcPr>
          <w:p w14:paraId="0FFB558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Zhang et al. 2025</w:t>
            </w:r>
          </w:p>
        </w:tc>
        <w:tc>
          <w:tcPr>
            <w:tcW w:w="4923" w:type="dxa"/>
            <w:tcMar>
              <w:top w:w="60" w:type="dxa"/>
              <w:left w:w="100" w:type="dxa"/>
              <w:bottom w:w="60" w:type="dxa"/>
              <w:right w:w="100" w:type="dxa"/>
            </w:tcMar>
          </w:tcPr>
          <w:p w14:paraId="380CC8B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Pyridoxal 5'-phosphate and risk of stroke: triangulation of evidence from a nationally representative cohort and bidirectional Mendelian randomization analysis</w:t>
            </w:r>
          </w:p>
        </w:tc>
        <w:tc>
          <w:tcPr>
            <w:tcW w:w="6537" w:type="dxa"/>
            <w:tcMar>
              <w:top w:w="60" w:type="dxa"/>
              <w:left w:w="100" w:type="dxa"/>
              <w:bottom w:w="60" w:type="dxa"/>
              <w:right w:w="100" w:type="dxa"/>
            </w:tcMar>
          </w:tcPr>
          <w:p w14:paraId="5D7C02C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shows how B6 supplementation can prevent stroke. Does not discuss toxicity.</w:t>
            </w:r>
          </w:p>
        </w:tc>
      </w:tr>
      <w:tr w:rsidR="00EA496D" w:rsidRPr="00F56AD6" w14:paraId="7D0E9777" w14:textId="77777777" w:rsidTr="00EA496D">
        <w:tc>
          <w:tcPr>
            <w:tcW w:w="846" w:type="dxa"/>
            <w:tcMar>
              <w:top w:w="60" w:type="dxa"/>
              <w:left w:w="100" w:type="dxa"/>
              <w:bottom w:w="60" w:type="dxa"/>
              <w:right w:w="100" w:type="dxa"/>
            </w:tcMar>
          </w:tcPr>
          <w:p w14:paraId="4869820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516</w:t>
            </w:r>
          </w:p>
        </w:tc>
        <w:tc>
          <w:tcPr>
            <w:tcW w:w="2094" w:type="dxa"/>
            <w:tcMar>
              <w:top w:w="60" w:type="dxa"/>
              <w:left w:w="100" w:type="dxa"/>
              <w:bottom w:w="60" w:type="dxa"/>
              <w:right w:w="100" w:type="dxa"/>
            </w:tcMar>
          </w:tcPr>
          <w:p w14:paraId="12ADE8F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Zhang et al. 2023</w:t>
            </w:r>
          </w:p>
        </w:tc>
        <w:tc>
          <w:tcPr>
            <w:tcW w:w="4923" w:type="dxa"/>
            <w:tcMar>
              <w:top w:w="60" w:type="dxa"/>
              <w:left w:w="100" w:type="dxa"/>
              <w:bottom w:w="60" w:type="dxa"/>
              <w:right w:w="100" w:type="dxa"/>
            </w:tcMar>
          </w:tcPr>
          <w:p w14:paraId="34CE00F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Associations of Dietary Zinc-Vitamin B6 Ratio with All-Cause Mortality and Cardiovascular Disease Mortality Based on National Health and Nutrition Examination Survey 1999-2016</w:t>
            </w:r>
          </w:p>
        </w:tc>
        <w:tc>
          <w:tcPr>
            <w:tcW w:w="6537" w:type="dxa"/>
            <w:tcMar>
              <w:top w:w="60" w:type="dxa"/>
              <w:left w:w="100" w:type="dxa"/>
              <w:bottom w:w="60" w:type="dxa"/>
              <w:right w:w="100" w:type="dxa"/>
            </w:tcMar>
          </w:tcPr>
          <w:p w14:paraId="5E083CB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study showed that vitamin B6 intake is associated with a lower risk of CVD mortality. Does not evaluate toxicity.</w:t>
            </w:r>
          </w:p>
        </w:tc>
      </w:tr>
      <w:tr w:rsidR="00EA496D" w:rsidRPr="00F56AD6" w14:paraId="4FB5DFDE" w14:textId="77777777" w:rsidTr="00EA496D">
        <w:tc>
          <w:tcPr>
            <w:tcW w:w="846" w:type="dxa"/>
            <w:tcMar>
              <w:top w:w="60" w:type="dxa"/>
              <w:left w:w="100" w:type="dxa"/>
              <w:bottom w:w="60" w:type="dxa"/>
              <w:right w:w="100" w:type="dxa"/>
            </w:tcMar>
          </w:tcPr>
          <w:p w14:paraId="33D59FA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517</w:t>
            </w:r>
          </w:p>
        </w:tc>
        <w:tc>
          <w:tcPr>
            <w:tcW w:w="2094" w:type="dxa"/>
            <w:tcMar>
              <w:top w:w="60" w:type="dxa"/>
              <w:left w:w="100" w:type="dxa"/>
              <w:bottom w:w="60" w:type="dxa"/>
              <w:right w:w="100" w:type="dxa"/>
            </w:tcMar>
          </w:tcPr>
          <w:p w14:paraId="255A810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Zhang et al. 2024</w:t>
            </w:r>
          </w:p>
        </w:tc>
        <w:tc>
          <w:tcPr>
            <w:tcW w:w="4923" w:type="dxa"/>
            <w:tcMar>
              <w:top w:w="60" w:type="dxa"/>
              <w:left w:w="100" w:type="dxa"/>
              <w:bottom w:w="60" w:type="dxa"/>
              <w:right w:w="100" w:type="dxa"/>
            </w:tcMar>
          </w:tcPr>
          <w:p w14:paraId="1C153F6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Dosage exploration of combined B-vitamin supplementation in stroke prevention: a meta-analysis and systematic review</w:t>
            </w:r>
          </w:p>
        </w:tc>
        <w:tc>
          <w:tcPr>
            <w:tcW w:w="6537" w:type="dxa"/>
            <w:tcMar>
              <w:top w:w="60" w:type="dxa"/>
              <w:left w:w="100" w:type="dxa"/>
              <w:bottom w:w="60" w:type="dxa"/>
              <w:right w:w="100" w:type="dxa"/>
            </w:tcMar>
          </w:tcPr>
          <w:p w14:paraId="762DA23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discusses benefits of B6 supplementation in stroke prevention.</w:t>
            </w:r>
          </w:p>
        </w:tc>
      </w:tr>
      <w:tr w:rsidR="00EA496D" w:rsidRPr="00F56AD6" w14:paraId="35465E2F" w14:textId="77777777" w:rsidTr="00EA496D">
        <w:tc>
          <w:tcPr>
            <w:tcW w:w="846" w:type="dxa"/>
            <w:tcMar>
              <w:top w:w="60" w:type="dxa"/>
              <w:left w:w="100" w:type="dxa"/>
              <w:bottom w:w="60" w:type="dxa"/>
              <w:right w:w="100" w:type="dxa"/>
            </w:tcMar>
          </w:tcPr>
          <w:p w14:paraId="0F5A1C1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518</w:t>
            </w:r>
          </w:p>
        </w:tc>
        <w:tc>
          <w:tcPr>
            <w:tcW w:w="2094" w:type="dxa"/>
            <w:tcMar>
              <w:top w:w="60" w:type="dxa"/>
              <w:left w:w="100" w:type="dxa"/>
              <w:bottom w:w="60" w:type="dxa"/>
              <w:right w:w="100" w:type="dxa"/>
            </w:tcMar>
          </w:tcPr>
          <w:p w14:paraId="0EF4936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Zhang et al. 2025</w:t>
            </w:r>
          </w:p>
        </w:tc>
        <w:tc>
          <w:tcPr>
            <w:tcW w:w="4923" w:type="dxa"/>
            <w:tcMar>
              <w:top w:w="60" w:type="dxa"/>
              <w:left w:w="100" w:type="dxa"/>
              <w:bottom w:w="60" w:type="dxa"/>
              <w:right w:w="100" w:type="dxa"/>
            </w:tcMar>
          </w:tcPr>
          <w:p w14:paraId="57C758E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Association of pyridoxal 5'-phosphate (PLP) with lipid profiles: a population-based cohort study</w:t>
            </w:r>
          </w:p>
        </w:tc>
        <w:tc>
          <w:tcPr>
            <w:tcW w:w="6537" w:type="dxa"/>
            <w:tcMar>
              <w:top w:w="60" w:type="dxa"/>
              <w:left w:w="100" w:type="dxa"/>
              <w:bottom w:w="60" w:type="dxa"/>
              <w:right w:w="100" w:type="dxa"/>
            </w:tcMar>
          </w:tcPr>
          <w:p w14:paraId="15A9FC7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discusses benefits of supplementation not toxicity associated with overdose.</w:t>
            </w:r>
          </w:p>
        </w:tc>
      </w:tr>
      <w:tr w:rsidR="00EA496D" w:rsidRPr="00F56AD6" w14:paraId="7E50647A" w14:textId="77777777" w:rsidTr="00EA496D">
        <w:tc>
          <w:tcPr>
            <w:tcW w:w="846" w:type="dxa"/>
            <w:tcMar>
              <w:top w:w="60" w:type="dxa"/>
              <w:left w:w="100" w:type="dxa"/>
              <w:bottom w:w="60" w:type="dxa"/>
              <w:right w:w="100" w:type="dxa"/>
            </w:tcMar>
          </w:tcPr>
          <w:p w14:paraId="6797F07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519</w:t>
            </w:r>
          </w:p>
        </w:tc>
        <w:tc>
          <w:tcPr>
            <w:tcW w:w="2094" w:type="dxa"/>
            <w:tcMar>
              <w:top w:w="60" w:type="dxa"/>
              <w:left w:w="100" w:type="dxa"/>
              <w:bottom w:w="60" w:type="dxa"/>
              <w:right w:w="100" w:type="dxa"/>
            </w:tcMar>
          </w:tcPr>
          <w:p w14:paraId="4AF0D25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Zhang et al. 2025</w:t>
            </w:r>
          </w:p>
        </w:tc>
        <w:tc>
          <w:tcPr>
            <w:tcW w:w="4923" w:type="dxa"/>
            <w:tcMar>
              <w:top w:w="60" w:type="dxa"/>
              <w:left w:w="100" w:type="dxa"/>
              <w:bottom w:w="60" w:type="dxa"/>
              <w:right w:w="100" w:type="dxa"/>
            </w:tcMar>
          </w:tcPr>
          <w:p w14:paraId="13C1DD3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Intake of one-carbon metabolism nutrients and risk of rheumatoid arthritis: a prospective UK biobank cohort study</w:t>
            </w:r>
          </w:p>
        </w:tc>
        <w:tc>
          <w:tcPr>
            <w:tcW w:w="6537" w:type="dxa"/>
            <w:tcMar>
              <w:top w:w="60" w:type="dxa"/>
              <w:left w:w="100" w:type="dxa"/>
              <w:bottom w:w="60" w:type="dxa"/>
              <w:right w:w="100" w:type="dxa"/>
            </w:tcMar>
          </w:tcPr>
          <w:p w14:paraId="0F4FAA9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study showed that OCM nutrients (that included B6) could help reduce risk of RA. Does not discuss toxicity of B6 overdose.</w:t>
            </w:r>
          </w:p>
        </w:tc>
      </w:tr>
      <w:tr w:rsidR="00EA496D" w:rsidRPr="00F56AD6" w14:paraId="4AE25F35" w14:textId="77777777" w:rsidTr="00EA496D">
        <w:tc>
          <w:tcPr>
            <w:tcW w:w="846" w:type="dxa"/>
            <w:tcMar>
              <w:top w:w="60" w:type="dxa"/>
              <w:left w:w="100" w:type="dxa"/>
              <w:bottom w:w="60" w:type="dxa"/>
              <w:right w:w="100" w:type="dxa"/>
            </w:tcMar>
          </w:tcPr>
          <w:p w14:paraId="6D2BA5A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520</w:t>
            </w:r>
          </w:p>
        </w:tc>
        <w:tc>
          <w:tcPr>
            <w:tcW w:w="2094" w:type="dxa"/>
            <w:tcMar>
              <w:top w:w="60" w:type="dxa"/>
              <w:left w:w="100" w:type="dxa"/>
              <w:bottom w:w="60" w:type="dxa"/>
              <w:right w:w="100" w:type="dxa"/>
            </w:tcMar>
          </w:tcPr>
          <w:p w14:paraId="3E7F42A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Zhang et al. 2026</w:t>
            </w:r>
          </w:p>
        </w:tc>
        <w:tc>
          <w:tcPr>
            <w:tcW w:w="4923" w:type="dxa"/>
            <w:tcMar>
              <w:top w:w="60" w:type="dxa"/>
              <w:left w:w="100" w:type="dxa"/>
              <w:bottom w:w="60" w:type="dxa"/>
              <w:right w:w="100" w:type="dxa"/>
            </w:tcMar>
          </w:tcPr>
          <w:p w14:paraId="332CB6B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Intake of Folate, Vitamin B6, and Vitamin B12 Before and After Disease Diagnosis and the Risk of Death in Individuals with Parkinson's Disease</w:t>
            </w:r>
          </w:p>
        </w:tc>
        <w:tc>
          <w:tcPr>
            <w:tcW w:w="6537" w:type="dxa"/>
            <w:tcMar>
              <w:top w:w="60" w:type="dxa"/>
              <w:left w:w="100" w:type="dxa"/>
              <w:bottom w:w="60" w:type="dxa"/>
              <w:right w:w="100" w:type="dxa"/>
            </w:tcMar>
          </w:tcPr>
          <w:p w14:paraId="55697CB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discusses how B6 supplementation can help prevent death from PD if taken before diagnosis.</w:t>
            </w:r>
          </w:p>
        </w:tc>
      </w:tr>
      <w:tr w:rsidR="00EA496D" w:rsidRPr="00F56AD6" w14:paraId="4FC756D3" w14:textId="77777777" w:rsidTr="00EA496D">
        <w:tc>
          <w:tcPr>
            <w:tcW w:w="846" w:type="dxa"/>
            <w:tcMar>
              <w:top w:w="60" w:type="dxa"/>
              <w:left w:w="100" w:type="dxa"/>
              <w:bottom w:w="60" w:type="dxa"/>
              <w:right w:w="100" w:type="dxa"/>
            </w:tcMar>
          </w:tcPr>
          <w:p w14:paraId="696B4F3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521</w:t>
            </w:r>
          </w:p>
        </w:tc>
        <w:tc>
          <w:tcPr>
            <w:tcW w:w="2094" w:type="dxa"/>
            <w:tcMar>
              <w:top w:w="60" w:type="dxa"/>
              <w:left w:w="100" w:type="dxa"/>
              <w:bottom w:w="60" w:type="dxa"/>
              <w:right w:w="100" w:type="dxa"/>
            </w:tcMar>
          </w:tcPr>
          <w:p w14:paraId="54CADE7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Zhao et al. 2026</w:t>
            </w:r>
          </w:p>
        </w:tc>
        <w:tc>
          <w:tcPr>
            <w:tcW w:w="4923" w:type="dxa"/>
            <w:tcMar>
              <w:top w:w="60" w:type="dxa"/>
              <w:left w:w="100" w:type="dxa"/>
              <w:bottom w:w="60" w:type="dxa"/>
              <w:right w:w="100" w:type="dxa"/>
            </w:tcMar>
          </w:tcPr>
          <w:p w14:paraId="05C4CA1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Congenital sideroblastic anemia: Unravelling molecular pathogenesis and advancing precision therapeutics</w:t>
            </w:r>
          </w:p>
        </w:tc>
        <w:tc>
          <w:tcPr>
            <w:tcW w:w="6537" w:type="dxa"/>
            <w:tcMar>
              <w:top w:w="60" w:type="dxa"/>
              <w:left w:w="100" w:type="dxa"/>
              <w:bottom w:w="60" w:type="dxa"/>
              <w:right w:w="100" w:type="dxa"/>
            </w:tcMar>
          </w:tcPr>
          <w:p w14:paraId="6989351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discusses how B6 can help CSA not the toxicity assosicated.</w:t>
            </w:r>
          </w:p>
        </w:tc>
      </w:tr>
      <w:tr w:rsidR="00EA496D" w:rsidRPr="00F56AD6" w14:paraId="3CCAB187" w14:textId="77777777" w:rsidTr="00EA496D">
        <w:tc>
          <w:tcPr>
            <w:tcW w:w="846" w:type="dxa"/>
            <w:tcMar>
              <w:top w:w="60" w:type="dxa"/>
              <w:left w:w="100" w:type="dxa"/>
              <w:bottom w:w="60" w:type="dxa"/>
              <w:right w:w="100" w:type="dxa"/>
            </w:tcMar>
          </w:tcPr>
          <w:p w14:paraId="2D5ACCD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522</w:t>
            </w:r>
          </w:p>
        </w:tc>
        <w:tc>
          <w:tcPr>
            <w:tcW w:w="2094" w:type="dxa"/>
            <w:tcMar>
              <w:top w:w="60" w:type="dxa"/>
              <w:left w:w="100" w:type="dxa"/>
              <w:bottom w:w="60" w:type="dxa"/>
              <w:right w:w="100" w:type="dxa"/>
            </w:tcMar>
          </w:tcPr>
          <w:p w14:paraId="0F706AE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Zhen et al. 2022</w:t>
            </w:r>
          </w:p>
        </w:tc>
        <w:tc>
          <w:tcPr>
            <w:tcW w:w="4923" w:type="dxa"/>
            <w:tcMar>
              <w:top w:w="60" w:type="dxa"/>
              <w:left w:w="100" w:type="dxa"/>
              <w:bottom w:w="60" w:type="dxa"/>
              <w:right w:w="100" w:type="dxa"/>
            </w:tcMar>
          </w:tcPr>
          <w:p w14:paraId="66C21F3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Effect of different dosages of sodium butyrate and niacin on growth, faecal microbiota and Vitamin B metabolism in weaned piglets</w:t>
            </w:r>
          </w:p>
        </w:tc>
        <w:tc>
          <w:tcPr>
            <w:tcW w:w="6537" w:type="dxa"/>
            <w:tcMar>
              <w:top w:w="60" w:type="dxa"/>
              <w:left w:w="100" w:type="dxa"/>
              <w:bottom w:w="60" w:type="dxa"/>
              <w:right w:w="100" w:type="dxa"/>
            </w:tcMar>
          </w:tcPr>
          <w:p w14:paraId="4034987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focus - discusses sodium butyrate and niacin effect on B6 metabolism in weaned piglets.</w:t>
            </w:r>
          </w:p>
        </w:tc>
      </w:tr>
      <w:tr w:rsidR="00EA496D" w:rsidRPr="00F56AD6" w14:paraId="318A45DF" w14:textId="77777777" w:rsidTr="00EA496D">
        <w:tc>
          <w:tcPr>
            <w:tcW w:w="846" w:type="dxa"/>
            <w:tcMar>
              <w:top w:w="60" w:type="dxa"/>
              <w:left w:w="100" w:type="dxa"/>
              <w:bottom w:w="60" w:type="dxa"/>
              <w:right w:w="100" w:type="dxa"/>
            </w:tcMar>
          </w:tcPr>
          <w:p w14:paraId="470951C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523</w:t>
            </w:r>
          </w:p>
        </w:tc>
        <w:tc>
          <w:tcPr>
            <w:tcW w:w="2094" w:type="dxa"/>
            <w:tcMar>
              <w:top w:w="60" w:type="dxa"/>
              <w:left w:w="100" w:type="dxa"/>
              <w:bottom w:w="60" w:type="dxa"/>
              <w:right w:w="100" w:type="dxa"/>
            </w:tcMar>
          </w:tcPr>
          <w:p w14:paraId="4B92E89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Zheng et al. 2025</w:t>
            </w:r>
          </w:p>
        </w:tc>
        <w:tc>
          <w:tcPr>
            <w:tcW w:w="4923" w:type="dxa"/>
            <w:tcMar>
              <w:top w:w="60" w:type="dxa"/>
              <w:left w:w="100" w:type="dxa"/>
              <w:bottom w:w="60" w:type="dxa"/>
              <w:right w:w="100" w:type="dxa"/>
            </w:tcMar>
          </w:tcPr>
          <w:p w14:paraId="5DF152D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Integrative Multi-Omics Analysis of the Rumen in Tan Sheep with Contrasting Average Daily Gain</w:t>
            </w:r>
          </w:p>
        </w:tc>
        <w:tc>
          <w:tcPr>
            <w:tcW w:w="6537" w:type="dxa"/>
            <w:tcMar>
              <w:top w:w="60" w:type="dxa"/>
              <w:left w:w="100" w:type="dxa"/>
              <w:bottom w:w="60" w:type="dxa"/>
              <w:right w:w="100" w:type="dxa"/>
            </w:tcMar>
          </w:tcPr>
          <w:p w14:paraId="0E03596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focus - discusses B6 to elucidate the molecular mechanisms behind growth differences in Tan sheep not toxicity related to the UL.</w:t>
            </w:r>
          </w:p>
        </w:tc>
      </w:tr>
      <w:tr w:rsidR="00EA496D" w:rsidRPr="00F56AD6" w14:paraId="426E95D0" w14:textId="77777777" w:rsidTr="00EA496D">
        <w:tc>
          <w:tcPr>
            <w:tcW w:w="846" w:type="dxa"/>
            <w:tcMar>
              <w:top w:w="60" w:type="dxa"/>
              <w:left w:w="100" w:type="dxa"/>
              <w:bottom w:w="60" w:type="dxa"/>
              <w:right w:w="100" w:type="dxa"/>
            </w:tcMar>
          </w:tcPr>
          <w:p w14:paraId="20A75A5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524</w:t>
            </w:r>
          </w:p>
        </w:tc>
        <w:tc>
          <w:tcPr>
            <w:tcW w:w="2094" w:type="dxa"/>
            <w:tcMar>
              <w:top w:w="60" w:type="dxa"/>
              <w:left w:w="100" w:type="dxa"/>
              <w:bottom w:w="60" w:type="dxa"/>
              <w:right w:w="100" w:type="dxa"/>
            </w:tcMar>
          </w:tcPr>
          <w:p w14:paraId="4F41D61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Zheng et al. 2024</w:t>
            </w:r>
          </w:p>
        </w:tc>
        <w:tc>
          <w:tcPr>
            <w:tcW w:w="4923" w:type="dxa"/>
            <w:tcMar>
              <w:top w:w="60" w:type="dxa"/>
              <w:left w:w="100" w:type="dxa"/>
              <w:bottom w:w="60" w:type="dxa"/>
              <w:right w:w="100" w:type="dxa"/>
            </w:tcMar>
          </w:tcPr>
          <w:p w14:paraId="2BBFB87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Human-derived fecal microbiota transplantation alleviates social deficits of the BTBR mouse model of autism through a potential mechanism involving vitamin B(6) metabolism</w:t>
            </w:r>
          </w:p>
        </w:tc>
        <w:tc>
          <w:tcPr>
            <w:tcW w:w="6537" w:type="dxa"/>
            <w:tcMar>
              <w:top w:w="60" w:type="dxa"/>
              <w:left w:w="100" w:type="dxa"/>
              <w:bottom w:w="60" w:type="dxa"/>
              <w:right w:w="100" w:type="dxa"/>
            </w:tcMar>
          </w:tcPr>
          <w:p w14:paraId="7515050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focus and direction of effect - discusses benefits of B6 metabolism on ASD.</w:t>
            </w:r>
          </w:p>
        </w:tc>
      </w:tr>
      <w:tr w:rsidR="00EA496D" w:rsidRPr="00F56AD6" w14:paraId="06D253E4" w14:textId="77777777" w:rsidTr="00EA496D">
        <w:tc>
          <w:tcPr>
            <w:tcW w:w="846" w:type="dxa"/>
            <w:tcMar>
              <w:top w:w="60" w:type="dxa"/>
              <w:left w:w="100" w:type="dxa"/>
              <w:bottom w:w="60" w:type="dxa"/>
              <w:right w:w="100" w:type="dxa"/>
            </w:tcMar>
          </w:tcPr>
          <w:p w14:paraId="2776364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525</w:t>
            </w:r>
          </w:p>
        </w:tc>
        <w:tc>
          <w:tcPr>
            <w:tcW w:w="2094" w:type="dxa"/>
            <w:tcMar>
              <w:top w:w="60" w:type="dxa"/>
              <w:left w:w="100" w:type="dxa"/>
              <w:bottom w:w="60" w:type="dxa"/>
              <w:right w:w="100" w:type="dxa"/>
            </w:tcMar>
          </w:tcPr>
          <w:p w14:paraId="7D0D73A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Zhou et al. 2022</w:t>
            </w:r>
          </w:p>
        </w:tc>
        <w:tc>
          <w:tcPr>
            <w:tcW w:w="4923" w:type="dxa"/>
            <w:tcMar>
              <w:top w:w="60" w:type="dxa"/>
              <w:left w:w="100" w:type="dxa"/>
              <w:bottom w:w="60" w:type="dxa"/>
              <w:right w:w="100" w:type="dxa"/>
            </w:tcMar>
          </w:tcPr>
          <w:p w14:paraId="081B6F9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How to Maintain a Healthy Gut Microbiome in Children with Cancer? Gut Microbiome Association with Diet in Children with Solid Tumors Postchemotherapy</w:t>
            </w:r>
          </w:p>
        </w:tc>
        <w:tc>
          <w:tcPr>
            <w:tcW w:w="6537" w:type="dxa"/>
            <w:tcMar>
              <w:top w:w="60" w:type="dxa"/>
              <w:left w:w="100" w:type="dxa"/>
              <w:bottom w:w="60" w:type="dxa"/>
              <w:right w:w="100" w:type="dxa"/>
            </w:tcMar>
          </w:tcPr>
          <w:p w14:paraId="1F93DEA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study found that group that took B6 had increased microbiome. Does not discuss toxicity.</w:t>
            </w:r>
          </w:p>
        </w:tc>
      </w:tr>
      <w:tr w:rsidR="00EA496D" w:rsidRPr="00F56AD6" w14:paraId="296631DC" w14:textId="77777777" w:rsidTr="00EA496D">
        <w:tc>
          <w:tcPr>
            <w:tcW w:w="846" w:type="dxa"/>
            <w:tcMar>
              <w:top w:w="60" w:type="dxa"/>
              <w:left w:w="100" w:type="dxa"/>
              <w:bottom w:w="60" w:type="dxa"/>
              <w:right w:w="100" w:type="dxa"/>
            </w:tcMar>
          </w:tcPr>
          <w:p w14:paraId="4DE8F86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526</w:t>
            </w:r>
          </w:p>
        </w:tc>
        <w:tc>
          <w:tcPr>
            <w:tcW w:w="2094" w:type="dxa"/>
            <w:tcMar>
              <w:top w:w="60" w:type="dxa"/>
              <w:left w:w="100" w:type="dxa"/>
              <w:bottom w:w="60" w:type="dxa"/>
              <w:right w:w="100" w:type="dxa"/>
            </w:tcMar>
          </w:tcPr>
          <w:p w14:paraId="7D8EE94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Zhou et al. 2022</w:t>
            </w:r>
          </w:p>
        </w:tc>
        <w:tc>
          <w:tcPr>
            <w:tcW w:w="4923" w:type="dxa"/>
            <w:tcMar>
              <w:top w:w="60" w:type="dxa"/>
              <w:left w:w="100" w:type="dxa"/>
              <w:bottom w:w="60" w:type="dxa"/>
              <w:right w:w="100" w:type="dxa"/>
            </w:tcMar>
          </w:tcPr>
          <w:p w14:paraId="6E9727E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[Relationship between peripheral blood micronutrients and four kinds of oral mucosal diseases in children: clinical analysis of 217 cases]</w:t>
            </w:r>
          </w:p>
        </w:tc>
        <w:tc>
          <w:tcPr>
            <w:tcW w:w="6537" w:type="dxa"/>
            <w:tcMar>
              <w:top w:w="60" w:type="dxa"/>
              <w:left w:w="100" w:type="dxa"/>
              <w:bottom w:w="60" w:type="dxa"/>
              <w:right w:w="100" w:type="dxa"/>
            </w:tcMar>
          </w:tcPr>
          <w:p w14:paraId="37E3635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B6 may need to be supplemented to prevent deficiencies.</w:t>
            </w:r>
          </w:p>
        </w:tc>
      </w:tr>
      <w:tr w:rsidR="00EA496D" w:rsidRPr="00F56AD6" w14:paraId="52B3DD0D" w14:textId="77777777" w:rsidTr="00EA496D">
        <w:tc>
          <w:tcPr>
            <w:tcW w:w="846" w:type="dxa"/>
            <w:tcMar>
              <w:top w:w="60" w:type="dxa"/>
              <w:left w:w="100" w:type="dxa"/>
              <w:bottom w:w="60" w:type="dxa"/>
              <w:right w:w="100" w:type="dxa"/>
            </w:tcMar>
          </w:tcPr>
          <w:p w14:paraId="50937C1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527</w:t>
            </w:r>
          </w:p>
        </w:tc>
        <w:tc>
          <w:tcPr>
            <w:tcW w:w="2094" w:type="dxa"/>
            <w:tcMar>
              <w:top w:w="60" w:type="dxa"/>
              <w:left w:w="100" w:type="dxa"/>
              <w:bottom w:w="60" w:type="dxa"/>
              <w:right w:w="100" w:type="dxa"/>
            </w:tcMar>
          </w:tcPr>
          <w:p w14:paraId="450B8C6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Zhu et al. 2023</w:t>
            </w:r>
          </w:p>
        </w:tc>
        <w:tc>
          <w:tcPr>
            <w:tcW w:w="4923" w:type="dxa"/>
            <w:tcMar>
              <w:top w:w="60" w:type="dxa"/>
              <w:left w:w="100" w:type="dxa"/>
              <w:bottom w:w="60" w:type="dxa"/>
              <w:right w:w="100" w:type="dxa"/>
            </w:tcMar>
          </w:tcPr>
          <w:p w14:paraId="6715A79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Folate, Vitamin B6, and Vitamin B12 Status in Association With Metabolic Syndrome Incidence</w:t>
            </w:r>
          </w:p>
        </w:tc>
        <w:tc>
          <w:tcPr>
            <w:tcW w:w="6537" w:type="dxa"/>
            <w:tcMar>
              <w:top w:w="60" w:type="dxa"/>
              <w:left w:w="100" w:type="dxa"/>
              <w:bottom w:w="60" w:type="dxa"/>
              <w:right w:w="100" w:type="dxa"/>
            </w:tcMar>
          </w:tcPr>
          <w:p w14:paraId="44CB9F8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outcome: no relevant adverse health effect for vitamin B6 toxicity was reported; vitamin B6 decreased risk of metabolic syndrome incidence.</w:t>
            </w:r>
          </w:p>
        </w:tc>
      </w:tr>
      <w:tr w:rsidR="00EA496D" w:rsidRPr="00F56AD6" w14:paraId="2190D1C7" w14:textId="77777777" w:rsidTr="00EA496D">
        <w:tc>
          <w:tcPr>
            <w:tcW w:w="846" w:type="dxa"/>
            <w:tcMar>
              <w:top w:w="60" w:type="dxa"/>
              <w:left w:w="100" w:type="dxa"/>
              <w:bottom w:w="60" w:type="dxa"/>
              <w:right w:w="100" w:type="dxa"/>
            </w:tcMar>
          </w:tcPr>
          <w:p w14:paraId="593421D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528</w:t>
            </w:r>
          </w:p>
        </w:tc>
        <w:tc>
          <w:tcPr>
            <w:tcW w:w="2094" w:type="dxa"/>
            <w:tcMar>
              <w:top w:w="60" w:type="dxa"/>
              <w:left w:w="100" w:type="dxa"/>
              <w:bottom w:w="60" w:type="dxa"/>
              <w:right w:w="100" w:type="dxa"/>
            </w:tcMar>
          </w:tcPr>
          <w:p w14:paraId="400371C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Zhu et al. 2025</w:t>
            </w:r>
          </w:p>
        </w:tc>
        <w:tc>
          <w:tcPr>
            <w:tcW w:w="4923" w:type="dxa"/>
            <w:tcMar>
              <w:top w:w="60" w:type="dxa"/>
              <w:left w:w="100" w:type="dxa"/>
              <w:bottom w:w="60" w:type="dxa"/>
              <w:right w:w="100" w:type="dxa"/>
            </w:tcMar>
          </w:tcPr>
          <w:p w14:paraId="5F30A10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 B6 status, type 2 diabetes mellitus, and periodontitis: evidence from the NHANES database 2009-2010</w:t>
            </w:r>
          </w:p>
        </w:tc>
        <w:tc>
          <w:tcPr>
            <w:tcW w:w="6537" w:type="dxa"/>
            <w:tcMar>
              <w:top w:w="60" w:type="dxa"/>
              <w:left w:w="100" w:type="dxa"/>
              <w:bottom w:w="60" w:type="dxa"/>
              <w:right w:w="100" w:type="dxa"/>
            </w:tcMar>
          </w:tcPr>
          <w:p w14:paraId="679D88A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benefit of supplementation does not discuss toxicity.</w:t>
            </w:r>
          </w:p>
        </w:tc>
      </w:tr>
      <w:tr w:rsidR="00EA496D" w:rsidRPr="00F56AD6" w14:paraId="4B596575" w14:textId="77777777" w:rsidTr="00EA496D">
        <w:tc>
          <w:tcPr>
            <w:tcW w:w="846" w:type="dxa"/>
            <w:tcMar>
              <w:top w:w="60" w:type="dxa"/>
              <w:left w:w="100" w:type="dxa"/>
              <w:bottom w:w="60" w:type="dxa"/>
              <w:right w:w="100" w:type="dxa"/>
            </w:tcMar>
          </w:tcPr>
          <w:p w14:paraId="4BCC87F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529</w:t>
            </w:r>
          </w:p>
        </w:tc>
        <w:tc>
          <w:tcPr>
            <w:tcW w:w="2094" w:type="dxa"/>
            <w:tcMar>
              <w:top w:w="60" w:type="dxa"/>
              <w:left w:w="100" w:type="dxa"/>
              <w:bottom w:w="60" w:type="dxa"/>
              <w:right w:w="100" w:type="dxa"/>
            </w:tcMar>
          </w:tcPr>
          <w:p w14:paraId="00893CA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Zhu et al. 2022</w:t>
            </w:r>
          </w:p>
        </w:tc>
        <w:tc>
          <w:tcPr>
            <w:tcW w:w="4923" w:type="dxa"/>
            <w:tcMar>
              <w:top w:w="60" w:type="dxa"/>
              <w:left w:w="100" w:type="dxa"/>
              <w:bottom w:w="60" w:type="dxa"/>
              <w:right w:w="100" w:type="dxa"/>
            </w:tcMar>
          </w:tcPr>
          <w:p w14:paraId="2BE8299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Age-dependent alteration in metabolism of vitamin B(6) , neurotransmitters, and amino acids after 4'-O-methylpyridoxine administration in rats</w:t>
            </w:r>
          </w:p>
        </w:tc>
        <w:tc>
          <w:tcPr>
            <w:tcW w:w="6537" w:type="dxa"/>
            <w:tcMar>
              <w:top w:w="60" w:type="dxa"/>
              <w:left w:w="100" w:type="dxa"/>
              <w:bottom w:w="60" w:type="dxa"/>
              <w:right w:w="100" w:type="dxa"/>
            </w:tcMar>
          </w:tcPr>
          <w:p w14:paraId="04910AD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focus - study discusses the antivitamin of B6 (MPN) and it's toxicity.</w:t>
            </w:r>
          </w:p>
        </w:tc>
      </w:tr>
      <w:tr w:rsidR="00EA496D" w:rsidRPr="00F56AD6" w14:paraId="43438785" w14:textId="77777777" w:rsidTr="00EA496D">
        <w:tc>
          <w:tcPr>
            <w:tcW w:w="846" w:type="dxa"/>
            <w:tcMar>
              <w:top w:w="60" w:type="dxa"/>
              <w:left w:w="100" w:type="dxa"/>
              <w:bottom w:w="60" w:type="dxa"/>
              <w:right w:w="100" w:type="dxa"/>
            </w:tcMar>
          </w:tcPr>
          <w:p w14:paraId="3F96140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530</w:t>
            </w:r>
          </w:p>
        </w:tc>
        <w:tc>
          <w:tcPr>
            <w:tcW w:w="2094" w:type="dxa"/>
            <w:tcMar>
              <w:top w:w="60" w:type="dxa"/>
              <w:left w:w="100" w:type="dxa"/>
              <w:bottom w:w="60" w:type="dxa"/>
              <w:right w:w="100" w:type="dxa"/>
            </w:tcMar>
          </w:tcPr>
          <w:p w14:paraId="7B8C377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Zhu et al. 2024</w:t>
            </w:r>
          </w:p>
        </w:tc>
        <w:tc>
          <w:tcPr>
            <w:tcW w:w="4923" w:type="dxa"/>
            <w:tcMar>
              <w:top w:w="60" w:type="dxa"/>
              <w:left w:w="100" w:type="dxa"/>
              <w:bottom w:w="60" w:type="dxa"/>
              <w:right w:w="100" w:type="dxa"/>
            </w:tcMar>
          </w:tcPr>
          <w:p w14:paraId="4D3812D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Joint B Vitamin Intake and Type 2 Diabetes Risk: The Mediating Role of Inflammation in a Prospective Shanghai Cohort</w:t>
            </w:r>
          </w:p>
        </w:tc>
        <w:tc>
          <w:tcPr>
            <w:tcW w:w="6537" w:type="dxa"/>
            <w:tcMar>
              <w:top w:w="60" w:type="dxa"/>
              <w:left w:w="100" w:type="dxa"/>
              <w:bottom w:w="60" w:type="dxa"/>
              <w:right w:w="100" w:type="dxa"/>
            </w:tcMar>
          </w:tcPr>
          <w:p w14:paraId="7B388B4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and outcomes not related to excess vitamin B6 intake - Study showed that Vitamin B6 had a large role to play in decreasing the likelihood of Type 2 Diabetes.</w:t>
            </w:r>
          </w:p>
        </w:tc>
      </w:tr>
      <w:tr w:rsidR="00EA496D" w:rsidRPr="00F56AD6" w14:paraId="60955036" w14:textId="77777777" w:rsidTr="00EA496D">
        <w:tc>
          <w:tcPr>
            <w:tcW w:w="846" w:type="dxa"/>
            <w:tcMar>
              <w:top w:w="60" w:type="dxa"/>
              <w:left w:w="100" w:type="dxa"/>
              <w:bottom w:w="60" w:type="dxa"/>
              <w:right w:w="100" w:type="dxa"/>
            </w:tcMar>
          </w:tcPr>
          <w:p w14:paraId="10B2CEA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531</w:t>
            </w:r>
          </w:p>
        </w:tc>
        <w:tc>
          <w:tcPr>
            <w:tcW w:w="2094" w:type="dxa"/>
            <w:tcMar>
              <w:top w:w="60" w:type="dxa"/>
              <w:left w:w="100" w:type="dxa"/>
              <w:bottom w:w="60" w:type="dxa"/>
              <w:right w:w="100" w:type="dxa"/>
            </w:tcMar>
          </w:tcPr>
          <w:p w14:paraId="36AEFEF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ZilliVieira et al. 2024</w:t>
            </w:r>
          </w:p>
        </w:tc>
        <w:tc>
          <w:tcPr>
            <w:tcW w:w="4923" w:type="dxa"/>
            <w:tcMar>
              <w:top w:w="60" w:type="dxa"/>
              <w:left w:w="100" w:type="dxa"/>
              <w:bottom w:w="60" w:type="dxa"/>
              <w:right w:w="100" w:type="dxa"/>
            </w:tcMar>
          </w:tcPr>
          <w:p w14:paraId="72780DD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Detrimental impact of solar and geomagnetic activity on plasma B-complex vitamins in the VA normative aging study cohort</w:t>
            </w:r>
          </w:p>
        </w:tc>
        <w:tc>
          <w:tcPr>
            <w:tcW w:w="6537" w:type="dxa"/>
            <w:tcMar>
              <w:top w:w="60" w:type="dxa"/>
              <w:left w:w="100" w:type="dxa"/>
              <w:bottom w:w="60" w:type="dxa"/>
              <w:right w:w="100" w:type="dxa"/>
            </w:tcMar>
          </w:tcPr>
          <w:p w14:paraId="02B7CF3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outcomes not related to excess vitamin B6 intake - Study conclusions did not find a correlation between solar and geomagnetic activity on vitamin B6 levels in the body.</w:t>
            </w:r>
          </w:p>
        </w:tc>
      </w:tr>
      <w:tr w:rsidR="00EA496D" w:rsidRPr="00F56AD6" w14:paraId="688770EE" w14:textId="77777777" w:rsidTr="00EA496D">
        <w:tc>
          <w:tcPr>
            <w:tcW w:w="846" w:type="dxa"/>
            <w:tcMar>
              <w:top w:w="60" w:type="dxa"/>
              <w:left w:w="100" w:type="dxa"/>
              <w:bottom w:w="60" w:type="dxa"/>
              <w:right w:w="100" w:type="dxa"/>
            </w:tcMar>
          </w:tcPr>
          <w:p w14:paraId="5B3322A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532</w:t>
            </w:r>
          </w:p>
        </w:tc>
        <w:tc>
          <w:tcPr>
            <w:tcW w:w="2094" w:type="dxa"/>
            <w:tcMar>
              <w:top w:w="60" w:type="dxa"/>
              <w:left w:w="100" w:type="dxa"/>
              <w:bottom w:w="60" w:type="dxa"/>
              <w:right w:w="100" w:type="dxa"/>
            </w:tcMar>
          </w:tcPr>
          <w:p w14:paraId="53C534E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Zimmern 2022</w:t>
            </w:r>
          </w:p>
        </w:tc>
        <w:tc>
          <w:tcPr>
            <w:tcW w:w="4923" w:type="dxa"/>
            <w:tcMar>
              <w:top w:w="60" w:type="dxa"/>
              <w:left w:w="100" w:type="dxa"/>
              <w:bottom w:w="60" w:type="dxa"/>
              <w:right w:w="100" w:type="dxa"/>
            </w:tcMar>
          </w:tcPr>
          <w:p w14:paraId="4F8AC89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Updates on the diagnostic evaluation, genotype-phenotype correlation, and treatments of genetic epilepsies</w:t>
            </w:r>
          </w:p>
        </w:tc>
        <w:tc>
          <w:tcPr>
            <w:tcW w:w="6537" w:type="dxa"/>
            <w:tcMar>
              <w:top w:w="60" w:type="dxa"/>
              <w:left w:w="100" w:type="dxa"/>
              <w:bottom w:w="60" w:type="dxa"/>
              <w:right w:w="100" w:type="dxa"/>
            </w:tcMar>
          </w:tcPr>
          <w:p w14:paraId="1A3E712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not adverse effects from excess intake relevant to the UL but a benefit of B6 supplementation in genetic epilepsies.</w:t>
            </w:r>
          </w:p>
        </w:tc>
      </w:tr>
      <w:tr w:rsidR="00EA496D" w:rsidRPr="00F56AD6" w14:paraId="786CED58" w14:textId="77777777" w:rsidTr="00EA496D">
        <w:tc>
          <w:tcPr>
            <w:tcW w:w="846" w:type="dxa"/>
            <w:tcMar>
              <w:top w:w="60" w:type="dxa"/>
              <w:left w:w="100" w:type="dxa"/>
              <w:bottom w:w="60" w:type="dxa"/>
              <w:right w:w="100" w:type="dxa"/>
            </w:tcMar>
          </w:tcPr>
          <w:p w14:paraId="2F04482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lastRenderedPageBreak/>
              <w:t>533</w:t>
            </w:r>
          </w:p>
        </w:tc>
        <w:tc>
          <w:tcPr>
            <w:tcW w:w="2094" w:type="dxa"/>
            <w:tcMar>
              <w:top w:w="60" w:type="dxa"/>
              <w:left w:w="100" w:type="dxa"/>
              <w:bottom w:w="60" w:type="dxa"/>
              <w:right w:w="100" w:type="dxa"/>
            </w:tcMar>
          </w:tcPr>
          <w:p w14:paraId="5250FD5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McInerney et al. 2024</w:t>
            </w:r>
          </w:p>
        </w:tc>
        <w:tc>
          <w:tcPr>
            <w:tcW w:w="4923" w:type="dxa"/>
            <w:tcMar>
              <w:top w:w="60" w:type="dxa"/>
              <w:left w:w="100" w:type="dxa"/>
              <w:bottom w:w="60" w:type="dxa"/>
              <w:right w:w="100" w:type="dxa"/>
            </w:tcMar>
          </w:tcPr>
          <w:p w14:paraId="0815135C"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MR1 presents vitamin B6-related compounds for recognition by MR1-reactive T cells</w:t>
            </w:r>
          </w:p>
        </w:tc>
        <w:tc>
          <w:tcPr>
            <w:tcW w:w="6537" w:type="dxa"/>
            <w:tcMar>
              <w:top w:w="60" w:type="dxa"/>
              <w:left w:w="100" w:type="dxa"/>
              <w:bottom w:w="60" w:type="dxa"/>
              <w:right w:w="100" w:type="dxa"/>
            </w:tcMar>
          </w:tcPr>
          <w:p w14:paraId="2B946ED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measurement strategy of B6 by biochemical mechanisms.</w:t>
            </w:r>
          </w:p>
        </w:tc>
      </w:tr>
      <w:tr w:rsidR="00EA496D" w:rsidRPr="00F56AD6" w14:paraId="621B9075" w14:textId="77777777" w:rsidTr="00EA496D">
        <w:tc>
          <w:tcPr>
            <w:tcW w:w="846" w:type="dxa"/>
            <w:tcMar>
              <w:top w:w="60" w:type="dxa"/>
              <w:left w:w="100" w:type="dxa"/>
              <w:bottom w:w="60" w:type="dxa"/>
              <w:right w:w="100" w:type="dxa"/>
            </w:tcMar>
          </w:tcPr>
          <w:p w14:paraId="05DA2E80"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534</w:t>
            </w:r>
          </w:p>
        </w:tc>
        <w:tc>
          <w:tcPr>
            <w:tcW w:w="2094" w:type="dxa"/>
            <w:tcMar>
              <w:top w:w="60" w:type="dxa"/>
              <w:left w:w="100" w:type="dxa"/>
              <w:bottom w:w="60" w:type="dxa"/>
              <w:right w:w="100" w:type="dxa"/>
            </w:tcMar>
          </w:tcPr>
          <w:p w14:paraId="1E369CC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Mathala et al. 2026</w:t>
            </w:r>
          </w:p>
        </w:tc>
        <w:tc>
          <w:tcPr>
            <w:tcW w:w="4923" w:type="dxa"/>
            <w:tcMar>
              <w:top w:w="60" w:type="dxa"/>
              <w:left w:w="100" w:type="dxa"/>
              <w:bottom w:w="60" w:type="dxa"/>
              <w:right w:w="100" w:type="dxa"/>
            </w:tcMar>
          </w:tcPr>
          <w:p w14:paraId="30291B37"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 Novel Approach in Cancer Immunotherapy: CART-CELL Therapy</w:t>
            </w:r>
          </w:p>
        </w:tc>
        <w:tc>
          <w:tcPr>
            <w:tcW w:w="6537" w:type="dxa"/>
            <w:tcMar>
              <w:top w:w="60" w:type="dxa"/>
              <w:left w:w="100" w:type="dxa"/>
              <w:bottom w:w="60" w:type="dxa"/>
              <w:right w:w="100" w:type="dxa"/>
            </w:tcMar>
          </w:tcPr>
          <w:p w14:paraId="3405EB2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topic - cancer immunotherapy.</w:t>
            </w:r>
          </w:p>
        </w:tc>
      </w:tr>
      <w:tr w:rsidR="00EA496D" w:rsidRPr="00F56AD6" w14:paraId="31BEBBB7" w14:textId="77777777" w:rsidTr="00EA496D">
        <w:tc>
          <w:tcPr>
            <w:tcW w:w="846" w:type="dxa"/>
            <w:tcMar>
              <w:top w:w="60" w:type="dxa"/>
              <w:left w:w="100" w:type="dxa"/>
              <w:bottom w:w="60" w:type="dxa"/>
              <w:right w:w="100" w:type="dxa"/>
            </w:tcMar>
          </w:tcPr>
          <w:p w14:paraId="5681CF6A"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535</w:t>
            </w:r>
          </w:p>
        </w:tc>
        <w:tc>
          <w:tcPr>
            <w:tcW w:w="2094" w:type="dxa"/>
            <w:tcMar>
              <w:top w:w="60" w:type="dxa"/>
              <w:left w:w="100" w:type="dxa"/>
              <w:bottom w:w="60" w:type="dxa"/>
              <w:right w:w="100" w:type="dxa"/>
            </w:tcMar>
          </w:tcPr>
          <w:p w14:paraId="4CFEF97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Fillah et al. 2025</w:t>
            </w:r>
          </w:p>
        </w:tc>
        <w:tc>
          <w:tcPr>
            <w:tcW w:w="4923" w:type="dxa"/>
            <w:tcMar>
              <w:top w:w="60" w:type="dxa"/>
              <w:left w:w="100" w:type="dxa"/>
              <w:bottom w:w="60" w:type="dxa"/>
              <w:right w:w="100" w:type="dxa"/>
            </w:tcMar>
          </w:tcPr>
          <w:p w14:paraId="6CB5098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Vitamins Supplementation for Nerve Regeneration: A Systematic Review of Clinical Evidence</w:t>
            </w:r>
          </w:p>
        </w:tc>
        <w:tc>
          <w:tcPr>
            <w:tcW w:w="6537" w:type="dxa"/>
            <w:tcMar>
              <w:top w:w="60" w:type="dxa"/>
              <w:left w:w="100" w:type="dxa"/>
              <w:bottom w:w="60" w:type="dxa"/>
              <w:right w:w="100" w:type="dxa"/>
            </w:tcMar>
          </w:tcPr>
          <w:p w14:paraId="783C05F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nerve regeneration effects of supplementation not adverse effects from excess intake relevant to the UL.</w:t>
            </w:r>
          </w:p>
        </w:tc>
      </w:tr>
      <w:tr w:rsidR="00EA496D" w:rsidRPr="00F56AD6" w14:paraId="2D6E3D68" w14:textId="77777777" w:rsidTr="00EA496D">
        <w:tc>
          <w:tcPr>
            <w:tcW w:w="846" w:type="dxa"/>
            <w:tcMar>
              <w:top w:w="60" w:type="dxa"/>
              <w:left w:w="100" w:type="dxa"/>
              <w:bottom w:w="60" w:type="dxa"/>
              <w:right w:w="100" w:type="dxa"/>
            </w:tcMar>
          </w:tcPr>
          <w:p w14:paraId="7D34183E"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536</w:t>
            </w:r>
          </w:p>
        </w:tc>
        <w:tc>
          <w:tcPr>
            <w:tcW w:w="2094" w:type="dxa"/>
            <w:tcMar>
              <w:top w:w="60" w:type="dxa"/>
              <w:left w:w="100" w:type="dxa"/>
              <w:bottom w:w="60" w:type="dxa"/>
              <w:right w:w="100" w:type="dxa"/>
            </w:tcMar>
          </w:tcPr>
          <w:p w14:paraId="52930EA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Burgard et al. 2025</w:t>
            </w:r>
          </w:p>
        </w:tc>
        <w:tc>
          <w:tcPr>
            <w:tcW w:w="4923" w:type="dxa"/>
            <w:tcMar>
              <w:top w:w="60" w:type="dxa"/>
              <w:left w:w="100" w:type="dxa"/>
              <w:bottom w:w="60" w:type="dxa"/>
              <w:right w:w="100" w:type="dxa"/>
            </w:tcMar>
          </w:tcPr>
          <w:p w14:paraId="6EA576D4"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Ernährung in der Schwangerschaft</w:t>
            </w:r>
          </w:p>
        </w:tc>
        <w:tc>
          <w:tcPr>
            <w:tcW w:w="6537" w:type="dxa"/>
            <w:tcMar>
              <w:top w:w="60" w:type="dxa"/>
              <w:left w:w="100" w:type="dxa"/>
              <w:bottom w:w="60" w:type="dxa"/>
              <w:right w:w="100" w:type="dxa"/>
            </w:tcMar>
          </w:tcPr>
          <w:p w14:paraId="5CCC874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wrong Language (not English).</w:t>
            </w:r>
          </w:p>
        </w:tc>
      </w:tr>
      <w:tr w:rsidR="00EA496D" w:rsidRPr="00F56AD6" w14:paraId="165B6ECF" w14:textId="77777777" w:rsidTr="00EA496D">
        <w:tc>
          <w:tcPr>
            <w:tcW w:w="846" w:type="dxa"/>
            <w:tcMar>
              <w:top w:w="60" w:type="dxa"/>
              <w:left w:w="100" w:type="dxa"/>
              <w:bottom w:w="60" w:type="dxa"/>
              <w:right w:w="100" w:type="dxa"/>
            </w:tcMar>
          </w:tcPr>
          <w:p w14:paraId="7936825D"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537</w:t>
            </w:r>
          </w:p>
        </w:tc>
        <w:tc>
          <w:tcPr>
            <w:tcW w:w="2094" w:type="dxa"/>
            <w:tcMar>
              <w:top w:w="60" w:type="dxa"/>
              <w:left w:w="100" w:type="dxa"/>
              <w:bottom w:w="60" w:type="dxa"/>
              <w:right w:w="100" w:type="dxa"/>
            </w:tcMar>
          </w:tcPr>
          <w:p w14:paraId="3B3423D8"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BogatajJontez et al. 2024</w:t>
            </w:r>
          </w:p>
        </w:tc>
        <w:tc>
          <w:tcPr>
            <w:tcW w:w="4923" w:type="dxa"/>
            <w:tcMar>
              <w:top w:w="60" w:type="dxa"/>
              <w:left w:w="100" w:type="dxa"/>
              <w:bottom w:w="60" w:type="dxa"/>
              <w:right w:w="100" w:type="dxa"/>
            </w:tcMar>
          </w:tcPr>
          <w:p w14:paraId="5A4FEB4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Does Dietary Supplement Use Increase Micronutrient Intake Adequacy in Healthy Adults with Habitual Omnivorous, Vegetarian, Vegan, and Low-Carbohydrate High-Fat Diets?</w:t>
            </w:r>
          </w:p>
        </w:tc>
        <w:tc>
          <w:tcPr>
            <w:tcW w:w="6537" w:type="dxa"/>
            <w:tcMar>
              <w:top w:w="60" w:type="dxa"/>
              <w:left w:w="100" w:type="dxa"/>
              <w:bottom w:w="60" w:type="dxa"/>
              <w:right w:w="100" w:type="dxa"/>
            </w:tcMar>
          </w:tcPr>
          <w:p w14:paraId="4701425B"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direction of effect: the study did not assess adverse effects from excess vitamin B6 intake; studies micronutrient uptake related to supplement use not B6 supplement UL toxicity.</w:t>
            </w:r>
          </w:p>
        </w:tc>
      </w:tr>
      <w:tr w:rsidR="00EA496D" w:rsidRPr="00F56AD6" w14:paraId="6689B609" w14:textId="77777777" w:rsidTr="00EA496D">
        <w:tc>
          <w:tcPr>
            <w:tcW w:w="846" w:type="dxa"/>
            <w:tcMar>
              <w:top w:w="60" w:type="dxa"/>
              <w:left w:w="100" w:type="dxa"/>
              <w:bottom w:w="60" w:type="dxa"/>
              <w:right w:w="100" w:type="dxa"/>
            </w:tcMar>
          </w:tcPr>
          <w:p w14:paraId="4CB6B531"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538</w:t>
            </w:r>
          </w:p>
        </w:tc>
        <w:tc>
          <w:tcPr>
            <w:tcW w:w="2094" w:type="dxa"/>
            <w:tcMar>
              <w:top w:w="60" w:type="dxa"/>
              <w:left w:w="100" w:type="dxa"/>
              <w:bottom w:w="60" w:type="dxa"/>
              <w:right w:w="100" w:type="dxa"/>
            </w:tcMar>
          </w:tcPr>
          <w:p w14:paraId="1852094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Drohovoz et al. 2023</w:t>
            </w:r>
          </w:p>
        </w:tc>
        <w:tc>
          <w:tcPr>
            <w:tcW w:w="4923" w:type="dxa"/>
            <w:tcMar>
              <w:top w:w="60" w:type="dxa"/>
              <w:left w:w="100" w:type="dxa"/>
              <w:bottom w:w="60" w:type="dxa"/>
              <w:right w:w="100" w:type="dxa"/>
            </w:tcMar>
          </w:tcPr>
          <w:p w14:paraId="1E3A6832"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Можливість нейротоксичної дії препаратів вітамінів та умови її профілактики</w:t>
            </w:r>
          </w:p>
        </w:tc>
        <w:tc>
          <w:tcPr>
            <w:tcW w:w="6537" w:type="dxa"/>
            <w:tcMar>
              <w:top w:w="60" w:type="dxa"/>
              <w:left w:w="100" w:type="dxa"/>
              <w:bottom w:w="60" w:type="dxa"/>
              <w:right w:w="100" w:type="dxa"/>
            </w:tcMar>
          </w:tcPr>
          <w:p w14:paraId="41BC0E9F"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because of wrong Language.</w:t>
            </w:r>
          </w:p>
        </w:tc>
      </w:tr>
      <w:tr w:rsidR="00EA496D" w:rsidRPr="00F56AD6" w14:paraId="52E9D482" w14:textId="77777777" w:rsidTr="00EA496D">
        <w:tc>
          <w:tcPr>
            <w:tcW w:w="846" w:type="dxa"/>
            <w:tcMar>
              <w:top w:w="60" w:type="dxa"/>
              <w:left w:w="100" w:type="dxa"/>
              <w:bottom w:w="60" w:type="dxa"/>
              <w:right w:w="100" w:type="dxa"/>
            </w:tcMar>
          </w:tcPr>
          <w:p w14:paraId="4C197406"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539</w:t>
            </w:r>
          </w:p>
        </w:tc>
        <w:tc>
          <w:tcPr>
            <w:tcW w:w="2094" w:type="dxa"/>
            <w:tcMar>
              <w:top w:w="60" w:type="dxa"/>
              <w:left w:w="100" w:type="dxa"/>
              <w:bottom w:w="60" w:type="dxa"/>
              <w:right w:w="100" w:type="dxa"/>
            </w:tcMar>
          </w:tcPr>
          <w:p w14:paraId="0784F495"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Dedov et al. 2023</w:t>
            </w:r>
          </w:p>
        </w:tc>
        <w:tc>
          <w:tcPr>
            <w:tcW w:w="4923" w:type="dxa"/>
            <w:tcMar>
              <w:top w:w="60" w:type="dxa"/>
              <w:left w:w="100" w:type="dxa"/>
              <w:bottom w:w="60" w:type="dxa"/>
              <w:right w:w="100" w:type="dxa"/>
            </w:tcMar>
          </w:tcPr>
          <w:p w14:paraId="12A7A8E9"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Anemia: epidemiology, clinical-pathogenetic associations, risk of development, selenium deficiency, prevention, selenium-containing drugs</w:t>
            </w:r>
          </w:p>
        </w:tc>
        <w:tc>
          <w:tcPr>
            <w:tcW w:w="6537" w:type="dxa"/>
            <w:tcMar>
              <w:top w:w="60" w:type="dxa"/>
              <w:left w:w="100" w:type="dxa"/>
              <w:bottom w:w="60" w:type="dxa"/>
              <w:right w:w="100" w:type="dxa"/>
            </w:tcMar>
          </w:tcPr>
          <w:p w14:paraId="4507AFA3" w14:textId="77777777" w:rsidR="00EA496D" w:rsidRPr="00F56AD6" w:rsidRDefault="00EA496D" w:rsidP="00AF0BBB">
            <w:pPr>
              <w:rPr>
                <w:rFonts w:asciiTheme="minorHAnsi" w:hAnsiTheme="minorHAnsi" w:cstheme="minorHAnsi"/>
                <w:sz w:val="20"/>
              </w:rPr>
            </w:pPr>
            <w:r w:rsidRPr="00F56AD6">
              <w:rPr>
                <w:rFonts w:asciiTheme="minorHAnsi" w:hAnsiTheme="minorHAnsi" w:cstheme="minorHAnsi"/>
                <w:sz w:val="20"/>
              </w:rPr>
              <w:t>Excluded due to wrong nutrient; the study was not relevant to vitamin B6.</w:t>
            </w:r>
          </w:p>
        </w:tc>
      </w:tr>
    </w:tbl>
    <w:p w14:paraId="1D759E5D" w14:textId="77777777" w:rsidR="00C62AD0" w:rsidRPr="00C62AD0" w:rsidRDefault="00C62AD0" w:rsidP="00C62AD0">
      <w:pPr>
        <w:pStyle w:val="BodyText"/>
      </w:pPr>
    </w:p>
    <w:p w14:paraId="0BB3F3F1" w14:textId="6F96236C" w:rsidR="003D1FE2" w:rsidRPr="00F47498" w:rsidRDefault="003D1FE2" w:rsidP="00F47498">
      <w:pPr>
        <w:pStyle w:val="BodyText"/>
        <w:sectPr w:rsidR="003D1FE2" w:rsidRPr="00F47498" w:rsidSect="003077A8">
          <w:headerReference w:type="default" r:id="rId64"/>
          <w:footerReference w:type="default" r:id="rId65"/>
          <w:pgSz w:w="16834" w:h="11909" w:orient="landscape" w:code="9"/>
          <w:pgMar w:top="1440" w:right="1440" w:bottom="1440" w:left="1440" w:header="576" w:footer="576" w:gutter="0"/>
          <w:pgNumType w:start="1" w:chapStyle="7"/>
          <w:cols w:space="720"/>
          <w:docGrid w:linePitch="360"/>
        </w:sectPr>
      </w:pPr>
    </w:p>
    <w:p w14:paraId="11A216AE" w14:textId="699E8D14" w:rsidR="00E50719" w:rsidRPr="00AC1BC7" w:rsidRDefault="00F51AC1" w:rsidP="00E50719">
      <w:pPr>
        <w:pStyle w:val="Heading7"/>
      </w:pPr>
      <w:bookmarkStart w:id="56" w:name="_Ref218524360"/>
      <w:bookmarkStart w:id="57" w:name="_Ref218524368"/>
      <w:bookmarkStart w:id="58" w:name="_Ref231989636"/>
      <w:bookmarkStart w:id="59" w:name="_Toc233022882"/>
      <w:r w:rsidRPr="00F51AC1">
        <w:lastRenderedPageBreak/>
        <w:t>E</w:t>
      </w:r>
      <w:bookmarkEnd w:id="56"/>
      <w:bookmarkEnd w:id="57"/>
      <w:r w:rsidR="001B70DB">
        <w:t>xisting Guideline/Guidance Assessment Tables – Credibility Assessment</w:t>
      </w:r>
      <w:bookmarkEnd w:id="58"/>
      <w:bookmarkEnd w:id="59"/>
    </w:p>
    <w:p w14:paraId="124CD88C" w14:textId="54C43D5E" w:rsidR="00E50719" w:rsidRPr="008371FA" w:rsidRDefault="00E50719" w:rsidP="00E50719">
      <w:pPr>
        <w:pStyle w:val="CoverTitleXref"/>
        <w:rPr>
          <w:noProof w:val="0"/>
        </w:rPr>
      </w:pPr>
      <w:r w:rsidRPr="008371FA">
        <w:rPr>
          <w:noProof w:val="0"/>
        </w:rPr>
        <w:fldChar w:fldCharType="begin"/>
      </w:r>
      <w:r w:rsidRPr="008371FA">
        <w:rPr>
          <w:noProof w:val="0"/>
        </w:rPr>
        <w:instrText xml:space="preserve"> STYLEREF  "Cover Title"  \* MERGEFORMAT </w:instrText>
      </w:r>
      <w:r w:rsidRPr="008371FA">
        <w:rPr>
          <w:noProof w:val="0"/>
        </w:rPr>
        <w:fldChar w:fldCharType="separate"/>
      </w:r>
      <w:r w:rsidR="00A41FEF">
        <w:t>Evidence Evaluations for Vitamin B6 Upper Level (UL)</w:t>
      </w:r>
      <w:r w:rsidRPr="008371FA">
        <w:rPr>
          <w:noProof w:val="0"/>
        </w:rPr>
        <w:fldChar w:fldCharType="end"/>
      </w:r>
    </w:p>
    <w:p w14:paraId="291C2357" w14:textId="6519C6A6" w:rsidR="00E50719" w:rsidRPr="008371FA" w:rsidRDefault="003C21C4" w:rsidP="00E50719">
      <w:pPr>
        <w:pStyle w:val="CoverSubtitleXref"/>
      </w:pPr>
      <w:fldSimple w:instr=" STYLEREF  &quot;Cover Subtitle&quot;  \* MERGEFORMAT ">
        <w:r w:rsidR="00A41FEF">
          <w:rPr>
            <w:noProof/>
          </w:rPr>
          <w:t>Vitamin B6 Upper Level (UL) Technical Report</w:t>
        </w:r>
      </w:fldSimple>
    </w:p>
    <w:p w14:paraId="37848817" w14:textId="37038020" w:rsidR="00E50719" w:rsidRPr="008371FA" w:rsidRDefault="003C21C4" w:rsidP="00E50719">
      <w:pPr>
        <w:pStyle w:val="CoverClientRef"/>
      </w:pPr>
      <w:fldSimple w:instr=" STYLEREF  &quot;Cover Client Name&quot;  \* MERGEFORMAT ">
        <w:r w:rsidR="00A41FEF">
          <w:rPr>
            <w:noProof/>
          </w:rPr>
          <w:t>National Health and Medical Research Council</w:t>
        </w:r>
      </w:fldSimple>
    </w:p>
    <w:p w14:paraId="726598C5" w14:textId="57CC0650" w:rsidR="00E50719" w:rsidRPr="008371FA" w:rsidRDefault="003C21C4" w:rsidP="00E50719">
      <w:pPr>
        <w:pStyle w:val="CoverProjectXref"/>
      </w:pPr>
      <w:fldSimple w:instr=" STYLEREF  &quot;Cover Project Number&quot;  \* MERGEFORMAT ">
        <w:r w:rsidR="00A41FEF">
          <w:rPr>
            <w:noProof/>
          </w:rPr>
          <w:t>SLR Project No.: 640.032359.00001</w:t>
        </w:r>
      </w:fldSimple>
    </w:p>
    <w:p w14:paraId="3EA2A32B" w14:textId="2EC58A81" w:rsidR="00E50719" w:rsidRPr="008371FA" w:rsidRDefault="003C21C4" w:rsidP="00E50719">
      <w:pPr>
        <w:pStyle w:val="CoverDateXref"/>
      </w:pPr>
      <w:fldSimple w:instr=" STYLEREF  &quot;Cover Date&quot;  \* MERGEFORMAT ">
        <w:r w:rsidR="00A41FEF">
          <w:rPr>
            <w:noProof/>
          </w:rPr>
          <w:t>7 August 2026</w:t>
        </w:r>
      </w:fldSimple>
    </w:p>
    <w:p w14:paraId="005A8E27" w14:textId="77777777" w:rsidR="00E50719" w:rsidRPr="008371FA" w:rsidRDefault="00E50719" w:rsidP="00E50719">
      <w:pPr>
        <w:pStyle w:val="BodyText"/>
      </w:pPr>
    </w:p>
    <w:p w14:paraId="2D0C265E" w14:textId="77777777" w:rsidR="00E50719" w:rsidRPr="008371FA" w:rsidRDefault="00E50719" w:rsidP="00E50719">
      <w:pPr>
        <w:pStyle w:val="BodyText"/>
        <w:sectPr w:rsidR="00E50719" w:rsidRPr="008371FA" w:rsidSect="00E50719">
          <w:headerReference w:type="default" r:id="rId66"/>
          <w:footerReference w:type="default" r:id="rId67"/>
          <w:headerReference w:type="first" r:id="rId68"/>
          <w:footerReference w:type="first" r:id="rId69"/>
          <w:pgSz w:w="11909" w:h="16834" w:code="9"/>
          <w:pgMar w:top="1440" w:right="1440" w:bottom="1440" w:left="1440" w:header="576" w:footer="576" w:gutter="0"/>
          <w:pgNumType w:start="1" w:chapStyle="7"/>
          <w:cols w:space="720"/>
          <w:docGrid w:linePitch="360"/>
        </w:sectPr>
      </w:pPr>
    </w:p>
    <w:p w14:paraId="3A33AC50" w14:textId="77777777" w:rsidR="00F51AC1" w:rsidRPr="005E0164" w:rsidRDefault="00F51AC1" w:rsidP="00C47666">
      <w:pPr>
        <w:pStyle w:val="Heading8"/>
      </w:pPr>
      <w:bookmarkStart w:id="60" w:name="_Toc233022883"/>
      <w:r w:rsidRPr="00601CCB">
        <w:lastRenderedPageBreak/>
        <w:t>Criteria for assessing existing guidance or guidelines</w:t>
      </w:r>
      <w:bookmarkEnd w:id="60"/>
    </w:p>
    <w:p w14:paraId="6B663DC5" w14:textId="77777777" w:rsidR="00F51AC1" w:rsidRPr="005E0164" w:rsidRDefault="00F51AC1" w:rsidP="00601CCB">
      <w:pPr>
        <w:pStyle w:val="BodyText"/>
        <w:rPr>
          <w:bCs/>
        </w:rPr>
      </w:pPr>
      <w:r w:rsidRPr="00601CCB">
        <w:rPr>
          <w:b/>
          <w:bCs/>
        </w:rPr>
        <w:t>Administrative and technical criteria for assessing existing guidance or guidelines</w:t>
      </w:r>
    </w:p>
    <w:p w14:paraId="26F03688" w14:textId="77777777" w:rsidR="006B7A0A" w:rsidRDefault="006B7A0A" w:rsidP="006B7A0A">
      <w:pPr>
        <w:spacing w:before="0" w:after="0"/>
        <w:textAlignment w:val="baseline"/>
        <w:rPr>
          <w:rFonts w:eastAsia="Times New Roman" w:cs="Arial"/>
          <w:color w:val="000000"/>
          <w:szCs w:val="22"/>
        </w:rPr>
      </w:pPr>
      <w:bookmarkStart w:id="61" w:name="_Hlk219906542"/>
      <w:r w:rsidRPr="00E345BB">
        <w:rPr>
          <w:rFonts w:eastAsia="Times New Roman" w:cs="Arial"/>
          <w:color w:val="000000"/>
          <w:szCs w:val="22"/>
        </w:rPr>
        <w:t>The criteria outlined in this Appendix will be used to assess the methodological credibility and transparency of existing guidance documents. This assessment will inform the extent to which findings from existing guidance can be relied upon in the review. Where guidance documents are considered methodologically robust and applicable [i.e. meeting at least 80% of “must-have” and “should-have” criteria], their findings (including underlying evidence assessments where available) may be used to inform the review. Where limitations are identified, additional interrogation of the underlying evidence may be undertaken, as appropriate.</w:t>
      </w:r>
    </w:p>
    <w:p w14:paraId="5FCA8640" w14:textId="6B506E0F" w:rsidR="00DD720F" w:rsidRDefault="00DD720F" w:rsidP="006B7A0A">
      <w:pPr>
        <w:spacing w:before="0" w:after="0"/>
        <w:textAlignment w:val="baseline"/>
        <w:rPr>
          <w:rFonts w:eastAsia="Times New Roman" w:cs="Arial"/>
          <w:color w:val="000000"/>
          <w:szCs w:val="22"/>
        </w:rPr>
      </w:pPr>
      <w:r>
        <w:rPr>
          <w:rFonts w:eastAsia="Times New Roman" w:cs="Arial"/>
          <w:color w:val="000000"/>
          <w:szCs w:val="22"/>
        </w:rPr>
        <w:t xml:space="preserve">The EFSA 2023 guidance document was assessed below. </w:t>
      </w:r>
    </w:p>
    <w:bookmarkEnd w:id="61"/>
    <w:p w14:paraId="1DFEC115" w14:textId="77777777" w:rsidR="003C003C" w:rsidRPr="003C003C" w:rsidRDefault="003C003C" w:rsidP="003C003C">
      <w:pPr>
        <w:keepNext/>
        <w:keepLines/>
        <w:rPr>
          <w:rFonts w:eastAsia="Arial" w:cs="Times New Roman"/>
          <w:shd w:val="clear" w:color="auto" w:fill="C9C9C9"/>
        </w:rPr>
      </w:pPr>
      <w:r w:rsidRPr="003C003C">
        <w:rPr>
          <w:rFonts w:eastAsia="Arial" w:cs="Times New Roman"/>
        </w:rPr>
        <w:lastRenderedPageBreak/>
        <w:t xml:space="preserve">Criteria have been colour-coded to assess minimum requirements as follows: </w:t>
      </w:r>
      <w:r w:rsidRPr="003C003C">
        <w:rPr>
          <w:rFonts w:eastAsia="Arial" w:cs="Times New Roman"/>
          <w:shd w:val="clear" w:color="auto" w:fill="92D050"/>
        </w:rPr>
        <w:t>‘Must have (M)’</w:t>
      </w:r>
      <w:r w:rsidRPr="003C003C">
        <w:rPr>
          <w:rFonts w:eastAsia="Arial" w:cs="Times New Roman"/>
        </w:rPr>
        <w:t xml:space="preserve">, </w:t>
      </w:r>
      <w:r w:rsidRPr="003C003C">
        <w:rPr>
          <w:rFonts w:eastAsia="Arial" w:cs="Times New Roman"/>
          <w:shd w:val="clear" w:color="auto" w:fill="FFFF00"/>
        </w:rPr>
        <w:t>‘Should have (S)’</w:t>
      </w:r>
      <w:r w:rsidRPr="003C003C">
        <w:rPr>
          <w:rFonts w:eastAsia="Arial" w:cs="Times New Roman"/>
        </w:rPr>
        <w:t xml:space="preserve"> or </w:t>
      </w:r>
      <w:r w:rsidRPr="003C003C">
        <w:rPr>
          <w:rFonts w:eastAsia="Arial" w:cs="Times New Roman"/>
          <w:shd w:val="clear" w:color="auto" w:fill="8EAADB"/>
        </w:rPr>
        <w:t>‘May have(-)’</w:t>
      </w:r>
    </w:p>
    <w:p w14:paraId="6D593F00" w14:textId="7706C664" w:rsidR="00F51AC1" w:rsidRDefault="006B7A0A" w:rsidP="00C47666">
      <w:pPr>
        <w:pStyle w:val="Heading9"/>
      </w:pPr>
      <w:bookmarkStart w:id="62" w:name="_Ref231918616"/>
      <w:bookmarkStart w:id="63" w:name="_Toc233022884"/>
      <w:r w:rsidRPr="00947B03">
        <w:t>Overall guidance/advice development process</w:t>
      </w:r>
      <w:bookmarkEnd w:id="62"/>
      <w:r w:rsidRPr="00947B03">
        <w:t> </w:t>
      </w:r>
      <w:r w:rsidR="00DD720F">
        <w:t>– EFSA 2023</w:t>
      </w:r>
      <w:bookmarkEnd w:id="63"/>
    </w:p>
    <w:tbl>
      <w:tblPr>
        <w:tblStyle w:val="TableGrid41"/>
        <w:tblW w:w="5000" w:type="pct"/>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400"/>
        <w:gridCol w:w="6447"/>
        <w:gridCol w:w="1402"/>
        <w:gridCol w:w="5675"/>
      </w:tblGrid>
      <w:tr w:rsidR="00C47666" w14:paraId="3BC650EA" w14:textId="77777777" w:rsidTr="00D1192C">
        <w:trPr>
          <w:cantSplit/>
          <w:tblHeader/>
        </w:trPr>
        <w:tc>
          <w:tcPr>
            <w:tcW w:w="2459" w:type="pct"/>
            <w:gridSpan w:val="2"/>
            <w:tcBorders>
              <w:top w:val="single" w:sz="12" w:space="0" w:color="auto"/>
              <w:bottom w:val="single" w:sz="12" w:space="0" w:color="auto"/>
            </w:tcBorders>
            <w:shd w:val="clear" w:color="auto" w:fill="BFBFBF"/>
            <w:vAlign w:val="center"/>
          </w:tcPr>
          <w:p w14:paraId="040EBA66" w14:textId="77777777" w:rsidR="00C47666" w:rsidRPr="00056A19" w:rsidRDefault="00C47666" w:rsidP="00D1192C">
            <w:pPr>
              <w:keepNext/>
              <w:keepLines/>
              <w:rPr>
                <w:vertAlign w:val="superscript"/>
              </w:rPr>
            </w:pPr>
            <w:r w:rsidRPr="00056A19">
              <w:t>Criteria</w:t>
            </w:r>
          </w:p>
        </w:tc>
        <w:tc>
          <w:tcPr>
            <w:tcW w:w="503" w:type="pct"/>
            <w:tcBorders>
              <w:top w:val="single" w:sz="12" w:space="0" w:color="auto"/>
              <w:bottom w:val="single" w:sz="12" w:space="0" w:color="auto"/>
            </w:tcBorders>
            <w:shd w:val="clear" w:color="auto" w:fill="BFBFBF"/>
            <w:vAlign w:val="center"/>
          </w:tcPr>
          <w:p w14:paraId="44117D39" w14:textId="77777777" w:rsidR="00C47666" w:rsidRPr="00056A19" w:rsidRDefault="00C47666" w:rsidP="00D1192C">
            <w:pPr>
              <w:keepNext/>
              <w:keepLines/>
            </w:pPr>
            <w:r w:rsidRPr="00056A19">
              <w:t>Y/N/</w:t>
            </w:r>
            <w:r>
              <w:t>partially met/</w:t>
            </w:r>
            <w:r w:rsidRPr="00056A19">
              <w:t>?/NA</w:t>
            </w:r>
          </w:p>
        </w:tc>
        <w:tc>
          <w:tcPr>
            <w:tcW w:w="2038" w:type="pct"/>
            <w:tcBorders>
              <w:top w:val="single" w:sz="12" w:space="0" w:color="auto"/>
              <w:bottom w:val="single" w:sz="12" w:space="0" w:color="auto"/>
            </w:tcBorders>
            <w:shd w:val="clear" w:color="auto" w:fill="BFBFBF"/>
          </w:tcPr>
          <w:p w14:paraId="6DFDC6F3" w14:textId="77777777" w:rsidR="00C47666" w:rsidRPr="00056A19" w:rsidRDefault="00C47666" w:rsidP="00D1192C">
            <w:pPr>
              <w:keepNext/>
              <w:keepLines/>
            </w:pPr>
            <w:r w:rsidRPr="00056A19">
              <w:t>Notes</w:t>
            </w:r>
          </w:p>
        </w:tc>
      </w:tr>
      <w:tr w:rsidR="00C47666" w14:paraId="38797C10" w14:textId="77777777" w:rsidTr="00D1192C">
        <w:trPr>
          <w:cantSplit/>
        </w:trPr>
        <w:tc>
          <w:tcPr>
            <w:tcW w:w="144" w:type="pct"/>
            <w:tcBorders>
              <w:top w:val="single" w:sz="12" w:space="0" w:color="auto"/>
              <w:right w:val="single" w:sz="12" w:space="0" w:color="auto"/>
            </w:tcBorders>
            <w:shd w:val="clear" w:color="auto" w:fill="BFBFBF"/>
            <w:vAlign w:val="center"/>
          </w:tcPr>
          <w:p w14:paraId="421AE591" w14:textId="77777777" w:rsidR="00C47666" w:rsidRPr="00056A19" w:rsidRDefault="00C47666" w:rsidP="00D1192C">
            <w:pPr>
              <w:keepNext/>
              <w:keepLines/>
            </w:pPr>
          </w:p>
        </w:tc>
        <w:tc>
          <w:tcPr>
            <w:tcW w:w="2315" w:type="pct"/>
            <w:tcBorders>
              <w:top w:val="single" w:sz="12" w:space="0" w:color="auto"/>
              <w:left w:val="single" w:sz="12" w:space="0" w:color="auto"/>
            </w:tcBorders>
            <w:shd w:val="clear" w:color="auto" w:fill="BFBFBF"/>
            <w:vAlign w:val="center"/>
          </w:tcPr>
          <w:p w14:paraId="1CE5CD3C" w14:textId="77777777" w:rsidR="00C47666" w:rsidRPr="00056A19" w:rsidRDefault="00C47666" w:rsidP="00D1192C">
            <w:pPr>
              <w:keepNext/>
              <w:keepLines/>
            </w:pPr>
            <w:r w:rsidRPr="00056A19">
              <w:t>Overall guidance/advice development process</w:t>
            </w:r>
          </w:p>
        </w:tc>
        <w:tc>
          <w:tcPr>
            <w:tcW w:w="503" w:type="pct"/>
            <w:tcBorders>
              <w:top w:val="single" w:sz="12" w:space="0" w:color="auto"/>
              <w:left w:val="single" w:sz="12" w:space="0" w:color="auto"/>
            </w:tcBorders>
            <w:shd w:val="clear" w:color="auto" w:fill="BFBFBF"/>
            <w:vAlign w:val="center"/>
          </w:tcPr>
          <w:p w14:paraId="36FF3D4E" w14:textId="77777777" w:rsidR="00C47666" w:rsidRPr="00056A19" w:rsidRDefault="00C47666" w:rsidP="00D1192C">
            <w:pPr>
              <w:keepNext/>
              <w:keepLines/>
            </w:pPr>
          </w:p>
        </w:tc>
        <w:tc>
          <w:tcPr>
            <w:tcW w:w="2038" w:type="pct"/>
            <w:tcBorders>
              <w:top w:val="single" w:sz="12" w:space="0" w:color="auto"/>
              <w:left w:val="single" w:sz="12" w:space="0" w:color="auto"/>
            </w:tcBorders>
            <w:shd w:val="clear" w:color="auto" w:fill="BFBFBF"/>
            <w:vAlign w:val="center"/>
          </w:tcPr>
          <w:p w14:paraId="78DFB040" w14:textId="77777777" w:rsidR="00C47666" w:rsidRPr="00056A19" w:rsidRDefault="00C47666" w:rsidP="00D1192C">
            <w:pPr>
              <w:keepNext/>
              <w:keepLines/>
            </w:pPr>
          </w:p>
        </w:tc>
      </w:tr>
      <w:tr w:rsidR="00C47666" w14:paraId="7418A8FB" w14:textId="77777777" w:rsidTr="00D1192C">
        <w:trPr>
          <w:cantSplit/>
        </w:trPr>
        <w:tc>
          <w:tcPr>
            <w:tcW w:w="144" w:type="pct"/>
            <w:tcBorders>
              <w:top w:val="single" w:sz="12" w:space="0" w:color="auto"/>
            </w:tcBorders>
            <w:shd w:val="clear" w:color="auto" w:fill="92D050"/>
            <w:vAlign w:val="center"/>
          </w:tcPr>
          <w:p w14:paraId="2799528C" w14:textId="77777777" w:rsidR="00C47666" w:rsidRPr="00056A19" w:rsidRDefault="00C47666" w:rsidP="00D1192C">
            <w:pPr>
              <w:keepNext/>
              <w:keepLines/>
            </w:pPr>
            <w:r>
              <w:t>M</w:t>
            </w:r>
          </w:p>
        </w:tc>
        <w:tc>
          <w:tcPr>
            <w:tcW w:w="2315" w:type="pct"/>
            <w:tcBorders>
              <w:top w:val="single" w:sz="12" w:space="0" w:color="auto"/>
            </w:tcBorders>
            <w:vAlign w:val="center"/>
          </w:tcPr>
          <w:p w14:paraId="40008B71" w14:textId="77777777" w:rsidR="00C47666" w:rsidRPr="00056A19" w:rsidRDefault="00C47666" w:rsidP="00D1192C">
            <w:pPr>
              <w:keepNext/>
              <w:keepLines/>
            </w:pPr>
            <w:r w:rsidRPr="00C35841">
              <w:t>Are the key stages of the organisation’s NRV development processes compatible with NHMRC processes? (i.e., relevant and useful, transparent, overseen by a guideline development group/committee, COI management, focussed on health-related outcomes, evidence informed, actionable recs, up to date and accessible)</w:t>
            </w:r>
            <w:r w:rsidRPr="00056A19">
              <w:t>?</w:t>
            </w:r>
          </w:p>
        </w:tc>
        <w:tc>
          <w:tcPr>
            <w:tcW w:w="503" w:type="pct"/>
            <w:tcBorders>
              <w:top w:val="single" w:sz="12" w:space="0" w:color="auto"/>
            </w:tcBorders>
            <w:vAlign w:val="center"/>
          </w:tcPr>
          <w:p w14:paraId="6FF24BEF" w14:textId="77777777" w:rsidR="00C47666" w:rsidRPr="00056A19" w:rsidRDefault="00C47666" w:rsidP="00D1192C">
            <w:pPr>
              <w:keepNext/>
              <w:keepLines/>
              <w:rPr>
                <w:color w:val="FF0000"/>
              </w:rPr>
            </w:pPr>
            <w:r w:rsidRPr="00C65B88">
              <w:rPr>
                <w:color w:val="2D3E2D" w:themeColor="accent1" w:themeShade="BF"/>
              </w:rPr>
              <w:t>Y</w:t>
            </w:r>
          </w:p>
        </w:tc>
        <w:tc>
          <w:tcPr>
            <w:tcW w:w="2038" w:type="pct"/>
            <w:tcBorders>
              <w:top w:val="single" w:sz="12" w:space="0" w:color="auto"/>
            </w:tcBorders>
          </w:tcPr>
          <w:p w14:paraId="3D580084" w14:textId="77777777" w:rsidR="00C47666" w:rsidRPr="00C65B88" w:rsidRDefault="00C47666" w:rsidP="00D1192C">
            <w:pPr>
              <w:keepNext/>
              <w:keepLines/>
              <w:rPr>
                <w:color w:val="FF0000"/>
              </w:rPr>
            </w:pPr>
            <w:r w:rsidRPr="00C65B88">
              <w:t xml:space="preserve">EFSA's process is compatible with NHMRC processes. The opinion was developed by the EFSA Panel with a dedicated Working Group on Upper Levels. It follows EFSA's established methodology framework (EFSA, 2020) and the draft Panel guidance for establishing ULs (EFSA Panel, 2022). It is health-outcome focused (peripheral neuropathy as critical effect for the UL), evidence-informed via systematic review, with a documented protocol (EFSA </w:t>
            </w:r>
            <w:r>
              <w:t xml:space="preserve">Panel </w:t>
            </w:r>
            <w:r w:rsidRPr="00C65B88">
              <w:t>2023, Annex A), clear actionable recommendations (UL of 12 mg/day for adults plus age-specific values), recently published (29 March 2023, doi:10.2903/j.efsa.2023.8006), and freely accessible via EFSA Journal.</w:t>
            </w:r>
          </w:p>
        </w:tc>
      </w:tr>
      <w:tr w:rsidR="00C47666" w14:paraId="0D2CF368" w14:textId="77777777" w:rsidTr="00D1192C">
        <w:trPr>
          <w:cantSplit/>
        </w:trPr>
        <w:tc>
          <w:tcPr>
            <w:tcW w:w="144" w:type="pct"/>
            <w:shd w:val="clear" w:color="auto" w:fill="92D050"/>
            <w:vAlign w:val="center"/>
          </w:tcPr>
          <w:p w14:paraId="7117AE00" w14:textId="77777777" w:rsidR="00C47666" w:rsidRPr="00056A19" w:rsidRDefault="00C47666" w:rsidP="00D1192C">
            <w:r>
              <w:t>M</w:t>
            </w:r>
          </w:p>
        </w:tc>
        <w:tc>
          <w:tcPr>
            <w:tcW w:w="2315" w:type="pct"/>
            <w:tcBorders>
              <w:right w:val="single" w:sz="12" w:space="0" w:color="auto"/>
            </w:tcBorders>
            <w:vAlign w:val="center"/>
          </w:tcPr>
          <w:p w14:paraId="347B29EA" w14:textId="77777777" w:rsidR="00C47666" w:rsidRPr="00056A19" w:rsidRDefault="00C47666" w:rsidP="00D1192C">
            <w:r w:rsidRPr="00C35841">
              <w:t>Are the administrative processes (e.g. the NRV development process and associated governance, principles and procedures) documented and publicly available?</w:t>
            </w:r>
          </w:p>
        </w:tc>
        <w:tc>
          <w:tcPr>
            <w:tcW w:w="503" w:type="pct"/>
            <w:vAlign w:val="center"/>
          </w:tcPr>
          <w:p w14:paraId="7403CFD8" w14:textId="77777777" w:rsidR="00C47666" w:rsidRPr="00056A19" w:rsidRDefault="00C47666" w:rsidP="00D1192C">
            <w:r>
              <w:t>Y</w:t>
            </w:r>
          </w:p>
        </w:tc>
        <w:tc>
          <w:tcPr>
            <w:tcW w:w="2038" w:type="pct"/>
          </w:tcPr>
          <w:p w14:paraId="51498981" w14:textId="77777777" w:rsidR="00C47666" w:rsidRPr="00056A19" w:rsidRDefault="00C47666" w:rsidP="00D1192C">
            <w:r w:rsidRPr="00C65B88">
              <w:t>Yes. The methodology is documented in Section 2 of the opinion and the protocol is published as Annex A. The opinion explicitly references the EFSA framework documents that govern the process: EFSA (2010) on systematic review methodology, EFSA (2015) on principles and processes for dealing with data and evidence, EFSA Scientific Committee (2011, 2017a, 2017b, 2020) on biological relevance, weight of evidence and epidemiological evidence appraisal, and EFSA Panel (2022) on UL derivation. All documents are publicly available on the EFSA website.</w:t>
            </w:r>
          </w:p>
        </w:tc>
      </w:tr>
      <w:tr w:rsidR="00C47666" w14:paraId="49B0B718" w14:textId="77777777" w:rsidTr="00D1192C">
        <w:trPr>
          <w:cantSplit/>
        </w:trPr>
        <w:tc>
          <w:tcPr>
            <w:tcW w:w="144" w:type="pct"/>
            <w:shd w:val="clear" w:color="auto" w:fill="92D050"/>
            <w:vAlign w:val="center"/>
          </w:tcPr>
          <w:p w14:paraId="10829295" w14:textId="77777777" w:rsidR="00C47666" w:rsidRPr="00056A19" w:rsidRDefault="00C47666" w:rsidP="00D1192C">
            <w:r>
              <w:lastRenderedPageBreak/>
              <w:t>M</w:t>
            </w:r>
          </w:p>
        </w:tc>
        <w:tc>
          <w:tcPr>
            <w:tcW w:w="2315" w:type="pct"/>
            <w:tcBorders>
              <w:right w:val="single" w:sz="12" w:space="0" w:color="auto"/>
            </w:tcBorders>
            <w:vAlign w:val="center"/>
          </w:tcPr>
          <w:p w14:paraId="7C3E21A3" w14:textId="77777777" w:rsidR="00C47666" w:rsidRPr="00056A19" w:rsidRDefault="00C47666" w:rsidP="00D1192C">
            <w:r w:rsidRPr="00056A19">
              <w:t>Was the work overseen by an expert advisory committee? Are potential conflicts of interest of committee members declared, managed and/or reported?</w:t>
            </w:r>
          </w:p>
        </w:tc>
        <w:tc>
          <w:tcPr>
            <w:tcW w:w="503" w:type="pct"/>
            <w:vAlign w:val="center"/>
          </w:tcPr>
          <w:p w14:paraId="769D5D4D" w14:textId="77777777" w:rsidR="00C47666" w:rsidRPr="00056A19" w:rsidRDefault="00C47666" w:rsidP="00D1192C">
            <w:r>
              <w:t>Y</w:t>
            </w:r>
          </w:p>
        </w:tc>
        <w:tc>
          <w:tcPr>
            <w:tcW w:w="2038" w:type="pct"/>
          </w:tcPr>
          <w:p w14:paraId="0E11532E" w14:textId="77777777" w:rsidR="00C47666" w:rsidRPr="00056A19" w:rsidRDefault="00C47666" w:rsidP="00D1192C">
            <w:r w:rsidRPr="007926D5">
              <w:t>Yes. The work was developed by the EFSA Panel and the Working Group on Upper Levels</w:t>
            </w:r>
            <w:r>
              <w:t xml:space="preserve">. </w:t>
            </w:r>
            <w:r w:rsidRPr="007926D5">
              <w:t xml:space="preserve">The opinion explicitly states: 'If you wish to access the declaration of interests of any expert contributing to an EFSA scientific assessment, please contact interestmanagement@efsa.europa.eu.' EFSA operates a documented Independence Policy and routine COI screening for all panel members; declarations are publicly accessible on request. </w:t>
            </w:r>
          </w:p>
        </w:tc>
      </w:tr>
      <w:tr w:rsidR="00C47666" w14:paraId="79DFFA8B" w14:textId="77777777" w:rsidTr="00D1192C">
        <w:trPr>
          <w:cantSplit/>
        </w:trPr>
        <w:tc>
          <w:tcPr>
            <w:tcW w:w="144" w:type="pct"/>
            <w:shd w:val="clear" w:color="auto" w:fill="92D050"/>
            <w:vAlign w:val="center"/>
          </w:tcPr>
          <w:p w14:paraId="1B6CF414" w14:textId="77777777" w:rsidR="00C47666" w:rsidRPr="00056A19" w:rsidRDefault="00C47666" w:rsidP="00D1192C">
            <w:r>
              <w:t>M</w:t>
            </w:r>
          </w:p>
        </w:tc>
        <w:tc>
          <w:tcPr>
            <w:tcW w:w="2315" w:type="pct"/>
            <w:tcBorders>
              <w:right w:val="single" w:sz="12" w:space="0" w:color="auto"/>
            </w:tcBorders>
            <w:vAlign w:val="center"/>
          </w:tcPr>
          <w:p w14:paraId="3DDC6D5F" w14:textId="77777777" w:rsidR="00C47666" w:rsidRPr="00056A19" w:rsidRDefault="00C47666" w:rsidP="00D1192C">
            <w:r w:rsidRPr="00C35841">
              <w:t>Are funding sources declared for NRV development</w:t>
            </w:r>
            <w:r w:rsidRPr="00056A19">
              <w:t>?</w:t>
            </w:r>
          </w:p>
        </w:tc>
        <w:tc>
          <w:tcPr>
            <w:tcW w:w="503" w:type="pct"/>
            <w:vAlign w:val="center"/>
          </w:tcPr>
          <w:p w14:paraId="4C5CA1A3" w14:textId="77777777" w:rsidR="00C47666" w:rsidRPr="00056A19" w:rsidRDefault="00C47666" w:rsidP="00D1192C">
            <w:pPr>
              <w:rPr>
                <w:color w:val="FF0000"/>
              </w:rPr>
            </w:pPr>
            <w:r w:rsidRPr="007926D5">
              <w:t>Y</w:t>
            </w:r>
          </w:p>
        </w:tc>
        <w:tc>
          <w:tcPr>
            <w:tcW w:w="2038" w:type="pct"/>
          </w:tcPr>
          <w:p w14:paraId="18B1D909" w14:textId="77777777" w:rsidR="00C47666" w:rsidRPr="00056A19" w:rsidRDefault="00C47666" w:rsidP="00D1192C">
            <w:pPr>
              <w:rPr>
                <w:color w:val="FF0000"/>
              </w:rPr>
            </w:pPr>
            <w:r w:rsidRPr="007926D5">
              <w:t>Yes. The opinion was prepared at the request of the European Commission (Question number EFSA-Q-2021-00369). EFSA is identified as 'a European agency funded by the European Union'. The systematic review work was outsourced to the University of Copenhagen in collaboration with the University of Oslo and Karolinska Institute (Tetens et al., 2023) under an EFSA procurement procedure, which is acknowledged.</w:t>
            </w:r>
          </w:p>
        </w:tc>
      </w:tr>
      <w:tr w:rsidR="00C47666" w14:paraId="29BF0911" w14:textId="77777777" w:rsidTr="00D1192C">
        <w:trPr>
          <w:cantSplit/>
        </w:trPr>
        <w:tc>
          <w:tcPr>
            <w:tcW w:w="144" w:type="pct"/>
            <w:shd w:val="clear" w:color="auto" w:fill="FFFF00"/>
            <w:vAlign w:val="center"/>
          </w:tcPr>
          <w:p w14:paraId="209BA341" w14:textId="77777777" w:rsidR="00C47666" w:rsidRPr="00056A19" w:rsidRDefault="00C47666" w:rsidP="00D1192C">
            <w:r>
              <w:t>S</w:t>
            </w:r>
          </w:p>
        </w:tc>
        <w:tc>
          <w:tcPr>
            <w:tcW w:w="2315" w:type="pct"/>
            <w:tcBorders>
              <w:right w:val="single" w:sz="12" w:space="0" w:color="auto"/>
            </w:tcBorders>
            <w:vAlign w:val="center"/>
          </w:tcPr>
          <w:p w14:paraId="0DD2B8BA" w14:textId="77777777" w:rsidR="00C47666" w:rsidRPr="00056A19" w:rsidRDefault="00C47666" w:rsidP="00D1192C">
            <w:r w:rsidRPr="00056A19">
              <w:t xml:space="preserve">Was there public consultation on this work? </w:t>
            </w:r>
            <w:r w:rsidRPr="00C35841">
              <w:t>if yes, is the public consultation documented and/or published</w:t>
            </w:r>
            <w:r>
              <w:t>?</w:t>
            </w:r>
          </w:p>
        </w:tc>
        <w:tc>
          <w:tcPr>
            <w:tcW w:w="503" w:type="pct"/>
            <w:vAlign w:val="center"/>
          </w:tcPr>
          <w:p w14:paraId="68056F51" w14:textId="77777777" w:rsidR="00C47666" w:rsidRPr="00056A19" w:rsidRDefault="00C47666" w:rsidP="00D1192C">
            <w:r>
              <w:t>Y</w:t>
            </w:r>
          </w:p>
        </w:tc>
        <w:tc>
          <w:tcPr>
            <w:tcW w:w="2038" w:type="pct"/>
          </w:tcPr>
          <w:p w14:paraId="338C55A9" w14:textId="77777777" w:rsidR="00C47666" w:rsidRPr="00056A19" w:rsidRDefault="00C47666" w:rsidP="00D1192C">
            <w:r w:rsidRPr="007926D5">
              <w:t>Yes. The draft opinion was released for public consultation from 13 January 2023 to 10 February 2023. The outcome of the public consultation is documented in a technical report published as Annex D to the Scientific Opinion.</w:t>
            </w:r>
          </w:p>
        </w:tc>
      </w:tr>
      <w:tr w:rsidR="00C47666" w14:paraId="36E82A02" w14:textId="77777777" w:rsidTr="00D1192C">
        <w:trPr>
          <w:cantSplit/>
        </w:trPr>
        <w:tc>
          <w:tcPr>
            <w:tcW w:w="144" w:type="pct"/>
            <w:shd w:val="clear" w:color="auto" w:fill="FFFF00"/>
            <w:vAlign w:val="center"/>
          </w:tcPr>
          <w:p w14:paraId="20CB8E65" w14:textId="77777777" w:rsidR="00C47666" w:rsidRPr="00056A19" w:rsidRDefault="00C47666" w:rsidP="00D1192C">
            <w:r>
              <w:lastRenderedPageBreak/>
              <w:t>S</w:t>
            </w:r>
          </w:p>
        </w:tc>
        <w:tc>
          <w:tcPr>
            <w:tcW w:w="2315" w:type="pct"/>
            <w:tcBorders>
              <w:right w:val="single" w:sz="12" w:space="0" w:color="auto"/>
            </w:tcBorders>
            <w:vAlign w:val="center"/>
          </w:tcPr>
          <w:p w14:paraId="3C227B87" w14:textId="77777777" w:rsidR="00C47666" w:rsidRPr="00056A19" w:rsidRDefault="00C47666" w:rsidP="00D1192C">
            <w:r w:rsidRPr="00056A19">
              <w:t>Is the advice peer reviewed? If so, is the peer review outcome documented and/or published?</w:t>
            </w:r>
          </w:p>
        </w:tc>
        <w:tc>
          <w:tcPr>
            <w:tcW w:w="503" w:type="pct"/>
            <w:vAlign w:val="center"/>
          </w:tcPr>
          <w:p w14:paraId="11E9C4C9" w14:textId="77777777" w:rsidR="00C47666" w:rsidRPr="00056A19" w:rsidRDefault="00C47666" w:rsidP="00D1192C">
            <w:r>
              <w:t>P</w:t>
            </w:r>
          </w:p>
        </w:tc>
        <w:tc>
          <w:tcPr>
            <w:tcW w:w="2038" w:type="pct"/>
          </w:tcPr>
          <w:p w14:paraId="502F0539" w14:textId="77777777" w:rsidR="00C47666" w:rsidRPr="00056A19" w:rsidRDefault="00C47666" w:rsidP="00D1192C">
            <w:r w:rsidRPr="007926D5">
              <w:t>Partially. The opinion underwent: (1) internal peer review within the EFSA NDA Panel (the Panel adopts the opinion collectively); (2) the literature search strategy was peer-reviewed by information specialists at the Karolinska Institute and EFSA; (3) public consultation served as an external review mechanism with the outcome published in Annex D. However, traditional external peer review of the final opinion (in the journal sense) is not described, as EFSA opinions are statements of an expert panel rather than peer-reviewed manuscripts. This is consistent with how EFSA outputs are typically produced and accepted as authoritative.</w:t>
            </w:r>
          </w:p>
        </w:tc>
      </w:tr>
      <w:tr w:rsidR="00C47666" w14:paraId="1D4C1806" w14:textId="77777777" w:rsidTr="00D1192C">
        <w:trPr>
          <w:cantSplit/>
        </w:trPr>
        <w:tc>
          <w:tcPr>
            <w:tcW w:w="144" w:type="pct"/>
            <w:shd w:val="clear" w:color="auto" w:fill="FFFF00"/>
            <w:vAlign w:val="center"/>
          </w:tcPr>
          <w:p w14:paraId="03A06174" w14:textId="77777777" w:rsidR="00C47666" w:rsidRPr="00056A19" w:rsidRDefault="00C47666" w:rsidP="00D1192C">
            <w:r>
              <w:t>S</w:t>
            </w:r>
          </w:p>
        </w:tc>
        <w:tc>
          <w:tcPr>
            <w:tcW w:w="2315" w:type="pct"/>
            <w:tcBorders>
              <w:right w:val="single" w:sz="12" w:space="0" w:color="auto"/>
            </w:tcBorders>
            <w:vAlign w:val="center"/>
          </w:tcPr>
          <w:p w14:paraId="3AC740A2" w14:textId="77777777" w:rsidR="00C47666" w:rsidRPr="00056A19" w:rsidRDefault="00C47666" w:rsidP="00D1192C">
            <w:r w:rsidRPr="00056A19">
              <w:t>Was the guidance/advice developed or updated recently? Provide details.</w:t>
            </w:r>
          </w:p>
        </w:tc>
        <w:tc>
          <w:tcPr>
            <w:tcW w:w="503" w:type="pct"/>
            <w:vAlign w:val="center"/>
          </w:tcPr>
          <w:p w14:paraId="0907681D" w14:textId="77777777" w:rsidR="00C47666" w:rsidRPr="00056A19" w:rsidRDefault="00C47666" w:rsidP="00D1192C">
            <w:r>
              <w:t>Y</w:t>
            </w:r>
          </w:p>
        </w:tc>
        <w:tc>
          <w:tcPr>
            <w:tcW w:w="2038" w:type="pct"/>
          </w:tcPr>
          <w:p w14:paraId="7C31CB2A" w14:textId="77777777" w:rsidR="00C47666" w:rsidRPr="00056A19" w:rsidRDefault="00C47666" w:rsidP="00D1192C">
            <w:r w:rsidRPr="007926D5">
              <w:t xml:space="preserve">Yes. Adopted 29 March 2023; published in EFSA Journal 2023;21(5):8006 (May 2023). </w:t>
            </w:r>
          </w:p>
        </w:tc>
      </w:tr>
      <w:tr w:rsidR="00C47666" w14:paraId="16F19A51" w14:textId="77777777" w:rsidTr="00D1192C">
        <w:trPr>
          <w:cantSplit/>
        </w:trPr>
        <w:tc>
          <w:tcPr>
            <w:tcW w:w="144" w:type="pct"/>
            <w:tcBorders>
              <w:top w:val="single" w:sz="8" w:space="0" w:color="auto"/>
              <w:bottom w:val="single" w:sz="8" w:space="0" w:color="auto"/>
              <w:right w:val="single" w:sz="12" w:space="0" w:color="auto"/>
            </w:tcBorders>
            <w:shd w:val="clear" w:color="auto" w:fill="BFBFBF"/>
            <w:vAlign w:val="center"/>
          </w:tcPr>
          <w:p w14:paraId="0B426B22" w14:textId="77777777" w:rsidR="00C47666" w:rsidRDefault="00C47666" w:rsidP="00D1192C"/>
        </w:tc>
        <w:tc>
          <w:tcPr>
            <w:tcW w:w="2315" w:type="pct"/>
            <w:tcBorders>
              <w:top w:val="single" w:sz="8" w:space="0" w:color="auto"/>
              <w:left w:val="single" w:sz="12" w:space="0" w:color="auto"/>
              <w:bottom w:val="single" w:sz="8" w:space="0" w:color="auto"/>
              <w:right w:val="single" w:sz="12" w:space="0" w:color="auto"/>
            </w:tcBorders>
            <w:shd w:val="clear" w:color="auto" w:fill="BFBFBF"/>
            <w:vAlign w:val="center"/>
          </w:tcPr>
          <w:p w14:paraId="0E14BFBC" w14:textId="77777777" w:rsidR="00C47666" w:rsidRPr="00056A19" w:rsidRDefault="00C47666" w:rsidP="00D1192C">
            <w:r w:rsidRPr="00056A19">
              <w:t>Evidence review parameters</w:t>
            </w:r>
          </w:p>
        </w:tc>
        <w:tc>
          <w:tcPr>
            <w:tcW w:w="503" w:type="pct"/>
            <w:tcBorders>
              <w:top w:val="single" w:sz="8" w:space="0" w:color="auto"/>
              <w:left w:val="single" w:sz="12" w:space="0" w:color="auto"/>
              <w:bottom w:val="single" w:sz="8" w:space="0" w:color="auto"/>
            </w:tcBorders>
            <w:shd w:val="clear" w:color="auto" w:fill="BFBFBF"/>
            <w:vAlign w:val="center"/>
          </w:tcPr>
          <w:p w14:paraId="4D0C549B" w14:textId="77777777" w:rsidR="00C47666" w:rsidRPr="00125672" w:rsidRDefault="00C47666" w:rsidP="00D1192C"/>
        </w:tc>
        <w:tc>
          <w:tcPr>
            <w:tcW w:w="2038" w:type="pct"/>
            <w:tcBorders>
              <w:top w:val="single" w:sz="8" w:space="0" w:color="auto"/>
              <w:left w:val="single" w:sz="12" w:space="0" w:color="auto"/>
              <w:bottom w:val="single" w:sz="8" w:space="0" w:color="auto"/>
            </w:tcBorders>
            <w:shd w:val="clear" w:color="auto" w:fill="BFBFBF"/>
          </w:tcPr>
          <w:p w14:paraId="6D1698D2" w14:textId="77777777" w:rsidR="00C47666" w:rsidRPr="00125672" w:rsidRDefault="00C47666" w:rsidP="00D1192C"/>
        </w:tc>
      </w:tr>
      <w:tr w:rsidR="00C47666" w14:paraId="5CC33C96" w14:textId="77777777" w:rsidTr="00D1192C">
        <w:trPr>
          <w:cantSplit/>
        </w:trPr>
        <w:tc>
          <w:tcPr>
            <w:tcW w:w="144" w:type="pct"/>
            <w:tcBorders>
              <w:top w:val="single" w:sz="8" w:space="0" w:color="auto"/>
              <w:bottom w:val="single" w:sz="8" w:space="0" w:color="auto"/>
              <w:right w:val="single" w:sz="12" w:space="0" w:color="auto"/>
            </w:tcBorders>
            <w:shd w:val="clear" w:color="auto" w:fill="92D050"/>
            <w:vAlign w:val="center"/>
          </w:tcPr>
          <w:p w14:paraId="4DB9C9CD" w14:textId="77777777" w:rsidR="00C47666" w:rsidRPr="00056A19" w:rsidRDefault="00C47666" w:rsidP="00D1192C">
            <w:r>
              <w:t>M</w:t>
            </w:r>
          </w:p>
        </w:tc>
        <w:tc>
          <w:tcPr>
            <w:tcW w:w="2315" w:type="pct"/>
            <w:tcBorders>
              <w:top w:val="single" w:sz="8" w:space="0" w:color="auto"/>
              <w:left w:val="single" w:sz="12" w:space="0" w:color="auto"/>
              <w:bottom w:val="single" w:sz="8" w:space="0" w:color="auto"/>
              <w:right w:val="single" w:sz="12" w:space="0" w:color="auto"/>
            </w:tcBorders>
            <w:vAlign w:val="center"/>
          </w:tcPr>
          <w:p w14:paraId="6B7F9609" w14:textId="77777777" w:rsidR="00C47666" w:rsidRPr="00056A19" w:rsidRDefault="00C47666" w:rsidP="00D1192C">
            <w:r w:rsidRPr="00056A19">
              <w:t>Are decisions about scope, definitions and evidence review parameters documented and publicly available?</w:t>
            </w:r>
          </w:p>
        </w:tc>
        <w:tc>
          <w:tcPr>
            <w:tcW w:w="503" w:type="pct"/>
            <w:tcBorders>
              <w:top w:val="single" w:sz="8" w:space="0" w:color="auto"/>
              <w:left w:val="single" w:sz="12" w:space="0" w:color="auto"/>
              <w:bottom w:val="single" w:sz="8" w:space="0" w:color="auto"/>
            </w:tcBorders>
            <w:vAlign w:val="center"/>
          </w:tcPr>
          <w:p w14:paraId="18ABCBF0" w14:textId="77777777" w:rsidR="00C47666" w:rsidRPr="00056A19" w:rsidRDefault="00C47666" w:rsidP="00D1192C">
            <w:pPr>
              <w:rPr>
                <w:color w:val="FF0000"/>
              </w:rPr>
            </w:pPr>
            <w:r w:rsidRPr="00125672">
              <w:t>Y</w:t>
            </w:r>
          </w:p>
        </w:tc>
        <w:tc>
          <w:tcPr>
            <w:tcW w:w="2038" w:type="pct"/>
            <w:tcBorders>
              <w:top w:val="single" w:sz="8" w:space="0" w:color="auto"/>
              <w:left w:val="single" w:sz="12" w:space="0" w:color="auto"/>
              <w:bottom w:val="single" w:sz="8" w:space="0" w:color="auto"/>
            </w:tcBorders>
          </w:tcPr>
          <w:p w14:paraId="11BB62A0" w14:textId="77777777" w:rsidR="00C47666" w:rsidRPr="00056A19" w:rsidRDefault="00C47666" w:rsidP="00D1192C">
            <w:pPr>
              <w:rPr>
                <w:color w:val="FF0000"/>
              </w:rPr>
            </w:pPr>
            <w:r w:rsidRPr="00125672">
              <w:t>Yes. Section 1.3 (Interpretation of Terms of Reference), Section 2.1 (Problem formulation) and Table 2 (assessment sub questions sQ1–sQ6) document the scope. Definitions (e.g., adverse health effects per FAO/WHO 2009 and EFSA Scientific Committee 2017a) are explicit. The protocol is published as Annex A. The eligibility criteria for designs, populations, exposures and outcomes are described in Section 2.2.1.1.</w:t>
            </w:r>
          </w:p>
        </w:tc>
      </w:tr>
      <w:tr w:rsidR="00C47666" w14:paraId="58B0CB33" w14:textId="77777777" w:rsidTr="00D1192C">
        <w:trPr>
          <w:cantSplit/>
        </w:trPr>
        <w:tc>
          <w:tcPr>
            <w:tcW w:w="144" w:type="pct"/>
            <w:tcBorders>
              <w:top w:val="single" w:sz="8" w:space="0" w:color="auto"/>
              <w:bottom w:val="single" w:sz="8" w:space="0" w:color="auto"/>
              <w:right w:val="single" w:sz="12" w:space="0" w:color="auto"/>
            </w:tcBorders>
            <w:shd w:val="clear" w:color="auto" w:fill="92D050"/>
            <w:vAlign w:val="center"/>
          </w:tcPr>
          <w:p w14:paraId="48F823A1" w14:textId="77777777" w:rsidR="00C47666" w:rsidRPr="00056A19" w:rsidRDefault="00C47666" w:rsidP="00D1192C">
            <w:r>
              <w:lastRenderedPageBreak/>
              <w:t>M</w:t>
            </w:r>
          </w:p>
        </w:tc>
        <w:tc>
          <w:tcPr>
            <w:tcW w:w="2315" w:type="pct"/>
            <w:tcBorders>
              <w:top w:val="single" w:sz="8" w:space="0" w:color="auto"/>
              <w:left w:val="single" w:sz="12" w:space="0" w:color="auto"/>
              <w:bottom w:val="single" w:sz="8" w:space="0" w:color="auto"/>
              <w:right w:val="single" w:sz="12" w:space="0" w:color="auto"/>
            </w:tcBorders>
            <w:vAlign w:val="center"/>
          </w:tcPr>
          <w:p w14:paraId="727BA8DC" w14:textId="77777777" w:rsidR="00C47666" w:rsidRPr="00056A19" w:rsidRDefault="00C47666" w:rsidP="00D1192C">
            <w:r w:rsidRPr="00056A19">
              <w:t>Is there a preference for data from studies that follow agreed international protocols or meet appropriate industry standards?</w:t>
            </w:r>
          </w:p>
        </w:tc>
        <w:tc>
          <w:tcPr>
            <w:tcW w:w="503" w:type="pct"/>
            <w:tcBorders>
              <w:top w:val="single" w:sz="8" w:space="0" w:color="auto"/>
              <w:left w:val="single" w:sz="12" w:space="0" w:color="auto"/>
              <w:bottom w:val="single" w:sz="8" w:space="0" w:color="auto"/>
            </w:tcBorders>
            <w:vAlign w:val="center"/>
          </w:tcPr>
          <w:p w14:paraId="0D09E3CE" w14:textId="77777777" w:rsidR="00C47666" w:rsidRPr="00056A19" w:rsidRDefault="00C47666" w:rsidP="00D1192C">
            <w:pPr>
              <w:rPr>
                <w:color w:val="FF0000"/>
              </w:rPr>
            </w:pPr>
            <w:r w:rsidRPr="001F085C">
              <w:t>Y</w:t>
            </w:r>
          </w:p>
        </w:tc>
        <w:tc>
          <w:tcPr>
            <w:tcW w:w="2038" w:type="pct"/>
            <w:tcBorders>
              <w:top w:val="single" w:sz="8" w:space="0" w:color="auto"/>
              <w:left w:val="single" w:sz="12" w:space="0" w:color="auto"/>
              <w:bottom w:val="single" w:sz="8" w:space="0" w:color="auto"/>
            </w:tcBorders>
          </w:tcPr>
          <w:p w14:paraId="4F750E42" w14:textId="77777777" w:rsidR="00C47666" w:rsidRPr="00056A19" w:rsidRDefault="00C47666" w:rsidP="00D1192C">
            <w:pPr>
              <w:rPr>
                <w:color w:val="FF0000"/>
              </w:rPr>
            </w:pPr>
            <w:r w:rsidRPr="001F085C">
              <w:t>Yes. The opinion follows EFSA's harmonised framework which prefers studies meeting recognised methodological standards. Risk of bias appraisal applies the OHAT-NTP (2015) tool, an internationally recognised standard. Eligibility excluded reviews, editorials, letters, abstracts, posters and theses 'not reporting on original data' (Section 2.2.1.1).</w:t>
            </w:r>
          </w:p>
        </w:tc>
      </w:tr>
      <w:tr w:rsidR="00C47666" w14:paraId="57BB7B40" w14:textId="77777777" w:rsidTr="00D1192C">
        <w:trPr>
          <w:cantSplit/>
        </w:trPr>
        <w:tc>
          <w:tcPr>
            <w:tcW w:w="144" w:type="pct"/>
            <w:tcBorders>
              <w:top w:val="single" w:sz="8" w:space="0" w:color="auto"/>
              <w:bottom w:val="single" w:sz="8" w:space="0" w:color="auto"/>
              <w:right w:val="single" w:sz="12" w:space="0" w:color="auto"/>
            </w:tcBorders>
            <w:shd w:val="clear" w:color="auto" w:fill="92D050"/>
            <w:vAlign w:val="center"/>
          </w:tcPr>
          <w:p w14:paraId="11703979" w14:textId="77777777" w:rsidR="00C47666" w:rsidRPr="00056A19" w:rsidRDefault="00C47666" w:rsidP="00D1192C">
            <w:r>
              <w:t>M</w:t>
            </w:r>
          </w:p>
        </w:tc>
        <w:tc>
          <w:tcPr>
            <w:tcW w:w="2315" w:type="pct"/>
            <w:tcBorders>
              <w:top w:val="single" w:sz="8" w:space="0" w:color="auto"/>
              <w:left w:val="single" w:sz="12" w:space="0" w:color="auto"/>
              <w:bottom w:val="single" w:sz="8" w:space="0" w:color="auto"/>
              <w:right w:val="single" w:sz="12" w:space="0" w:color="auto"/>
            </w:tcBorders>
            <w:vAlign w:val="center"/>
          </w:tcPr>
          <w:p w14:paraId="1959978C" w14:textId="77777777" w:rsidR="00C47666" w:rsidRPr="00056A19" w:rsidRDefault="00C47666" w:rsidP="00D1192C">
            <w:r w:rsidRPr="00C35841">
              <w:t xml:space="preserve">Were clinical/research questions articulated and PICO </w:t>
            </w:r>
            <w:r>
              <w:t xml:space="preserve">(or PECO) </w:t>
            </w:r>
            <w:r w:rsidRPr="00C35841">
              <w:t>criteria outlined appropriate to the topic?</w:t>
            </w:r>
          </w:p>
        </w:tc>
        <w:tc>
          <w:tcPr>
            <w:tcW w:w="503" w:type="pct"/>
            <w:tcBorders>
              <w:top w:val="single" w:sz="8" w:space="0" w:color="auto"/>
              <w:left w:val="single" w:sz="12" w:space="0" w:color="auto"/>
              <w:bottom w:val="single" w:sz="8" w:space="0" w:color="auto"/>
            </w:tcBorders>
            <w:vAlign w:val="center"/>
          </w:tcPr>
          <w:p w14:paraId="1D179F5E" w14:textId="77777777" w:rsidR="00C47666" w:rsidRPr="00056A19" w:rsidRDefault="00C47666" w:rsidP="00D1192C">
            <w:pPr>
              <w:rPr>
                <w:color w:val="FF0000"/>
              </w:rPr>
            </w:pPr>
            <w:r w:rsidRPr="001F085C">
              <w:t>Y</w:t>
            </w:r>
          </w:p>
        </w:tc>
        <w:tc>
          <w:tcPr>
            <w:tcW w:w="2038" w:type="pct"/>
            <w:tcBorders>
              <w:top w:val="single" w:sz="8" w:space="0" w:color="auto"/>
              <w:left w:val="single" w:sz="12" w:space="0" w:color="auto"/>
              <w:bottom w:val="single" w:sz="8" w:space="0" w:color="auto"/>
            </w:tcBorders>
          </w:tcPr>
          <w:p w14:paraId="2E4993E5" w14:textId="77777777" w:rsidR="00C47666" w:rsidRPr="00056A19" w:rsidRDefault="00C47666" w:rsidP="00D1192C">
            <w:pPr>
              <w:rPr>
                <w:color w:val="FF0000"/>
              </w:rPr>
            </w:pPr>
            <w:r w:rsidRPr="001F085C">
              <w:t>Yes. Six assessment sub</w:t>
            </w:r>
            <w:r>
              <w:t xml:space="preserve"> </w:t>
            </w:r>
            <w:r w:rsidRPr="001F085C">
              <w:t>questions (sQ1–sQ6) are explicitly articulated in Table 2</w:t>
            </w:r>
            <w:r>
              <w:t xml:space="preserve"> (EFSA Panel 2023)</w:t>
            </w:r>
            <w:r w:rsidRPr="001F085C">
              <w:t>. Eligible designs (all human experimental and observational study designs including case reports), eligible populations (any age, healthy or with diseases unrelated to the exposure–outcome pathway; individuals with impaired vitamin B6 status excluded for sQ3a/sQ3b), eligible exposure measurements (vitamin B6 intake or biomarkers PN, PL, PLP and 4-PA) and outcomes (peripheral neuropathy for sQ3; developmental toxicity outcomes for sQ4) are all defined.</w:t>
            </w:r>
          </w:p>
        </w:tc>
      </w:tr>
      <w:tr w:rsidR="00C47666" w14:paraId="2CAF78EB" w14:textId="77777777" w:rsidTr="00D1192C">
        <w:trPr>
          <w:cantSplit/>
        </w:trPr>
        <w:tc>
          <w:tcPr>
            <w:tcW w:w="144" w:type="pct"/>
            <w:tcBorders>
              <w:top w:val="single" w:sz="8" w:space="0" w:color="auto"/>
              <w:bottom w:val="single" w:sz="8" w:space="0" w:color="auto"/>
              <w:right w:val="single" w:sz="12" w:space="0" w:color="auto"/>
            </w:tcBorders>
            <w:shd w:val="clear" w:color="auto" w:fill="92D050"/>
            <w:vAlign w:val="center"/>
          </w:tcPr>
          <w:p w14:paraId="4E7435E5" w14:textId="77777777" w:rsidR="00C47666" w:rsidRPr="00056A19" w:rsidRDefault="00C47666" w:rsidP="00D1192C">
            <w:r>
              <w:lastRenderedPageBreak/>
              <w:t>M</w:t>
            </w:r>
          </w:p>
        </w:tc>
        <w:tc>
          <w:tcPr>
            <w:tcW w:w="2315" w:type="pct"/>
            <w:tcBorders>
              <w:top w:val="single" w:sz="8" w:space="0" w:color="auto"/>
              <w:left w:val="single" w:sz="12" w:space="0" w:color="auto"/>
              <w:bottom w:val="single" w:sz="8" w:space="0" w:color="auto"/>
              <w:right w:val="single" w:sz="12" w:space="0" w:color="auto"/>
            </w:tcBorders>
            <w:vAlign w:val="center"/>
          </w:tcPr>
          <w:p w14:paraId="5B445E64" w14:textId="77777777" w:rsidR="00C47666" w:rsidRDefault="00C47666" w:rsidP="00D1192C">
            <w:r w:rsidRPr="00056A19">
              <w:t xml:space="preserve">Does the organisation use or undertake systematic literature review methods to identify and select data underpinning the advice? </w:t>
            </w:r>
          </w:p>
          <w:p w14:paraId="68E6181D" w14:textId="77777777" w:rsidR="00C47666" w:rsidRDefault="00C47666" w:rsidP="00F84245">
            <w:pPr>
              <w:pStyle w:val="ListParagraph"/>
              <w:numPr>
                <w:ilvl w:val="0"/>
                <w:numId w:val="18"/>
              </w:numPr>
              <w:contextualSpacing w:val="0"/>
            </w:pPr>
            <w:r>
              <w:t>a</w:t>
            </w:r>
            <w:r w:rsidRPr="00C35841">
              <w:t>re the methods used documented clearly?</w:t>
            </w:r>
          </w:p>
          <w:p w14:paraId="5E37FF0E" w14:textId="77777777" w:rsidR="00C47666" w:rsidRDefault="00C47666" w:rsidP="00F84245">
            <w:pPr>
              <w:pStyle w:val="ListParagraph"/>
              <w:numPr>
                <w:ilvl w:val="0"/>
                <w:numId w:val="18"/>
              </w:numPr>
              <w:contextualSpacing w:val="0"/>
            </w:pPr>
            <w:r>
              <w:t>a</w:t>
            </w:r>
            <w:r w:rsidRPr="00C35841">
              <w:t>re inclusion/exclusion criteria used to select or exclude certain studies from the review? If so, is justification provided?</w:t>
            </w:r>
          </w:p>
          <w:p w14:paraId="254092DB" w14:textId="77777777" w:rsidR="00C47666" w:rsidRPr="00C35841" w:rsidRDefault="00C47666" w:rsidP="00F84245">
            <w:pPr>
              <w:pStyle w:val="ListParagraph"/>
              <w:numPr>
                <w:ilvl w:val="0"/>
                <w:numId w:val="18"/>
              </w:numPr>
              <w:contextualSpacing w:val="0"/>
            </w:pPr>
            <w:r w:rsidRPr="00C35841">
              <w:t>is justification of inclusion/exclusion criteria provided?</w:t>
            </w:r>
          </w:p>
        </w:tc>
        <w:tc>
          <w:tcPr>
            <w:tcW w:w="503" w:type="pct"/>
            <w:tcBorders>
              <w:top w:val="single" w:sz="8" w:space="0" w:color="auto"/>
              <w:left w:val="single" w:sz="12" w:space="0" w:color="auto"/>
              <w:bottom w:val="single" w:sz="8" w:space="0" w:color="auto"/>
            </w:tcBorders>
            <w:vAlign w:val="center"/>
          </w:tcPr>
          <w:p w14:paraId="394E9C13" w14:textId="77777777" w:rsidR="00C47666" w:rsidRPr="00056A19" w:rsidRDefault="00C47666" w:rsidP="00D1192C">
            <w:r>
              <w:t>Y</w:t>
            </w:r>
          </w:p>
        </w:tc>
        <w:tc>
          <w:tcPr>
            <w:tcW w:w="2038" w:type="pct"/>
            <w:tcBorders>
              <w:top w:val="single" w:sz="8" w:space="0" w:color="auto"/>
              <w:left w:val="single" w:sz="12" w:space="0" w:color="auto"/>
              <w:bottom w:val="single" w:sz="8" w:space="0" w:color="auto"/>
            </w:tcBorders>
          </w:tcPr>
          <w:p w14:paraId="17C64771" w14:textId="77777777" w:rsidR="00C47666" w:rsidRPr="00056A19" w:rsidRDefault="00C47666" w:rsidP="00D1192C">
            <w:r w:rsidRPr="00FC0314">
              <w:t>Yes. Systematic reviews were conducted for sQ3a, sQ3b and sQ4 (the priority adverse health effects). Methods are documented in Section 2.2.1.1, with full details in the outsourc</w:t>
            </w:r>
            <w:r>
              <w:t>ed</w:t>
            </w:r>
            <w:r w:rsidRPr="00FC0314">
              <w:t xml:space="preserve"> project report (Tetens et al., 2023). Searches in MEDLINE, Embase and Cochrane Central; duplicate title/abstract and full-text screening in Distiller SR® with AI tool support; conflicts solved by a third reviewer; PRISMA flow diagrams provided in Appendix A</w:t>
            </w:r>
            <w:r>
              <w:t xml:space="preserve"> of EFSA Panel 2023</w:t>
            </w:r>
            <w:r w:rsidRPr="00FC0314">
              <w:t>. For sQ3a/sQ3b: 3,793 unique references</w:t>
            </w:r>
            <w:r>
              <w:t>;</w:t>
            </w:r>
            <w:r w:rsidRPr="00FC0314">
              <w:t xml:space="preserve"> 32 included publications. For sQ4: 4,941 unique references</w:t>
            </w:r>
            <w:r>
              <w:t>;</w:t>
            </w:r>
            <w:r w:rsidRPr="00FC0314">
              <w:t xml:space="preserve"> 22 included publications. Reasons for exclusion at full-text level are reported in Tetens et al. (2023). Inclusion</w:t>
            </w:r>
            <w:r>
              <w:t xml:space="preserve"> </w:t>
            </w:r>
            <w:r w:rsidRPr="00FC0314">
              <w:t>/</w:t>
            </w:r>
            <w:r>
              <w:t xml:space="preserve"> </w:t>
            </w:r>
            <w:r w:rsidRPr="00FC0314">
              <w:t>exclusion justifications are provided (e.g., neural tube defects and oral clefts excluded from sQ4 because insufficient rather than excessive vitamin B6 is implicated).</w:t>
            </w:r>
          </w:p>
        </w:tc>
      </w:tr>
      <w:tr w:rsidR="00C47666" w14:paraId="45AD38C4" w14:textId="77777777" w:rsidTr="00D1192C">
        <w:trPr>
          <w:cantSplit/>
        </w:trPr>
        <w:tc>
          <w:tcPr>
            <w:tcW w:w="144" w:type="pct"/>
            <w:tcBorders>
              <w:top w:val="single" w:sz="8" w:space="0" w:color="auto"/>
              <w:bottom w:val="single" w:sz="8" w:space="0" w:color="auto"/>
              <w:right w:val="single" w:sz="12" w:space="0" w:color="auto"/>
            </w:tcBorders>
            <w:shd w:val="clear" w:color="auto" w:fill="92D050"/>
            <w:vAlign w:val="center"/>
          </w:tcPr>
          <w:p w14:paraId="62BE920E" w14:textId="77777777" w:rsidR="00C47666" w:rsidRPr="00056A19" w:rsidRDefault="00C47666" w:rsidP="00D1192C">
            <w:r>
              <w:t>M</w:t>
            </w:r>
          </w:p>
        </w:tc>
        <w:tc>
          <w:tcPr>
            <w:tcW w:w="2315" w:type="pct"/>
            <w:tcBorders>
              <w:top w:val="single" w:sz="8" w:space="0" w:color="auto"/>
              <w:left w:val="single" w:sz="12" w:space="0" w:color="auto"/>
              <w:bottom w:val="single" w:sz="8" w:space="0" w:color="auto"/>
              <w:right w:val="single" w:sz="12" w:space="0" w:color="auto"/>
            </w:tcBorders>
            <w:vAlign w:val="center"/>
          </w:tcPr>
          <w:p w14:paraId="43F61640" w14:textId="77777777" w:rsidR="00C47666" w:rsidRPr="00056A19" w:rsidRDefault="00C47666" w:rsidP="00D1192C">
            <w:r w:rsidRPr="00056A19">
              <w:t>If proprietary/confidential studies or data are considered by the agency, are these appropriately described/recorded?</w:t>
            </w:r>
          </w:p>
        </w:tc>
        <w:tc>
          <w:tcPr>
            <w:tcW w:w="503" w:type="pct"/>
            <w:tcBorders>
              <w:top w:val="single" w:sz="8" w:space="0" w:color="auto"/>
              <w:left w:val="single" w:sz="12" w:space="0" w:color="auto"/>
              <w:bottom w:val="single" w:sz="8" w:space="0" w:color="auto"/>
            </w:tcBorders>
            <w:vAlign w:val="center"/>
          </w:tcPr>
          <w:p w14:paraId="52C0760E" w14:textId="77777777" w:rsidR="00C47666" w:rsidRPr="00056A19" w:rsidRDefault="00C47666" w:rsidP="00D1192C">
            <w:r>
              <w:t>NA</w:t>
            </w:r>
          </w:p>
        </w:tc>
        <w:tc>
          <w:tcPr>
            <w:tcW w:w="2038" w:type="pct"/>
            <w:tcBorders>
              <w:top w:val="single" w:sz="8" w:space="0" w:color="auto"/>
              <w:left w:val="single" w:sz="12" w:space="0" w:color="auto"/>
              <w:bottom w:val="single" w:sz="8" w:space="0" w:color="auto"/>
            </w:tcBorders>
          </w:tcPr>
          <w:p w14:paraId="3C7DEB00" w14:textId="77777777" w:rsidR="00C47666" w:rsidRPr="00056A19" w:rsidRDefault="00C47666" w:rsidP="00D1192C">
            <w:r w:rsidRPr="00FC0314">
              <w:t xml:space="preserve">Not applicable. The opinion relies entirely on published literature (peer-reviewed studies, Member States' vigilance data which are publicly summarised, and EFSA's public food consumption databases). Member States' vigilance data informing the </w:t>
            </w:r>
            <w:r>
              <w:t>reference point (</w:t>
            </w:r>
            <w:r w:rsidRPr="00FC0314">
              <w:t>RP</w:t>
            </w:r>
            <w:r>
              <w:t>)</w:t>
            </w:r>
            <w:r w:rsidRPr="00FC0314">
              <w:t xml:space="preserve"> are referenced in Section 3.6.1. No proprietary industry data are used.</w:t>
            </w:r>
          </w:p>
        </w:tc>
      </w:tr>
      <w:tr w:rsidR="00C47666" w14:paraId="0533354C" w14:textId="77777777" w:rsidTr="00D1192C">
        <w:trPr>
          <w:cantSplit/>
        </w:trPr>
        <w:tc>
          <w:tcPr>
            <w:tcW w:w="144" w:type="pct"/>
            <w:tcBorders>
              <w:top w:val="single" w:sz="8" w:space="0" w:color="auto"/>
              <w:bottom w:val="single" w:sz="8" w:space="0" w:color="auto"/>
              <w:right w:val="single" w:sz="12" w:space="0" w:color="auto"/>
            </w:tcBorders>
            <w:shd w:val="clear" w:color="auto" w:fill="92D050"/>
            <w:vAlign w:val="center"/>
          </w:tcPr>
          <w:p w14:paraId="216781E9" w14:textId="77777777" w:rsidR="00C47666" w:rsidRPr="00056A19" w:rsidRDefault="00C47666" w:rsidP="00D1192C">
            <w:r>
              <w:t>M</w:t>
            </w:r>
          </w:p>
        </w:tc>
        <w:tc>
          <w:tcPr>
            <w:tcW w:w="2315" w:type="pct"/>
            <w:tcBorders>
              <w:top w:val="single" w:sz="8" w:space="0" w:color="auto"/>
              <w:left w:val="single" w:sz="12" w:space="0" w:color="auto"/>
              <w:bottom w:val="single" w:sz="8" w:space="0" w:color="auto"/>
              <w:right w:val="single" w:sz="12" w:space="0" w:color="auto"/>
            </w:tcBorders>
            <w:vAlign w:val="center"/>
          </w:tcPr>
          <w:p w14:paraId="1AEF7ECB" w14:textId="77777777" w:rsidR="00C47666" w:rsidRPr="00056A19" w:rsidRDefault="00C47666" w:rsidP="00D1192C">
            <w:r w:rsidRPr="00056A19">
              <w:t>Does the organisation use or adopt review findings or risk assessments from other organisations? What process was used to critically assess these external findings?</w:t>
            </w:r>
          </w:p>
        </w:tc>
        <w:tc>
          <w:tcPr>
            <w:tcW w:w="503" w:type="pct"/>
            <w:tcBorders>
              <w:top w:val="single" w:sz="8" w:space="0" w:color="auto"/>
              <w:left w:val="single" w:sz="12" w:space="0" w:color="auto"/>
              <w:bottom w:val="single" w:sz="8" w:space="0" w:color="auto"/>
            </w:tcBorders>
            <w:vAlign w:val="center"/>
          </w:tcPr>
          <w:p w14:paraId="70DFFF98" w14:textId="77777777" w:rsidR="00C47666" w:rsidRPr="00056A19" w:rsidRDefault="00C47666" w:rsidP="00D1192C">
            <w:r>
              <w:t>Y</w:t>
            </w:r>
          </w:p>
        </w:tc>
        <w:tc>
          <w:tcPr>
            <w:tcW w:w="2038" w:type="pct"/>
            <w:tcBorders>
              <w:top w:val="single" w:sz="8" w:space="0" w:color="auto"/>
              <w:left w:val="single" w:sz="12" w:space="0" w:color="auto"/>
              <w:bottom w:val="single" w:sz="8" w:space="0" w:color="auto"/>
            </w:tcBorders>
          </w:tcPr>
          <w:p w14:paraId="5C5D5FDB" w14:textId="77777777" w:rsidR="00C47666" w:rsidRPr="00056A19" w:rsidRDefault="00C47666" w:rsidP="00D1192C">
            <w:r w:rsidRPr="009D005B">
              <w:t xml:space="preserve">Yes. Section 1.5 (Previous assessments by other bodies) explicitly compares the assessments of SCF (2000), IOM (1998), WHO/FAO (2004), and EVM (2003), discusses why these bodies reached different ULs (largely due to different choices of </w:t>
            </w:r>
            <w:r>
              <w:t>critical</w:t>
            </w:r>
            <w:r w:rsidRPr="009D005B">
              <w:t xml:space="preserve"> study), and explains the Panel's reasoning for revising the SCF (2000) RP downward. The opinion does not adopt external findings </w:t>
            </w:r>
            <w:r>
              <w:t xml:space="preserve">without </w:t>
            </w:r>
            <w:r w:rsidRPr="009D005B">
              <w:t>critical</w:t>
            </w:r>
            <w:r>
              <w:t xml:space="preserve"> appraisal. </w:t>
            </w:r>
          </w:p>
        </w:tc>
      </w:tr>
      <w:tr w:rsidR="00C47666" w14:paraId="37E4DCD4" w14:textId="77777777" w:rsidTr="00D1192C">
        <w:trPr>
          <w:cantSplit/>
        </w:trPr>
        <w:tc>
          <w:tcPr>
            <w:tcW w:w="144" w:type="pct"/>
            <w:tcBorders>
              <w:top w:val="single" w:sz="8" w:space="0" w:color="auto"/>
              <w:bottom w:val="single" w:sz="8" w:space="0" w:color="auto"/>
              <w:right w:val="single" w:sz="12" w:space="0" w:color="auto"/>
            </w:tcBorders>
            <w:shd w:val="clear" w:color="auto" w:fill="FFFF00"/>
            <w:vAlign w:val="center"/>
          </w:tcPr>
          <w:p w14:paraId="189044D5" w14:textId="77777777" w:rsidR="00C47666" w:rsidRPr="00056A19" w:rsidRDefault="00C47666" w:rsidP="00D1192C">
            <w:r>
              <w:lastRenderedPageBreak/>
              <w:t>S</w:t>
            </w:r>
          </w:p>
        </w:tc>
        <w:tc>
          <w:tcPr>
            <w:tcW w:w="2315" w:type="pct"/>
            <w:tcBorders>
              <w:top w:val="single" w:sz="8" w:space="0" w:color="auto"/>
              <w:left w:val="single" w:sz="12" w:space="0" w:color="auto"/>
              <w:bottom w:val="single" w:sz="8" w:space="0" w:color="auto"/>
              <w:right w:val="single" w:sz="12" w:space="0" w:color="auto"/>
            </w:tcBorders>
            <w:vAlign w:val="center"/>
          </w:tcPr>
          <w:p w14:paraId="71AD56E6" w14:textId="77777777" w:rsidR="00C47666" w:rsidRPr="00056A19" w:rsidRDefault="00C47666" w:rsidP="00D1192C">
            <w:r w:rsidRPr="00056A19">
              <w:t xml:space="preserve">Can grey literature such as government reports and policy documents be included? </w:t>
            </w:r>
          </w:p>
        </w:tc>
        <w:tc>
          <w:tcPr>
            <w:tcW w:w="503" w:type="pct"/>
            <w:tcBorders>
              <w:top w:val="single" w:sz="8" w:space="0" w:color="auto"/>
              <w:left w:val="single" w:sz="12" w:space="0" w:color="auto"/>
              <w:bottom w:val="single" w:sz="8" w:space="0" w:color="auto"/>
            </w:tcBorders>
            <w:vAlign w:val="center"/>
          </w:tcPr>
          <w:p w14:paraId="21EBA640" w14:textId="77777777" w:rsidR="00C47666" w:rsidRPr="00056A19" w:rsidRDefault="00C47666" w:rsidP="00D1192C">
            <w:r>
              <w:t>P</w:t>
            </w:r>
          </w:p>
        </w:tc>
        <w:tc>
          <w:tcPr>
            <w:tcW w:w="2038" w:type="pct"/>
            <w:tcBorders>
              <w:top w:val="single" w:sz="8" w:space="0" w:color="auto"/>
              <w:left w:val="single" w:sz="12" w:space="0" w:color="auto"/>
              <w:bottom w:val="single" w:sz="8" w:space="0" w:color="auto"/>
            </w:tcBorders>
          </w:tcPr>
          <w:p w14:paraId="68559FEB" w14:textId="77777777" w:rsidR="00C47666" w:rsidRPr="00056A19" w:rsidRDefault="00C47666" w:rsidP="00D1192C">
            <w:r w:rsidRPr="009D005B">
              <w:t>Partially. The opinion explicitly states (Section 2.2.1.1): 'Grey literature (i.e. literature not indexed in literature databases) was not searched' for the systematic review steps. However, grey-literature equivalents are used elsewhere: Member States' vigilance</w:t>
            </w:r>
            <w:r>
              <w:t xml:space="preserve"> </w:t>
            </w:r>
            <w:r w:rsidRPr="009D005B">
              <w:t>/</w:t>
            </w:r>
            <w:r>
              <w:t xml:space="preserve"> </w:t>
            </w:r>
            <w:r w:rsidRPr="009D005B">
              <w:t>pharmacovigilance data and national reports are used to support the RP (Section 3.6.1); national food consumption surveys and total diet studies are collected through competent authority contacts (Section 2.3.1)</w:t>
            </w:r>
            <w:r>
              <w:t xml:space="preserve">. </w:t>
            </w:r>
            <w:r w:rsidRPr="009D005B">
              <w:t>So grey literature is excluded from the systematic identification of health-effect studies but included for exposure assessment and as supportive evidence.</w:t>
            </w:r>
          </w:p>
        </w:tc>
      </w:tr>
      <w:tr w:rsidR="00C47666" w14:paraId="20B0213D" w14:textId="77777777" w:rsidTr="00D1192C">
        <w:trPr>
          <w:cantSplit/>
        </w:trPr>
        <w:tc>
          <w:tcPr>
            <w:tcW w:w="144" w:type="pct"/>
            <w:tcBorders>
              <w:top w:val="single" w:sz="8" w:space="0" w:color="auto"/>
              <w:bottom w:val="single" w:sz="8" w:space="0" w:color="auto"/>
              <w:right w:val="single" w:sz="12" w:space="0" w:color="auto"/>
            </w:tcBorders>
            <w:shd w:val="clear" w:color="auto" w:fill="FFFF00"/>
            <w:vAlign w:val="center"/>
          </w:tcPr>
          <w:p w14:paraId="61F87E6A" w14:textId="77777777" w:rsidR="00C47666" w:rsidRPr="00056A19" w:rsidRDefault="00C47666" w:rsidP="00D1192C">
            <w:r>
              <w:t>S</w:t>
            </w:r>
          </w:p>
        </w:tc>
        <w:tc>
          <w:tcPr>
            <w:tcW w:w="2315" w:type="pct"/>
            <w:tcBorders>
              <w:top w:val="single" w:sz="8" w:space="0" w:color="auto"/>
              <w:left w:val="single" w:sz="12" w:space="0" w:color="auto"/>
              <w:bottom w:val="single" w:sz="8" w:space="0" w:color="auto"/>
              <w:right w:val="single" w:sz="12" w:space="0" w:color="auto"/>
            </w:tcBorders>
            <w:vAlign w:val="center"/>
          </w:tcPr>
          <w:p w14:paraId="15169AB4" w14:textId="77777777" w:rsidR="00C47666" w:rsidRPr="00056A19" w:rsidRDefault="00C47666" w:rsidP="00D1192C">
            <w:r w:rsidRPr="00056A19">
              <w:t xml:space="preserve">Is there documentation and justification on the selection of a toxicological endpoint for use as point of departure for health-based </w:t>
            </w:r>
            <w:r>
              <w:t xml:space="preserve">guidance </w:t>
            </w:r>
            <w:r w:rsidRPr="00056A19">
              <w:t>derivation?</w:t>
            </w:r>
          </w:p>
        </w:tc>
        <w:tc>
          <w:tcPr>
            <w:tcW w:w="503" w:type="pct"/>
            <w:tcBorders>
              <w:top w:val="single" w:sz="8" w:space="0" w:color="auto"/>
              <w:left w:val="single" w:sz="12" w:space="0" w:color="auto"/>
              <w:bottom w:val="single" w:sz="8" w:space="0" w:color="auto"/>
            </w:tcBorders>
            <w:vAlign w:val="center"/>
          </w:tcPr>
          <w:p w14:paraId="1F3997FA" w14:textId="77777777" w:rsidR="00C47666" w:rsidRPr="00056A19" w:rsidRDefault="00C47666" w:rsidP="00D1192C">
            <w:r>
              <w:t>Y</w:t>
            </w:r>
          </w:p>
        </w:tc>
        <w:tc>
          <w:tcPr>
            <w:tcW w:w="2038" w:type="pct"/>
            <w:tcBorders>
              <w:top w:val="single" w:sz="8" w:space="0" w:color="auto"/>
              <w:left w:val="single" w:sz="12" w:space="0" w:color="auto"/>
              <w:bottom w:val="single" w:sz="8" w:space="0" w:color="auto"/>
            </w:tcBorders>
          </w:tcPr>
          <w:p w14:paraId="7F880837" w14:textId="77777777" w:rsidR="00C47666" w:rsidRPr="00056A19" w:rsidRDefault="00C47666" w:rsidP="00D1192C">
            <w:r w:rsidRPr="00415BA4">
              <w:t>Yes. Section 3.5 systematically reviews each candidate adverse endpoint (peripheral neuropathy, developmental toxicity including congenital anomalies</w:t>
            </w:r>
            <w:r>
              <w:t xml:space="preserve"> </w:t>
            </w:r>
            <w:r w:rsidRPr="00415BA4">
              <w:t>/</w:t>
            </w:r>
            <w:r>
              <w:t xml:space="preserve"> </w:t>
            </w:r>
            <w:r w:rsidRPr="00415BA4">
              <w:t>growth restriction</w:t>
            </w:r>
            <w:r>
              <w:t xml:space="preserve"> </w:t>
            </w:r>
            <w:r w:rsidRPr="00415BA4">
              <w:t>/</w:t>
            </w:r>
            <w:r>
              <w:t xml:space="preserve"> </w:t>
            </w:r>
            <w:r w:rsidRPr="00415BA4">
              <w:t>birth weight, photosensitisation</w:t>
            </w:r>
            <w:r>
              <w:t xml:space="preserve"> </w:t>
            </w:r>
            <w:r w:rsidRPr="00415BA4">
              <w:t>/</w:t>
            </w:r>
            <w:r>
              <w:t xml:space="preserve"> </w:t>
            </w:r>
            <w:r w:rsidRPr="00415BA4">
              <w:t>dermatological lesions, hip fracture, impaired memorisation, anti-lactogenic effect, testicular toxicity). Section 3.6.1 documents the selection of peripheral neuropathy as the critical effect, the choice of the Dalton &amp; Dalton (1987) case–control study as the basis for the human RP of 50 mg/day, and the alternative animal-based RP from Phillips et al. (1978) in Beagle dogs (LOAEL 50 mg/kg bw/day). The reasoning for not using the Dalton &amp; Dalton (1987) average intake of 100 mg/day (as SCF 2000 had done) is explicit.</w:t>
            </w:r>
          </w:p>
        </w:tc>
      </w:tr>
      <w:tr w:rsidR="00C47666" w14:paraId="3BAF6A10" w14:textId="77777777" w:rsidTr="00D1192C">
        <w:trPr>
          <w:cantSplit/>
        </w:trPr>
        <w:tc>
          <w:tcPr>
            <w:tcW w:w="144" w:type="pct"/>
            <w:tcBorders>
              <w:top w:val="single" w:sz="12" w:space="0" w:color="auto"/>
            </w:tcBorders>
            <w:shd w:val="clear" w:color="auto" w:fill="BFBFBF"/>
            <w:vAlign w:val="center"/>
          </w:tcPr>
          <w:p w14:paraId="1FF7F35C" w14:textId="77777777" w:rsidR="00C47666" w:rsidRDefault="00C47666" w:rsidP="00D1192C"/>
        </w:tc>
        <w:tc>
          <w:tcPr>
            <w:tcW w:w="2315" w:type="pct"/>
            <w:tcBorders>
              <w:top w:val="single" w:sz="12" w:space="0" w:color="auto"/>
            </w:tcBorders>
            <w:shd w:val="clear" w:color="auto" w:fill="BFBFBF"/>
            <w:vAlign w:val="center"/>
          </w:tcPr>
          <w:p w14:paraId="063FCDDE" w14:textId="77777777" w:rsidR="00C47666" w:rsidRPr="00056A19" w:rsidRDefault="00C47666" w:rsidP="00D1192C">
            <w:r w:rsidRPr="00056A19">
              <w:t>Evidence search</w:t>
            </w:r>
          </w:p>
        </w:tc>
        <w:tc>
          <w:tcPr>
            <w:tcW w:w="503" w:type="pct"/>
            <w:tcBorders>
              <w:top w:val="single" w:sz="12" w:space="0" w:color="auto"/>
            </w:tcBorders>
            <w:shd w:val="clear" w:color="auto" w:fill="BFBFBF"/>
            <w:vAlign w:val="center"/>
          </w:tcPr>
          <w:p w14:paraId="58C96F06" w14:textId="77777777" w:rsidR="00C47666" w:rsidRDefault="00C47666" w:rsidP="00D1192C"/>
        </w:tc>
        <w:tc>
          <w:tcPr>
            <w:tcW w:w="2038" w:type="pct"/>
            <w:tcBorders>
              <w:top w:val="single" w:sz="12" w:space="0" w:color="auto"/>
            </w:tcBorders>
            <w:shd w:val="clear" w:color="auto" w:fill="BFBFBF"/>
          </w:tcPr>
          <w:p w14:paraId="42B52DEB" w14:textId="77777777" w:rsidR="00C47666" w:rsidRPr="00415BA4" w:rsidRDefault="00C47666" w:rsidP="00D1192C"/>
        </w:tc>
      </w:tr>
      <w:tr w:rsidR="00C47666" w14:paraId="46A86B2F" w14:textId="77777777" w:rsidTr="00D1192C">
        <w:trPr>
          <w:cantSplit/>
        </w:trPr>
        <w:tc>
          <w:tcPr>
            <w:tcW w:w="144" w:type="pct"/>
            <w:tcBorders>
              <w:top w:val="single" w:sz="12" w:space="0" w:color="auto"/>
            </w:tcBorders>
            <w:shd w:val="clear" w:color="auto" w:fill="92D050"/>
            <w:vAlign w:val="center"/>
          </w:tcPr>
          <w:p w14:paraId="5384AB8C" w14:textId="77777777" w:rsidR="00C47666" w:rsidRPr="00056A19" w:rsidRDefault="00C47666" w:rsidP="00D1192C">
            <w:r>
              <w:lastRenderedPageBreak/>
              <w:t>M</w:t>
            </w:r>
          </w:p>
        </w:tc>
        <w:tc>
          <w:tcPr>
            <w:tcW w:w="2315" w:type="pct"/>
            <w:tcBorders>
              <w:top w:val="single" w:sz="12" w:space="0" w:color="auto"/>
            </w:tcBorders>
            <w:vAlign w:val="center"/>
          </w:tcPr>
          <w:p w14:paraId="23B5FB7E" w14:textId="77777777" w:rsidR="00C47666" w:rsidRPr="00056A19" w:rsidRDefault="00C47666" w:rsidP="00D1192C">
            <w:r w:rsidRPr="00056A19">
              <w:t>Are databases and other sources of evidence specified?</w:t>
            </w:r>
          </w:p>
        </w:tc>
        <w:tc>
          <w:tcPr>
            <w:tcW w:w="503" w:type="pct"/>
            <w:tcBorders>
              <w:top w:val="single" w:sz="12" w:space="0" w:color="auto"/>
            </w:tcBorders>
            <w:vAlign w:val="center"/>
          </w:tcPr>
          <w:p w14:paraId="177DDE41" w14:textId="77777777" w:rsidR="00C47666" w:rsidRPr="00056A19" w:rsidRDefault="00C47666" w:rsidP="00D1192C">
            <w:r>
              <w:t>Y</w:t>
            </w:r>
          </w:p>
        </w:tc>
        <w:tc>
          <w:tcPr>
            <w:tcW w:w="2038" w:type="pct"/>
            <w:tcBorders>
              <w:top w:val="single" w:sz="12" w:space="0" w:color="auto"/>
            </w:tcBorders>
          </w:tcPr>
          <w:p w14:paraId="52C4100C" w14:textId="77777777" w:rsidR="00C47666" w:rsidRPr="00056A19" w:rsidRDefault="00C47666" w:rsidP="00D1192C">
            <w:r w:rsidRPr="00415BA4">
              <w:t>Yes. MEDLINE (Ovid), Embase (Ovid) and Cochrane Central Register of Controlled Trials. Search strategy peer-reviewed by information specialists. EFSA Comprehensive European Food Consumption Database and EFSA food composition database for intake assessment. Mintel Global New Products Database for fortified food/supplement products. Competent authorities in 37 European countries for national survey data.</w:t>
            </w:r>
          </w:p>
        </w:tc>
      </w:tr>
      <w:tr w:rsidR="00C47666" w14:paraId="35106AF9" w14:textId="77777777" w:rsidTr="00D1192C">
        <w:trPr>
          <w:cantSplit/>
        </w:trPr>
        <w:tc>
          <w:tcPr>
            <w:tcW w:w="144" w:type="pct"/>
            <w:shd w:val="clear" w:color="auto" w:fill="92D050"/>
            <w:vAlign w:val="center"/>
          </w:tcPr>
          <w:p w14:paraId="4624C736" w14:textId="77777777" w:rsidR="00C47666" w:rsidRPr="00056A19" w:rsidRDefault="00C47666" w:rsidP="00D1192C">
            <w:r>
              <w:t>M</w:t>
            </w:r>
          </w:p>
        </w:tc>
        <w:tc>
          <w:tcPr>
            <w:tcW w:w="2315" w:type="pct"/>
            <w:vAlign w:val="center"/>
          </w:tcPr>
          <w:p w14:paraId="0BFB33FE" w14:textId="77777777" w:rsidR="00C47666" w:rsidRPr="00056A19" w:rsidRDefault="00C47666" w:rsidP="00D1192C">
            <w:r w:rsidRPr="00056A19">
              <w:t xml:space="preserve">Does the literature search cover at least more than one scientific database as well as additional sources (which may include government reports and grey literature)? </w:t>
            </w:r>
          </w:p>
        </w:tc>
        <w:tc>
          <w:tcPr>
            <w:tcW w:w="503" w:type="pct"/>
            <w:vAlign w:val="center"/>
          </w:tcPr>
          <w:p w14:paraId="3F0654CA" w14:textId="77777777" w:rsidR="00C47666" w:rsidRPr="00056A19" w:rsidRDefault="00C47666" w:rsidP="00D1192C">
            <w:r>
              <w:t>Y</w:t>
            </w:r>
          </w:p>
        </w:tc>
        <w:tc>
          <w:tcPr>
            <w:tcW w:w="2038" w:type="pct"/>
          </w:tcPr>
          <w:p w14:paraId="70EFA817" w14:textId="77777777" w:rsidR="00C47666" w:rsidRPr="00056A19" w:rsidRDefault="00C47666" w:rsidP="00D1192C">
            <w:r w:rsidRPr="00415BA4">
              <w:t xml:space="preserve">Yes. Three scientific databases (MEDLINE, Embase, Cochrane Central) plus hand-searching of relevant systematic reviews for additional pertinent studies. </w:t>
            </w:r>
          </w:p>
        </w:tc>
      </w:tr>
      <w:tr w:rsidR="00C47666" w14:paraId="675AEA38" w14:textId="77777777" w:rsidTr="00D1192C">
        <w:trPr>
          <w:cantSplit/>
        </w:trPr>
        <w:tc>
          <w:tcPr>
            <w:tcW w:w="144" w:type="pct"/>
            <w:shd w:val="clear" w:color="auto" w:fill="92D050"/>
            <w:vAlign w:val="center"/>
          </w:tcPr>
          <w:p w14:paraId="51E4AC98" w14:textId="77777777" w:rsidR="00C47666" w:rsidRPr="00056A19" w:rsidRDefault="00C47666" w:rsidP="00D1192C">
            <w:r>
              <w:t>M</w:t>
            </w:r>
          </w:p>
        </w:tc>
        <w:tc>
          <w:tcPr>
            <w:tcW w:w="2315" w:type="pct"/>
            <w:vAlign w:val="center"/>
          </w:tcPr>
          <w:p w14:paraId="4CBE30C3" w14:textId="77777777" w:rsidR="00C47666" w:rsidRPr="00056A19" w:rsidRDefault="00C47666" w:rsidP="00D1192C">
            <w:r w:rsidRPr="00056A19">
              <w:t>Is it specified what date range the literature search covers? Is there a justification?</w:t>
            </w:r>
          </w:p>
        </w:tc>
        <w:tc>
          <w:tcPr>
            <w:tcW w:w="503" w:type="pct"/>
            <w:vAlign w:val="center"/>
          </w:tcPr>
          <w:p w14:paraId="3761981C" w14:textId="77777777" w:rsidR="00C47666" w:rsidRPr="00056A19" w:rsidRDefault="00C47666" w:rsidP="00D1192C">
            <w:r>
              <w:t>P</w:t>
            </w:r>
          </w:p>
        </w:tc>
        <w:tc>
          <w:tcPr>
            <w:tcW w:w="2038" w:type="pct"/>
          </w:tcPr>
          <w:p w14:paraId="361539E6" w14:textId="77777777" w:rsidR="00C47666" w:rsidRPr="00056A19" w:rsidRDefault="00C47666" w:rsidP="00D1192C">
            <w:r w:rsidRPr="00415BA4">
              <w:t xml:space="preserve">Partially. The opinion states 'No date limit was applied' for the systematic searches addressing health-effect questions, which is methodologically appropriate (no justification needed for an open start date). For the intake assessment, complementary searches covered surveys and reports 'published after 2016' (the cut-off of the previous </w:t>
            </w:r>
            <w:r>
              <w:t>dietary reference value (</w:t>
            </w:r>
            <w:r w:rsidRPr="00415BA4">
              <w:t>DRV</w:t>
            </w:r>
            <w:r>
              <w:t>)</w:t>
            </w:r>
            <w:r w:rsidRPr="00415BA4">
              <w:t xml:space="preserve"> opinion) with justification. The Mintel GNPD search was limited to 'the past 5 years, from September 2017 to September 2022' for product information. The exact end date of the systematic literature searches for health effects is not explicitly stated in the main opinion text (it is detailed in Tetens et al., 2023, the outsour</w:t>
            </w:r>
            <w:r>
              <w:t>ced</w:t>
            </w:r>
            <w:r w:rsidRPr="00415BA4">
              <w:t xml:space="preserve"> report).</w:t>
            </w:r>
          </w:p>
        </w:tc>
      </w:tr>
      <w:tr w:rsidR="00C47666" w14:paraId="0CC6C7B1" w14:textId="77777777" w:rsidTr="00D1192C">
        <w:trPr>
          <w:cantSplit/>
        </w:trPr>
        <w:tc>
          <w:tcPr>
            <w:tcW w:w="144" w:type="pct"/>
            <w:shd w:val="clear" w:color="auto" w:fill="FFFF00"/>
            <w:vAlign w:val="center"/>
          </w:tcPr>
          <w:p w14:paraId="25D852FE" w14:textId="77777777" w:rsidR="00C47666" w:rsidRPr="00056A19" w:rsidRDefault="00C47666" w:rsidP="00D1192C">
            <w:r>
              <w:t>S</w:t>
            </w:r>
          </w:p>
        </w:tc>
        <w:tc>
          <w:tcPr>
            <w:tcW w:w="2315" w:type="pct"/>
            <w:vAlign w:val="center"/>
          </w:tcPr>
          <w:p w14:paraId="76F49C48" w14:textId="77777777" w:rsidR="00C47666" w:rsidRPr="00056A19" w:rsidRDefault="00C47666" w:rsidP="00D1192C">
            <w:r w:rsidRPr="00056A19">
              <w:t xml:space="preserve">Are search terms and/or search strings specified? </w:t>
            </w:r>
          </w:p>
        </w:tc>
        <w:tc>
          <w:tcPr>
            <w:tcW w:w="503" w:type="pct"/>
            <w:vAlign w:val="center"/>
          </w:tcPr>
          <w:p w14:paraId="211C7756" w14:textId="77777777" w:rsidR="00C47666" w:rsidRPr="00056A19" w:rsidRDefault="00C47666" w:rsidP="00D1192C">
            <w:r>
              <w:t>Y</w:t>
            </w:r>
          </w:p>
        </w:tc>
        <w:tc>
          <w:tcPr>
            <w:tcW w:w="2038" w:type="pct"/>
          </w:tcPr>
          <w:p w14:paraId="5C1AD769" w14:textId="77777777" w:rsidR="00C47666" w:rsidRPr="00056A19" w:rsidRDefault="00C47666" w:rsidP="00D1192C">
            <w:r w:rsidRPr="00415BA4">
              <w:t xml:space="preserve">The main opinion states the search strategy 'was created by information specialists of the University of Oslo and peer reviewed by information specialists at the Karolinska Institute and EFSA. It is further detailed in the final report of the outsourcing project (Tetens et al., 2023).' </w:t>
            </w:r>
          </w:p>
        </w:tc>
      </w:tr>
      <w:tr w:rsidR="00C47666" w14:paraId="13980EF5" w14:textId="77777777" w:rsidTr="00D1192C">
        <w:trPr>
          <w:cantSplit/>
        </w:trPr>
        <w:tc>
          <w:tcPr>
            <w:tcW w:w="144" w:type="pct"/>
            <w:tcBorders>
              <w:bottom w:val="single" w:sz="12" w:space="0" w:color="auto"/>
            </w:tcBorders>
            <w:shd w:val="clear" w:color="auto" w:fill="8EAADB"/>
            <w:vAlign w:val="center"/>
          </w:tcPr>
          <w:p w14:paraId="40E77E09" w14:textId="77777777" w:rsidR="00C47666" w:rsidRPr="00056A19" w:rsidRDefault="00C47666" w:rsidP="00D1192C">
            <w:r>
              <w:lastRenderedPageBreak/>
              <w:t>-</w:t>
            </w:r>
          </w:p>
        </w:tc>
        <w:tc>
          <w:tcPr>
            <w:tcW w:w="2315" w:type="pct"/>
            <w:tcBorders>
              <w:bottom w:val="single" w:sz="12" w:space="0" w:color="auto"/>
            </w:tcBorders>
            <w:vAlign w:val="center"/>
          </w:tcPr>
          <w:p w14:paraId="0BDAE39C" w14:textId="77777777" w:rsidR="00C47666" w:rsidRPr="00056A19" w:rsidRDefault="00C47666" w:rsidP="00D1192C">
            <w:r w:rsidRPr="00056A19">
              <w:t xml:space="preserve">Are there any other exclusion criteria for literature (e.g. publication language, publication dates)? If so, what are they and are they appropriate? </w:t>
            </w:r>
          </w:p>
        </w:tc>
        <w:tc>
          <w:tcPr>
            <w:tcW w:w="503" w:type="pct"/>
            <w:tcBorders>
              <w:bottom w:val="single" w:sz="12" w:space="0" w:color="auto"/>
            </w:tcBorders>
            <w:vAlign w:val="center"/>
          </w:tcPr>
          <w:p w14:paraId="675A7DF5" w14:textId="77777777" w:rsidR="00C47666" w:rsidRPr="00056A19" w:rsidRDefault="00C47666" w:rsidP="00D1192C">
            <w:r>
              <w:t>Y</w:t>
            </w:r>
          </w:p>
        </w:tc>
        <w:tc>
          <w:tcPr>
            <w:tcW w:w="2038" w:type="pct"/>
            <w:tcBorders>
              <w:bottom w:val="single" w:sz="12" w:space="0" w:color="auto"/>
            </w:tcBorders>
          </w:tcPr>
          <w:p w14:paraId="159F193E" w14:textId="77777777" w:rsidR="00C47666" w:rsidRPr="00056A19" w:rsidRDefault="00C47666" w:rsidP="00D1192C">
            <w:r w:rsidRPr="00A530A6">
              <w:t xml:space="preserve">Yes. Articles published in English only (Section 2.2.1.1). Reviews, expert opinions, editorials, letters to the editors, abstracts, posters and theses 'not reporting on original data' were excluded. Studies in individuals with impaired vitamin B6 status were excluded for sQ3a and sQ3b (appropriate, as the question concerns excess intake). Studies on neural tube defects and oral clefts were excluded from sQ4 with justification (these are deficiency-related outcomes). </w:t>
            </w:r>
          </w:p>
        </w:tc>
      </w:tr>
      <w:tr w:rsidR="00C47666" w14:paraId="53876F22" w14:textId="77777777" w:rsidTr="00D1192C">
        <w:trPr>
          <w:cantSplit/>
        </w:trPr>
        <w:tc>
          <w:tcPr>
            <w:tcW w:w="144" w:type="pct"/>
            <w:tcBorders>
              <w:bottom w:val="single" w:sz="12" w:space="0" w:color="auto"/>
            </w:tcBorders>
            <w:shd w:val="clear" w:color="auto" w:fill="BFBFBF"/>
            <w:vAlign w:val="center"/>
          </w:tcPr>
          <w:p w14:paraId="4B827FA8" w14:textId="77777777" w:rsidR="00C47666" w:rsidRDefault="00C47666" w:rsidP="00D1192C"/>
        </w:tc>
        <w:tc>
          <w:tcPr>
            <w:tcW w:w="2315" w:type="pct"/>
            <w:tcBorders>
              <w:bottom w:val="single" w:sz="12" w:space="0" w:color="auto"/>
            </w:tcBorders>
            <w:shd w:val="clear" w:color="auto" w:fill="BFBFBF"/>
            <w:vAlign w:val="center"/>
          </w:tcPr>
          <w:p w14:paraId="686821C7" w14:textId="77777777" w:rsidR="00C47666" w:rsidRPr="00056A19" w:rsidRDefault="00C47666" w:rsidP="00D1192C">
            <w:r w:rsidRPr="00056A19">
              <w:t>Critical appraisal methods and tools</w:t>
            </w:r>
          </w:p>
        </w:tc>
        <w:tc>
          <w:tcPr>
            <w:tcW w:w="503" w:type="pct"/>
            <w:tcBorders>
              <w:bottom w:val="single" w:sz="12" w:space="0" w:color="auto"/>
            </w:tcBorders>
            <w:shd w:val="clear" w:color="auto" w:fill="BFBFBF"/>
            <w:vAlign w:val="center"/>
          </w:tcPr>
          <w:p w14:paraId="7DE4AFA6" w14:textId="77777777" w:rsidR="00C47666" w:rsidRDefault="00C47666" w:rsidP="00D1192C"/>
        </w:tc>
        <w:tc>
          <w:tcPr>
            <w:tcW w:w="2038" w:type="pct"/>
            <w:tcBorders>
              <w:bottom w:val="single" w:sz="12" w:space="0" w:color="auto"/>
            </w:tcBorders>
            <w:shd w:val="clear" w:color="auto" w:fill="BFBFBF"/>
          </w:tcPr>
          <w:p w14:paraId="493363C6" w14:textId="77777777" w:rsidR="00C47666" w:rsidRPr="00A530A6" w:rsidRDefault="00C47666" w:rsidP="00D1192C"/>
        </w:tc>
      </w:tr>
      <w:tr w:rsidR="00C47666" w14:paraId="0BA35228" w14:textId="77777777" w:rsidTr="00D1192C">
        <w:trPr>
          <w:cantSplit/>
        </w:trPr>
        <w:tc>
          <w:tcPr>
            <w:tcW w:w="144" w:type="pct"/>
            <w:tcBorders>
              <w:top w:val="single" w:sz="12" w:space="0" w:color="auto"/>
            </w:tcBorders>
            <w:shd w:val="clear" w:color="auto" w:fill="92D050"/>
            <w:vAlign w:val="center"/>
          </w:tcPr>
          <w:p w14:paraId="0DBF3AC7" w14:textId="77777777" w:rsidR="00C47666" w:rsidRPr="00056A19" w:rsidRDefault="00C47666" w:rsidP="00D1192C">
            <w:r>
              <w:t>M</w:t>
            </w:r>
          </w:p>
        </w:tc>
        <w:tc>
          <w:tcPr>
            <w:tcW w:w="2315" w:type="pct"/>
            <w:tcBorders>
              <w:top w:val="single" w:sz="12" w:space="0" w:color="auto"/>
            </w:tcBorders>
            <w:vAlign w:val="center"/>
          </w:tcPr>
          <w:p w14:paraId="7C3EAC72" w14:textId="77777777" w:rsidR="00C47666" w:rsidRPr="00056A19" w:rsidRDefault="00C47666" w:rsidP="00D1192C">
            <w:r w:rsidRPr="00056A19">
              <w:t>Is risk of bias of individual studies taken into consideration to assess internal validity? If so, what tools are used? If not, was any method used to assess study quality?</w:t>
            </w:r>
          </w:p>
        </w:tc>
        <w:tc>
          <w:tcPr>
            <w:tcW w:w="503" w:type="pct"/>
            <w:tcBorders>
              <w:top w:val="single" w:sz="12" w:space="0" w:color="auto"/>
            </w:tcBorders>
            <w:vAlign w:val="center"/>
          </w:tcPr>
          <w:p w14:paraId="0B6A8E8C" w14:textId="77777777" w:rsidR="00C47666" w:rsidRPr="00056A19" w:rsidRDefault="00C47666" w:rsidP="00D1192C">
            <w:pPr>
              <w:rPr>
                <w:color w:val="FF0000"/>
              </w:rPr>
            </w:pPr>
            <w:r w:rsidRPr="00FD76A4">
              <w:t>Y</w:t>
            </w:r>
          </w:p>
        </w:tc>
        <w:tc>
          <w:tcPr>
            <w:tcW w:w="2038" w:type="pct"/>
            <w:tcBorders>
              <w:top w:val="single" w:sz="12" w:space="0" w:color="auto"/>
            </w:tcBorders>
          </w:tcPr>
          <w:p w14:paraId="11EB5187" w14:textId="77777777" w:rsidR="00C47666" w:rsidRPr="00056A19" w:rsidRDefault="00C47666" w:rsidP="00D1192C">
            <w:pPr>
              <w:rPr>
                <w:color w:val="FF0000"/>
              </w:rPr>
            </w:pPr>
            <w:r w:rsidRPr="00FD76A4">
              <w:t>Yes. RoB appraisal was applied to all eligible studies addressing sQ3a and sQ3b (peripheral neuropathy). Tool used: OHAT-NTP (2015) Risk of Bias tool, with criteria and rating instructions tailored for: (1) consideration of potential confounders, (2) confidence in exposure characterisation, (3) confidence in outcome assessment. Five-level rating (definitely low</w:t>
            </w:r>
            <w:r>
              <w:t xml:space="preserve"> </w:t>
            </w:r>
            <w:r w:rsidRPr="00FD76A4">
              <w:t>/</w:t>
            </w:r>
            <w:r>
              <w:t xml:space="preserve"> </w:t>
            </w:r>
            <w:r w:rsidRPr="00FD76A4">
              <w:t>probably low</w:t>
            </w:r>
            <w:r>
              <w:t xml:space="preserve"> </w:t>
            </w:r>
            <w:r w:rsidRPr="00FD76A4">
              <w:t>/</w:t>
            </w:r>
            <w:r>
              <w:t xml:space="preserve"> </w:t>
            </w:r>
            <w:r w:rsidRPr="00FD76A4">
              <w:t>not reported</w:t>
            </w:r>
            <w:r>
              <w:t xml:space="preserve"> </w:t>
            </w:r>
            <w:r w:rsidRPr="00FD76A4">
              <w:t>/</w:t>
            </w:r>
            <w:r>
              <w:t xml:space="preserve"> </w:t>
            </w:r>
            <w:r w:rsidRPr="00FD76A4">
              <w:t>probably high</w:t>
            </w:r>
            <w:r>
              <w:t xml:space="preserve"> </w:t>
            </w:r>
            <w:r w:rsidRPr="00FD76A4">
              <w:t>/</w:t>
            </w:r>
            <w:r>
              <w:t xml:space="preserve"> </w:t>
            </w:r>
            <w:r w:rsidRPr="00FD76A4">
              <w:t>definitely high). Performed in duplicate by independent experts at the University of Copenhagen with disagreements resolved by a third reviewer. Studies were tiered (tier 1 = low, tier 2 = moderate, tier 3 = high RoB) per OHAT-NTP (2019). Full RoB ratings for each included study are presented in Appendix B of the opinion</w:t>
            </w:r>
            <w:r>
              <w:t xml:space="preserve"> of the EFSA document</w:t>
            </w:r>
            <w:r w:rsidRPr="00FD76A4">
              <w:t>.</w:t>
            </w:r>
          </w:p>
        </w:tc>
      </w:tr>
      <w:tr w:rsidR="00C47666" w14:paraId="3A44AFD4" w14:textId="77777777" w:rsidTr="00D1192C">
        <w:trPr>
          <w:cantSplit/>
        </w:trPr>
        <w:tc>
          <w:tcPr>
            <w:tcW w:w="144" w:type="pct"/>
            <w:shd w:val="clear" w:color="auto" w:fill="FFFF00"/>
            <w:vAlign w:val="center"/>
          </w:tcPr>
          <w:p w14:paraId="13937F28" w14:textId="77777777" w:rsidR="00C47666" w:rsidRPr="00056A19" w:rsidRDefault="00C47666" w:rsidP="00D1192C">
            <w:r>
              <w:lastRenderedPageBreak/>
              <w:t>S</w:t>
            </w:r>
          </w:p>
        </w:tc>
        <w:tc>
          <w:tcPr>
            <w:tcW w:w="2315" w:type="pct"/>
            <w:vAlign w:val="center"/>
          </w:tcPr>
          <w:p w14:paraId="1C81E4F8" w14:textId="77777777" w:rsidR="00C47666" w:rsidRPr="00056A19" w:rsidRDefault="00C47666" w:rsidP="00D1192C">
            <w:r w:rsidRPr="00056A19">
              <w:t>Does the organisation use a systematic or some other methodological approach to synthesise the evidence (i.e. to assess and summarise the information provided in the studies)? If so, provide details.</w:t>
            </w:r>
          </w:p>
        </w:tc>
        <w:tc>
          <w:tcPr>
            <w:tcW w:w="503" w:type="pct"/>
            <w:vAlign w:val="center"/>
          </w:tcPr>
          <w:p w14:paraId="3E39C3DA" w14:textId="77777777" w:rsidR="00C47666" w:rsidRPr="00056A19" w:rsidRDefault="00C47666" w:rsidP="00D1192C">
            <w:r>
              <w:t>P</w:t>
            </w:r>
          </w:p>
        </w:tc>
        <w:tc>
          <w:tcPr>
            <w:tcW w:w="2038" w:type="pct"/>
          </w:tcPr>
          <w:p w14:paraId="491B6028" w14:textId="77777777" w:rsidR="00C47666" w:rsidRPr="00056A19" w:rsidRDefault="00C47666" w:rsidP="00D1192C">
            <w:r w:rsidRPr="00484526">
              <w:t>Partially. Section 2.2.2.2 states: 'Owing to the heterogeneity of studies retrieved, the evidence was synthesised narratively, and no data analyses were conducted.' Narrative synthesis is appropriate given the heterogeneity (case reports, case–control studies, one HCT, vigilance data with varied exposure metrics and reporting). Evidence tables are provided in Appendix D (49 pages of detailed extraction tables)</w:t>
            </w:r>
            <w:r>
              <w:t xml:space="preserve"> of EFSA Panel 2023</w:t>
            </w:r>
            <w:r w:rsidRPr="00484526">
              <w:t xml:space="preserve">. However, no quantitative pooling, no GRADE-style certainty rating, and no formal evidence integration framework beyond expert judgement is applied for the dose–response characterisation. </w:t>
            </w:r>
          </w:p>
        </w:tc>
      </w:tr>
      <w:tr w:rsidR="00C47666" w14:paraId="66AF0782" w14:textId="77777777" w:rsidTr="00D1192C">
        <w:trPr>
          <w:cantSplit/>
        </w:trPr>
        <w:tc>
          <w:tcPr>
            <w:tcW w:w="144" w:type="pct"/>
            <w:tcBorders>
              <w:bottom w:val="single" w:sz="12" w:space="0" w:color="auto"/>
            </w:tcBorders>
            <w:shd w:val="clear" w:color="auto" w:fill="FFFF00"/>
            <w:vAlign w:val="center"/>
          </w:tcPr>
          <w:p w14:paraId="781A34EC" w14:textId="77777777" w:rsidR="00C47666" w:rsidRPr="00056A19" w:rsidRDefault="00C47666" w:rsidP="00D1192C">
            <w:r>
              <w:t>S</w:t>
            </w:r>
          </w:p>
        </w:tc>
        <w:tc>
          <w:tcPr>
            <w:tcW w:w="2315" w:type="pct"/>
            <w:tcBorders>
              <w:bottom w:val="single" w:sz="12" w:space="0" w:color="auto"/>
            </w:tcBorders>
            <w:vAlign w:val="center"/>
          </w:tcPr>
          <w:p w14:paraId="206D4AEE" w14:textId="77777777" w:rsidR="00C47666" w:rsidRPr="00056A19" w:rsidRDefault="00C47666" w:rsidP="00D1192C">
            <w:r w:rsidRPr="00056A19">
              <w:t>Does the organisation assess the overall certainty of the evidence and reach recommendations? If so, provide details.</w:t>
            </w:r>
          </w:p>
        </w:tc>
        <w:tc>
          <w:tcPr>
            <w:tcW w:w="503" w:type="pct"/>
            <w:tcBorders>
              <w:bottom w:val="single" w:sz="12" w:space="0" w:color="auto"/>
            </w:tcBorders>
            <w:vAlign w:val="center"/>
          </w:tcPr>
          <w:p w14:paraId="1BE0566B" w14:textId="77777777" w:rsidR="00C47666" w:rsidRPr="00484526" w:rsidRDefault="00C47666" w:rsidP="00D1192C">
            <w:r w:rsidRPr="00484526">
              <w:t>P</w:t>
            </w:r>
          </w:p>
        </w:tc>
        <w:tc>
          <w:tcPr>
            <w:tcW w:w="2038" w:type="pct"/>
            <w:tcBorders>
              <w:bottom w:val="single" w:sz="12" w:space="0" w:color="auto"/>
            </w:tcBorders>
          </w:tcPr>
          <w:p w14:paraId="08600511" w14:textId="77777777" w:rsidR="00C47666" w:rsidRPr="00484526" w:rsidRDefault="00C47666" w:rsidP="00D1192C">
            <w:r w:rsidRPr="00484526">
              <w:t>Partially. The opinion does not apply a formal GRADE-style certainty-of-evidence framework. However, RoB tiers are reported per study (Appendix B</w:t>
            </w:r>
            <w:r>
              <w:t xml:space="preserve"> of EFSA</w:t>
            </w:r>
            <w:r w:rsidRPr="00484526">
              <w:t xml:space="preserve">); the Panel notes 'The RoB of the overall </w:t>
            </w:r>
            <w:r>
              <w:t>body of evidence</w:t>
            </w:r>
            <w:r w:rsidRPr="00484526">
              <w:t xml:space="preserve"> was moderate to high' for peripheral neuropathy evidence. Causality is described qualitatively as 'well-established' for vitamin B6 and peripheral neuropathy. The Panel applies the EFSA Scientific Committee (2017b) weight-of-evidence guidance and uses uncertainty factors to translate residual uncertainty into the UL derivation (UF of 4 on the human RP; UF of 300 on the animal LOAEL). Final recommendations are clear and quantitative.</w:t>
            </w:r>
          </w:p>
        </w:tc>
      </w:tr>
      <w:tr w:rsidR="00C47666" w14:paraId="356F2106" w14:textId="77777777" w:rsidTr="00D1192C">
        <w:trPr>
          <w:cantSplit/>
        </w:trPr>
        <w:tc>
          <w:tcPr>
            <w:tcW w:w="144" w:type="pct"/>
            <w:tcBorders>
              <w:bottom w:val="single" w:sz="12" w:space="0" w:color="auto"/>
            </w:tcBorders>
            <w:shd w:val="clear" w:color="auto" w:fill="BFBFBF"/>
            <w:vAlign w:val="center"/>
          </w:tcPr>
          <w:p w14:paraId="63BFF81E" w14:textId="77777777" w:rsidR="00C47666" w:rsidRDefault="00C47666" w:rsidP="00D1192C"/>
        </w:tc>
        <w:tc>
          <w:tcPr>
            <w:tcW w:w="2315" w:type="pct"/>
            <w:tcBorders>
              <w:bottom w:val="single" w:sz="12" w:space="0" w:color="auto"/>
            </w:tcBorders>
            <w:shd w:val="clear" w:color="auto" w:fill="BFBFBF"/>
            <w:vAlign w:val="center"/>
          </w:tcPr>
          <w:p w14:paraId="569E7455" w14:textId="77777777" w:rsidR="00C47666" w:rsidRPr="00056A19" w:rsidRDefault="00C47666" w:rsidP="00D1192C">
            <w:r w:rsidRPr="00056A19">
              <w:t xml:space="preserve">Derivation of </w:t>
            </w:r>
            <w:r>
              <w:t>nutrient reference</w:t>
            </w:r>
            <w:r w:rsidRPr="00056A19">
              <w:t xml:space="preserve"> values</w:t>
            </w:r>
          </w:p>
        </w:tc>
        <w:tc>
          <w:tcPr>
            <w:tcW w:w="503" w:type="pct"/>
            <w:tcBorders>
              <w:bottom w:val="single" w:sz="12" w:space="0" w:color="auto"/>
            </w:tcBorders>
            <w:shd w:val="clear" w:color="auto" w:fill="BFBFBF"/>
            <w:vAlign w:val="center"/>
          </w:tcPr>
          <w:p w14:paraId="17E1CE21" w14:textId="77777777" w:rsidR="00C47666" w:rsidRPr="00484526" w:rsidRDefault="00C47666" w:rsidP="00D1192C"/>
        </w:tc>
        <w:tc>
          <w:tcPr>
            <w:tcW w:w="2038" w:type="pct"/>
            <w:tcBorders>
              <w:bottom w:val="single" w:sz="12" w:space="0" w:color="auto"/>
            </w:tcBorders>
            <w:shd w:val="clear" w:color="auto" w:fill="BFBFBF"/>
          </w:tcPr>
          <w:p w14:paraId="4CAD7505" w14:textId="77777777" w:rsidR="00C47666" w:rsidRPr="00484526" w:rsidRDefault="00C47666" w:rsidP="00D1192C"/>
        </w:tc>
      </w:tr>
      <w:tr w:rsidR="00C47666" w14:paraId="4061B1E1" w14:textId="77777777" w:rsidTr="00D1192C">
        <w:trPr>
          <w:cantSplit/>
        </w:trPr>
        <w:tc>
          <w:tcPr>
            <w:tcW w:w="144" w:type="pct"/>
            <w:tcBorders>
              <w:top w:val="single" w:sz="12" w:space="0" w:color="auto"/>
            </w:tcBorders>
            <w:shd w:val="clear" w:color="auto" w:fill="92D050"/>
            <w:vAlign w:val="center"/>
          </w:tcPr>
          <w:p w14:paraId="0352C5B7" w14:textId="77777777" w:rsidR="00C47666" w:rsidRPr="00056A19" w:rsidRDefault="00C47666" w:rsidP="00D1192C">
            <w:r>
              <w:lastRenderedPageBreak/>
              <w:t>M</w:t>
            </w:r>
          </w:p>
        </w:tc>
        <w:tc>
          <w:tcPr>
            <w:tcW w:w="2315" w:type="pct"/>
            <w:tcBorders>
              <w:top w:val="single" w:sz="12" w:space="0" w:color="auto"/>
            </w:tcBorders>
            <w:vAlign w:val="center"/>
          </w:tcPr>
          <w:p w14:paraId="1977AB7D" w14:textId="77777777" w:rsidR="00C47666" w:rsidRPr="00056A19" w:rsidRDefault="00C47666" w:rsidP="00D1192C">
            <w:r w:rsidRPr="00056A19">
              <w:t xml:space="preserve">Is there justification for the choice of uncertainty and safety factors? </w:t>
            </w:r>
          </w:p>
        </w:tc>
        <w:tc>
          <w:tcPr>
            <w:tcW w:w="503" w:type="pct"/>
            <w:tcBorders>
              <w:top w:val="single" w:sz="12" w:space="0" w:color="auto"/>
            </w:tcBorders>
            <w:vAlign w:val="center"/>
          </w:tcPr>
          <w:p w14:paraId="1EFAA21F" w14:textId="77777777" w:rsidR="00C47666" w:rsidRPr="00056A19" w:rsidRDefault="00C47666" w:rsidP="00D1192C">
            <w:r>
              <w:t>Y</w:t>
            </w:r>
          </w:p>
        </w:tc>
        <w:tc>
          <w:tcPr>
            <w:tcW w:w="2038" w:type="pct"/>
            <w:tcBorders>
              <w:top w:val="single" w:sz="12" w:space="0" w:color="auto"/>
            </w:tcBorders>
          </w:tcPr>
          <w:p w14:paraId="102A433A" w14:textId="77777777" w:rsidR="00C47666" w:rsidRPr="00056A19" w:rsidRDefault="00C47666" w:rsidP="00D1192C">
            <w:r w:rsidRPr="006416EF">
              <w:t xml:space="preserve">Yes. </w:t>
            </w:r>
            <w:r>
              <w:t>Uncertainty factor (</w:t>
            </w:r>
            <w:r w:rsidRPr="006416EF">
              <w:t>UF</w:t>
            </w:r>
            <w:r>
              <w:t>)</w:t>
            </w:r>
            <w:r w:rsidRPr="006416EF">
              <w:t xml:space="preserve"> of 4 applied to the human RP (50 mg/day) is justified in Section 3.6.2.1: a factor of 2 to account for the inverse relationship between dose and time to onset of symptoms (covering uncertainty as to whether Dalton &amp; Dalton 1987 exposure duration was sufficient), and an additional factor of 2 to account for limited available data (uncertainty about the level that would represent a true LOAEL and adequacy of representation of sensitive subgroups). The composite UF of 300 on the dog LOAEL is also fully </w:t>
            </w:r>
            <w:r>
              <w:t>justified</w:t>
            </w:r>
            <w:r w:rsidRPr="006416EF">
              <w:t>: 2 × 2.5 × 10 × 2 × 3 (interspecies TK reduced from default 4 to 2 with rationale based on shared dog–human B6 metabolism per Scudi et al. 1942; default interspecies TD 2.5; default intra-human variability 10; subchronic-to-chronic 2; absence of NOAEL 3).</w:t>
            </w:r>
          </w:p>
        </w:tc>
      </w:tr>
      <w:tr w:rsidR="00C47666" w14:paraId="4731AED5" w14:textId="77777777" w:rsidTr="00D1192C">
        <w:trPr>
          <w:cantSplit/>
        </w:trPr>
        <w:tc>
          <w:tcPr>
            <w:tcW w:w="144" w:type="pct"/>
            <w:shd w:val="clear" w:color="auto" w:fill="92D050"/>
            <w:vAlign w:val="center"/>
          </w:tcPr>
          <w:p w14:paraId="7EF1EC36" w14:textId="77777777" w:rsidR="00C47666" w:rsidRPr="00056A19" w:rsidRDefault="00C47666" w:rsidP="00D1192C">
            <w:r>
              <w:t>M</w:t>
            </w:r>
          </w:p>
        </w:tc>
        <w:tc>
          <w:tcPr>
            <w:tcW w:w="2315" w:type="pct"/>
            <w:vAlign w:val="center"/>
          </w:tcPr>
          <w:p w14:paraId="21FFCDE7" w14:textId="77777777" w:rsidR="00C47666" w:rsidRPr="00056A19" w:rsidRDefault="00C47666" w:rsidP="00D1192C">
            <w:r w:rsidRPr="005E700A">
              <w:t>Are the assumptions and reference data (intake, body weights for age groups etc) used for the calculations clearly documented and explained</w:t>
            </w:r>
            <w:r w:rsidRPr="00056A19">
              <w:t xml:space="preserve">?  </w:t>
            </w:r>
          </w:p>
        </w:tc>
        <w:tc>
          <w:tcPr>
            <w:tcW w:w="503" w:type="pct"/>
            <w:vAlign w:val="center"/>
          </w:tcPr>
          <w:p w14:paraId="6D8ADB2D" w14:textId="77777777" w:rsidR="00C47666" w:rsidRPr="00056A19" w:rsidRDefault="00C47666" w:rsidP="00D1192C">
            <w:r>
              <w:t>Y</w:t>
            </w:r>
          </w:p>
        </w:tc>
        <w:tc>
          <w:tcPr>
            <w:tcW w:w="2038" w:type="pct"/>
          </w:tcPr>
          <w:p w14:paraId="03073966" w14:textId="77777777" w:rsidR="00C47666" w:rsidRPr="00056A19" w:rsidRDefault="00C47666" w:rsidP="00D1192C">
            <w:r w:rsidRPr="006416EF">
              <w:t>Yes. Default body weight for adults: 70 kg (EFSA Scientific Committee 2012). Reference body weights for age groups documented in Tables 12 and 13: 1–3 yr 11.9 kg, 4–6 yr 19.0 kg, 7–10 yr 28.7 kg, 11–14 yr 44.6 kg, 15–17 yr 60.3 kg, 4–6 mo 7.2 kg, 7–11 mo 8.6 kg. Sources: WHO Multicentre Growth Reference Study Group (2006) for ≤3 years, van Buuren et al. (2012) for 4–17 years. Recommended by EFSA NDA Panel (2022) guidance.</w:t>
            </w:r>
          </w:p>
        </w:tc>
      </w:tr>
      <w:tr w:rsidR="00C47666" w14:paraId="3D4FF587" w14:textId="77777777" w:rsidTr="00D1192C">
        <w:trPr>
          <w:cantSplit/>
        </w:trPr>
        <w:tc>
          <w:tcPr>
            <w:tcW w:w="144" w:type="pct"/>
            <w:shd w:val="clear" w:color="auto" w:fill="92D050"/>
            <w:vAlign w:val="center"/>
          </w:tcPr>
          <w:p w14:paraId="580D04BC" w14:textId="77777777" w:rsidR="00C47666" w:rsidRPr="00056A19" w:rsidRDefault="00C47666" w:rsidP="00D1192C">
            <w:r>
              <w:lastRenderedPageBreak/>
              <w:t>M</w:t>
            </w:r>
          </w:p>
        </w:tc>
        <w:tc>
          <w:tcPr>
            <w:tcW w:w="2315" w:type="pct"/>
            <w:vAlign w:val="center"/>
          </w:tcPr>
          <w:p w14:paraId="067B8B99" w14:textId="77777777" w:rsidR="00C47666" w:rsidRPr="00056A19" w:rsidRDefault="00C47666" w:rsidP="00D1192C">
            <w:r w:rsidRPr="00056A19">
              <w:t>Are the mathematical workings/algorithms clearly documented and explained?</w:t>
            </w:r>
          </w:p>
        </w:tc>
        <w:tc>
          <w:tcPr>
            <w:tcW w:w="503" w:type="pct"/>
            <w:vAlign w:val="center"/>
          </w:tcPr>
          <w:p w14:paraId="4CA72441" w14:textId="77777777" w:rsidR="00C47666" w:rsidRPr="00056A19" w:rsidRDefault="00C47666" w:rsidP="00D1192C">
            <w:r>
              <w:t>Y</w:t>
            </w:r>
          </w:p>
        </w:tc>
        <w:tc>
          <w:tcPr>
            <w:tcW w:w="2038" w:type="pct"/>
          </w:tcPr>
          <w:p w14:paraId="4326A9E1" w14:textId="77777777" w:rsidR="00C47666" w:rsidRPr="00056A19" w:rsidRDefault="00C47666" w:rsidP="00D1192C">
            <w:r w:rsidRPr="006416EF">
              <w:t>Yes. Section 3.6.2 sets out the calculations explicitly. Human-based UL: 50 mg/day ÷ 4 = 12.5 mg/day. Animal-based UL: (50 mg/kg bw/day ÷ 300) × 70 kg = 11.7 mg/day. The Panel proposes the midpoint, rounded down, giving UL = 12 mg/day for adults. For children/infants: allometric scaling using bw^0.75 with reference body weights from EFSA NDA Panel (2022). Worked tables (Tables 12, 13) show inputs and outputs.</w:t>
            </w:r>
          </w:p>
        </w:tc>
      </w:tr>
      <w:tr w:rsidR="00C47666" w14:paraId="10784369" w14:textId="77777777" w:rsidTr="00D1192C">
        <w:trPr>
          <w:cantSplit/>
        </w:trPr>
        <w:tc>
          <w:tcPr>
            <w:tcW w:w="144" w:type="pct"/>
            <w:shd w:val="clear" w:color="auto" w:fill="92D050"/>
            <w:vAlign w:val="center"/>
          </w:tcPr>
          <w:p w14:paraId="3F8B1F40" w14:textId="77777777" w:rsidR="00C47666" w:rsidRPr="00056A19" w:rsidRDefault="00C47666" w:rsidP="00D1192C">
            <w:r>
              <w:t>M</w:t>
            </w:r>
          </w:p>
        </w:tc>
        <w:tc>
          <w:tcPr>
            <w:tcW w:w="2315" w:type="pct"/>
            <w:vAlign w:val="center"/>
          </w:tcPr>
          <w:p w14:paraId="573AA09B" w14:textId="77777777" w:rsidR="00C47666" w:rsidRPr="00056A19" w:rsidRDefault="00C47666" w:rsidP="00D1192C">
            <w:r w:rsidRPr="00E34F09">
              <w:t>Does the organisation take into consideration non-health related matters to account for feasibility of implementing the guidance values (e.g. measurement attainability)?</w:t>
            </w:r>
          </w:p>
        </w:tc>
        <w:tc>
          <w:tcPr>
            <w:tcW w:w="503" w:type="pct"/>
            <w:vAlign w:val="center"/>
          </w:tcPr>
          <w:p w14:paraId="7F3049A6" w14:textId="77777777" w:rsidR="00C47666" w:rsidRPr="00056A19" w:rsidRDefault="00C47666" w:rsidP="00D1192C">
            <w:r>
              <w:t>Y</w:t>
            </w:r>
          </w:p>
        </w:tc>
        <w:tc>
          <w:tcPr>
            <w:tcW w:w="2038" w:type="pct"/>
          </w:tcPr>
          <w:p w14:paraId="7A86625B" w14:textId="77777777" w:rsidR="00C47666" w:rsidRPr="00056A19" w:rsidRDefault="00C47666" w:rsidP="00D1192C">
            <w:r w:rsidRPr="006416EF">
              <w:t>Yes. Section 3.7 (Risk characterisation) compares the UL to actual EU intake distributions (Section 3.4) including from foods, fortified foods, and food supplements, and assesses feasibility: 'The Panel considers that it is unlikely that the UL for vitamin B6 is exceeded in European populations, except for regular users of food supplements containing high doses of vitamin B6.' Implementation context is therefore explicitly considered.</w:t>
            </w:r>
          </w:p>
        </w:tc>
      </w:tr>
      <w:tr w:rsidR="00C47666" w14:paraId="479625BB" w14:textId="77777777" w:rsidTr="00D1192C">
        <w:trPr>
          <w:cantSplit/>
        </w:trPr>
        <w:tc>
          <w:tcPr>
            <w:tcW w:w="144" w:type="pct"/>
            <w:shd w:val="clear" w:color="auto" w:fill="FFFF00"/>
            <w:vAlign w:val="center"/>
          </w:tcPr>
          <w:p w14:paraId="70BEBA7B" w14:textId="77777777" w:rsidR="00C47666" w:rsidRPr="00056A19" w:rsidRDefault="00C47666" w:rsidP="00D1192C">
            <w:r>
              <w:t>S</w:t>
            </w:r>
          </w:p>
        </w:tc>
        <w:tc>
          <w:tcPr>
            <w:tcW w:w="2315" w:type="pct"/>
            <w:vAlign w:val="center"/>
          </w:tcPr>
          <w:p w14:paraId="6004E862" w14:textId="77777777" w:rsidR="00C47666" w:rsidRPr="00056A19" w:rsidRDefault="00C47666" w:rsidP="00D1192C">
            <w:r w:rsidRPr="00056A19">
              <w:t xml:space="preserve">Is there documentation directing use of mechanistic, mode of action, or key events in adverse outcome pathways in deriving health-based </w:t>
            </w:r>
            <w:r>
              <w:t>guidance</w:t>
            </w:r>
            <w:r w:rsidRPr="00056A19">
              <w:t xml:space="preserve"> values? </w:t>
            </w:r>
          </w:p>
        </w:tc>
        <w:tc>
          <w:tcPr>
            <w:tcW w:w="503" w:type="pct"/>
            <w:vAlign w:val="center"/>
          </w:tcPr>
          <w:p w14:paraId="3753E06D" w14:textId="77777777" w:rsidR="00C47666" w:rsidRPr="00056A19" w:rsidRDefault="00C47666" w:rsidP="00D1192C">
            <w:r>
              <w:t>Y</w:t>
            </w:r>
          </w:p>
        </w:tc>
        <w:tc>
          <w:tcPr>
            <w:tcW w:w="2038" w:type="pct"/>
          </w:tcPr>
          <w:p w14:paraId="27D593DC" w14:textId="77777777" w:rsidR="00C47666" w:rsidRPr="00056A19" w:rsidRDefault="00C47666" w:rsidP="00D1192C">
            <w:r w:rsidRPr="006416EF">
              <w:t xml:space="preserve">Yes. Section 3.5.1.3 (Mechanisms of toxicity) reviews four prevailing mechanistic theories for pyridoxine-induced neuropathy (drawing on Hadtstein &amp; Vrolijk 2021): inhibition of PLP-dependent enzymes; disruption of axonal transport; direct neuronal toxicity; vitamer imbalance. The Panel concludes 'Several proposed mechanisms have been put forward by which vitamin B6 may cause neurotoxicity, but the causal mechanisms are still unknown.' Mechanistic data inform plausibility but the RP is </w:t>
            </w:r>
            <w:r>
              <w:t>based</w:t>
            </w:r>
            <w:r w:rsidRPr="006416EF">
              <w:t xml:space="preserve"> on observed dose–response, consistent with EFSA Scientific Committee (2017a, 2017b) guidance.</w:t>
            </w:r>
          </w:p>
        </w:tc>
      </w:tr>
      <w:tr w:rsidR="00C47666" w14:paraId="3731534C" w14:textId="77777777" w:rsidTr="00D1192C">
        <w:trPr>
          <w:cantSplit/>
        </w:trPr>
        <w:tc>
          <w:tcPr>
            <w:tcW w:w="144" w:type="pct"/>
            <w:tcBorders>
              <w:bottom w:val="single" w:sz="4" w:space="0" w:color="auto"/>
            </w:tcBorders>
            <w:shd w:val="clear" w:color="auto" w:fill="92D050"/>
            <w:vAlign w:val="center"/>
          </w:tcPr>
          <w:p w14:paraId="6632435C" w14:textId="77777777" w:rsidR="00C47666" w:rsidRPr="00056A19" w:rsidRDefault="00C47666" w:rsidP="00D1192C">
            <w:r>
              <w:lastRenderedPageBreak/>
              <w:t>M</w:t>
            </w:r>
          </w:p>
        </w:tc>
        <w:tc>
          <w:tcPr>
            <w:tcW w:w="2315" w:type="pct"/>
            <w:tcBorders>
              <w:bottom w:val="single" w:sz="4" w:space="0" w:color="auto"/>
            </w:tcBorders>
            <w:vAlign w:val="center"/>
          </w:tcPr>
          <w:p w14:paraId="314F04C1" w14:textId="77777777" w:rsidR="00C47666" w:rsidRPr="00056A19" w:rsidRDefault="00C47666" w:rsidP="00D1192C">
            <w:r w:rsidRPr="00056A19">
              <w:t>What processes are used when expert judgement is required and applied? Is the process documented and published?</w:t>
            </w:r>
          </w:p>
        </w:tc>
        <w:tc>
          <w:tcPr>
            <w:tcW w:w="503" w:type="pct"/>
            <w:tcBorders>
              <w:bottom w:val="single" w:sz="4" w:space="0" w:color="auto"/>
            </w:tcBorders>
            <w:vAlign w:val="center"/>
          </w:tcPr>
          <w:p w14:paraId="3F761BE8" w14:textId="77777777" w:rsidR="00C47666" w:rsidRPr="00675263" w:rsidRDefault="00C47666" w:rsidP="00D1192C">
            <w:r w:rsidRPr="00675263">
              <w:t>Y</w:t>
            </w:r>
          </w:p>
        </w:tc>
        <w:tc>
          <w:tcPr>
            <w:tcW w:w="2038" w:type="pct"/>
            <w:tcBorders>
              <w:bottom w:val="single" w:sz="4" w:space="0" w:color="auto"/>
            </w:tcBorders>
          </w:tcPr>
          <w:p w14:paraId="31196B2C" w14:textId="77777777" w:rsidR="00C47666" w:rsidRPr="00675263" w:rsidRDefault="00C47666" w:rsidP="00D1192C">
            <w:r w:rsidRPr="00675263">
              <w:t>Yes. Expert judgement is applied through the EFSA NDA Panel and the Working Group on ULs, drawing on EFSA Scientific Committee (2017b) guidance on the use of weight of evidence. Both groups have named members with declared interests managed by EFSA. Expert judgement is applied at: (1) RoB rating (in duplicate with third-reviewer adjudication), (2) selection of the critical effect, (3) selection of the RP, (4) decomposition and selection of UFs, (5) extrapolation across age groups. Processes are documented in Section 2.2 and the protocol (Annex A</w:t>
            </w:r>
            <w:r>
              <w:t xml:space="preserve"> of EFSA 2023</w:t>
            </w:r>
            <w:r w:rsidRPr="00675263">
              <w:t>).</w:t>
            </w:r>
          </w:p>
        </w:tc>
      </w:tr>
      <w:tr w:rsidR="00C47666" w14:paraId="61843009" w14:textId="77777777" w:rsidTr="00D1192C">
        <w:trPr>
          <w:cantSplit/>
        </w:trPr>
        <w:tc>
          <w:tcPr>
            <w:tcW w:w="144" w:type="pct"/>
            <w:tcBorders>
              <w:top w:val="single" w:sz="4" w:space="0" w:color="auto"/>
              <w:bottom w:val="single" w:sz="4" w:space="0" w:color="auto"/>
            </w:tcBorders>
            <w:shd w:val="clear" w:color="auto" w:fill="8EAADB"/>
            <w:vAlign w:val="center"/>
          </w:tcPr>
          <w:p w14:paraId="7A555C0E" w14:textId="77777777" w:rsidR="00C47666" w:rsidRPr="00056A19" w:rsidRDefault="00C47666" w:rsidP="00D1192C">
            <w:r>
              <w:t>-</w:t>
            </w:r>
          </w:p>
        </w:tc>
        <w:tc>
          <w:tcPr>
            <w:tcW w:w="2315" w:type="pct"/>
            <w:tcBorders>
              <w:top w:val="single" w:sz="4" w:space="0" w:color="auto"/>
              <w:bottom w:val="single" w:sz="4" w:space="0" w:color="auto"/>
            </w:tcBorders>
            <w:vAlign w:val="center"/>
          </w:tcPr>
          <w:p w14:paraId="37B96FEF" w14:textId="77777777" w:rsidR="00C47666" w:rsidRPr="00056A19" w:rsidRDefault="00C47666" w:rsidP="00D1192C">
            <w:r w:rsidRPr="00056A19">
              <w:t>Is dose response modelling (e.g. BMDL) routinely used?</w:t>
            </w:r>
          </w:p>
        </w:tc>
        <w:tc>
          <w:tcPr>
            <w:tcW w:w="503" w:type="pct"/>
            <w:tcBorders>
              <w:top w:val="single" w:sz="4" w:space="0" w:color="auto"/>
              <w:bottom w:val="single" w:sz="4" w:space="0" w:color="auto"/>
            </w:tcBorders>
            <w:vAlign w:val="center"/>
          </w:tcPr>
          <w:p w14:paraId="6007FE90" w14:textId="77777777" w:rsidR="00C47666" w:rsidRPr="00056A19" w:rsidRDefault="00C47666" w:rsidP="00D1192C">
            <w:r>
              <w:t>N</w:t>
            </w:r>
          </w:p>
        </w:tc>
        <w:tc>
          <w:tcPr>
            <w:tcW w:w="2038" w:type="pct"/>
            <w:tcBorders>
              <w:top w:val="single" w:sz="4" w:space="0" w:color="auto"/>
              <w:bottom w:val="single" w:sz="4" w:space="0" w:color="auto"/>
            </w:tcBorders>
          </w:tcPr>
          <w:p w14:paraId="2DBDB2E1" w14:textId="77777777" w:rsidR="00C47666" w:rsidRPr="00056A19" w:rsidRDefault="00C47666" w:rsidP="00D1192C">
            <w:r w:rsidRPr="00AC3C4C">
              <w:t>BMD modelling was not feasible due to data limitations (case reports and one case–control study with broad dose categories), not a methodological gap.</w:t>
            </w:r>
          </w:p>
        </w:tc>
      </w:tr>
      <w:tr w:rsidR="00C47666" w14:paraId="459B8D6E" w14:textId="77777777" w:rsidTr="00D1192C">
        <w:trPr>
          <w:cantSplit/>
        </w:trPr>
        <w:tc>
          <w:tcPr>
            <w:tcW w:w="144" w:type="pct"/>
            <w:tcBorders>
              <w:top w:val="single" w:sz="4" w:space="0" w:color="auto"/>
            </w:tcBorders>
            <w:shd w:val="clear" w:color="auto" w:fill="92D050"/>
            <w:vAlign w:val="center"/>
          </w:tcPr>
          <w:p w14:paraId="2733C25B" w14:textId="77777777" w:rsidR="00C47666" w:rsidRPr="00056A19" w:rsidRDefault="00C47666" w:rsidP="00D1192C">
            <w:r>
              <w:t>M</w:t>
            </w:r>
          </w:p>
        </w:tc>
        <w:tc>
          <w:tcPr>
            <w:tcW w:w="2315" w:type="pct"/>
            <w:tcBorders>
              <w:top w:val="single" w:sz="4" w:space="0" w:color="auto"/>
            </w:tcBorders>
            <w:vAlign w:val="center"/>
          </w:tcPr>
          <w:p w14:paraId="07B3E4EB" w14:textId="77777777" w:rsidR="00C47666" w:rsidRPr="00056A19" w:rsidRDefault="00C47666" w:rsidP="00D1192C">
            <w:r w:rsidRPr="00056A19">
              <w:t>What is the organisation’s policy for dealing with substances for which a non-threshold mode of action may be applicable in humans? Has the policy been articulated and recorded?</w:t>
            </w:r>
          </w:p>
        </w:tc>
        <w:tc>
          <w:tcPr>
            <w:tcW w:w="503" w:type="pct"/>
            <w:tcBorders>
              <w:top w:val="single" w:sz="4" w:space="0" w:color="auto"/>
            </w:tcBorders>
            <w:vAlign w:val="center"/>
          </w:tcPr>
          <w:p w14:paraId="1B61C644" w14:textId="77777777" w:rsidR="00C47666" w:rsidRPr="00056A19" w:rsidRDefault="00C47666" w:rsidP="00D1192C">
            <w:r>
              <w:t>NA</w:t>
            </w:r>
          </w:p>
        </w:tc>
        <w:tc>
          <w:tcPr>
            <w:tcW w:w="2038" w:type="pct"/>
            <w:tcBorders>
              <w:top w:val="single" w:sz="4" w:space="0" w:color="auto"/>
            </w:tcBorders>
          </w:tcPr>
          <w:p w14:paraId="10FFEFB4" w14:textId="77777777" w:rsidR="00C47666" w:rsidRPr="00056A19" w:rsidRDefault="00C47666" w:rsidP="00D1192C">
            <w:r w:rsidRPr="005563E1">
              <w:t xml:space="preserve">Not applicable to this assessment. Vitamin B6 has an essential nutrient role with a clear threshold mode of action for neurotoxicity (peripheral neuropathy at high supplemental doses). </w:t>
            </w:r>
          </w:p>
        </w:tc>
      </w:tr>
      <w:tr w:rsidR="00C47666" w14:paraId="53F95F3F" w14:textId="77777777" w:rsidTr="00D1192C">
        <w:trPr>
          <w:cantSplit/>
        </w:trPr>
        <w:tc>
          <w:tcPr>
            <w:tcW w:w="144" w:type="pct"/>
            <w:shd w:val="clear" w:color="auto" w:fill="92D050"/>
            <w:vAlign w:val="center"/>
          </w:tcPr>
          <w:p w14:paraId="7B8D81E9" w14:textId="77777777" w:rsidR="00C47666" w:rsidRPr="00056A19" w:rsidRDefault="00C47666" w:rsidP="00D1192C">
            <w:r>
              <w:t>M</w:t>
            </w:r>
          </w:p>
        </w:tc>
        <w:tc>
          <w:tcPr>
            <w:tcW w:w="2315" w:type="pct"/>
            <w:vAlign w:val="center"/>
          </w:tcPr>
          <w:p w14:paraId="7EBDB663" w14:textId="77777777" w:rsidR="00C47666" w:rsidRPr="00056A19" w:rsidRDefault="00C47666" w:rsidP="00D1192C">
            <w:r w:rsidRPr="00056A19">
              <w:t xml:space="preserve">If applicable: For carcinogens, what is the level of cancer risk used by the organisation to set the health-based </w:t>
            </w:r>
            <w:r>
              <w:t>guidance</w:t>
            </w:r>
            <w:r w:rsidRPr="00056A19">
              <w:t xml:space="preserve"> value?</w:t>
            </w:r>
          </w:p>
        </w:tc>
        <w:tc>
          <w:tcPr>
            <w:tcW w:w="503" w:type="pct"/>
            <w:vAlign w:val="center"/>
          </w:tcPr>
          <w:p w14:paraId="4F0ADFC9" w14:textId="77777777" w:rsidR="00C47666" w:rsidRPr="00056A19" w:rsidRDefault="00C47666" w:rsidP="00D1192C">
            <w:r>
              <w:t>NA</w:t>
            </w:r>
          </w:p>
        </w:tc>
        <w:tc>
          <w:tcPr>
            <w:tcW w:w="2038" w:type="pct"/>
          </w:tcPr>
          <w:p w14:paraId="6F380A8B" w14:textId="77777777" w:rsidR="00C47666" w:rsidRPr="00056A19" w:rsidRDefault="00C47666" w:rsidP="00D1192C">
            <w:r w:rsidRPr="005563E1">
              <w:t>Not applicable. Vitamin B6 is not a carcinogen.</w:t>
            </w:r>
          </w:p>
        </w:tc>
      </w:tr>
      <w:tr w:rsidR="00C47666" w14:paraId="730DA544" w14:textId="77777777" w:rsidTr="00D1192C">
        <w:trPr>
          <w:cantSplit/>
        </w:trPr>
        <w:tc>
          <w:tcPr>
            <w:tcW w:w="144" w:type="pct"/>
            <w:shd w:val="clear" w:color="auto" w:fill="92D050"/>
            <w:vAlign w:val="center"/>
          </w:tcPr>
          <w:p w14:paraId="20C7CB55" w14:textId="77777777" w:rsidR="00C47666" w:rsidRPr="00056A19" w:rsidRDefault="00C47666" w:rsidP="00D1192C">
            <w:r>
              <w:lastRenderedPageBreak/>
              <w:t>M</w:t>
            </w:r>
          </w:p>
        </w:tc>
        <w:tc>
          <w:tcPr>
            <w:tcW w:w="2315" w:type="pct"/>
            <w:vAlign w:val="center"/>
          </w:tcPr>
          <w:p w14:paraId="2BD02E62" w14:textId="77777777" w:rsidR="00C47666" w:rsidRDefault="00C47666" w:rsidP="00D1192C">
            <w:r>
              <w:t>Is justification provided for any clinical/chronic endpoints selected as indicators/outcomes?</w:t>
            </w:r>
          </w:p>
          <w:p w14:paraId="6C902969" w14:textId="77777777" w:rsidR="00C47666" w:rsidRPr="00056A19" w:rsidRDefault="00C47666" w:rsidP="00D1192C">
            <w:r>
              <w:t>(Details of endpoints to be provided in a supplementary table.)</w:t>
            </w:r>
          </w:p>
        </w:tc>
        <w:tc>
          <w:tcPr>
            <w:tcW w:w="503" w:type="pct"/>
            <w:vAlign w:val="center"/>
          </w:tcPr>
          <w:p w14:paraId="719189BE" w14:textId="77777777" w:rsidR="00C47666" w:rsidRPr="00056A19" w:rsidRDefault="00C47666" w:rsidP="00D1192C">
            <w:r>
              <w:t>Y</w:t>
            </w:r>
          </w:p>
        </w:tc>
        <w:tc>
          <w:tcPr>
            <w:tcW w:w="2038" w:type="pct"/>
          </w:tcPr>
          <w:p w14:paraId="775E2DBD" w14:textId="77777777" w:rsidR="00C47666" w:rsidRPr="00056A19" w:rsidRDefault="00C47666" w:rsidP="00D1192C">
            <w:r w:rsidRPr="00F55A7E">
              <w:t>Yes. Peripheral neuropathy (sensory neuropathy, paraesthesia and related neurological signs/symptoms) is selected as the critical chronic endpoint with extensive justification in Section 3.5.1 (24 pages of evidence appraisal across human and animal studies and mechanisms). The decision rests on: causal plausibility (mechanistic theories), consistent observation across human case reports, case series and case–control evidence (Dalton &amp; Dalton 1987), reproducibility in animal studies (Phillips et al. 1978 Beagle dogs; multiple rodent studies), and pharmacovigilance signals from Member States. Other endpoints (developmental toxicity, photosensitisation, hip fracture, impaired memorisation, anti-lactogenic effect, testicular toxicity) were systematically considered and rejected as bases for the UL with documented reasoning (Section 3.5.2 and 3.5.3).</w:t>
            </w:r>
          </w:p>
        </w:tc>
      </w:tr>
      <w:tr w:rsidR="00C47666" w14:paraId="6CCEBDB6" w14:textId="77777777" w:rsidTr="00D1192C">
        <w:trPr>
          <w:cantSplit/>
        </w:trPr>
        <w:tc>
          <w:tcPr>
            <w:tcW w:w="144" w:type="pct"/>
            <w:shd w:val="clear" w:color="auto" w:fill="92D050"/>
            <w:vAlign w:val="center"/>
          </w:tcPr>
          <w:p w14:paraId="6D8A1A69" w14:textId="77777777" w:rsidR="00C47666" w:rsidRPr="00056A19" w:rsidRDefault="00C47666" w:rsidP="00D1192C">
            <w:r>
              <w:t>M</w:t>
            </w:r>
          </w:p>
        </w:tc>
        <w:tc>
          <w:tcPr>
            <w:tcW w:w="2315" w:type="pct"/>
            <w:vAlign w:val="center"/>
          </w:tcPr>
          <w:p w14:paraId="66241FF5" w14:textId="77777777" w:rsidR="00C47666" w:rsidRDefault="00C47666" w:rsidP="00D1192C">
            <w:r>
              <w:t>Is justification provided for the value selected for the reference point^? (including mechanistic evidence, health outcome data, key events, balance studies)</w:t>
            </w:r>
          </w:p>
          <w:p w14:paraId="12EAF6EA" w14:textId="77777777" w:rsidR="00C47666" w:rsidRDefault="00C47666" w:rsidP="00D1192C">
            <w:r>
              <w:t>^ reference point is usually the baseline value to which any scaling and uncertainty factors are applied.</w:t>
            </w:r>
          </w:p>
        </w:tc>
        <w:tc>
          <w:tcPr>
            <w:tcW w:w="503" w:type="pct"/>
            <w:vAlign w:val="center"/>
          </w:tcPr>
          <w:p w14:paraId="5B0F1A9D" w14:textId="77777777" w:rsidR="00C47666" w:rsidRPr="00056A19" w:rsidRDefault="00C47666" w:rsidP="00D1192C">
            <w:r>
              <w:t>Y</w:t>
            </w:r>
          </w:p>
        </w:tc>
        <w:tc>
          <w:tcPr>
            <w:tcW w:w="2038" w:type="pct"/>
          </w:tcPr>
          <w:p w14:paraId="6D7CEE4C" w14:textId="77777777" w:rsidR="00C47666" w:rsidRPr="00056A19" w:rsidRDefault="00C47666" w:rsidP="00D1192C">
            <w:r w:rsidRPr="00F55A7E">
              <w:t>Yes. The 50 mg/day human RP is derived from Dalton &amp; Dalton (1987): 'neuropathy was reported in 48% of all women having taken vitamin B6 supplements &lt;50</w:t>
            </w:r>
            <w:r>
              <w:t> </w:t>
            </w:r>
            <w:r w:rsidRPr="00F55A7E">
              <w:t>mg/day for at least 6 months (i.e. the lowest dose group)'. The Panel notes this is supported by case reports (Dalton 1985; Dalton &amp; Dalton 1987; Blackburn &amp; Warren 2017) and Member States' vigilance data. The RP is identified as the lowest dose at which neuropathy is associated with certainty when consumed &gt;6 months. The 50 mg/kg bw/day animal LOAEL from Phillips et al. (1978) is justified by the observation in 5/5 Beagle dogs of bilateral myelin loss in dorsal sensory nerve roots after ~100 days; mechanistic plausibility is provided in Section 3.5.1.3.</w:t>
            </w:r>
          </w:p>
        </w:tc>
      </w:tr>
      <w:tr w:rsidR="00C47666" w14:paraId="014AC201" w14:textId="77777777" w:rsidTr="00D1192C">
        <w:trPr>
          <w:cantSplit/>
        </w:trPr>
        <w:tc>
          <w:tcPr>
            <w:tcW w:w="144" w:type="pct"/>
            <w:shd w:val="clear" w:color="auto" w:fill="92D050"/>
            <w:vAlign w:val="center"/>
          </w:tcPr>
          <w:p w14:paraId="5250E2BB" w14:textId="77777777" w:rsidR="00C47666" w:rsidRPr="00056A19" w:rsidRDefault="00C47666" w:rsidP="00D1192C">
            <w:r>
              <w:lastRenderedPageBreak/>
              <w:t>M</w:t>
            </w:r>
          </w:p>
        </w:tc>
        <w:tc>
          <w:tcPr>
            <w:tcW w:w="2315" w:type="pct"/>
            <w:vAlign w:val="center"/>
          </w:tcPr>
          <w:p w14:paraId="04170444" w14:textId="77777777" w:rsidR="00C47666" w:rsidRDefault="00C47666" w:rsidP="00D1192C">
            <w:r>
              <w:t xml:space="preserve">Is the population group generalisable to the Australian and New Zealand population? </w:t>
            </w:r>
          </w:p>
          <w:p w14:paraId="020B6080" w14:textId="77777777" w:rsidR="00C47666" w:rsidRPr="00E34F09" w:rsidRDefault="00C47666" w:rsidP="00F84245">
            <w:pPr>
              <w:pStyle w:val="ListParagraph"/>
              <w:numPr>
                <w:ilvl w:val="0"/>
                <w:numId w:val="19"/>
              </w:numPr>
              <w:contextualSpacing w:val="0"/>
            </w:pPr>
            <w:r w:rsidRPr="00E34F09">
              <w:t>Where are the underlying studies from?</w:t>
            </w:r>
          </w:p>
        </w:tc>
        <w:tc>
          <w:tcPr>
            <w:tcW w:w="503" w:type="pct"/>
            <w:vAlign w:val="center"/>
          </w:tcPr>
          <w:p w14:paraId="0981C008" w14:textId="77777777" w:rsidR="00C47666" w:rsidRPr="00056A19" w:rsidRDefault="00C47666" w:rsidP="00D1192C">
            <w:r>
              <w:t>Y</w:t>
            </w:r>
          </w:p>
        </w:tc>
        <w:tc>
          <w:tcPr>
            <w:tcW w:w="2038" w:type="pct"/>
          </w:tcPr>
          <w:p w14:paraId="51B0A8DB" w14:textId="77777777" w:rsidR="00C47666" w:rsidRPr="00056A19" w:rsidRDefault="00C47666" w:rsidP="00D1192C">
            <w:r w:rsidRPr="00F55A7E">
              <w:t>Yes, broadly generalisable. The Dalton &amp; Dalton (1987) study population was women in the United Kingdom attending a clinic for premenstrual syndrome treatment (genetically and dietetically comparable to AU/NZ populations). Case reports underpinning the supportive evidence are from a mix of European, US and Commonwealth settings (e.g. Schaumburg et al. US; Berger &amp; Schaumburg US; Waterston &amp; Gilligan; Friedman et al. US). Member States' vigilance data are EU-based but the underlying biological response is unlikely to differ between European and Australasian populations. The Phillips et al. (1978) Beagle dog study is interspecies-extrapolated, removing population-of-origin concerns. The Panel notes (Section 3.6.2.1) no indication that men would be more susceptible than women. Direct AU/NZ relevance is high.</w:t>
            </w:r>
          </w:p>
        </w:tc>
      </w:tr>
      <w:tr w:rsidR="00C47666" w14:paraId="618A2649" w14:textId="77777777" w:rsidTr="00D1192C">
        <w:trPr>
          <w:cantSplit/>
        </w:trPr>
        <w:tc>
          <w:tcPr>
            <w:tcW w:w="144" w:type="pct"/>
            <w:shd w:val="clear" w:color="auto" w:fill="92D050"/>
            <w:vAlign w:val="center"/>
          </w:tcPr>
          <w:p w14:paraId="2C014C7F" w14:textId="77777777" w:rsidR="00C47666" w:rsidRPr="00056A19" w:rsidRDefault="00C47666" w:rsidP="00D1192C">
            <w:r>
              <w:t>M</w:t>
            </w:r>
          </w:p>
        </w:tc>
        <w:tc>
          <w:tcPr>
            <w:tcW w:w="2315" w:type="pct"/>
            <w:vAlign w:val="center"/>
          </w:tcPr>
          <w:p w14:paraId="48E07D74" w14:textId="77777777" w:rsidR="00C47666" w:rsidRDefault="00C47666" w:rsidP="00D1192C">
            <w:r w:rsidRPr="00E34F09">
              <w:t>If scaling was applied – was the method described, along with an appropriate rationale for the chosen method?</w:t>
            </w:r>
          </w:p>
          <w:p w14:paraId="67399DE6" w14:textId="77777777" w:rsidR="00C47666" w:rsidRPr="00E34F09" w:rsidRDefault="00C47666" w:rsidP="00F84245">
            <w:pPr>
              <w:pStyle w:val="ListParagraph"/>
              <w:numPr>
                <w:ilvl w:val="0"/>
                <w:numId w:val="19"/>
              </w:numPr>
              <w:contextualSpacing w:val="0"/>
            </w:pPr>
            <w:r w:rsidRPr="00E34F09">
              <w:t>Is the method used appropriate for Australian and New Zealand populations?</w:t>
            </w:r>
          </w:p>
        </w:tc>
        <w:tc>
          <w:tcPr>
            <w:tcW w:w="503" w:type="pct"/>
            <w:vAlign w:val="center"/>
          </w:tcPr>
          <w:p w14:paraId="286B5F1E" w14:textId="77777777" w:rsidR="00C47666" w:rsidRPr="00056A19" w:rsidRDefault="00C47666" w:rsidP="00D1192C">
            <w:r>
              <w:t>Y</w:t>
            </w:r>
          </w:p>
        </w:tc>
        <w:tc>
          <w:tcPr>
            <w:tcW w:w="2038" w:type="pct"/>
          </w:tcPr>
          <w:p w14:paraId="3A2CBE37" w14:textId="77777777" w:rsidR="00C47666" w:rsidRPr="00056A19" w:rsidRDefault="00C47666" w:rsidP="00D1192C">
            <w:r w:rsidRPr="00DC628B">
              <w:t xml:space="preserve">Yes. Allometric scaling </w:t>
            </w:r>
            <w:r>
              <w:t>was</w:t>
            </w:r>
            <w:r w:rsidRPr="00DC628B">
              <w:t xml:space="preserve"> applied for: (1) interspecies extrapolation from dog to human (implicit in the UF of 2 for interspecies toxicokinetics), and (2) extrapolation from adult UL to child and infant ULs. Method is internationally accepted and equally appropriate for AU/NZ populations as for European populations.</w:t>
            </w:r>
          </w:p>
        </w:tc>
      </w:tr>
      <w:tr w:rsidR="00C47666" w14:paraId="23FF50D9" w14:textId="77777777" w:rsidTr="00D1192C">
        <w:trPr>
          <w:cantSplit/>
        </w:trPr>
        <w:tc>
          <w:tcPr>
            <w:tcW w:w="144" w:type="pct"/>
            <w:tcBorders>
              <w:bottom w:val="single" w:sz="12" w:space="0" w:color="auto"/>
            </w:tcBorders>
            <w:shd w:val="clear" w:color="auto" w:fill="FFFF00"/>
            <w:vAlign w:val="center"/>
          </w:tcPr>
          <w:p w14:paraId="0BEBA45A" w14:textId="77777777" w:rsidR="00C47666" w:rsidRPr="00056A19" w:rsidRDefault="00C47666" w:rsidP="00D1192C">
            <w:r>
              <w:lastRenderedPageBreak/>
              <w:t>S</w:t>
            </w:r>
          </w:p>
        </w:tc>
        <w:tc>
          <w:tcPr>
            <w:tcW w:w="2315" w:type="pct"/>
            <w:tcBorders>
              <w:bottom w:val="single" w:sz="12" w:space="0" w:color="auto"/>
            </w:tcBorders>
            <w:vAlign w:val="center"/>
          </w:tcPr>
          <w:p w14:paraId="6A0CBE66" w14:textId="77777777" w:rsidR="00C47666" w:rsidRPr="00E34F09" w:rsidRDefault="00C47666" w:rsidP="00D1192C">
            <w:r>
              <w:t>Is</w:t>
            </w:r>
            <w:r w:rsidRPr="00E34F09">
              <w:t xml:space="preserve"> the Australian and New Zealand context (e.g. food system, dietary patterns, intakes, status) </w:t>
            </w:r>
            <w:r>
              <w:t>compatible</w:t>
            </w:r>
            <w:r w:rsidRPr="00E34F09">
              <w:t xml:space="preserve"> with the jurisdiction in which the NRV under consideration was developed?</w:t>
            </w:r>
          </w:p>
        </w:tc>
        <w:tc>
          <w:tcPr>
            <w:tcW w:w="503" w:type="pct"/>
            <w:tcBorders>
              <w:bottom w:val="single" w:sz="12" w:space="0" w:color="auto"/>
            </w:tcBorders>
            <w:vAlign w:val="center"/>
          </w:tcPr>
          <w:p w14:paraId="05F1479E" w14:textId="77777777" w:rsidR="00C47666" w:rsidRPr="00056A19" w:rsidRDefault="00C47666" w:rsidP="00D1192C">
            <w:r>
              <w:t>P</w:t>
            </w:r>
          </w:p>
        </w:tc>
        <w:tc>
          <w:tcPr>
            <w:tcW w:w="2038" w:type="pct"/>
            <w:tcBorders>
              <w:bottom w:val="single" w:sz="12" w:space="0" w:color="auto"/>
            </w:tcBorders>
          </w:tcPr>
          <w:p w14:paraId="145535D8" w14:textId="77777777" w:rsidR="00C47666" w:rsidRPr="00056A19" w:rsidRDefault="00C47666" w:rsidP="00D1192C">
            <w:r w:rsidRPr="00DC628B">
              <w:t xml:space="preserve">Partially. The intake assessment (Section 3.4) is specifically based on EU food consumption data and the EU food composition database, with EU-specific fortification practices and supplement market characterisation via Mintel GNPD (limited to ~25 EU Member States and Norway). The hazard characterisation (which underpins the UL itself) is largely population-independent given the use of allometric scaling and species-shared mechanisms. However, the intake portion may not </w:t>
            </w:r>
            <w:r>
              <w:t xml:space="preserve">be </w:t>
            </w:r>
            <w:r w:rsidRPr="00DC628B">
              <w:t>directly transfer</w:t>
            </w:r>
            <w:r>
              <w:t>rable</w:t>
            </w:r>
            <w:r w:rsidRPr="00DC628B">
              <w:t xml:space="preserve"> to AU/NZ — Australian and New Zealand fortification practices, supplement market and dietary patterns differ from the EU. The UL value (12 mg/day) is portable; the comparison to typical intakes would need to be re-done with Australian Bureau of Statistics nutrition survey data and FSANZ NUTTAB / AUSNUT data for AU/NZ application.</w:t>
            </w:r>
          </w:p>
        </w:tc>
      </w:tr>
    </w:tbl>
    <w:p w14:paraId="57ED6D8A" w14:textId="77777777" w:rsidR="00C47666" w:rsidRDefault="00C47666" w:rsidP="00C47666"/>
    <w:p w14:paraId="23F6E28F" w14:textId="76B45C40" w:rsidR="00C47666" w:rsidRDefault="00C47666" w:rsidP="00C47666">
      <w:pPr>
        <w:pStyle w:val="Heading9"/>
      </w:pPr>
      <w:bookmarkStart w:id="64" w:name="_Toc233022885"/>
      <w:r>
        <w:t>Credibility assessment</w:t>
      </w:r>
      <w:r w:rsidR="00DD720F">
        <w:t xml:space="preserve"> – EFSA 2023</w:t>
      </w:r>
      <w:bookmarkEnd w:id="64"/>
      <w:r>
        <w:t xml:space="preserve"> </w:t>
      </w:r>
    </w:p>
    <w:p w14:paraId="08480BB6" w14:textId="77777777" w:rsidR="00C47666" w:rsidRDefault="00C47666" w:rsidP="00C47666">
      <w:pPr>
        <w:pStyle w:val="BodyText"/>
      </w:pPr>
      <w:r>
        <w:t>This assessment evaluates the methodological credibility and transparency of the EFSA Panel (2023) scientific opinion against the criteria set out in Appendix B of the NHMRC vitamin B6 UL research protocol. Where EFSA meets at least 80% of the combined 'must-have' and 'should-have' criteria, its findings (study selection, risk-of-bias assessments, evidence synthesis and the underlying point of departure) may be relied upon verbatim by the review team, with effort directed instead to synthesising new evidence published since EFSA's literature search cutoff date and integrating that new evidence with EFSA's findings.</w:t>
      </w:r>
    </w:p>
    <w:p w14:paraId="22D00C32" w14:textId="3DC29373" w:rsidR="00C47666" w:rsidRDefault="00C47666" w:rsidP="00C47666">
      <w:pPr>
        <w:pStyle w:val="BodyText"/>
      </w:pPr>
      <w:r>
        <w:t>The EFSA Panel (2023) opinion meets 21 of the 22 applicable 'must-have' criteria (with 1 partially met and 0 not met) and 5 of the 10 applicable 'should-have' criteria (with 5 partially met) (</w:t>
      </w:r>
      <w:r w:rsidRPr="00C47666">
        <w:rPr>
          <w:b/>
          <w:bCs/>
        </w:rPr>
        <w:t xml:space="preserve">Section </w:t>
      </w:r>
      <w:r w:rsidRPr="00C47666">
        <w:rPr>
          <w:b/>
          <w:bCs/>
        </w:rPr>
        <w:fldChar w:fldCharType="begin"/>
      </w:r>
      <w:r w:rsidRPr="00C47666">
        <w:rPr>
          <w:b/>
          <w:bCs/>
        </w:rPr>
        <w:instrText xml:space="preserve"> REF _Ref231918616 \r \h </w:instrText>
      </w:r>
      <w:r>
        <w:rPr>
          <w:b/>
          <w:bCs/>
        </w:rPr>
        <w:instrText xml:space="preserve"> \* MERGEFORMAT </w:instrText>
      </w:r>
      <w:r w:rsidRPr="00C47666">
        <w:rPr>
          <w:b/>
          <w:bCs/>
        </w:rPr>
      </w:r>
      <w:r w:rsidRPr="00C47666">
        <w:rPr>
          <w:b/>
          <w:bCs/>
        </w:rPr>
        <w:fldChar w:fldCharType="separate"/>
      </w:r>
      <w:r w:rsidR="00A41FEF">
        <w:rPr>
          <w:b/>
          <w:bCs/>
        </w:rPr>
        <w:t>C.1.1</w:t>
      </w:r>
      <w:r w:rsidRPr="00C47666">
        <w:rPr>
          <w:b/>
          <w:bCs/>
        </w:rPr>
        <w:fldChar w:fldCharType="end"/>
      </w:r>
      <w:r>
        <w:t>). Combined, this gives a weighted score of 93.8% across applicable Must + Should Have items, which is above the 80% threshold defined in the NHMRC research protocol. The credibility threshold is therefore met, and the EFSA data extractions, RoB ratings, selection of the critical effect, reference point and uncertainty factors may be relied upon verbatim.</w:t>
      </w:r>
    </w:p>
    <w:p w14:paraId="3E518EDA" w14:textId="77777777" w:rsidR="00C47666" w:rsidRDefault="00C47666" w:rsidP="00C47666">
      <w:pPr>
        <w:pStyle w:val="BodyText"/>
      </w:pPr>
    </w:p>
    <w:p w14:paraId="58ADA327" w14:textId="011C861C" w:rsidR="00C47666" w:rsidRPr="00C47666" w:rsidRDefault="00C47666" w:rsidP="00C47666">
      <w:pPr>
        <w:pStyle w:val="BodyText"/>
        <w:rPr>
          <w:b/>
          <w:bCs/>
        </w:rPr>
      </w:pPr>
      <w:r w:rsidRPr="00C47666">
        <w:rPr>
          <w:b/>
          <w:bCs/>
        </w:rPr>
        <w:t>Summary of Credibility Assessment for EFSA Panel 2023</w:t>
      </w:r>
    </w:p>
    <w:tbl>
      <w:tblPr>
        <w:tblStyle w:val="SLROption2"/>
        <w:tblW w:w="5000" w:type="pct"/>
        <w:tblLook w:val="04A0" w:firstRow="1" w:lastRow="0" w:firstColumn="1" w:lastColumn="0" w:noHBand="0" w:noVBand="1"/>
      </w:tblPr>
      <w:tblGrid>
        <w:gridCol w:w="3908"/>
        <w:gridCol w:w="1434"/>
        <w:gridCol w:w="1723"/>
        <w:gridCol w:w="1433"/>
        <w:gridCol w:w="1439"/>
        <w:gridCol w:w="1439"/>
        <w:gridCol w:w="2568"/>
      </w:tblGrid>
      <w:tr w:rsidR="00C47666" w:rsidRPr="00E84602" w14:paraId="7316A4BE" w14:textId="77777777" w:rsidTr="00C47666">
        <w:trPr>
          <w:cnfStyle w:val="100000000000" w:firstRow="1" w:lastRow="0" w:firstColumn="0" w:lastColumn="0" w:oddVBand="0" w:evenVBand="0" w:oddHBand="0" w:evenHBand="0" w:firstRowFirstColumn="0" w:firstRowLastColumn="0" w:lastRowFirstColumn="0" w:lastRowLastColumn="0"/>
        </w:trPr>
        <w:tc>
          <w:tcPr>
            <w:tcW w:w="1401" w:type="pct"/>
          </w:tcPr>
          <w:p w14:paraId="6096C0F4"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b/>
                <w:bCs/>
                <w:color w:val="FFFFFF"/>
                <w:sz w:val="20"/>
              </w:rPr>
              <w:t>Criterion category</w:t>
            </w:r>
          </w:p>
        </w:tc>
        <w:tc>
          <w:tcPr>
            <w:tcW w:w="514" w:type="pct"/>
          </w:tcPr>
          <w:p w14:paraId="12752DA1"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b/>
                <w:bCs/>
                <w:color w:val="FFFFFF"/>
                <w:sz w:val="20"/>
              </w:rPr>
              <w:t>Total</w:t>
            </w:r>
          </w:p>
        </w:tc>
        <w:tc>
          <w:tcPr>
            <w:tcW w:w="618" w:type="pct"/>
          </w:tcPr>
          <w:p w14:paraId="34643CED"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b/>
                <w:bCs/>
                <w:color w:val="FFFFFF"/>
                <w:sz w:val="20"/>
              </w:rPr>
              <w:t>Applicable</w:t>
            </w:r>
          </w:p>
        </w:tc>
        <w:tc>
          <w:tcPr>
            <w:tcW w:w="514" w:type="pct"/>
          </w:tcPr>
          <w:p w14:paraId="048215DC"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b/>
                <w:bCs/>
                <w:color w:val="FFFFFF"/>
                <w:sz w:val="20"/>
              </w:rPr>
              <w:t>Met (Y)</w:t>
            </w:r>
          </w:p>
        </w:tc>
        <w:tc>
          <w:tcPr>
            <w:tcW w:w="516" w:type="pct"/>
          </w:tcPr>
          <w:p w14:paraId="0D8D5086"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b/>
                <w:bCs/>
                <w:color w:val="FFFFFF"/>
                <w:sz w:val="20"/>
              </w:rPr>
              <w:t>Partial (P)</w:t>
            </w:r>
          </w:p>
        </w:tc>
        <w:tc>
          <w:tcPr>
            <w:tcW w:w="516" w:type="pct"/>
          </w:tcPr>
          <w:p w14:paraId="0156CF9E"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b/>
                <w:bCs/>
                <w:color w:val="FFFFFF"/>
                <w:sz w:val="20"/>
              </w:rPr>
              <w:t>Not met (N)</w:t>
            </w:r>
          </w:p>
        </w:tc>
        <w:tc>
          <w:tcPr>
            <w:tcW w:w="920" w:type="pct"/>
          </w:tcPr>
          <w:p w14:paraId="7A6796F1"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b/>
                <w:bCs/>
                <w:color w:val="FFFFFF"/>
                <w:sz w:val="20"/>
              </w:rPr>
              <w:t>Weighted score (%)</w:t>
            </w:r>
            <w:r w:rsidRPr="00727D8A">
              <w:rPr>
                <w:rFonts w:asciiTheme="minorHAnsi" w:eastAsia="Calibri" w:hAnsiTheme="minorHAnsi" w:cstheme="minorHAnsi"/>
                <w:b/>
                <w:bCs/>
                <w:color w:val="FFFFFF"/>
                <w:sz w:val="20"/>
                <w:vertAlign w:val="superscript"/>
              </w:rPr>
              <w:t>(1)</w:t>
            </w:r>
          </w:p>
        </w:tc>
      </w:tr>
      <w:tr w:rsidR="00C47666" w:rsidRPr="00E84602" w14:paraId="44310BFB" w14:textId="77777777" w:rsidTr="00C47666">
        <w:tc>
          <w:tcPr>
            <w:tcW w:w="1401" w:type="pct"/>
            <w:shd w:val="clear" w:color="auto" w:fill="92D050"/>
          </w:tcPr>
          <w:p w14:paraId="46BB08E1"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b/>
                <w:bCs/>
                <w:sz w:val="20"/>
              </w:rPr>
              <w:t>Must-have (M)</w:t>
            </w:r>
          </w:p>
        </w:tc>
        <w:tc>
          <w:tcPr>
            <w:tcW w:w="514" w:type="pct"/>
          </w:tcPr>
          <w:p w14:paraId="10508352"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sz w:val="20"/>
              </w:rPr>
              <w:t>25</w:t>
            </w:r>
          </w:p>
        </w:tc>
        <w:tc>
          <w:tcPr>
            <w:tcW w:w="618" w:type="pct"/>
          </w:tcPr>
          <w:p w14:paraId="7BCAA39F"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sz w:val="20"/>
              </w:rPr>
              <w:t>22</w:t>
            </w:r>
          </w:p>
        </w:tc>
        <w:tc>
          <w:tcPr>
            <w:tcW w:w="514" w:type="pct"/>
          </w:tcPr>
          <w:p w14:paraId="27F40BDD"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sz w:val="20"/>
              </w:rPr>
              <w:t>21</w:t>
            </w:r>
          </w:p>
        </w:tc>
        <w:tc>
          <w:tcPr>
            <w:tcW w:w="516" w:type="pct"/>
          </w:tcPr>
          <w:p w14:paraId="5877F5ED"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sz w:val="20"/>
              </w:rPr>
              <w:t>1</w:t>
            </w:r>
          </w:p>
        </w:tc>
        <w:tc>
          <w:tcPr>
            <w:tcW w:w="516" w:type="pct"/>
          </w:tcPr>
          <w:p w14:paraId="0D225A5F"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sz w:val="20"/>
              </w:rPr>
              <w:t>0</w:t>
            </w:r>
          </w:p>
        </w:tc>
        <w:tc>
          <w:tcPr>
            <w:tcW w:w="920" w:type="pct"/>
          </w:tcPr>
          <w:p w14:paraId="79F196BF" w14:textId="77777777" w:rsidR="00C47666" w:rsidRPr="00727D8A" w:rsidRDefault="00C47666" w:rsidP="00D1192C">
            <w:pPr>
              <w:rPr>
                <w:rFonts w:asciiTheme="minorHAnsi" w:hAnsiTheme="minorHAnsi" w:cstheme="minorHAnsi"/>
                <w:sz w:val="20"/>
              </w:rPr>
            </w:pPr>
            <w:r w:rsidRPr="00727D8A">
              <w:rPr>
                <w:rFonts w:asciiTheme="minorHAnsi" w:hAnsiTheme="minorHAnsi" w:cstheme="minorHAnsi"/>
                <w:sz w:val="20"/>
              </w:rPr>
              <w:t>97.7%</w:t>
            </w:r>
          </w:p>
        </w:tc>
      </w:tr>
      <w:tr w:rsidR="00C47666" w:rsidRPr="00E84602" w14:paraId="010AFD7A" w14:textId="77777777" w:rsidTr="00C47666">
        <w:tc>
          <w:tcPr>
            <w:tcW w:w="1401" w:type="pct"/>
            <w:shd w:val="clear" w:color="auto" w:fill="FFFF00"/>
          </w:tcPr>
          <w:p w14:paraId="28A579EC"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b/>
                <w:bCs/>
                <w:sz w:val="20"/>
              </w:rPr>
              <w:t>Should-have (S)</w:t>
            </w:r>
          </w:p>
        </w:tc>
        <w:tc>
          <w:tcPr>
            <w:tcW w:w="514" w:type="pct"/>
          </w:tcPr>
          <w:p w14:paraId="6F430F20"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sz w:val="20"/>
              </w:rPr>
              <w:t>10</w:t>
            </w:r>
          </w:p>
        </w:tc>
        <w:tc>
          <w:tcPr>
            <w:tcW w:w="618" w:type="pct"/>
          </w:tcPr>
          <w:p w14:paraId="7AA827E5"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sz w:val="20"/>
              </w:rPr>
              <w:t>10</w:t>
            </w:r>
          </w:p>
        </w:tc>
        <w:tc>
          <w:tcPr>
            <w:tcW w:w="514" w:type="pct"/>
          </w:tcPr>
          <w:p w14:paraId="200F8457"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sz w:val="20"/>
              </w:rPr>
              <w:t>5</w:t>
            </w:r>
          </w:p>
        </w:tc>
        <w:tc>
          <w:tcPr>
            <w:tcW w:w="516" w:type="pct"/>
          </w:tcPr>
          <w:p w14:paraId="0E54B2BC"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sz w:val="20"/>
              </w:rPr>
              <w:t>5</w:t>
            </w:r>
          </w:p>
        </w:tc>
        <w:tc>
          <w:tcPr>
            <w:tcW w:w="516" w:type="pct"/>
          </w:tcPr>
          <w:p w14:paraId="62598174"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sz w:val="20"/>
              </w:rPr>
              <w:t>0</w:t>
            </w:r>
          </w:p>
        </w:tc>
        <w:tc>
          <w:tcPr>
            <w:tcW w:w="920" w:type="pct"/>
          </w:tcPr>
          <w:p w14:paraId="1EC830F6" w14:textId="77777777" w:rsidR="00C47666" w:rsidRPr="00727D8A" w:rsidRDefault="00C47666" w:rsidP="00D1192C">
            <w:pPr>
              <w:rPr>
                <w:rFonts w:asciiTheme="minorHAnsi" w:hAnsiTheme="minorHAnsi" w:cstheme="minorHAnsi"/>
                <w:sz w:val="20"/>
              </w:rPr>
            </w:pPr>
            <w:r w:rsidRPr="00727D8A">
              <w:rPr>
                <w:rFonts w:asciiTheme="minorHAnsi" w:hAnsiTheme="minorHAnsi" w:cstheme="minorHAnsi"/>
                <w:sz w:val="20"/>
              </w:rPr>
              <w:t>75%</w:t>
            </w:r>
          </w:p>
        </w:tc>
      </w:tr>
      <w:tr w:rsidR="00C47666" w:rsidRPr="00E84602" w14:paraId="7611B130" w14:textId="77777777" w:rsidTr="00C47666">
        <w:tc>
          <w:tcPr>
            <w:tcW w:w="1401" w:type="pct"/>
            <w:shd w:val="clear" w:color="auto" w:fill="D9D9D9" w:themeFill="background1" w:themeFillShade="D9"/>
          </w:tcPr>
          <w:p w14:paraId="1DAAD5F6"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b/>
                <w:bCs/>
                <w:sz w:val="20"/>
              </w:rPr>
              <w:t>Combined Must + Should</w:t>
            </w:r>
          </w:p>
        </w:tc>
        <w:tc>
          <w:tcPr>
            <w:tcW w:w="514" w:type="pct"/>
          </w:tcPr>
          <w:p w14:paraId="3DDF1164"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sz w:val="20"/>
              </w:rPr>
              <w:t>35</w:t>
            </w:r>
          </w:p>
        </w:tc>
        <w:tc>
          <w:tcPr>
            <w:tcW w:w="618" w:type="pct"/>
          </w:tcPr>
          <w:p w14:paraId="31AAF232"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sz w:val="20"/>
              </w:rPr>
              <w:t>32</w:t>
            </w:r>
          </w:p>
        </w:tc>
        <w:tc>
          <w:tcPr>
            <w:tcW w:w="514" w:type="pct"/>
          </w:tcPr>
          <w:p w14:paraId="061A47A0"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sz w:val="20"/>
              </w:rPr>
              <w:t>27</w:t>
            </w:r>
          </w:p>
        </w:tc>
        <w:tc>
          <w:tcPr>
            <w:tcW w:w="516" w:type="pct"/>
          </w:tcPr>
          <w:p w14:paraId="393A8856"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sz w:val="20"/>
              </w:rPr>
              <w:t>6</w:t>
            </w:r>
          </w:p>
        </w:tc>
        <w:tc>
          <w:tcPr>
            <w:tcW w:w="516" w:type="pct"/>
          </w:tcPr>
          <w:p w14:paraId="158D2276" w14:textId="77777777" w:rsidR="00C47666" w:rsidRPr="00727D8A" w:rsidRDefault="00C47666" w:rsidP="00D1192C">
            <w:pPr>
              <w:rPr>
                <w:rFonts w:asciiTheme="minorHAnsi" w:hAnsiTheme="minorHAnsi" w:cstheme="minorHAnsi"/>
                <w:sz w:val="20"/>
              </w:rPr>
            </w:pPr>
            <w:r w:rsidRPr="00727D8A">
              <w:rPr>
                <w:rFonts w:asciiTheme="minorHAnsi" w:eastAsia="Calibri" w:hAnsiTheme="minorHAnsi" w:cstheme="minorHAnsi"/>
                <w:sz w:val="20"/>
              </w:rPr>
              <w:t>0</w:t>
            </w:r>
          </w:p>
        </w:tc>
        <w:tc>
          <w:tcPr>
            <w:tcW w:w="920" w:type="pct"/>
          </w:tcPr>
          <w:p w14:paraId="626FCCD3" w14:textId="77777777" w:rsidR="00C47666" w:rsidRPr="00727D8A" w:rsidRDefault="00C47666" w:rsidP="00D1192C">
            <w:pPr>
              <w:rPr>
                <w:rFonts w:asciiTheme="minorHAnsi" w:hAnsiTheme="minorHAnsi" w:cstheme="minorHAnsi"/>
                <w:sz w:val="20"/>
              </w:rPr>
            </w:pPr>
            <w:r w:rsidRPr="00727D8A">
              <w:rPr>
                <w:rFonts w:asciiTheme="minorHAnsi" w:hAnsiTheme="minorHAnsi" w:cstheme="minorHAnsi"/>
                <w:sz w:val="20"/>
              </w:rPr>
              <w:t>93.8%</w:t>
            </w:r>
          </w:p>
        </w:tc>
      </w:tr>
      <w:tr w:rsidR="00C47666" w:rsidRPr="00E84602" w14:paraId="0F15DBC9" w14:textId="77777777" w:rsidTr="00C47666">
        <w:tc>
          <w:tcPr>
            <w:tcW w:w="5000" w:type="pct"/>
            <w:gridSpan w:val="7"/>
          </w:tcPr>
          <w:p w14:paraId="1FC765EA" w14:textId="77777777" w:rsidR="00C47666" w:rsidRPr="00727D8A" w:rsidRDefault="00C47666" w:rsidP="00D1192C">
            <w:pPr>
              <w:rPr>
                <w:rFonts w:asciiTheme="minorHAnsi" w:hAnsiTheme="minorHAnsi" w:cstheme="minorHAnsi"/>
                <w:sz w:val="18"/>
                <w:szCs w:val="18"/>
              </w:rPr>
            </w:pPr>
            <w:r w:rsidRPr="00727D8A">
              <w:rPr>
                <w:rFonts w:asciiTheme="minorHAnsi" w:hAnsiTheme="minorHAnsi" w:cstheme="minorHAnsi"/>
                <w:sz w:val="18"/>
                <w:szCs w:val="18"/>
              </w:rPr>
              <w:t>Y = criterion met; P = criterion partially met; N = criterion not met; NA = not applicable. NA items are excluded from the denominator when calculating the percentage met. For the weighted score, Y counts as 1, P counts as 0.5, and N count</w:t>
            </w:r>
            <w:r>
              <w:rPr>
                <w:rFonts w:asciiTheme="minorHAnsi" w:hAnsiTheme="minorHAnsi" w:cstheme="minorHAnsi"/>
                <w:sz w:val="18"/>
                <w:szCs w:val="18"/>
              </w:rPr>
              <w:t>s</w:t>
            </w:r>
            <w:r w:rsidRPr="00727D8A">
              <w:rPr>
                <w:rFonts w:asciiTheme="minorHAnsi" w:hAnsiTheme="minorHAnsi" w:cstheme="minorHAnsi"/>
                <w:sz w:val="18"/>
                <w:szCs w:val="18"/>
              </w:rPr>
              <w:t xml:space="preserve"> as 0.</w:t>
            </w:r>
          </w:p>
          <w:p w14:paraId="3F9D9601" w14:textId="77777777" w:rsidR="00C47666" w:rsidRPr="00727D8A" w:rsidRDefault="00C47666" w:rsidP="00D1192C">
            <w:pPr>
              <w:rPr>
                <w:rFonts w:asciiTheme="minorHAnsi" w:hAnsiTheme="minorHAnsi" w:cstheme="minorHAnsi"/>
                <w:sz w:val="18"/>
                <w:szCs w:val="18"/>
              </w:rPr>
            </w:pPr>
            <w:r w:rsidRPr="00727D8A">
              <w:rPr>
                <w:rFonts w:asciiTheme="minorHAnsi" w:hAnsiTheme="minorHAnsi" w:cstheme="minorHAnsi"/>
                <w:sz w:val="18"/>
                <w:szCs w:val="18"/>
              </w:rPr>
              <w:t xml:space="preserve">(1) </w:t>
            </w:r>
            <w:r>
              <w:rPr>
                <w:rFonts w:asciiTheme="minorHAnsi" w:hAnsiTheme="minorHAnsi" w:cstheme="minorHAnsi"/>
                <w:sz w:val="18"/>
                <w:szCs w:val="18"/>
              </w:rPr>
              <w:t>W</w:t>
            </w:r>
            <w:r w:rsidRPr="00727D8A">
              <w:rPr>
                <w:rFonts w:asciiTheme="minorHAnsi" w:hAnsiTheme="minorHAnsi" w:cstheme="minorHAnsi"/>
                <w:sz w:val="18"/>
                <w:szCs w:val="18"/>
              </w:rPr>
              <w:t xml:space="preserve">eighted score was calculated using the following calculation:  </w:t>
            </w:r>
          </w:p>
          <w:p w14:paraId="1B906F98" w14:textId="77777777" w:rsidR="00C47666" w:rsidRPr="00727D8A" w:rsidRDefault="00C47666" w:rsidP="00D1192C">
            <w:pPr>
              <w:rPr>
                <w:rFonts w:asciiTheme="minorHAnsi" w:hAnsiTheme="minorHAnsi" w:cstheme="minorHAnsi"/>
                <w:sz w:val="20"/>
              </w:rPr>
            </w:pPr>
            <m:oMathPara>
              <m:oMath>
                <m:r>
                  <w:rPr>
                    <w:rFonts w:ascii="Cambria Math" w:hAnsi="Cambria Math" w:cstheme="minorHAnsi"/>
                    <w:sz w:val="20"/>
                  </w:rPr>
                  <m:t>Weighted score=</m:t>
                </m:r>
                <m:f>
                  <m:fPr>
                    <m:ctrlPr>
                      <w:rPr>
                        <w:rFonts w:ascii="Cambria Math" w:hAnsi="Cambria Math" w:cstheme="minorHAnsi"/>
                        <w:i/>
                        <w:sz w:val="20"/>
                      </w:rPr>
                    </m:ctrlPr>
                  </m:fPr>
                  <m:num>
                    <m:r>
                      <w:rPr>
                        <w:rFonts w:ascii="Cambria Math" w:hAnsi="Cambria Math" w:cstheme="minorHAnsi"/>
                        <w:sz w:val="20"/>
                      </w:rPr>
                      <m:t xml:space="preserve">Met </m:t>
                    </m:r>
                    <m:d>
                      <m:dPr>
                        <m:ctrlPr>
                          <w:rPr>
                            <w:rFonts w:ascii="Cambria Math" w:hAnsi="Cambria Math" w:cstheme="minorHAnsi"/>
                            <w:i/>
                            <w:sz w:val="20"/>
                          </w:rPr>
                        </m:ctrlPr>
                      </m:dPr>
                      <m:e>
                        <m:r>
                          <w:rPr>
                            <w:rFonts w:ascii="Cambria Math" w:hAnsi="Cambria Math" w:cstheme="minorHAnsi"/>
                            <w:sz w:val="20"/>
                          </w:rPr>
                          <m:t>Y</m:t>
                        </m:r>
                      </m:e>
                    </m:d>
                    <m:r>
                      <w:rPr>
                        <w:rFonts w:ascii="Cambria Math" w:hAnsi="Cambria Math" w:cstheme="minorHAnsi"/>
                        <w:sz w:val="20"/>
                      </w:rPr>
                      <m:t xml:space="preserve">+(0.5 ×Partial </m:t>
                    </m:r>
                    <m:d>
                      <m:dPr>
                        <m:ctrlPr>
                          <w:rPr>
                            <w:rFonts w:ascii="Cambria Math" w:hAnsi="Cambria Math" w:cstheme="minorHAnsi"/>
                            <w:i/>
                            <w:sz w:val="20"/>
                          </w:rPr>
                        </m:ctrlPr>
                      </m:dPr>
                      <m:e>
                        <m:r>
                          <w:rPr>
                            <w:rFonts w:ascii="Cambria Math" w:hAnsi="Cambria Math" w:cstheme="minorHAnsi"/>
                            <w:sz w:val="20"/>
                          </w:rPr>
                          <m:t>P</m:t>
                        </m:r>
                      </m:e>
                    </m:d>
                    <m:r>
                      <w:rPr>
                        <w:rFonts w:ascii="Cambria Math" w:hAnsi="Cambria Math" w:cstheme="minorHAnsi"/>
                        <w:sz w:val="20"/>
                      </w:rPr>
                      <m:t>)</m:t>
                    </m:r>
                  </m:num>
                  <m:den>
                    <m:r>
                      <w:rPr>
                        <w:rFonts w:ascii="Cambria Math" w:hAnsi="Cambria Math" w:cstheme="minorHAnsi"/>
                        <w:sz w:val="20"/>
                      </w:rPr>
                      <m:t>Applicabe</m:t>
                    </m:r>
                  </m:den>
                </m:f>
                <m:r>
                  <w:rPr>
                    <w:rFonts w:ascii="Cambria Math" w:hAnsi="Cambria Math" w:cstheme="minorHAnsi"/>
                    <w:sz w:val="20"/>
                  </w:rPr>
                  <m:t xml:space="preserve"> ×100</m:t>
                </m:r>
              </m:oMath>
            </m:oMathPara>
          </w:p>
        </w:tc>
      </w:tr>
    </w:tbl>
    <w:p w14:paraId="2A58D1AF" w14:textId="77777777" w:rsidR="00C47666" w:rsidRPr="00C47666" w:rsidRDefault="00C47666" w:rsidP="00C47666">
      <w:pPr>
        <w:pStyle w:val="BodyText"/>
      </w:pPr>
    </w:p>
    <w:p w14:paraId="295AF193" w14:textId="77777777" w:rsidR="00E50719" w:rsidRDefault="00E50719" w:rsidP="00E50719">
      <w:pPr>
        <w:pStyle w:val="BodyText"/>
      </w:pPr>
    </w:p>
    <w:p w14:paraId="7CC4884C" w14:textId="77777777" w:rsidR="00C47666" w:rsidRPr="008371FA" w:rsidRDefault="00C47666" w:rsidP="00E50719">
      <w:pPr>
        <w:pStyle w:val="BodyText"/>
        <w:sectPr w:rsidR="00C47666" w:rsidRPr="008371FA" w:rsidSect="00F51AC1">
          <w:headerReference w:type="default" r:id="rId70"/>
          <w:footerReference w:type="default" r:id="rId71"/>
          <w:pgSz w:w="16834" w:h="11909" w:orient="landscape" w:code="9"/>
          <w:pgMar w:top="1440" w:right="1440" w:bottom="1440" w:left="1440" w:header="576" w:footer="576" w:gutter="0"/>
          <w:pgNumType w:start="1" w:chapStyle="7"/>
          <w:cols w:space="720"/>
          <w:docGrid w:linePitch="360"/>
        </w:sectPr>
      </w:pPr>
    </w:p>
    <w:p w14:paraId="7A4E2E6F" w14:textId="1DA131CB" w:rsidR="00E70E19" w:rsidRDefault="00E70E19" w:rsidP="00E70E19">
      <w:pPr>
        <w:pStyle w:val="Heading7"/>
      </w:pPr>
      <w:bookmarkStart w:id="65" w:name="_Toc233022886"/>
      <w:bookmarkStart w:id="66" w:name="_Ref218524394"/>
      <w:bookmarkStart w:id="67" w:name="_Ref218524406"/>
      <w:bookmarkStart w:id="68" w:name="_Ref231989560"/>
      <w:r>
        <w:lastRenderedPageBreak/>
        <w:t>Data Extraction Tables – Health-based Guidance/Guideline</w:t>
      </w:r>
      <w:bookmarkEnd w:id="65"/>
      <w:r w:rsidR="00796732">
        <w:t xml:space="preserve"> </w:t>
      </w:r>
    </w:p>
    <w:p w14:paraId="3CF21ADF" w14:textId="166D6651" w:rsidR="00A43831" w:rsidRPr="008371FA" w:rsidRDefault="00A43831" w:rsidP="00A43831">
      <w:pPr>
        <w:pStyle w:val="CoverTitleXref"/>
        <w:rPr>
          <w:noProof w:val="0"/>
        </w:rPr>
      </w:pPr>
      <w:r w:rsidRPr="008371FA">
        <w:rPr>
          <w:noProof w:val="0"/>
        </w:rPr>
        <w:fldChar w:fldCharType="begin"/>
      </w:r>
      <w:r w:rsidRPr="008371FA">
        <w:rPr>
          <w:noProof w:val="0"/>
        </w:rPr>
        <w:instrText xml:space="preserve"> STYLEREF  "Cover Title"  \* MERGEFORMAT </w:instrText>
      </w:r>
      <w:r w:rsidRPr="008371FA">
        <w:rPr>
          <w:noProof w:val="0"/>
        </w:rPr>
        <w:fldChar w:fldCharType="separate"/>
      </w:r>
      <w:r w:rsidR="00A41FEF">
        <w:t>Evidence Evaluations for Vitamin B6 Upper Level (UL)</w:t>
      </w:r>
      <w:r w:rsidRPr="008371FA">
        <w:rPr>
          <w:noProof w:val="0"/>
        </w:rPr>
        <w:fldChar w:fldCharType="end"/>
      </w:r>
    </w:p>
    <w:p w14:paraId="2EFDB953" w14:textId="1DECDAED" w:rsidR="00A43831" w:rsidRPr="008371FA" w:rsidRDefault="003C21C4" w:rsidP="00A43831">
      <w:pPr>
        <w:pStyle w:val="CoverSubtitleXref"/>
      </w:pPr>
      <w:fldSimple w:instr=" STYLEREF  &quot;Cover Subtitle&quot;  \* MERGEFORMAT ">
        <w:r w:rsidR="00A41FEF">
          <w:rPr>
            <w:noProof/>
          </w:rPr>
          <w:t>Vitamin B6 Upper Level (UL) Technical Report</w:t>
        </w:r>
      </w:fldSimple>
    </w:p>
    <w:p w14:paraId="56BB7699" w14:textId="2A490992" w:rsidR="00A43831" w:rsidRPr="008371FA" w:rsidRDefault="003C21C4" w:rsidP="00A43831">
      <w:pPr>
        <w:pStyle w:val="CoverClientRef"/>
      </w:pPr>
      <w:fldSimple w:instr=" STYLEREF  &quot;Cover Client Name&quot;  \* MERGEFORMAT ">
        <w:r w:rsidR="00A41FEF">
          <w:rPr>
            <w:noProof/>
          </w:rPr>
          <w:t>National Health and Medical Research Council</w:t>
        </w:r>
      </w:fldSimple>
    </w:p>
    <w:p w14:paraId="70C1B66D" w14:textId="70CD55CB" w:rsidR="00A43831" w:rsidRPr="008371FA" w:rsidRDefault="003C21C4" w:rsidP="00A43831">
      <w:pPr>
        <w:pStyle w:val="CoverProjectXref"/>
      </w:pPr>
      <w:fldSimple w:instr=" STYLEREF  &quot;Cover Project Number&quot;  \* MERGEFORMAT ">
        <w:r w:rsidR="00A41FEF">
          <w:rPr>
            <w:noProof/>
          </w:rPr>
          <w:t>SLR Project No.: 640.032359.00001</w:t>
        </w:r>
      </w:fldSimple>
    </w:p>
    <w:p w14:paraId="46B3BAE3" w14:textId="7C28C22E" w:rsidR="00E70E19" w:rsidRPr="008371FA" w:rsidRDefault="003C21C4" w:rsidP="00A43831">
      <w:pPr>
        <w:pStyle w:val="CoverProjectXref"/>
      </w:pPr>
      <w:fldSimple w:instr=" STYLEREF  &quot;Cover Date&quot;  \* MERGEFORMAT ">
        <w:r w:rsidR="00A41FEF">
          <w:rPr>
            <w:noProof/>
          </w:rPr>
          <w:t>7 August 2026</w:t>
        </w:r>
      </w:fldSimple>
    </w:p>
    <w:p w14:paraId="781572EC" w14:textId="77777777" w:rsidR="00E70E19" w:rsidRDefault="00E70E19" w:rsidP="00E70E19">
      <w:pPr>
        <w:pStyle w:val="CoverDateXref"/>
      </w:pPr>
    </w:p>
    <w:p w14:paraId="69E6CD7B" w14:textId="77777777" w:rsidR="00E70E19" w:rsidRDefault="00E70E19" w:rsidP="00E70E19">
      <w:pPr>
        <w:rPr>
          <w:color w:val="1E1E1E" w:themeColor="text1"/>
        </w:rPr>
      </w:pPr>
      <w:r>
        <w:br w:type="page"/>
      </w:r>
    </w:p>
    <w:p w14:paraId="53532D57" w14:textId="77777777" w:rsidR="00E70E19" w:rsidRDefault="00E70E19" w:rsidP="00E70E19">
      <w:pPr>
        <w:pStyle w:val="Heading8"/>
      </w:pPr>
      <w:bookmarkStart w:id="69" w:name="_Toc233022887"/>
      <w:r>
        <w:lastRenderedPageBreak/>
        <w:t>Existing Health-based Guidance for vitamin B6</w:t>
      </w:r>
      <w:bookmarkEnd w:id="69"/>
      <w:r>
        <w:t xml:space="preserve"> </w:t>
      </w:r>
    </w:p>
    <w:p w14:paraId="28B2F24D" w14:textId="77777777" w:rsidR="00E70E19" w:rsidRDefault="00E70E19" w:rsidP="00E70E19">
      <w:pPr>
        <w:pStyle w:val="Heading9"/>
      </w:pPr>
      <w:bookmarkStart w:id="70" w:name="_Toc233022888"/>
      <w:r>
        <w:t>EFSA 2023</w:t>
      </w:r>
      <w:bookmarkEnd w:id="70"/>
    </w:p>
    <w:p w14:paraId="24313435" w14:textId="77777777" w:rsidR="00E70E19" w:rsidRDefault="00E70E19" w:rsidP="00E70E19">
      <w:pPr>
        <w:pStyle w:val="BodyText"/>
        <w:rPr>
          <w:b/>
          <w:bCs/>
        </w:rPr>
      </w:pPr>
      <w:r w:rsidRPr="00E70E19">
        <w:rPr>
          <w:b/>
          <w:bCs/>
        </w:rPr>
        <w:t>General Information</w:t>
      </w:r>
    </w:p>
    <w:tbl>
      <w:tblPr>
        <w:tblStyle w:val="SLROption2"/>
        <w:tblW w:w="9067" w:type="dxa"/>
        <w:tblLook w:val="04A0" w:firstRow="1" w:lastRow="0" w:firstColumn="1" w:lastColumn="0" w:noHBand="0" w:noVBand="1"/>
      </w:tblPr>
      <w:tblGrid>
        <w:gridCol w:w="2386"/>
        <w:gridCol w:w="6681"/>
      </w:tblGrid>
      <w:tr w:rsidR="00E70E19" w:rsidRPr="000553AD" w14:paraId="3122E441" w14:textId="77777777" w:rsidTr="00D97A0D">
        <w:trPr>
          <w:cnfStyle w:val="100000000000" w:firstRow="1" w:lastRow="0" w:firstColumn="0" w:lastColumn="0" w:oddVBand="0" w:evenVBand="0" w:oddHBand="0" w:evenHBand="0" w:firstRowFirstColumn="0" w:firstRowLastColumn="0" w:lastRowFirstColumn="0" w:lastRowLastColumn="0"/>
        </w:trPr>
        <w:tc>
          <w:tcPr>
            <w:tcW w:w="2386" w:type="dxa"/>
            <w:shd w:val="clear" w:color="auto" w:fill="3C533C" w:themeFill="accent1"/>
          </w:tcPr>
          <w:p w14:paraId="2843BE58" w14:textId="77777777" w:rsidR="00E70E19" w:rsidRPr="000553AD" w:rsidRDefault="00E70E19" w:rsidP="00D97A0D">
            <w:pPr>
              <w:pStyle w:val="TableHeading"/>
            </w:pPr>
            <w:r>
              <w:t>Parameter</w:t>
            </w:r>
          </w:p>
        </w:tc>
        <w:tc>
          <w:tcPr>
            <w:tcW w:w="6681" w:type="dxa"/>
            <w:shd w:val="clear" w:color="auto" w:fill="3C533C" w:themeFill="accent1"/>
          </w:tcPr>
          <w:p w14:paraId="49EA0086" w14:textId="77777777" w:rsidR="00E70E19" w:rsidRPr="000553AD" w:rsidRDefault="00E70E19" w:rsidP="00D97A0D">
            <w:pPr>
              <w:pStyle w:val="TableHeading"/>
            </w:pPr>
            <w:r w:rsidRPr="000553AD">
              <w:t xml:space="preserve">Findings </w:t>
            </w:r>
          </w:p>
        </w:tc>
      </w:tr>
      <w:tr w:rsidR="00E70E19" w:rsidRPr="00F51AC1" w14:paraId="25FBE06C" w14:textId="77777777" w:rsidTr="00D97A0D">
        <w:tc>
          <w:tcPr>
            <w:tcW w:w="2386" w:type="dxa"/>
          </w:tcPr>
          <w:p w14:paraId="229B67B5" w14:textId="77777777" w:rsidR="00E70E19" w:rsidRPr="00F51AC1" w:rsidRDefault="00E70E19" w:rsidP="00D97A0D">
            <w:pPr>
              <w:pStyle w:val="TableText"/>
              <w:rPr>
                <w:highlight w:val="yellow"/>
              </w:rPr>
            </w:pPr>
            <w:r w:rsidRPr="00F51AC1">
              <w:t>Authors</w:t>
            </w:r>
          </w:p>
        </w:tc>
        <w:tc>
          <w:tcPr>
            <w:tcW w:w="6681" w:type="dxa"/>
          </w:tcPr>
          <w:p w14:paraId="3EE65947" w14:textId="77777777" w:rsidR="00E70E19" w:rsidRPr="00F51AC1" w:rsidRDefault="00E70E19" w:rsidP="00D97A0D">
            <w:pPr>
              <w:pStyle w:val="TableText"/>
              <w:rPr>
                <w:highlight w:val="yellow"/>
              </w:rPr>
            </w:pPr>
            <w:r w:rsidRPr="003932B7">
              <w:t>EFSA Panel on Nutrition, Novel Foods and Food Allergens (NDA): Turck D, Bohn T, Castenmiller J, de Henauw S, Hirsch-Ernst K-I, Knutsen HK, Maciuk A, Mangelsdorf I, McArdle HJ, Pelaez C, Pentieva K, Siani A, Thies F, Tsabouri S, Vinceti M, Fairweather-Tait S, Vrolijk M, Fabiani L, Titz A, Naska A</w:t>
            </w:r>
          </w:p>
        </w:tc>
      </w:tr>
      <w:tr w:rsidR="00E70E19" w:rsidRPr="00F51AC1" w14:paraId="63068E12" w14:textId="77777777" w:rsidTr="00D97A0D">
        <w:tc>
          <w:tcPr>
            <w:tcW w:w="2386" w:type="dxa"/>
          </w:tcPr>
          <w:p w14:paraId="4ADD4ABA" w14:textId="77777777" w:rsidR="00E70E19" w:rsidRPr="00F51AC1" w:rsidRDefault="00E70E19" w:rsidP="00D97A0D">
            <w:pPr>
              <w:pStyle w:val="TableText"/>
              <w:rPr>
                <w:highlight w:val="yellow"/>
              </w:rPr>
            </w:pPr>
            <w:r w:rsidRPr="00F51AC1">
              <w:t>Publication date</w:t>
            </w:r>
          </w:p>
        </w:tc>
        <w:tc>
          <w:tcPr>
            <w:tcW w:w="6681" w:type="dxa"/>
          </w:tcPr>
          <w:p w14:paraId="2688A3F4" w14:textId="77777777" w:rsidR="00E70E19" w:rsidRPr="00F51AC1" w:rsidRDefault="00E70E19" w:rsidP="00D97A0D">
            <w:pPr>
              <w:pStyle w:val="TableText"/>
              <w:rPr>
                <w:highlight w:val="yellow"/>
              </w:rPr>
            </w:pPr>
            <w:r w:rsidRPr="003932B7">
              <w:t>29 March 2023 (EFSA Journal 2023;21(5):8006)</w:t>
            </w:r>
          </w:p>
        </w:tc>
      </w:tr>
      <w:tr w:rsidR="00E70E19" w:rsidRPr="00F51AC1" w14:paraId="79A2567C" w14:textId="77777777" w:rsidTr="00D97A0D">
        <w:tc>
          <w:tcPr>
            <w:tcW w:w="2386" w:type="dxa"/>
          </w:tcPr>
          <w:p w14:paraId="0D853EDB" w14:textId="77777777" w:rsidR="00E70E19" w:rsidRPr="00F51AC1" w:rsidRDefault="00E70E19" w:rsidP="00D97A0D">
            <w:pPr>
              <w:pStyle w:val="TableText"/>
            </w:pPr>
            <w:r w:rsidRPr="003932B7">
              <w:t>Document/report title</w:t>
            </w:r>
          </w:p>
        </w:tc>
        <w:tc>
          <w:tcPr>
            <w:tcW w:w="6681" w:type="dxa"/>
          </w:tcPr>
          <w:p w14:paraId="4BC903C4" w14:textId="77777777" w:rsidR="00E70E19" w:rsidRPr="003932B7" w:rsidRDefault="00E70E19" w:rsidP="00D97A0D">
            <w:pPr>
              <w:pStyle w:val="TableText"/>
            </w:pPr>
            <w:r w:rsidRPr="003932B7">
              <w:t>Scientific opinion on the tolerable upper intake level for vitamin B6</w:t>
            </w:r>
          </w:p>
        </w:tc>
      </w:tr>
      <w:tr w:rsidR="00E70E19" w:rsidRPr="00F51AC1" w14:paraId="1D955541" w14:textId="77777777" w:rsidTr="00D97A0D">
        <w:tc>
          <w:tcPr>
            <w:tcW w:w="2386" w:type="dxa"/>
          </w:tcPr>
          <w:p w14:paraId="63DCBC8B" w14:textId="77777777" w:rsidR="00E70E19" w:rsidRPr="00F51AC1" w:rsidRDefault="00E70E19" w:rsidP="00D97A0D">
            <w:pPr>
              <w:pStyle w:val="TableText"/>
            </w:pPr>
            <w:r w:rsidRPr="00F51AC1">
              <w:t xml:space="preserve">Literature search timeframe </w:t>
            </w:r>
          </w:p>
        </w:tc>
        <w:tc>
          <w:tcPr>
            <w:tcW w:w="6681" w:type="dxa"/>
          </w:tcPr>
          <w:p w14:paraId="263A171C" w14:textId="77777777" w:rsidR="00E70E19" w:rsidRPr="00F51AC1" w:rsidRDefault="00E70E19" w:rsidP="00D97A0D">
            <w:pPr>
              <w:pStyle w:val="TableText"/>
            </w:pPr>
            <w:r w:rsidRPr="003932B7">
              <w:t>No date limit applied to systematic searches (MEDLINE (Ovid), Embase (Ovid), Cochrane Central Register of Controlled Trials); data collected from competent authorities September–November 2021; food supplement data August–October 2022; Mintel GNPD search limited to September 2017–September 2022</w:t>
            </w:r>
          </w:p>
        </w:tc>
      </w:tr>
      <w:tr w:rsidR="00E70E19" w:rsidRPr="00F51AC1" w14:paraId="2065569B" w14:textId="77777777" w:rsidTr="00D97A0D">
        <w:tc>
          <w:tcPr>
            <w:tcW w:w="2386" w:type="dxa"/>
          </w:tcPr>
          <w:p w14:paraId="04F46E6A" w14:textId="77777777" w:rsidR="00E70E19" w:rsidRPr="00F51AC1" w:rsidRDefault="00E70E19" w:rsidP="00D97A0D">
            <w:pPr>
              <w:pStyle w:val="TableText"/>
            </w:pPr>
            <w:r w:rsidRPr="003932B7">
              <w:t>Literature search databases</w:t>
            </w:r>
          </w:p>
        </w:tc>
        <w:tc>
          <w:tcPr>
            <w:tcW w:w="6681" w:type="dxa"/>
          </w:tcPr>
          <w:p w14:paraId="303C9D25" w14:textId="77777777" w:rsidR="00E70E19" w:rsidRPr="003932B7" w:rsidRDefault="00E70E19" w:rsidP="00D97A0D">
            <w:pPr>
              <w:pStyle w:val="TableText"/>
            </w:pPr>
            <w:r w:rsidRPr="003932B7">
              <w:t>MEDLINE (Ovid), Embase (Ovid), Cochrane Central Register of Controlled Trials; grey literature was not searched</w:t>
            </w:r>
          </w:p>
        </w:tc>
      </w:tr>
      <w:tr w:rsidR="00E70E19" w:rsidRPr="00F51AC1" w14:paraId="6975A2EE" w14:textId="77777777" w:rsidTr="00D97A0D">
        <w:tc>
          <w:tcPr>
            <w:tcW w:w="2386" w:type="dxa"/>
          </w:tcPr>
          <w:p w14:paraId="6AB83AB1" w14:textId="77777777" w:rsidR="00E70E19" w:rsidRPr="00F51AC1" w:rsidRDefault="00E70E19" w:rsidP="00D97A0D">
            <w:pPr>
              <w:pStyle w:val="TableText"/>
            </w:pPr>
            <w:r w:rsidRPr="00F51AC1">
              <w:t>Publication type</w:t>
            </w:r>
          </w:p>
        </w:tc>
        <w:tc>
          <w:tcPr>
            <w:tcW w:w="6681" w:type="dxa"/>
          </w:tcPr>
          <w:p w14:paraId="38B095F5" w14:textId="77777777" w:rsidR="00E70E19" w:rsidRPr="00F51AC1" w:rsidRDefault="00E70E19" w:rsidP="00D97A0D">
            <w:pPr>
              <w:pStyle w:val="TableText"/>
              <w:rPr>
                <w:highlight w:val="yellow"/>
              </w:rPr>
            </w:pPr>
            <w:r w:rsidRPr="003932B7">
              <w:t>Scientific Opinion (regulatory/advisory document)</w:t>
            </w:r>
          </w:p>
        </w:tc>
      </w:tr>
      <w:tr w:rsidR="00E70E19" w:rsidRPr="00F51AC1" w14:paraId="7D201C77" w14:textId="77777777" w:rsidTr="00D97A0D">
        <w:tc>
          <w:tcPr>
            <w:tcW w:w="2386" w:type="dxa"/>
          </w:tcPr>
          <w:p w14:paraId="60F876E0" w14:textId="77777777" w:rsidR="00E70E19" w:rsidRPr="00F51AC1" w:rsidRDefault="00E70E19" w:rsidP="00D97A0D">
            <w:pPr>
              <w:pStyle w:val="TableText"/>
            </w:pPr>
            <w:r w:rsidRPr="00F51AC1">
              <w:t>Peer reviewed?</w:t>
            </w:r>
          </w:p>
        </w:tc>
        <w:tc>
          <w:tcPr>
            <w:tcW w:w="6681" w:type="dxa"/>
          </w:tcPr>
          <w:p w14:paraId="36F5573A" w14:textId="5F66FC4C" w:rsidR="00E70E19" w:rsidRPr="00F51AC1" w:rsidRDefault="00FF35DA" w:rsidP="00D97A0D">
            <w:pPr>
              <w:pStyle w:val="TableText"/>
              <w:rPr>
                <w:highlight w:val="yellow"/>
              </w:rPr>
            </w:pPr>
            <w:r w:rsidRPr="00FF35DA">
              <w:t>Yes. The draft was released for public consultation from 13 January to 10 February 2023. The systematic review work was contracted to, and reviewed by, the University of Copenhagen, University of Oslo and Karolinska Institutet. The search strategy was also peer reviewed by information specialists.</w:t>
            </w:r>
          </w:p>
        </w:tc>
      </w:tr>
      <w:tr w:rsidR="00E70E19" w:rsidRPr="00F51AC1" w14:paraId="70E7879A" w14:textId="77777777" w:rsidTr="00D97A0D">
        <w:tc>
          <w:tcPr>
            <w:tcW w:w="2386" w:type="dxa"/>
          </w:tcPr>
          <w:p w14:paraId="53F0FD9C" w14:textId="77777777" w:rsidR="00E70E19" w:rsidRPr="00F51AC1" w:rsidRDefault="00E70E19" w:rsidP="00D97A0D">
            <w:pPr>
              <w:pStyle w:val="TableText"/>
            </w:pPr>
            <w:r w:rsidRPr="00F51AC1">
              <w:t>Country of origin</w:t>
            </w:r>
          </w:p>
        </w:tc>
        <w:tc>
          <w:tcPr>
            <w:tcW w:w="6681" w:type="dxa"/>
          </w:tcPr>
          <w:p w14:paraId="5F3E3797" w14:textId="77777777" w:rsidR="00E70E19" w:rsidRPr="00F51AC1" w:rsidRDefault="00E70E19" w:rsidP="00D97A0D">
            <w:pPr>
              <w:pStyle w:val="TableText"/>
            </w:pPr>
            <w:r w:rsidRPr="003932B7">
              <w:t>European Union (EFSA, Parma, Italy)</w:t>
            </w:r>
          </w:p>
        </w:tc>
      </w:tr>
      <w:tr w:rsidR="00E70E19" w:rsidRPr="00F51AC1" w14:paraId="4C9D587C" w14:textId="77777777" w:rsidTr="00D97A0D">
        <w:tc>
          <w:tcPr>
            <w:tcW w:w="2386" w:type="dxa"/>
          </w:tcPr>
          <w:p w14:paraId="7D4A006C" w14:textId="77777777" w:rsidR="00E70E19" w:rsidRPr="00F51AC1" w:rsidRDefault="00E70E19" w:rsidP="00D97A0D">
            <w:pPr>
              <w:pStyle w:val="TableText"/>
            </w:pPr>
            <w:r w:rsidRPr="00F51AC1">
              <w:t>Source of funding</w:t>
            </w:r>
          </w:p>
        </w:tc>
        <w:tc>
          <w:tcPr>
            <w:tcW w:w="6681" w:type="dxa"/>
          </w:tcPr>
          <w:p w14:paraId="1AFF3B94" w14:textId="77777777" w:rsidR="00E70E19" w:rsidRPr="00F51AC1" w:rsidRDefault="00E70E19" w:rsidP="00D97A0D">
            <w:pPr>
              <w:pStyle w:val="TableText"/>
            </w:pPr>
            <w:r w:rsidRPr="003932B7">
              <w:t>European Commission (public funding); requested under Article 29(1)(a) of Regulation (EC) No 178/2002</w:t>
            </w:r>
          </w:p>
        </w:tc>
      </w:tr>
      <w:tr w:rsidR="00E70E19" w:rsidRPr="00F51AC1" w14:paraId="31D4B31E" w14:textId="77777777" w:rsidTr="00D97A0D">
        <w:tc>
          <w:tcPr>
            <w:tcW w:w="2386" w:type="dxa"/>
          </w:tcPr>
          <w:p w14:paraId="4B585DF8" w14:textId="77777777" w:rsidR="00E70E19" w:rsidRPr="00F51AC1" w:rsidRDefault="00E70E19" w:rsidP="00D97A0D">
            <w:pPr>
              <w:pStyle w:val="TableText"/>
            </w:pPr>
            <w:r w:rsidRPr="00F51AC1">
              <w:t>Possible conflicts of interest</w:t>
            </w:r>
          </w:p>
        </w:tc>
        <w:tc>
          <w:tcPr>
            <w:tcW w:w="6681" w:type="dxa"/>
          </w:tcPr>
          <w:p w14:paraId="1819D387" w14:textId="77777777" w:rsidR="00E70E19" w:rsidRPr="00F51AC1" w:rsidRDefault="00E70E19" w:rsidP="00D97A0D">
            <w:pPr>
              <w:pStyle w:val="TableText"/>
            </w:pPr>
            <w:r w:rsidRPr="003932B7">
              <w:t>Declarations of interest available via interestmanagement@efsa.europa.eu; not detailed in the main document</w:t>
            </w:r>
          </w:p>
        </w:tc>
      </w:tr>
      <w:tr w:rsidR="00E70E19" w:rsidRPr="00F51AC1" w14:paraId="7382CF4A" w14:textId="77777777" w:rsidTr="00D97A0D">
        <w:tc>
          <w:tcPr>
            <w:tcW w:w="2386" w:type="dxa"/>
          </w:tcPr>
          <w:p w14:paraId="47E84DE8" w14:textId="77777777" w:rsidR="00E70E19" w:rsidRPr="00F51AC1" w:rsidRDefault="00E70E19" w:rsidP="00D97A0D">
            <w:pPr>
              <w:pStyle w:val="TableText"/>
            </w:pPr>
            <w:r w:rsidRPr="003932B7">
              <w:t>Chemical/nutrient assessed</w:t>
            </w:r>
          </w:p>
        </w:tc>
        <w:tc>
          <w:tcPr>
            <w:tcW w:w="6681" w:type="dxa"/>
          </w:tcPr>
          <w:p w14:paraId="3601861D" w14:textId="77777777" w:rsidR="00E70E19" w:rsidRPr="003932B7" w:rsidRDefault="00E70E19" w:rsidP="00D97A0D">
            <w:pPr>
              <w:pStyle w:val="TableText"/>
            </w:pPr>
            <w:r w:rsidRPr="003932B7">
              <w:t>Vitamin B6 (all vitamers: pyridoxine (PN), pyridoxal (PL), pyridoxamine (PM) and their phosphate esters, including pyridoxal 5'-phosphate (PLP))</w:t>
            </w:r>
          </w:p>
        </w:tc>
      </w:tr>
      <w:tr w:rsidR="00E70E19" w:rsidRPr="00F51AC1" w14:paraId="5634EF0F" w14:textId="77777777" w:rsidTr="00D97A0D">
        <w:tc>
          <w:tcPr>
            <w:tcW w:w="2386" w:type="dxa"/>
          </w:tcPr>
          <w:p w14:paraId="7C573208" w14:textId="77777777" w:rsidR="00E70E19" w:rsidRPr="00F51AC1" w:rsidRDefault="00E70E19" w:rsidP="00D97A0D">
            <w:pPr>
              <w:pStyle w:val="TableText"/>
            </w:pPr>
            <w:r w:rsidRPr="003932B7">
              <w:t>Regulatory context / purpose</w:t>
            </w:r>
          </w:p>
        </w:tc>
        <w:tc>
          <w:tcPr>
            <w:tcW w:w="6681" w:type="dxa"/>
          </w:tcPr>
          <w:p w14:paraId="38274954" w14:textId="77777777" w:rsidR="00E70E19" w:rsidRPr="003932B7" w:rsidRDefault="00E70E19" w:rsidP="00D97A0D">
            <w:pPr>
              <w:pStyle w:val="TableText"/>
            </w:pPr>
            <w:r w:rsidRPr="003932B7">
              <w:t>Revision of UL for vitamin B6 to inform maximum amounts in fortified foods and food supplements under EC Regulation No 1925/2006 and Directive 2002/46/EC</w:t>
            </w:r>
          </w:p>
        </w:tc>
      </w:tr>
      <w:tr w:rsidR="00E70E19" w:rsidRPr="00F51AC1" w14:paraId="4DDBCD58" w14:textId="77777777" w:rsidTr="00D97A0D">
        <w:tc>
          <w:tcPr>
            <w:tcW w:w="2386" w:type="dxa"/>
          </w:tcPr>
          <w:p w14:paraId="47C40098" w14:textId="77777777" w:rsidR="00E70E19" w:rsidRPr="00F51AC1" w:rsidRDefault="00E70E19" w:rsidP="00D97A0D">
            <w:pPr>
              <w:pStyle w:val="TableText"/>
            </w:pPr>
            <w:r w:rsidRPr="003932B7">
              <w:t>Previous guidance value superseded</w:t>
            </w:r>
          </w:p>
        </w:tc>
        <w:tc>
          <w:tcPr>
            <w:tcW w:w="6681" w:type="dxa"/>
          </w:tcPr>
          <w:p w14:paraId="4557A182" w14:textId="77777777" w:rsidR="00E70E19" w:rsidRPr="003932B7" w:rsidRDefault="00E70E19" w:rsidP="00D97A0D">
            <w:pPr>
              <w:pStyle w:val="TableText"/>
            </w:pPr>
            <w:r w:rsidRPr="003932B7">
              <w:t>SCF (2000): UL of 25 mg/day for adults</w:t>
            </w:r>
          </w:p>
        </w:tc>
      </w:tr>
    </w:tbl>
    <w:p w14:paraId="37992CBD" w14:textId="77777777" w:rsidR="00E70E19" w:rsidRDefault="00E70E19" w:rsidP="00E70E19">
      <w:pPr>
        <w:rPr>
          <w:b/>
          <w:bCs/>
        </w:rPr>
      </w:pPr>
      <w:r w:rsidRPr="00E70E19">
        <w:rPr>
          <w:b/>
          <w:bCs/>
        </w:rPr>
        <w:t>Health considerations</w:t>
      </w:r>
    </w:p>
    <w:tbl>
      <w:tblPr>
        <w:tblStyle w:val="SLROption2"/>
        <w:tblW w:w="9067" w:type="dxa"/>
        <w:tblLook w:val="04A0" w:firstRow="1" w:lastRow="0" w:firstColumn="1" w:lastColumn="0" w:noHBand="0" w:noVBand="1"/>
      </w:tblPr>
      <w:tblGrid>
        <w:gridCol w:w="2386"/>
        <w:gridCol w:w="6681"/>
      </w:tblGrid>
      <w:tr w:rsidR="00E70E19" w:rsidRPr="000553AD" w14:paraId="0A96FE45" w14:textId="77777777" w:rsidTr="00D97A0D">
        <w:trPr>
          <w:cnfStyle w:val="100000000000" w:firstRow="1" w:lastRow="0" w:firstColumn="0" w:lastColumn="0" w:oddVBand="0" w:evenVBand="0" w:oddHBand="0" w:evenHBand="0" w:firstRowFirstColumn="0" w:firstRowLastColumn="0" w:lastRowFirstColumn="0" w:lastRowLastColumn="0"/>
        </w:trPr>
        <w:tc>
          <w:tcPr>
            <w:tcW w:w="2386" w:type="dxa"/>
          </w:tcPr>
          <w:p w14:paraId="27E4B237" w14:textId="77777777" w:rsidR="00E70E19" w:rsidRPr="000553AD" w:rsidRDefault="00E70E19" w:rsidP="00D97A0D">
            <w:pPr>
              <w:pStyle w:val="TableHeading"/>
            </w:pPr>
            <w:r>
              <w:t>Parameter</w:t>
            </w:r>
          </w:p>
        </w:tc>
        <w:tc>
          <w:tcPr>
            <w:tcW w:w="6681" w:type="dxa"/>
          </w:tcPr>
          <w:p w14:paraId="0B95BD97" w14:textId="77777777" w:rsidR="00E70E19" w:rsidRPr="000553AD" w:rsidRDefault="00E70E19" w:rsidP="00D97A0D">
            <w:pPr>
              <w:pStyle w:val="TableHeading"/>
            </w:pPr>
            <w:r w:rsidRPr="000553AD">
              <w:rPr>
                <w:bCs/>
              </w:rPr>
              <w:t>Findings</w:t>
            </w:r>
          </w:p>
        </w:tc>
      </w:tr>
      <w:tr w:rsidR="00E70E19" w:rsidRPr="00F51AC1" w14:paraId="335380C2" w14:textId="77777777" w:rsidTr="00D97A0D">
        <w:tc>
          <w:tcPr>
            <w:tcW w:w="2386" w:type="dxa"/>
          </w:tcPr>
          <w:p w14:paraId="5DA565EF" w14:textId="77777777" w:rsidR="00E70E19" w:rsidRPr="00F51AC1" w:rsidRDefault="00E70E19" w:rsidP="00D97A0D">
            <w:pPr>
              <w:pStyle w:val="TableText"/>
            </w:pPr>
            <w:r w:rsidRPr="00F51AC1">
              <w:t>Exposure timeframe</w:t>
            </w:r>
          </w:p>
        </w:tc>
        <w:tc>
          <w:tcPr>
            <w:tcW w:w="6681" w:type="dxa"/>
          </w:tcPr>
          <w:p w14:paraId="2D44613F" w14:textId="0925082E" w:rsidR="00E70E19" w:rsidRPr="00F51AC1" w:rsidRDefault="00FF35DA" w:rsidP="00D97A0D">
            <w:pPr>
              <w:pStyle w:val="TableText"/>
            </w:pPr>
            <w:r w:rsidRPr="00FF35DA">
              <w:t>Chronic/long-term exposure. The key case-control study, Dalton &amp; Dalton (1987), involved vitamin B6 use for more than 6 months. Higher doses may cause effects over shorter periods.</w:t>
            </w:r>
          </w:p>
        </w:tc>
      </w:tr>
      <w:tr w:rsidR="00E70E19" w:rsidRPr="00F51AC1" w14:paraId="7C6D0F5F" w14:textId="77777777" w:rsidTr="00D97A0D">
        <w:tc>
          <w:tcPr>
            <w:tcW w:w="2386" w:type="dxa"/>
          </w:tcPr>
          <w:p w14:paraId="257F6845" w14:textId="77777777" w:rsidR="00E70E19" w:rsidRPr="00F51AC1" w:rsidRDefault="00E70E19" w:rsidP="00D97A0D">
            <w:pPr>
              <w:pStyle w:val="TableText"/>
            </w:pPr>
            <w:r w:rsidRPr="003932B7">
              <w:t>Exposure route assessed</w:t>
            </w:r>
          </w:p>
        </w:tc>
        <w:tc>
          <w:tcPr>
            <w:tcW w:w="6681" w:type="dxa"/>
          </w:tcPr>
          <w:p w14:paraId="23CFF815" w14:textId="6C28F164" w:rsidR="00E70E19" w:rsidRPr="00F51AC1" w:rsidRDefault="00FF35DA" w:rsidP="00D97A0D">
            <w:pPr>
              <w:pStyle w:val="TableText"/>
            </w:pPr>
            <w:r w:rsidRPr="00FF35DA">
              <w:t>Oral exposure, including dietary and supplemental intake.</w:t>
            </w:r>
          </w:p>
        </w:tc>
      </w:tr>
      <w:tr w:rsidR="00E70E19" w:rsidRPr="00F51AC1" w14:paraId="12605ADD" w14:textId="77777777" w:rsidTr="00D97A0D">
        <w:tc>
          <w:tcPr>
            <w:tcW w:w="2386" w:type="dxa"/>
          </w:tcPr>
          <w:p w14:paraId="7EF3B63B" w14:textId="77777777" w:rsidR="00E70E19" w:rsidRPr="00F51AC1" w:rsidRDefault="00E70E19" w:rsidP="00D97A0D">
            <w:pPr>
              <w:pStyle w:val="TableText"/>
              <w:rPr>
                <w:highlight w:val="yellow"/>
              </w:rPr>
            </w:pPr>
            <w:r w:rsidRPr="00F51AC1">
              <w:lastRenderedPageBreak/>
              <w:t>Critical human health endpoint(s) – oral exposure</w:t>
            </w:r>
          </w:p>
        </w:tc>
        <w:tc>
          <w:tcPr>
            <w:tcW w:w="6681" w:type="dxa"/>
          </w:tcPr>
          <w:p w14:paraId="66A2E60C" w14:textId="5360C6E1" w:rsidR="00E70E19" w:rsidRPr="00F51AC1" w:rsidRDefault="00FF35DA" w:rsidP="00FF35DA">
            <w:pPr>
              <w:pStyle w:val="TableBullet"/>
              <w:numPr>
                <w:ilvl w:val="0"/>
                <w:numId w:val="0"/>
              </w:numPr>
              <w:rPr>
                <w:rFonts w:eastAsia="Calibri"/>
              </w:rPr>
            </w:pPr>
            <w:r w:rsidRPr="00FF35DA">
              <w:rPr>
                <w:rFonts w:eastAsia="Calibri"/>
              </w:rPr>
              <w:t>Peripheral sensory neuropathy, with symptoms such as paraesthesia, hyperaesthesia, bone pain, muscle weakness, fasciculation and numbness.</w:t>
            </w:r>
          </w:p>
        </w:tc>
      </w:tr>
      <w:tr w:rsidR="00E70E19" w:rsidRPr="00F51AC1" w14:paraId="6AB0C139" w14:textId="77777777" w:rsidTr="00D97A0D">
        <w:tc>
          <w:tcPr>
            <w:tcW w:w="2386" w:type="dxa"/>
          </w:tcPr>
          <w:p w14:paraId="158A9778" w14:textId="77777777" w:rsidR="00E70E19" w:rsidRPr="00F51AC1" w:rsidRDefault="00E70E19" w:rsidP="00D97A0D">
            <w:pPr>
              <w:pStyle w:val="TableText"/>
              <w:rPr>
                <w:highlight w:val="yellow"/>
              </w:rPr>
            </w:pPr>
            <w:r w:rsidRPr="00F51AC1">
              <w:t>Justification provided by agency for critical endpoint</w:t>
            </w:r>
          </w:p>
        </w:tc>
        <w:tc>
          <w:tcPr>
            <w:tcW w:w="6681" w:type="dxa"/>
          </w:tcPr>
          <w:p w14:paraId="00E19F81" w14:textId="6E2F20AB" w:rsidR="00E70E19" w:rsidRPr="00F51AC1" w:rsidRDefault="00FF35DA" w:rsidP="00D97A0D">
            <w:pPr>
              <w:pStyle w:val="TableText"/>
            </w:pPr>
            <w:r w:rsidRPr="00FF35DA">
              <w:t>The link between high vitamin B6 intake and peripheral neuropathy is well established in humans and animals. It is dose-related, with higher doses causing symptoms after shorter exposure periods. Peripheral neuropathy was the only adverse effect with a suitable reference point for deriving the UL. Other effects, including hip fracture, photosensitivity, impaired memory, anti-lactogenic effects and testicular toxicity, were not considered sufficiently supported for UL derivation.</w:t>
            </w:r>
          </w:p>
        </w:tc>
      </w:tr>
      <w:tr w:rsidR="00E70E19" w:rsidRPr="00F51AC1" w14:paraId="7BABAD23" w14:textId="77777777" w:rsidTr="00D97A0D">
        <w:tc>
          <w:tcPr>
            <w:tcW w:w="2386" w:type="dxa"/>
          </w:tcPr>
          <w:p w14:paraId="19F18BBD" w14:textId="77777777" w:rsidR="00E70E19" w:rsidRPr="00F51AC1" w:rsidRDefault="00E70E19" w:rsidP="00D97A0D">
            <w:pPr>
              <w:pStyle w:val="TableText"/>
            </w:pPr>
            <w:r w:rsidRPr="003932B7">
              <w:t>Other adverse health effects considered (not selected as critical)</w:t>
            </w:r>
          </w:p>
        </w:tc>
        <w:tc>
          <w:tcPr>
            <w:tcW w:w="6681" w:type="dxa"/>
          </w:tcPr>
          <w:p w14:paraId="628AA368" w14:textId="41C97326" w:rsidR="00E70E19" w:rsidRPr="003932B7" w:rsidRDefault="00FF35DA" w:rsidP="00D97A0D">
            <w:pPr>
              <w:pStyle w:val="TableText"/>
            </w:pPr>
            <w:r w:rsidRPr="00FF35DA">
              <w:t>Hip fracture risk, photosensitisation/dermatitis, impaired memory, anti-lactogenic effects and testicular toxicity in animals. These were not selected as critical effects due to limited or insufficient evidence.</w:t>
            </w:r>
          </w:p>
        </w:tc>
      </w:tr>
      <w:tr w:rsidR="00E70E19" w:rsidRPr="00F51AC1" w14:paraId="42B2D638" w14:textId="77777777" w:rsidTr="00834C85">
        <w:trPr>
          <w:trHeight w:val="1951"/>
        </w:trPr>
        <w:tc>
          <w:tcPr>
            <w:tcW w:w="2386" w:type="dxa"/>
          </w:tcPr>
          <w:p w14:paraId="041E0830" w14:textId="77777777" w:rsidR="00E70E19" w:rsidRPr="00F51AC1" w:rsidRDefault="00E70E19" w:rsidP="00D97A0D">
            <w:pPr>
              <w:pStyle w:val="TableText"/>
              <w:rPr>
                <w:highlight w:val="yellow"/>
              </w:rPr>
            </w:pPr>
            <w:r w:rsidRPr="00F51AC1">
              <w:t>Critical study(ies) underpinning point of departure</w:t>
            </w:r>
          </w:p>
        </w:tc>
        <w:tc>
          <w:tcPr>
            <w:tcW w:w="6681" w:type="dxa"/>
          </w:tcPr>
          <w:p w14:paraId="0F2CBF48" w14:textId="07BDF820" w:rsidR="00834C85" w:rsidRPr="00834C85" w:rsidRDefault="00FF35DA" w:rsidP="00834C85">
            <w:pPr>
              <w:pStyle w:val="TableText"/>
            </w:pPr>
            <w:r w:rsidRPr="00FF35DA">
              <w:t>The main human study was Dalton &amp; Dalton (1987), a case-control study of 172 women with PMS taking &lt;50–500 mg/day supplemental vitamin B6 for more than 6 months. Symptoms of neuropathy were reported in 48% of the lowest dose group (&lt;50 mg/day). Supporting evidence included Dalton (1985), Blackburn &amp; Warren (2017), and Dutch and French nutrivigilance data. The main supporting animal study was Phillips et al. (1978), a subchronic Beagle dog study.</w:t>
            </w:r>
          </w:p>
        </w:tc>
      </w:tr>
      <w:tr w:rsidR="00E70E19" w:rsidRPr="00F51AC1" w14:paraId="5640A294" w14:textId="77777777" w:rsidTr="00D97A0D">
        <w:tc>
          <w:tcPr>
            <w:tcW w:w="2386" w:type="dxa"/>
          </w:tcPr>
          <w:p w14:paraId="61D0EA7F" w14:textId="77777777" w:rsidR="00E70E19" w:rsidRPr="00F51AC1" w:rsidRDefault="00E70E19" w:rsidP="00D97A0D">
            <w:pPr>
              <w:pStyle w:val="TableText"/>
            </w:pPr>
            <w:r w:rsidRPr="00F51AC1">
              <w:t>Species for critical study(ies)</w:t>
            </w:r>
          </w:p>
        </w:tc>
        <w:tc>
          <w:tcPr>
            <w:tcW w:w="6681" w:type="dxa"/>
          </w:tcPr>
          <w:p w14:paraId="26C10745" w14:textId="2C41E292" w:rsidR="00E70E19" w:rsidRPr="00F51AC1" w:rsidRDefault="00FF35DA" w:rsidP="00D97A0D">
            <w:pPr>
              <w:pStyle w:val="TableText"/>
            </w:pPr>
            <w:r w:rsidRPr="00FF35DA">
              <w:t>Humans, specifically women with PMS, and Beagle dogs.</w:t>
            </w:r>
          </w:p>
        </w:tc>
      </w:tr>
      <w:tr w:rsidR="00E70E19" w:rsidRPr="00F51AC1" w14:paraId="7DB44298" w14:textId="77777777" w:rsidTr="00D97A0D">
        <w:tc>
          <w:tcPr>
            <w:tcW w:w="2386" w:type="dxa"/>
          </w:tcPr>
          <w:p w14:paraId="08A9F0AB" w14:textId="77777777" w:rsidR="00E70E19" w:rsidRPr="00F51AC1" w:rsidRDefault="00E70E19" w:rsidP="00D97A0D">
            <w:pPr>
              <w:pStyle w:val="TableText"/>
              <w:rPr>
                <w:highlight w:val="yellow"/>
              </w:rPr>
            </w:pPr>
            <w:r w:rsidRPr="00F51AC1">
              <w:t xml:space="preserve">Point of departure type </w:t>
            </w:r>
          </w:p>
        </w:tc>
        <w:tc>
          <w:tcPr>
            <w:tcW w:w="6681" w:type="dxa"/>
          </w:tcPr>
          <w:p w14:paraId="7A828EFC" w14:textId="1773FA6C" w:rsidR="00E70E19" w:rsidRPr="00F51AC1" w:rsidRDefault="00FF35DA" w:rsidP="00D97A0D">
            <w:pPr>
              <w:pStyle w:val="TableText"/>
              <w:rPr>
                <w:highlight w:val="yellow"/>
              </w:rPr>
            </w:pPr>
            <w:r w:rsidRPr="00FF35DA">
              <w:t>For the human data, EFSA identified a reference point rather than a formal NOAEL or LOAEL. This represented the lowest intake clearly associated with neuropathy after more than 6 months. For the animal data, a LOAEL was identified.</w:t>
            </w:r>
          </w:p>
        </w:tc>
      </w:tr>
      <w:tr w:rsidR="00E70E19" w:rsidRPr="00F51AC1" w14:paraId="0B83E15A" w14:textId="77777777" w:rsidTr="00D97A0D">
        <w:tc>
          <w:tcPr>
            <w:tcW w:w="2386" w:type="dxa"/>
          </w:tcPr>
          <w:p w14:paraId="076BB48A" w14:textId="77777777" w:rsidR="00E70E19" w:rsidRPr="00F51AC1" w:rsidRDefault="00E70E19" w:rsidP="00D97A0D">
            <w:pPr>
              <w:pStyle w:val="TableText"/>
              <w:rPr>
                <w:highlight w:val="yellow"/>
              </w:rPr>
            </w:pPr>
            <w:r w:rsidRPr="00F51AC1">
              <w:t>Point of departure value (include units)</w:t>
            </w:r>
          </w:p>
        </w:tc>
        <w:tc>
          <w:tcPr>
            <w:tcW w:w="6681" w:type="dxa"/>
          </w:tcPr>
          <w:p w14:paraId="49F9B43A" w14:textId="2542AD10" w:rsidR="00E70E19" w:rsidRPr="00F51AC1" w:rsidRDefault="00FF35DA" w:rsidP="00D97A0D">
            <w:pPr>
              <w:pStyle w:val="TableText"/>
            </w:pPr>
            <w:r w:rsidRPr="00FF35DA">
              <w:t>Human RP: 50 mg/day supplemental vitamin B6. Animal LOAEL: 50 mg/kg bw/day in Beagle dogs exposed for approximately 107 days.</w:t>
            </w:r>
          </w:p>
        </w:tc>
      </w:tr>
      <w:tr w:rsidR="00E70E19" w:rsidRPr="00F51AC1" w14:paraId="237D3974" w14:textId="77777777" w:rsidTr="00D97A0D">
        <w:tc>
          <w:tcPr>
            <w:tcW w:w="2386" w:type="dxa"/>
          </w:tcPr>
          <w:p w14:paraId="5D68E9B9" w14:textId="77777777" w:rsidR="00E70E19" w:rsidRPr="00F51AC1" w:rsidRDefault="00E70E19" w:rsidP="00D97A0D">
            <w:pPr>
              <w:pStyle w:val="TableText"/>
            </w:pPr>
            <w:r w:rsidRPr="00F51AC1">
              <w:t>Uncertainty factor(s) &amp; rationale</w:t>
            </w:r>
          </w:p>
        </w:tc>
        <w:tc>
          <w:tcPr>
            <w:tcW w:w="6681" w:type="dxa"/>
          </w:tcPr>
          <w:p w14:paraId="1CDB489C" w14:textId="04811686" w:rsidR="00E70E19" w:rsidRPr="00F51AC1" w:rsidRDefault="00FF35DA" w:rsidP="00D97A0D">
            <w:pPr>
              <w:pStyle w:val="TableText"/>
            </w:pPr>
            <w:r w:rsidRPr="00FF35DA">
              <w:t>For the human data, a total UF of 4 was applied: 2 for the inverse dose-time relationship and 2 for limited data and interindividual variability. EFSA considered this sufficient to also cover background dietary vitamin B6 intake. For the animal data, a total UF of 300 was applied to account for interspecies differences, intraspecies variability, subchronic-to-chronic extrapolation and the absence of a NOAEL.</w:t>
            </w:r>
          </w:p>
        </w:tc>
      </w:tr>
      <w:tr w:rsidR="00E70E19" w:rsidRPr="00F51AC1" w14:paraId="4333D10B" w14:textId="77777777" w:rsidTr="00D97A0D">
        <w:tc>
          <w:tcPr>
            <w:tcW w:w="2386" w:type="dxa"/>
          </w:tcPr>
          <w:p w14:paraId="1611D423" w14:textId="77777777" w:rsidR="00E70E19" w:rsidRPr="00F51AC1" w:rsidRDefault="00E70E19" w:rsidP="00D97A0D">
            <w:pPr>
              <w:pStyle w:val="TableText"/>
            </w:pPr>
            <w:r w:rsidRPr="00F51AC1">
              <w:t>The derivation</w:t>
            </w:r>
            <w:r>
              <w:t xml:space="preserve"> (human)</w:t>
            </w:r>
          </w:p>
        </w:tc>
        <w:tc>
          <w:tcPr>
            <w:tcW w:w="6681" w:type="dxa"/>
          </w:tcPr>
          <w:p w14:paraId="4503F0A5" w14:textId="77777777" w:rsidR="00E70E19" w:rsidRPr="00F51AC1" w:rsidRDefault="00E70E19" w:rsidP="00D97A0D">
            <w:pPr>
              <w:pStyle w:val="TableText"/>
            </w:pPr>
            <w:r w:rsidRPr="003932B7">
              <w:t>RP (50 mg/day) ÷ UF (4) = 12.5 mg/day</w:t>
            </w:r>
          </w:p>
        </w:tc>
      </w:tr>
      <w:tr w:rsidR="00E70E19" w:rsidRPr="00F51AC1" w14:paraId="0391854C" w14:textId="77777777" w:rsidTr="00D97A0D">
        <w:tc>
          <w:tcPr>
            <w:tcW w:w="2386" w:type="dxa"/>
          </w:tcPr>
          <w:p w14:paraId="35E76A70" w14:textId="77777777" w:rsidR="00E70E19" w:rsidRPr="00F51AC1" w:rsidRDefault="00E70E19" w:rsidP="00D97A0D">
            <w:pPr>
              <w:pStyle w:val="TableText"/>
            </w:pPr>
            <w:r>
              <w:t>The derivation (animal)</w:t>
            </w:r>
          </w:p>
        </w:tc>
        <w:tc>
          <w:tcPr>
            <w:tcW w:w="6681" w:type="dxa"/>
          </w:tcPr>
          <w:p w14:paraId="09EB238E" w14:textId="77777777" w:rsidR="00E70E19" w:rsidRDefault="00E70E19" w:rsidP="00D97A0D">
            <w:pPr>
              <w:pStyle w:val="TableText"/>
            </w:pPr>
            <w:r w:rsidRPr="003932B7">
              <w:t>LOAEL (50 mg/kg bw/day) ÷ UF (300) = 0.17 mg/kg bw/day × default bw (70 kg) = 11.7 mg/day</w:t>
            </w:r>
          </w:p>
          <w:p w14:paraId="1CCE1F7E" w14:textId="77777777" w:rsidR="00FF35DA" w:rsidRDefault="00E70E19" w:rsidP="00D97A0D">
            <w:pPr>
              <w:pStyle w:val="TableText"/>
            </w:pPr>
            <w:r w:rsidRPr="003932B7">
              <w:t xml:space="preserve">Midpoint of 12.5 and 11.7 = ~12.1; rounded down = 12 mg/day. </w:t>
            </w:r>
            <w:r w:rsidR="00FF35DA" w:rsidRPr="00FF35DA">
              <w:t xml:space="preserve">The </w:t>
            </w:r>
          </w:p>
          <w:p w14:paraId="1CBFC266" w14:textId="548210DF" w:rsidR="00E70E19" w:rsidRPr="003932B7" w:rsidRDefault="00FF35DA" w:rsidP="00D97A0D">
            <w:pPr>
              <w:pStyle w:val="TableText"/>
            </w:pPr>
            <w:r w:rsidRPr="00FF35DA">
              <w:t>agreement between the human and animal approaches increased confidence in the UL.</w:t>
            </w:r>
          </w:p>
        </w:tc>
      </w:tr>
      <w:tr w:rsidR="00E70E19" w:rsidRPr="00F51AC1" w14:paraId="28708434" w14:textId="77777777" w:rsidTr="00D97A0D">
        <w:tc>
          <w:tcPr>
            <w:tcW w:w="2386" w:type="dxa"/>
          </w:tcPr>
          <w:p w14:paraId="00B3579B" w14:textId="77777777" w:rsidR="00E70E19" w:rsidRDefault="00E70E19" w:rsidP="00D97A0D">
            <w:pPr>
              <w:pStyle w:val="TableText"/>
            </w:pPr>
            <w:r>
              <w:t>Guidance value type</w:t>
            </w:r>
          </w:p>
        </w:tc>
        <w:tc>
          <w:tcPr>
            <w:tcW w:w="6681" w:type="dxa"/>
          </w:tcPr>
          <w:p w14:paraId="7B34821D" w14:textId="77777777" w:rsidR="00E70E19" w:rsidRPr="003932B7" w:rsidRDefault="00E70E19" w:rsidP="00D97A0D">
            <w:pPr>
              <w:pStyle w:val="TableText"/>
            </w:pPr>
            <w:r w:rsidRPr="003932B7">
              <w:t>Tolerable Upper Intake Level (UL)</w:t>
            </w:r>
          </w:p>
        </w:tc>
      </w:tr>
      <w:tr w:rsidR="00E70E19" w:rsidRPr="00F51AC1" w14:paraId="353D201B" w14:textId="77777777" w:rsidTr="00D97A0D">
        <w:tc>
          <w:tcPr>
            <w:tcW w:w="2386" w:type="dxa"/>
          </w:tcPr>
          <w:p w14:paraId="7F8C9308" w14:textId="77777777" w:rsidR="00E70E19" w:rsidRPr="00F51AC1" w:rsidRDefault="00E70E19" w:rsidP="00D97A0D">
            <w:pPr>
              <w:pStyle w:val="TableText"/>
              <w:rPr>
                <w:highlight w:val="yellow"/>
              </w:rPr>
            </w:pPr>
            <w:r w:rsidRPr="00F51AC1">
              <w:t>Guidance value (include units)</w:t>
            </w:r>
          </w:p>
        </w:tc>
        <w:tc>
          <w:tcPr>
            <w:tcW w:w="6681" w:type="dxa"/>
          </w:tcPr>
          <w:p w14:paraId="56BD3F95" w14:textId="1FF382AC" w:rsidR="00E70E19" w:rsidRPr="003932B7" w:rsidRDefault="00FF35DA" w:rsidP="00D97A0D">
            <w:pPr>
              <w:pStyle w:val="TableText"/>
              <w:rPr>
                <w:highlight w:val="yellow"/>
              </w:rPr>
            </w:pPr>
            <w:r w:rsidRPr="00FF35DA">
              <w:t>Adults, including pregnant and lactating women: 12 mg/day for total vitamin B6 intake from all dietary and supplemental sources. No specific increased susceptibility was identified during pregnancy or lactation. Anti-lactogenic effects occur at much higher intakes (450–600 mg/day). Children and adolescents: ULs were derived by allometric scaling from the adult UL: 3.2 mg/day</w:t>
            </w:r>
            <w:r>
              <w:t xml:space="preserve"> (</w:t>
            </w:r>
            <w:r w:rsidRPr="00FF35DA">
              <w:t>1–3 years</w:t>
            </w:r>
            <w:r>
              <w:t>)</w:t>
            </w:r>
            <w:r w:rsidRPr="00FF35DA">
              <w:t>; 4.5 mg/day</w:t>
            </w:r>
            <w:r>
              <w:t xml:space="preserve"> (</w:t>
            </w:r>
            <w:r w:rsidRPr="00FF35DA">
              <w:t>4–6 years</w:t>
            </w:r>
            <w:r>
              <w:t>)</w:t>
            </w:r>
            <w:r w:rsidRPr="00FF35DA">
              <w:t>; 6.1 mg/day</w:t>
            </w:r>
            <w:r>
              <w:t xml:space="preserve"> (</w:t>
            </w:r>
            <w:r w:rsidRPr="00FF35DA">
              <w:t>7–10 years</w:t>
            </w:r>
            <w:r>
              <w:t>)</w:t>
            </w:r>
            <w:r w:rsidRPr="00FF35DA">
              <w:t>; 8.6 mg/day</w:t>
            </w:r>
            <w:r>
              <w:t xml:space="preserve"> (</w:t>
            </w:r>
            <w:r w:rsidRPr="00FF35DA">
              <w:t>11–14 years</w:t>
            </w:r>
            <w:r>
              <w:t>)</w:t>
            </w:r>
            <w:r w:rsidRPr="00FF35DA">
              <w:t>; 10.7 mg/day</w:t>
            </w:r>
            <w:r>
              <w:t xml:space="preserve"> (</w:t>
            </w:r>
            <w:r w:rsidRPr="00FF35DA">
              <w:t>15–17 years</w:t>
            </w:r>
            <w:r>
              <w:t>)</w:t>
            </w:r>
            <w:r w:rsidRPr="00FF35DA">
              <w:t xml:space="preserve">. </w:t>
            </w:r>
            <w:r w:rsidRPr="00FF35DA">
              <w:lastRenderedPageBreak/>
              <w:t>Infants: 2.2 mg/day</w:t>
            </w:r>
            <w:r>
              <w:t xml:space="preserve"> (</w:t>
            </w:r>
            <w:r w:rsidRPr="00FF35DA">
              <w:t>4–6 months</w:t>
            </w:r>
            <w:r>
              <w:t>)</w:t>
            </w:r>
            <w:r w:rsidRPr="00FF35DA">
              <w:t>; 2.5 mg/day</w:t>
            </w:r>
            <w:r>
              <w:t xml:space="preserve"> (</w:t>
            </w:r>
            <w:r w:rsidRPr="00FF35DA">
              <w:t>7–11 months</w:t>
            </w:r>
            <w:r>
              <w:t>)</w:t>
            </w:r>
            <w:r w:rsidRPr="00FF35DA">
              <w:t>. No UL was set for infants under 4 months.</w:t>
            </w:r>
          </w:p>
        </w:tc>
      </w:tr>
      <w:tr w:rsidR="00E70E19" w:rsidRPr="00F51AC1" w14:paraId="4C3F9967" w14:textId="77777777" w:rsidTr="00D97A0D">
        <w:tc>
          <w:tcPr>
            <w:tcW w:w="2386" w:type="dxa"/>
          </w:tcPr>
          <w:p w14:paraId="050571A5" w14:textId="77777777" w:rsidR="00E70E19" w:rsidRPr="00F51AC1" w:rsidRDefault="00E70E19" w:rsidP="00D97A0D">
            <w:pPr>
              <w:pStyle w:val="TableText"/>
              <w:rPr>
                <w:highlight w:val="yellow"/>
              </w:rPr>
            </w:pPr>
            <w:r w:rsidRPr="00F51AC1">
              <w:lastRenderedPageBreak/>
              <w:t>Mode of action for critical health endpoint</w:t>
            </w:r>
          </w:p>
        </w:tc>
        <w:tc>
          <w:tcPr>
            <w:tcW w:w="6681" w:type="dxa"/>
          </w:tcPr>
          <w:p w14:paraId="3CE58582" w14:textId="1BD2F0BB" w:rsidR="00E70E19" w:rsidRPr="00F51AC1" w:rsidRDefault="00FF35DA" w:rsidP="00D97A0D">
            <w:pPr>
              <w:pStyle w:val="TableText"/>
              <w:rPr>
                <w:highlight w:val="yellow"/>
              </w:rPr>
            </w:pPr>
            <w:r w:rsidRPr="00FF35DA">
              <w:t>The exact mechanism is not known. The main hypotheses are that high pyridoxine intake may disrupt vitamin B6 metabolism, leading to accumulation of free pyridoxine or reduced PLP availability. This may affect GABA synthesis and increase excitability of dorsal root ganglia neurons, contributing to neuronal injury and peripheral neuropathy. Animal studies show damage involving axonal degeneration, myelin breakdown and cytoplasmic vacuolisation, with early lesions in the dorsal root ganglia.</w:t>
            </w:r>
          </w:p>
        </w:tc>
      </w:tr>
      <w:tr w:rsidR="00E70E19" w:rsidRPr="00F51AC1" w14:paraId="0BCACFAB" w14:textId="77777777" w:rsidTr="00D97A0D">
        <w:tc>
          <w:tcPr>
            <w:tcW w:w="2386" w:type="dxa"/>
          </w:tcPr>
          <w:p w14:paraId="3EECE1B4" w14:textId="77777777" w:rsidR="00E70E19" w:rsidRPr="00F51AC1" w:rsidRDefault="00E70E19" w:rsidP="00D97A0D">
            <w:pPr>
              <w:pStyle w:val="TableText"/>
            </w:pPr>
            <w:r w:rsidRPr="00F51AC1">
              <w:t>Genotoxic oral carcinogen?</w:t>
            </w:r>
          </w:p>
        </w:tc>
        <w:tc>
          <w:tcPr>
            <w:tcW w:w="6681" w:type="dxa"/>
          </w:tcPr>
          <w:p w14:paraId="209B95B4" w14:textId="77777777" w:rsidR="00E70E19" w:rsidRPr="00F51AC1" w:rsidRDefault="00E70E19" w:rsidP="00D97A0D">
            <w:pPr>
              <w:pStyle w:val="TableText"/>
            </w:pPr>
            <w:r w:rsidRPr="003932B7">
              <w:t>Not identified</w:t>
            </w:r>
            <w:r>
              <w:t>.</w:t>
            </w:r>
          </w:p>
        </w:tc>
      </w:tr>
      <w:tr w:rsidR="00E70E19" w:rsidRPr="00F51AC1" w14:paraId="671A35E0" w14:textId="77777777" w:rsidTr="00D97A0D">
        <w:tc>
          <w:tcPr>
            <w:tcW w:w="2386" w:type="dxa"/>
          </w:tcPr>
          <w:p w14:paraId="7E8D8C37" w14:textId="77777777" w:rsidR="00E70E19" w:rsidRPr="00F51AC1" w:rsidRDefault="00E70E19" w:rsidP="00D97A0D">
            <w:pPr>
              <w:pStyle w:val="TableText"/>
            </w:pPr>
            <w:r w:rsidRPr="00F51AC1">
              <w:t>Identified sensitive sub-populations</w:t>
            </w:r>
          </w:p>
        </w:tc>
        <w:tc>
          <w:tcPr>
            <w:tcW w:w="6681" w:type="dxa"/>
          </w:tcPr>
          <w:p w14:paraId="1749038F" w14:textId="266A8D18" w:rsidR="00E70E19" w:rsidRPr="00F51AC1" w:rsidRDefault="00FF35DA" w:rsidP="00D97A0D">
            <w:pPr>
              <w:pStyle w:val="TableText"/>
            </w:pPr>
            <w:r w:rsidRPr="00FF35DA">
              <w:t>Regular users of high-dose vitamin B6 supplements are the group most likely to exceed the UL. People with genetic differences affecting vitamin B6 metabolism may be more susceptible, although this is not well characterised. Women using high-dose vitamin B6 for PMS were the main population in the available human evidence. No specific increased susceptibility was identified for children, infants, pregnant or lactating women, older adults, or men.</w:t>
            </w:r>
          </w:p>
        </w:tc>
      </w:tr>
      <w:tr w:rsidR="00E70E19" w:rsidRPr="00F51AC1" w14:paraId="0379D6EA" w14:textId="77777777" w:rsidTr="00D97A0D">
        <w:tc>
          <w:tcPr>
            <w:tcW w:w="2386" w:type="dxa"/>
          </w:tcPr>
          <w:p w14:paraId="7391C3AA" w14:textId="77777777" w:rsidR="00E70E19" w:rsidRPr="00F51AC1" w:rsidRDefault="00E70E19" w:rsidP="00D97A0D">
            <w:pPr>
              <w:pStyle w:val="TableText"/>
            </w:pPr>
            <w:r w:rsidRPr="003932B7">
              <w:t>Dose–response characterisation</w:t>
            </w:r>
          </w:p>
        </w:tc>
        <w:tc>
          <w:tcPr>
            <w:tcW w:w="6681" w:type="dxa"/>
          </w:tcPr>
          <w:p w14:paraId="3A0C432D" w14:textId="026163BD" w:rsidR="00E70E19" w:rsidRPr="003932B7" w:rsidRDefault="00FF35DA" w:rsidP="00D97A0D">
            <w:pPr>
              <w:pStyle w:val="TableText"/>
            </w:pPr>
            <w:r w:rsidRPr="00FF35DA">
              <w:t xml:space="preserve">Dalton &amp; Dalton (1987) showed a dose-related increase in peripheral neuropathy. Human and animal data also suggest an inverse dose-time relationship, where higher doses cause symptoms sooner. A formal NOAEL or LOAEL could not be identified from the human data, and dose-response modelling was not possible due to differences between studies. </w:t>
            </w:r>
          </w:p>
        </w:tc>
      </w:tr>
      <w:tr w:rsidR="00E70E19" w:rsidRPr="00F51AC1" w14:paraId="6266E5EA" w14:textId="77777777" w:rsidTr="00D97A0D">
        <w:tc>
          <w:tcPr>
            <w:tcW w:w="2386" w:type="dxa"/>
          </w:tcPr>
          <w:p w14:paraId="74368002" w14:textId="77777777" w:rsidR="00E70E19" w:rsidRPr="003932B7" w:rsidRDefault="00E70E19" w:rsidP="00D97A0D">
            <w:pPr>
              <w:pStyle w:val="TableText"/>
            </w:pPr>
            <w:r w:rsidRPr="003932B7">
              <w:t>Recommendations for future research</w:t>
            </w:r>
          </w:p>
        </w:tc>
        <w:tc>
          <w:tcPr>
            <w:tcW w:w="6681" w:type="dxa"/>
          </w:tcPr>
          <w:p w14:paraId="69D9C4FC" w14:textId="7A1E657C" w:rsidR="00E70E19" w:rsidRPr="003932B7" w:rsidRDefault="00FF35DA" w:rsidP="00D97A0D">
            <w:pPr>
              <w:pStyle w:val="TableText"/>
            </w:pPr>
            <w:r w:rsidRPr="00FF35DA">
              <w:t>Further research is needed on differences between vitamin B6 vitamers, toxicokinetics and toxicodynamics, genetic susceptibility, the influence of age, sex and epigenetics, and the possible role of high vitamin B6 intake in bone health.</w:t>
            </w:r>
          </w:p>
        </w:tc>
      </w:tr>
      <w:tr w:rsidR="00E70E19" w:rsidRPr="00F51AC1" w14:paraId="560B8217" w14:textId="77777777" w:rsidTr="00D97A0D">
        <w:tc>
          <w:tcPr>
            <w:tcW w:w="2386" w:type="dxa"/>
          </w:tcPr>
          <w:p w14:paraId="208F3134" w14:textId="77777777" w:rsidR="00E70E19" w:rsidRPr="00F51AC1" w:rsidRDefault="00E70E19" w:rsidP="00D97A0D">
            <w:pPr>
              <w:pStyle w:val="TableText"/>
            </w:pPr>
            <w:r w:rsidRPr="00F51AC1">
              <w:t>Any non-health-based considerations?</w:t>
            </w:r>
          </w:p>
        </w:tc>
        <w:tc>
          <w:tcPr>
            <w:tcW w:w="6681" w:type="dxa"/>
          </w:tcPr>
          <w:p w14:paraId="305F60A6" w14:textId="77777777" w:rsidR="00E70E19" w:rsidRPr="00F51AC1" w:rsidRDefault="00E70E19" w:rsidP="00D97A0D">
            <w:pPr>
              <w:pStyle w:val="TableText"/>
            </w:pPr>
            <w:r w:rsidRPr="003932B7">
              <w:t>None stated.</w:t>
            </w:r>
          </w:p>
        </w:tc>
      </w:tr>
    </w:tbl>
    <w:p w14:paraId="4414757F" w14:textId="77777777" w:rsidR="00E70E19" w:rsidRDefault="00E70E19" w:rsidP="00E70E19">
      <w:pPr>
        <w:rPr>
          <w:b/>
          <w:bCs/>
        </w:rPr>
      </w:pPr>
    </w:p>
    <w:p w14:paraId="5665CA5D" w14:textId="6FDCCC99" w:rsidR="00796732" w:rsidRPr="00796732" w:rsidRDefault="00796732" w:rsidP="002F52EF">
      <w:pPr>
        <w:pStyle w:val="Heading9"/>
        <w:numPr>
          <w:ilvl w:val="0"/>
          <w:numId w:val="0"/>
        </w:numPr>
        <w:ind w:left="864"/>
        <w:sectPr w:rsidR="00796732" w:rsidRPr="00796732" w:rsidSect="00E70E19">
          <w:headerReference w:type="default" r:id="rId72"/>
          <w:footerReference w:type="default" r:id="rId73"/>
          <w:pgSz w:w="11909" w:h="16834" w:code="9"/>
          <w:pgMar w:top="1440" w:right="1440" w:bottom="1440" w:left="1440" w:header="576" w:footer="576" w:gutter="0"/>
          <w:pgNumType w:start="1" w:chapStyle="7"/>
          <w:cols w:space="720"/>
          <w:docGrid w:linePitch="360"/>
        </w:sectPr>
      </w:pPr>
    </w:p>
    <w:p w14:paraId="3BBC7CE5" w14:textId="04F5A517" w:rsidR="00554A89" w:rsidRPr="00AC1BC7" w:rsidRDefault="00554A89" w:rsidP="00554A89">
      <w:pPr>
        <w:pStyle w:val="Heading7"/>
      </w:pPr>
      <w:bookmarkStart w:id="71" w:name="_Ref231994888"/>
      <w:bookmarkStart w:id="72" w:name="_Toc233022889"/>
      <w:bookmarkEnd w:id="66"/>
      <w:bookmarkEnd w:id="67"/>
      <w:bookmarkEnd w:id="68"/>
      <w:r w:rsidRPr="002A62C0">
        <w:lastRenderedPageBreak/>
        <w:t xml:space="preserve">Data </w:t>
      </w:r>
      <w:r>
        <w:t>E</w:t>
      </w:r>
      <w:r w:rsidRPr="002A62C0">
        <w:t xml:space="preserve">xtraction </w:t>
      </w:r>
      <w:r>
        <w:t>T</w:t>
      </w:r>
      <w:r w:rsidRPr="002A62C0">
        <w:t xml:space="preserve">ables – </w:t>
      </w:r>
      <w:r>
        <w:t xml:space="preserve">Evidence </w:t>
      </w:r>
      <w:r w:rsidR="00782D42">
        <w:t>Review</w:t>
      </w:r>
      <w:r>
        <w:t xml:space="preserve"> for Recent (Health-based) Studies</w:t>
      </w:r>
      <w:bookmarkEnd w:id="71"/>
      <w:bookmarkEnd w:id="72"/>
    </w:p>
    <w:p w14:paraId="293B1B47" w14:textId="3C7F9674" w:rsidR="00A43831" w:rsidRPr="008371FA" w:rsidRDefault="00A43831" w:rsidP="00A43831">
      <w:pPr>
        <w:pStyle w:val="CoverTitleXref"/>
        <w:rPr>
          <w:noProof w:val="0"/>
        </w:rPr>
      </w:pPr>
      <w:r w:rsidRPr="008371FA">
        <w:rPr>
          <w:noProof w:val="0"/>
        </w:rPr>
        <w:fldChar w:fldCharType="begin"/>
      </w:r>
      <w:r w:rsidRPr="008371FA">
        <w:rPr>
          <w:noProof w:val="0"/>
        </w:rPr>
        <w:instrText xml:space="preserve"> STYLEREF  "Cover Title"  \* MERGEFORMAT </w:instrText>
      </w:r>
      <w:r w:rsidRPr="008371FA">
        <w:rPr>
          <w:noProof w:val="0"/>
        </w:rPr>
        <w:fldChar w:fldCharType="separate"/>
      </w:r>
      <w:r w:rsidR="00A41FEF">
        <w:t>Evidence Evaluations for Vitamin B6 Upper Level (UL)</w:t>
      </w:r>
      <w:r w:rsidRPr="008371FA">
        <w:rPr>
          <w:noProof w:val="0"/>
        </w:rPr>
        <w:fldChar w:fldCharType="end"/>
      </w:r>
    </w:p>
    <w:p w14:paraId="5B9234E1" w14:textId="0AAA4896" w:rsidR="00A43831" w:rsidRPr="008371FA" w:rsidRDefault="003C21C4" w:rsidP="00A43831">
      <w:pPr>
        <w:pStyle w:val="CoverSubtitleXref"/>
      </w:pPr>
      <w:fldSimple w:instr=" STYLEREF  &quot;Cover Subtitle&quot;  \* MERGEFORMAT ">
        <w:r w:rsidR="00A41FEF">
          <w:rPr>
            <w:noProof/>
          </w:rPr>
          <w:t>Vitamin B6 Upper Level (UL) Technical Report</w:t>
        </w:r>
      </w:fldSimple>
    </w:p>
    <w:p w14:paraId="13037D86" w14:textId="015BFBEC" w:rsidR="00A43831" w:rsidRPr="008371FA" w:rsidRDefault="003C21C4" w:rsidP="00A43831">
      <w:pPr>
        <w:pStyle w:val="CoverClientRef"/>
      </w:pPr>
      <w:fldSimple w:instr=" STYLEREF  &quot;Cover Client Name&quot;  \* MERGEFORMAT ">
        <w:r w:rsidR="00A41FEF">
          <w:rPr>
            <w:noProof/>
          </w:rPr>
          <w:t>National Health and Medical Research Council</w:t>
        </w:r>
      </w:fldSimple>
    </w:p>
    <w:p w14:paraId="07F332BC" w14:textId="5AE33CF2" w:rsidR="00A43831" w:rsidRPr="008371FA" w:rsidRDefault="003C21C4" w:rsidP="00A43831">
      <w:pPr>
        <w:pStyle w:val="CoverProjectXref"/>
      </w:pPr>
      <w:fldSimple w:instr=" STYLEREF  &quot;Cover Project Number&quot;  \* MERGEFORMAT ">
        <w:r w:rsidR="00A41FEF">
          <w:rPr>
            <w:noProof/>
          </w:rPr>
          <w:t>SLR Project No.: 640.032359.00001</w:t>
        </w:r>
      </w:fldSimple>
    </w:p>
    <w:p w14:paraId="5511E270" w14:textId="2D8EDA0D" w:rsidR="00420B12" w:rsidRPr="008371FA" w:rsidRDefault="003C21C4" w:rsidP="00A43831">
      <w:pPr>
        <w:pStyle w:val="CoverProjectXref"/>
      </w:pPr>
      <w:fldSimple w:instr=" STYLEREF  &quot;Cover Date&quot;  \* MERGEFORMAT ">
        <w:r w:rsidR="00A41FEF">
          <w:rPr>
            <w:noProof/>
          </w:rPr>
          <w:t>7 August 2026</w:t>
        </w:r>
      </w:fldSimple>
    </w:p>
    <w:p w14:paraId="0B2A3897" w14:textId="77777777" w:rsidR="00554A89" w:rsidRPr="008371FA" w:rsidRDefault="00554A89" w:rsidP="00554A89">
      <w:pPr>
        <w:pStyle w:val="BodyText"/>
      </w:pPr>
    </w:p>
    <w:p w14:paraId="6DC9B83E" w14:textId="77777777" w:rsidR="00554A89" w:rsidRPr="008371FA" w:rsidRDefault="00554A89" w:rsidP="00554A89">
      <w:pPr>
        <w:pStyle w:val="BodyText"/>
        <w:sectPr w:rsidR="00554A89" w:rsidRPr="008371FA" w:rsidSect="00554A89">
          <w:headerReference w:type="default" r:id="rId74"/>
          <w:footerReference w:type="default" r:id="rId75"/>
          <w:headerReference w:type="first" r:id="rId76"/>
          <w:footerReference w:type="first" r:id="rId77"/>
          <w:pgSz w:w="11909" w:h="16834" w:code="9"/>
          <w:pgMar w:top="1440" w:right="1440" w:bottom="1440" w:left="1440" w:header="576" w:footer="576" w:gutter="0"/>
          <w:pgNumType w:start="1" w:chapStyle="7"/>
          <w:cols w:space="720"/>
          <w:docGrid w:linePitch="360"/>
        </w:sectPr>
      </w:pPr>
    </w:p>
    <w:p w14:paraId="060D37F5" w14:textId="58D38711" w:rsidR="00554A89" w:rsidRPr="00DE6EC1" w:rsidRDefault="00554A89" w:rsidP="00554A89">
      <w:pPr>
        <w:pStyle w:val="BodyText"/>
        <w:rPr>
          <w:bCs/>
          <w:sz w:val="28"/>
          <w:szCs w:val="24"/>
        </w:rPr>
      </w:pPr>
      <w:r w:rsidRPr="00DE6EC1">
        <w:rPr>
          <w:b/>
          <w:bCs/>
          <w:sz w:val="28"/>
          <w:szCs w:val="24"/>
        </w:rPr>
        <w:lastRenderedPageBreak/>
        <w:t xml:space="preserve">Recent Health-Based Studies for </w:t>
      </w:r>
      <w:r w:rsidR="00515309">
        <w:rPr>
          <w:b/>
          <w:bCs/>
          <w:sz w:val="28"/>
          <w:szCs w:val="24"/>
        </w:rPr>
        <w:t>Vitamin B6</w:t>
      </w:r>
    </w:p>
    <w:p w14:paraId="4428676E" w14:textId="55465AEA" w:rsidR="00554A89" w:rsidRDefault="00554A89" w:rsidP="00554A89">
      <w:pPr>
        <w:pStyle w:val="BodyText"/>
        <w:rPr>
          <w:b/>
          <w:bCs/>
        </w:rPr>
      </w:pPr>
      <w:bookmarkStart w:id="73" w:name="_Toc233022890"/>
      <w:r w:rsidRPr="001F3274">
        <w:rPr>
          <w:rStyle w:val="Heading8Char"/>
        </w:rPr>
        <w:t>E.1</w:t>
      </w:r>
      <w:bookmarkEnd w:id="73"/>
      <w:r w:rsidRPr="001F3274">
        <w:rPr>
          <w:b/>
          <w:bCs/>
        </w:rPr>
        <w:t xml:space="preserve"> </w:t>
      </w:r>
      <w:r>
        <w:rPr>
          <w:b/>
          <w:bCs/>
        </w:rPr>
        <w:t xml:space="preserve">Health-based evidence </w:t>
      </w:r>
      <w:r w:rsidR="00782D42">
        <w:rPr>
          <w:b/>
          <w:bCs/>
        </w:rPr>
        <w:t>review</w:t>
      </w:r>
      <w:r w:rsidR="00DE6EC1">
        <w:rPr>
          <w:b/>
          <w:bCs/>
        </w:rPr>
        <w:t xml:space="preserve"> </w:t>
      </w:r>
    </w:p>
    <w:p w14:paraId="494D24A0" w14:textId="1EB7FCAA" w:rsidR="00644CDA" w:rsidRDefault="00EC6EE1" w:rsidP="00515309">
      <w:pPr>
        <w:pStyle w:val="Heading9"/>
      </w:pPr>
      <w:bookmarkStart w:id="74" w:name="_Toc233022891"/>
      <w:r w:rsidRPr="00EC6EE1">
        <w:t>Paluszny and Qiu.</w:t>
      </w:r>
      <w:r w:rsidR="00091690">
        <w:t>,</w:t>
      </w:r>
      <w:r w:rsidR="00515309">
        <w:t xml:space="preserve"> 2023</w:t>
      </w:r>
      <w:bookmarkEnd w:id="74"/>
    </w:p>
    <w:p w14:paraId="018A6E97" w14:textId="77777777" w:rsidR="00515309" w:rsidRPr="00FF26BF" w:rsidRDefault="00515309" w:rsidP="00515309">
      <w:pPr>
        <w:keepNext/>
        <w:spacing w:before="240"/>
        <w:ind w:left="1080" w:hanging="1080"/>
        <w:rPr>
          <w:rFonts w:eastAsia="Calibri" w:cs="Arial"/>
          <w:b/>
          <w:bCs/>
          <w:sz w:val="20"/>
        </w:rPr>
      </w:pPr>
      <w:r w:rsidRPr="00FF26BF">
        <w:rPr>
          <w:rFonts w:eastAsia="Calibri" w:cs="Arial"/>
          <w:b/>
          <w:bCs/>
          <w:sz w:val="20"/>
        </w:rPr>
        <w:t>Study identification and design</w:t>
      </w:r>
    </w:p>
    <w:tbl>
      <w:tblPr>
        <w:tblStyle w:val="SLROption1"/>
        <w:tblW w:w="5000" w:type="pct"/>
        <w:tblLook w:val="0000" w:firstRow="0" w:lastRow="0" w:firstColumn="0" w:lastColumn="0" w:noHBand="0" w:noVBand="0"/>
      </w:tblPr>
      <w:tblGrid>
        <w:gridCol w:w="3628"/>
        <w:gridCol w:w="10316"/>
      </w:tblGrid>
      <w:tr w:rsidR="00515309" w:rsidRPr="00FF26BF" w14:paraId="68BE0C2B" w14:textId="77777777" w:rsidTr="00F74F30">
        <w:tc>
          <w:tcPr>
            <w:tcW w:w="1301" w:type="pct"/>
            <w:shd w:val="clear" w:color="auto" w:fill="3C533C"/>
          </w:tcPr>
          <w:p w14:paraId="36C14E61" w14:textId="77777777" w:rsidR="00515309" w:rsidRPr="00FF26BF" w:rsidRDefault="00515309" w:rsidP="00F74F30">
            <w:pPr>
              <w:spacing w:after="0"/>
              <w:rPr>
                <w:rFonts w:cs="Arial"/>
                <w:sz w:val="20"/>
              </w:rPr>
            </w:pPr>
            <w:r w:rsidRPr="00FF26BF">
              <w:rPr>
                <w:rFonts w:eastAsia="Calibri" w:cs="Arial"/>
                <w:b/>
                <w:bCs/>
                <w:color w:val="FFFFFF"/>
                <w:sz w:val="20"/>
              </w:rPr>
              <w:t>Field</w:t>
            </w:r>
          </w:p>
        </w:tc>
        <w:tc>
          <w:tcPr>
            <w:tcW w:w="3699" w:type="pct"/>
            <w:shd w:val="clear" w:color="auto" w:fill="3C533C"/>
          </w:tcPr>
          <w:p w14:paraId="30E8A992" w14:textId="77777777" w:rsidR="00515309" w:rsidRPr="00FF26BF" w:rsidRDefault="00515309" w:rsidP="00F74F30">
            <w:pPr>
              <w:spacing w:after="0"/>
              <w:rPr>
                <w:rFonts w:cs="Arial"/>
                <w:sz w:val="20"/>
              </w:rPr>
            </w:pPr>
            <w:r w:rsidRPr="00FF26BF">
              <w:rPr>
                <w:rFonts w:eastAsia="Calibri" w:cs="Arial"/>
                <w:b/>
                <w:bCs/>
                <w:color w:val="FFFFFF"/>
                <w:sz w:val="20"/>
              </w:rPr>
              <w:t>Extracted information</w:t>
            </w:r>
          </w:p>
        </w:tc>
      </w:tr>
      <w:tr w:rsidR="00515309" w:rsidRPr="00FF26BF" w14:paraId="59D83DAA" w14:textId="77777777" w:rsidTr="00F74F30">
        <w:tc>
          <w:tcPr>
            <w:tcW w:w="1301" w:type="pct"/>
            <w:shd w:val="clear" w:color="auto" w:fill="F6FDE9"/>
          </w:tcPr>
          <w:p w14:paraId="5DE5CE6C" w14:textId="77777777" w:rsidR="00515309" w:rsidRPr="00FF26BF" w:rsidRDefault="00515309" w:rsidP="00F74F30">
            <w:pPr>
              <w:spacing w:after="0"/>
              <w:rPr>
                <w:rFonts w:cs="Arial"/>
                <w:sz w:val="20"/>
              </w:rPr>
            </w:pPr>
            <w:r w:rsidRPr="00FF26BF">
              <w:rPr>
                <w:rFonts w:eastAsia="Calibri" w:cs="Arial"/>
                <w:b/>
                <w:bCs/>
                <w:sz w:val="20"/>
              </w:rPr>
              <w:t>Citation</w:t>
            </w:r>
          </w:p>
        </w:tc>
        <w:tc>
          <w:tcPr>
            <w:tcW w:w="3699" w:type="pct"/>
          </w:tcPr>
          <w:p w14:paraId="542CE84A" w14:textId="77777777" w:rsidR="00515309" w:rsidRPr="00FF26BF" w:rsidRDefault="00515309" w:rsidP="00F74F30">
            <w:pPr>
              <w:spacing w:after="0"/>
              <w:rPr>
                <w:rFonts w:cs="Arial"/>
                <w:sz w:val="20"/>
              </w:rPr>
            </w:pPr>
            <w:r w:rsidRPr="00FF26BF">
              <w:rPr>
                <w:rFonts w:eastAsia="Calibri" w:cs="Arial"/>
                <w:sz w:val="20"/>
              </w:rPr>
              <w:t>Paluszny, A., &amp; Qiu, S. (2023). Vitamin B6 toxicity secondary to daily multivitamin use: A case report. Cureus, 15(11), e48792. https://doi.org/10.7759/cureus.48792</w:t>
            </w:r>
          </w:p>
        </w:tc>
      </w:tr>
      <w:tr w:rsidR="00515309" w:rsidRPr="00FF26BF" w14:paraId="49DE8C99" w14:textId="77777777" w:rsidTr="00F74F30">
        <w:tc>
          <w:tcPr>
            <w:tcW w:w="1301" w:type="pct"/>
            <w:shd w:val="clear" w:color="auto" w:fill="F6FDE9"/>
          </w:tcPr>
          <w:p w14:paraId="57C29A58" w14:textId="77777777" w:rsidR="00515309" w:rsidRPr="00FF26BF" w:rsidRDefault="00515309" w:rsidP="00F74F30">
            <w:pPr>
              <w:spacing w:after="0"/>
              <w:rPr>
                <w:rFonts w:cs="Arial"/>
                <w:sz w:val="20"/>
              </w:rPr>
            </w:pPr>
            <w:r w:rsidRPr="00FF26BF">
              <w:rPr>
                <w:rFonts w:eastAsia="Calibri" w:cs="Arial"/>
                <w:b/>
                <w:bCs/>
                <w:sz w:val="20"/>
              </w:rPr>
              <w:t>Publication status</w:t>
            </w:r>
          </w:p>
        </w:tc>
        <w:tc>
          <w:tcPr>
            <w:tcW w:w="3699" w:type="pct"/>
          </w:tcPr>
          <w:p w14:paraId="5FA7F7E9" w14:textId="77777777" w:rsidR="00515309" w:rsidRPr="00FF26BF" w:rsidRDefault="00515309" w:rsidP="00F74F30">
            <w:pPr>
              <w:spacing w:after="0"/>
              <w:rPr>
                <w:rFonts w:cs="Arial"/>
                <w:sz w:val="20"/>
              </w:rPr>
            </w:pPr>
            <w:r w:rsidRPr="00FF26BF">
              <w:rPr>
                <w:rFonts w:eastAsia="Calibri" w:cs="Arial"/>
                <w:sz w:val="20"/>
              </w:rPr>
              <w:t>Published, peer-reviewed (Cureus open-access journal). Review began 26 October 2023; review ended 8 November 2023; published 14 November 2023. Open access.</w:t>
            </w:r>
          </w:p>
        </w:tc>
      </w:tr>
      <w:tr w:rsidR="00515309" w:rsidRPr="00FF26BF" w14:paraId="3F7D6C82" w14:textId="77777777" w:rsidTr="00F74F30">
        <w:tc>
          <w:tcPr>
            <w:tcW w:w="1301" w:type="pct"/>
            <w:shd w:val="clear" w:color="auto" w:fill="F6FDE9"/>
          </w:tcPr>
          <w:p w14:paraId="79C49315" w14:textId="77777777" w:rsidR="00515309" w:rsidRPr="00FF26BF" w:rsidRDefault="00515309" w:rsidP="00F74F30">
            <w:pPr>
              <w:spacing w:after="0"/>
              <w:rPr>
                <w:rFonts w:cs="Arial"/>
                <w:sz w:val="20"/>
              </w:rPr>
            </w:pPr>
            <w:r w:rsidRPr="00FF26BF">
              <w:rPr>
                <w:rFonts w:eastAsia="Calibri" w:cs="Arial"/>
                <w:b/>
                <w:bCs/>
                <w:sz w:val="20"/>
              </w:rPr>
              <w:t>Country / setting</w:t>
            </w:r>
          </w:p>
        </w:tc>
        <w:tc>
          <w:tcPr>
            <w:tcW w:w="3699" w:type="pct"/>
          </w:tcPr>
          <w:p w14:paraId="054B941A" w14:textId="77777777" w:rsidR="00515309" w:rsidRPr="00FF26BF" w:rsidRDefault="00515309" w:rsidP="00F74F30">
            <w:pPr>
              <w:spacing w:after="0"/>
              <w:rPr>
                <w:rFonts w:cs="Arial"/>
                <w:sz w:val="20"/>
              </w:rPr>
            </w:pPr>
            <w:r w:rsidRPr="00FF26BF">
              <w:rPr>
                <w:rFonts w:eastAsia="Calibri" w:cs="Arial"/>
                <w:sz w:val="20"/>
              </w:rPr>
              <w:t>United States. Outpatient clinic at the University of Toledo Medical Center, Toledo, Ohio. Primary care follow-up of a single patient over an approximate three-year period.</w:t>
            </w:r>
          </w:p>
        </w:tc>
      </w:tr>
      <w:tr w:rsidR="00515309" w:rsidRPr="00FF26BF" w14:paraId="58BD9662" w14:textId="77777777" w:rsidTr="00F74F30">
        <w:tc>
          <w:tcPr>
            <w:tcW w:w="1301" w:type="pct"/>
            <w:shd w:val="clear" w:color="auto" w:fill="F6FDE9"/>
          </w:tcPr>
          <w:p w14:paraId="49B88082" w14:textId="77777777" w:rsidR="00515309" w:rsidRPr="00FF26BF" w:rsidRDefault="00515309" w:rsidP="00F74F30">
            <w:pPr>
              <w:spacing w:after="0"/>
              <w:rPr>
                <w:rFonts w:cs="Arial"/>
                <w:sz w:val="20"/>
              </w:rPr>
            </w:pPr>
            <w:r w:rsidRPr="00FF26BF">
              <w:rPr>
                <w:rFonts w:eastAsia="Calibri" w:cs="Arial"/>
                <w:b/>
                <w:bCs/>
                <w:sz w:val="20"/>
              </w:rPr>
              <w:t>Study design</w:t>
            </w:r>
          </w:p>
        </w:tc>
        <w:tc>
          <w:tcPr>
            <w:tcW w:w="3699" w:type="pct"/>
          </w:tcPr>
          <w:p w14:paraId="4626C76E" w14:textId="77777777" w:rsidR="00515309" w:rsidRPr="00FF26BF" w:rsidRDefault="00515309" w:rsidP="00F74F30">
            <w:pPr>
              <w:spacing w:after="0"/>
              <w:rPr>
                <w:rFonts w:cs="Arial"/>
                <w:sz w:val="20"/>
              </w:rPr>
            </w:pPr>
            <w:r w:rsidRPr="00FF26BF">
              <w:rPr>
                <w:rFonts w:eastAsia="Calibri" w:cs="Arial"/>
                <w:sz w:val="20"/>
              </w:rPr>
              <w:t>Single-patient case report (descriptive observational, n = 1). No comparator group, no control, no statistical analysis. Retrospective description of one patient's clinical course, supplement history, laboratory findings and response to discontinuation of the suspected agent.</w:t>
            </w:r>
          </w:p>
        </w:tc>
      </w:tr>
      <w:tr w:rsidR="00515309" w:rsidRPr="00FF26BF" w14:paraId="1208FB93" w14:textId="77777777" w:rsidTr="00F74F30">
        <w:tc>
          <w:tcPr>
            <w:tcW w:w="1301" w:type="pct"/>
            <w:shd w:val="clear" w:color="auto" w:fill="F6FDE9"/>
          </w:tcPr>
          <w:p w14:paraId="7C3F1C1E" w14:textId="77777777" w:rsidR="00515309" w:rsidRPr="00FF26BF" w:rsidRDefault="00515309" w:rsidP="00F74F30">
            <w:pPr>
              <w:spacing w:after="0"/>
              <w:rPr>
                <w:rFonts w:cs="Arial"/>
                <w:sz w:val="20"/>
              </w:rPr>
            </w:pPr>
            <w:r w:rsidRPr="00FF26BF">
              <w:rPr>
                <w:rFonts w:eastAsia="Calibri" w:cs="Arial"/>
                <w:b/>
                <w:bCs/>
                <w:sz w:val="20"/>
              </w:rPr>
              <w:t>Funding / conflicts of interest</w:t>
            </w:r>
          </w:p>
        </w:tc>
        <w:tc>
          <w:tcPr>
            <w:tcW w:w="3699" w:type="pct"/>
          </w:tcPr>
          <w:p w14:paraId="1C26A808" w14:textId="77777777" w:rsidR="00515309" w:rsidRPr="00FF26BF" w:rsidRDefault="00515309" w:rsidP="00F74F30">
            <w:pPr>
              <w:spacing w:after="0"/>
              <w:rPr>
                <w:rFonts w:cs="Arial"/>
                <w:sz w:val="20"/>
              </w:rPr>
            </w:pPr>
            <w:r w:rsidRPr="00FF26BF">
              <w:rPr>
                <w:rFonts w:eastAsia="Calibri" w:cs="Arial"/>
                <w:sz w:val="20"/>
              </w:rPr>
              <w:t>Authors declare no financial support was received for the submitted work and no financial relationships or other relationships that could appear to have influenced the work (ICMJE uniform disclosure form).</w:t>
            </w:r>
          </w:p>
        </w:tc>
      </w:tr>
    </w:tbl>
    <w:p w14:paraId="7DA7E082" w14:textId="77777777" w:rsidR="00515309" w:rsidRPr="00FF26BF" w:rsidRDefault="00515309" w:rsidP="00515309">
      <w:pPr>
        <w:rPr>
          <w:rFonts w:eastAsia="Times New Roman" w:cs="Times New Roman"/>
        </w:rPr>
      </w:pPr>
      <w:r w:rsidRPr="00FF26BF">
        <w:rPr>
          <w:rFonts w:eastAsia="Calibri" w:cs="Arial"/>
          <w:b/>
          <w:bCs/>
          <w:sz w:val="20"/>
        </w:rPr>
        <w:t>Population</w:t>
      </w:r>
    </w:p>
    <w:tbl>
      <w:tblPr>
        <w:tblStyle w:val="SLROption1"/>
        <w:tblW w:w="5000" w:type="pct"/>
        <w:tblLook w:val="0000" w:firstRow="0" w:lastRow="0" w:firstColumn="0" w:lastColumn="0" w:noHBand="0" w:noVBand="0"/>
      </w:tblPr>
      <w:tblGrid>
        <w:gridCol w:w="3628"/>
        <w:gridCol w:w="10316"/>
      </w:tblGrid>
      <w:tr w:rsidR="00515309" w:rsidRPr="00FF26BF" w14:paraId="2D5F4B85" w14:textId="77777777" w:rsidTr="00F74F30">
        <w:tc>
          <w:tcPr>
            <w:tcW w:w="1301" w:type="pct"/>
            <w:shd w:val="clear" w:color="auto" w:fill="3C533C"/>
          </w:tcPr>
          <w:p w14:paraId="2C5CDE94" w14:textId="77777777" w:rsidR="00515309" w:rsidRPr="00FF26BF" w:rsidRDefault="00515309" w:rsidP="00F74F30">
            <w:pPr>
              <w:spacing w:after="0"/>
              <w:rPr>
                <w:rFonts w:cs="Arial"/>
                <w:sz w:val="20"/>
              </w:rPr>
            </w:pPr>
            <w:r w:rsidRPr="00FF26BF">
              <w:rPr>
                <w:rFonts w:eastAsia="Calibri" w:cs="Arial"/>
                <w:b/>
                <w:bCs/>
                <w:color w:val="FFFFFF"/>
                <w:sz w:val="20"/>
              </w:rPr>
              <w:t>Field</w:t>
            </w:r>
          </w:p>
        </w:tc>
        <w:tc>
          <w:tcPr>
            <w:tcW w:w="3699" w:type="pct"/>
            <w:shd w:val="clear" w:color="auto" w:fill="3C533C"/>
          </w:tcPr>
          <w:p w14:paraId="01D39748" w14:textId="77777777" w:rsidR="00515309" w:rsidRPr="00FF26BF" w:rsidRDefault="00515309" w:rsidP="00F74F30">
            <w:pPr>
              <w:spacing w:after="0"/>
              <w:rPr>
                <w:rFonts w:cs="Arial"/>
                <w:sz w:val="20"/>
              </w:rPr>
            </w:pPr>
            <w:r w:rsidRPr="00FF26BF">
              <w:rPr>
                <w:rFonts w:eastAsia="Calibri" w:cs="Arial"/>
                <w:b/>
                <w:bCs/>
                <w:color w:val="FFFFFF"/>
                <w:sz w:val="20"/>
              </w:rPr>
              <w:t>Extracted information</w:t>
            </w:r>
          </w:p>
        </w:tc>
      </w:tr>
      <w:tr w:rsidR="00515309" w:rsidRPr="00FF26BF" w14:paraId="1E162B94" w14:textId="77777777" w:rsidTr="00F74F30">
        <w:tc>
          <w:tcPr>
            <w:tcW w:w="1301" w:type="pct"/>
            <w:shd w:val="clear" w:color="auto" w:fill="F6FDE9"/>
          </w:tcPr>
          <w:p w14:paraId="3BE10729" w14:textId="77777777" w:rsidR="00515309" w:rsidRPr="00FF26BF" w:rsidRDefault="00515309" w:rsidP="00F74F30">
            <w:pPr>
              <w:spacing w:after="0"/>
              <w:rPr>
                <w:rFonts w:cs="Arial"/>
                <w:sz w:val="20"/>
              </w:rPr>
            </w:pPr>
            <w:r w:rsidRPr="00FF26BF">
              <w:rPr>
                <w:rFonts w:eastAsia="Calibri" w:cs="Arial"/>
                <w:b/>
                <w:bCs/>
                <w:sz w:val="20"/>
              </w:rPr>
              <w:t>Sample size</w:t>
            </w:r>
          </w:p>
        </w:tc>
        <w:tc>
          <w:tcPr>
            <w:tcW w:w="3699" w:type="pct"/>
          </w:tcPr>
          <w:p w14:paraId="42DC7235" w14:textId="77777777" w:rsidR="00515309" w:rsidRPr="00FF26BF" w:rsidRDefault="00515309" w:rsidP="00F74F30">
            <w:pPr>
              <w:spacing w:after="0"/>
              <w:rPr>
                <w:rFonts w:cs="Arial"/>
                <w:sz w:val="20"/>
              </w:rPr>
            </w:pPr>
            <w:r w:rsidRPr="00FF26BF">
              <w:rPr>
                <w:rFonts w:eastAsia="Calibri" w:cs="Arial"/>
                <w:sz w:val="20"/>
              </w:rPr>
              <w:t>n = 1</w:t>
            </w:r>
          </w:p>
        </w:tc>
      </w:tr>
      <w:tr w:rsidR="00515309" w:rsidRPr="00FF26BF" w14:paraId="4D4E63F9" w14:textId="77777777" w:rsidTr="00F74F30">
        <w:tc>
          <w:tcPr>
            <w:tcW w:w="1301" w:type="pct"/>
            <w:shd w:val="clear" w:color="auto" w:fill="F6FDE9"/>
          </w:tcPr>
          <w:p w14:paraId="53929BD0" w14:textId="77777777" w:rsidR="00515309" w:rsidRPr="00FF26BF" w:rsidRDefault="00515309" w:rsidP="00F74F30">
            <w:pPr>
              <w:spacing w:after="0"/>
              <w:rPr>
                <w:rFonts w:cs="Arial"/>
                <w:sz w:val="20"/>
              </w:rPr>
            </w:pPr>
            <w:r w:rsidRPr="00FF26BF">
              <w:rPr>
                <w:rFonts w:eastAsia="Calibri" w:cs="Arial"/>
                <w:b/>
                <w:bCs/>
                <w:sz w:val="20"/>
              </w:rPr>
              <w:t>Patient characteristics</w:t>
            </w:r>
          </w:p>
        </w:tc>
        <w:tc>
          <w:tcPr>
            <w:tcW w:w="3699" w:type="pct"/>
          </w:tcPr>
          <w:p w14:paraId="3A706C9B" w14:textId="77777777" w:rsidR="00515309" w:rsidRPr="00FF26BF" w:rsidRDefault="00515309" w:rsidP="00F84245">
            <w:pPr>
              <w:numPr>
                <w:ilvl w:val="0"/>
                <w:numId w:val="14"/>
              </w:numPr>
              <w:spacing w:before="120" w:after="0"/>
              <w:rPr>
                <w:rFonts w:cs="Arial"/>
                <w:sz w:val="20"/>
              </w:rPr>
            </w:pPr>
            <w:r w:rsidRPr="00FF26BF">
              <w:rPr>
                <w:rFonts w:eastAsia="Calibri" w:cs="Arial"/>
                <w:sz w:val="20"/>
              </w:rPr>
              <w:t>73-year-old male.</w:t>
            </w:r>
          </w:p>
          <w:p w14:paraId="06033B52" w14:textId="77777777" w:rsidR="00515309" w:rsidRPr="00FF26BF" w:rsidRDefault="00515309" w:rsidP="00F84245">
            <w:pPr>
              <w:numPr>
                <w:ilvl w:val="0"/>
                <w:numId w:val="14"/>
              </w:numPr>
              <w:spacing w:before="120" w:after="0"/>
              <w:rPr>
                <w:rFonts w:cs="Arial"/>
                <w:sz w:val="20"/>
              </w:rPr>
            </w:pPr>
            <w:r w:rsidRPr="00FF26BF">
              <w:rPr>
                <w:rFonts w:eastAsia="Calibri" w:cs="Arial"/>
                <w:sz w:val="20"/>
              </w:rPr>
              <w:t>Reported a balanced diet with no recent dietary changes.</w:t>
            </w:r>
          </w:p>
          <w:p w14:paraId="4507776E" w14:textId="77777777" w:rsidR="00515309" w:rsidRPr="00FF26BF" w:rsidRDefault="00515309" w:rsidP="00F84245">
            <w:pPr>
              <w:numPr>
                <w:ilvl w:val="0"/>
                <w:numId w:val="14"/>
              </w:numPr>
              <w:spacing w:before="120" w:after="0"/>
              <w:rPr>
                <w:rFonts w:cs="Arial"/>
                <w:sz w:val="20"/>
              </w:rPr>
            </w:pPr>
            <w:r w:rsidRPr="00FF26BF">
              <w:rPr>
                <w:rFonts w:eastAsia="Calibri" w:cs="Arial"/>
                <w:sz w:val="20"/>
              </w:rPr>
              <w:t xml:space="preserve">Denied use of </w:t>
            </w:r>
            <w:r w:rsidRPr="00FF26BF">
              <w:rPr>
                <w:rFonts w:eastAsia="Calibri" w:cs="Arial"/>
                <w:sz w:val="20"/>
                <w:u w:val="single"/>
              </w:rPr>
              <w:t>additional</w:t>
            </w:r>
            <w:r w:rsidRPr="00FF26BF">
              <w:rPr>
                <w:rFonts w:eastAsia="Calibri" w:cs="Arial"/>
                <w:sz w:val="20"/>
              </w:rPr>
              <w:t xml:space="preserve"> vitamins (in addition to 6 mg/day multivitamin), energy drinks, workout supplements or other items with known high amounts of vitamin B6.</w:t>
            </w:r>
          </w:p>
          <w:p w14:paraId="4A7D8B1B" w14:textId="77777777" w:rsidR="00515309" w:rsidRPr="00FF26BF" w:rsidRDefault="00515309" w:rsidP="00F84245">
            <w:pPr>
              <w:numPr>
                <w:ilvl w:val="0"/>
                <w:numId w:val="14"/>
              </w:numPr>
              <w:spacing w:before="120" w:after="0"/>
              <w:rPr>
                <w:rFonts w:cs="Arial"/>
                <w:sz w:val="20"/>
              </w:rPr>
            </w:pPr>
            <w:r w:rsidRPr="00FF26BF">
              <w:rPr>
                <w:rFonts w:eastAsia="Calibri" w:cs="Arial"/>
                <w:sz w:val="20"/>
              </w:rPr>
              <w:t>No relevant comorbidities reported in the available text. Preliminary work-up showed normal vitamin B12, thyroid function, HbA1C and antinuclear antibodies. Earlier (2020) peripheral neuropathy work-up was unremarkable.</w:t>
            </w:r>
          </w:p>
        </w:tc>
      </w:tr>
      <w:tr w:rsidR="00515309" w:rsidRPr="00FF26BF" w14:paraId="367A1105" w14:textId="77777777" w:rsidTr="00F74F30">
        <w:tc>
          <w:tcPr>
            <w:tcW w:w="1301" w:type="pct"/>
            <w:shd w:val="clear" w:color="auto" w:fill="F6FDE9"/>
          </w:tcPr>
          <w:p w14:paraId="535E2724" w14:textId="77777777" w:rsidR="00515309" w:rsidRPr="00FF26BF" w:rsidRDefault="00515309" w:rsidP="00F74F30">
            <w:pPr>
              <w:spacing w:after="0"/>
              <w:rPr>
                <w:rFonts w:cs="Arial"/>
                <w:sz w:val="20"/>
              </w:rPr>
            </w:pPr>
            <w:r w:rsidRPr="00FF26BF">
              <w:rPr>
                <w:rFonts w:eastAsia="Calibri" w:cs="Arial"/>
                <w:b/>
                <w:bCs/>
                <w:sz w:val="20"/>
              </w:rPr>
              <w:lastRenderedPageBreak/>
              <w:t>Inclusion/exclusion of alternative causes</w:t>
            </w:r>
          </w:p>
        </w:tc>
        <w:tc>
          <w:tcPr>
            <w:tcW w:w="3699" w:type="pct"/>
          </w:tcPr>
          <w:p w14:paraId="5E106831" w14:textId="77777777" w:rsidR="00515309" w:rsidRPr="00FF26BF" w:rsidRDefault="00515309" w:rsidP="00F74F30">
            <w:pPr>
              <w:spacing w:after="0"/>
              <w:rPr>
                <w:rFonts w:cs="Arial"/>
                <w:sz w:val="20"/>
              </w:rPr>
            </w:pPr>
            <w:r w:rsidRPr="00FF26BF">
              <w:rPr>
                <w:rFonts w:eastAsia="Calibri" w:cs="Arial"/>
                <w:sz w:val="20"/>
              </w:rPr>
              <w:t>Common causes of peripheral neuropathy were investigated and excluded: B12 deficiency, thyroid dysfunction, diabetes (HbA1C normal), autoimmune disease (ANA negative). Electromyography confirmed bilateral sensory neuropathy with early progression to motor fibres, of unknown aetiology at that point. The authors note significant additional intake from unreported or unknown sources cannot be ruled out — a self-acknowledged residual confounder.</w:t>
            </w:r>
          </w:p>
        </w:tc>
      </w:tr>
    </w:tbl>
    <w:p w14:paraId="03EBB1E7" w14:textId="77777777" w:rsidR="00515309" w:rsidRPr="00FF26BF" w:rsidRDefault="00515309" w:rsidP="00515309">
      <w:pPr>
        <w:rPr>
          <w:rFonts w:eastAsia="Times New Roman" w:cs="Times New Roman"/>
          <w:b/>
          <w:bCs/>
        </w:rPr>
      </w:pPr>
      <w:r w:rsidRPr="00FF26BF">
        <w:rPr>
          <w:rFonts w:eastAsia="Times New Roman" w:cs="Times New Roman"/>
          <w:b/>
          <w:bCs/>
        </w:rPr>
        <w:t>Exposure</w:t>
      </w:r>
    </w:p>
    <w:tbl>
      <w:tblPr>
        <w:tblStyle w:val="SLROption1"/>
        <w:tblW w:w="5000" w:type="pct"/>
        <w:tblLook w:val="0000" w:firstRow="0" w:lastRow="0" w:firstColumn="0" w:lastColumn="0" w:noHBand="0" w:noVBand="0"/>
      </w:tblPr>
      <w:tblGrid>
        <w:gridCol w:w="3628"/>
        <w:gridCol w:w="10316"/>
      </w:tblGrid>
      <w:tr w:rsidR="00515309" w:rsidRPr="00FF26BF" w14:paraId="27E094B8" w14:textId="77777777" w:rsidTr="00F74F30">
        <w:trPr>
          <w:cantSplit/>
          <w:tblHeader/>
        </w:trPr>
        <w:tc>
          <w:tcPr>
            <w:tcW w:w="1301" w:type="pct"/>
            <w:shd w:val="clear" w:color="auto" w:fill="3C533C"/>
          </w:tcPr>
          <w:p w14:paraId="0414B088" w14:textId="77777777" w:rsidR="00515309" w:rsidRPr="00FF26BF" w:rsidRDefault="00515309" w:rsidP="00F74F30">
            <w:pPr>
              <w:spacing w:after="0"/>
              <w:rPr>
                <w:rFonts w:cs="Arial"/>
                <w:sz w:val="20"/>
              </w:rPr>
            </w:pPr>
            <w:r w:rsidRPr="00FF26BF">
              <w:rPr>
                <w:rFonts w:eastAsia="Calibri" w:cs="Arial"/>
                <w:b/>
                <w:bCs/>
                <w:color w:val="FFFFFF"/>
                <w:sz w:val="20"/>
              </w:rPr>
              <w:t>Field</w:t>
            </w:r>
          </w:p>
        </w:tc>
        <w:tc>
          <w:tcPr>
            <w:tcW w:w="3699" w:type="pct"/>
            <w:shd w:val="clear" w:color="auto" w:fill="3C533C"/>
          </w:tcPr>
          <w:p w14:paraId="28C4FB11" w14:textId="77777777" w:rsidR="00515309" w:rsidRPr="00FF26BF" w:rsidRDefault="00515309" w:rsidP="00F74F30">
            <w:pPr>
              <w:spacing w:after="0"/>
              <w:rPr>
                <w:rFonts w:cs="Arial"/>
                <w:sz w:val="20"/>
              </w:rPr>
            </w:pPr>
            <w:r w:rsidRPr="00FF26BF">
              <w:rPr>
                <w:rFonts w:eastAsia="Calibri" w:cs="Arial"/>
                <w:b/>
                <w:bCs/>
                <w:color w:val="FFFFFF"/>
                <w:sz w:val="20"/>
              </w:rPr>
              <w:t>Extracted information</w:t>
            </w:r>
          </w:p>
        </w:tc>
      </w:tr>
      <w:tr w:rsidR="00515309" w:rsidRPr="00FF26BF" w14:paraId="071603F2" w14:textId="77777777" w:rsidTr="00F74F30">
        <w:tc>
          <w:tcPr>
            <w:tcW w:w="1301" w:type="pct"/>
            <w:shd w:val="clear" w:color="auto" w:fill="F6FDE9"/>
          </w:tcPr>
          <w:p w14:paraId="6DB60CA4" w14:textId="77777777" w:rsidR="00515309" w:rsidRPr="00FF26BF" w:rsidRDefault="00515309" w:rsidP="00F74F30">
            <w:pPr>
              <w:spacing w:after="0"/>
              <w:rPr>
                <w:rFonts w:cs="Arial"/>
                <w:sz w:val="20"/>
              </w:rPr>
            </w:pPr>
            <w:r w:rsidRPr="00FF26BF">
              <w:rPr>
                <w:rFonts w:eastAsia="Calibri" w:cs="Arial"/>
                <w:b/>
                <w:bCs/>
                <w:sz w:val="20"/>
              </w:rPr>
              <w:t>Exposure characterisation – source</w:t>
            </w:r>
          </w:p>
        </w:tc>
        <w:tc>
          <w:tcPr>
            <w:tcW w:w="3699" w:type="pct"/>
          </w:tcPr>
          <w:p w14:paraId="7C0FD973" w14:textId="77777777" w:rsidR="00515309" w:rsidRPr="00FF26BF" w:rsidRDefault="00515309" w:rsidP="00F74F30">
            <w:pPr>
              <w:spacing w:after="0"/>
              <w:rPr>
                <w:rFonts w:cs="Arial"/>
                <w:sz w:val="20"/>
              </w:rPr>
            </w:pPr>
            <w:r w:rsidRPr="00FF26BF">
              <w:rPr>
                <w:rFonts w:eastAsia="Calibri" w:cs="Arial"/>
                <w:sz w:val="20"/>
              </w:rPr>
              <w:t>Daily multivitamin containing 6 mg of vitamin B6, taken for more than 10 years. Vitamer form is reported as pyridoxine (PN). The exposure is self-reported by the patient retrospectively.</w:t>
            </w:r>
          </w:p>
        </w:tc>
      </w:tr>
      <w:tr w:rsidR="00515309" w:rsidRPr="00FF26BF" w14:paraId="37FB5F06" w14:textId="77777777" w:rsidTr="00F74F30">
        <w:tc>
          <w:tcPr>
            <w:tcW w:w="1301" w:type="pct"/>
            <w:shd w:val="clear" w:color="auto" w:fill="F6FDE9"/>
          </w:tcPr>
          <w:p w14:paraId="72A2156E" w14:textId="77777777" w:rsidR="00515309" w:rsidRPr="00FF26BF" w:rsidRDefault="00515309" w:rsidP="00F74F30">
            <w:pPr>
              <w:spacing w:after="0"/>
              <w:rPr>
                <w:rFonts w:cs="Arial"/>
                <w:sz w:val="20"/>
              </w:rPr>
            </w:pPr>
            <w:r w:rsidRPr="00FF26BF">
              <w:rPr>
                <w:rFonts w:eastAsia="Calibri" w:cs="Arial"/>
                <w:b/>
                <w:bCs/>
                <w:sz w:val="20"/>
              </w:rPr>
              <w:t>Exposure characterisation – dose</w:t>
            </w:r>
          </w:p>
        </w:tc>
        <w:tc>
          <w:tcPr>
            <w:tcW w:w="3699" w:type="pct"/>
          </w:tcPr>
          <w:p w14:paraId="4F1D17D8" w14:textId="77777777" w:rsidR="00515309" w:rsidRPr="00FF26BF" w:rsidRDefault="00515309" w:rsidP="00F84245">
            <w:pPr>
              <w:numPr>
                <w:ilvl w:val="0"/>
                <w:numId w:val="14"/>
              </w:numPr>
              <w:spacing w:before="120" w:after="0"/>
              <w:rPr>
                <w:rFonts w:cs="Arial"/>
                <w:sz w:val="20"/>
              </w:rPr>
            </w:pPr>
            <w:r w:rsidRPr="00FF26BF">
              <w:rPr>
                <w:rFonts w:eastAsia="Calibri" w:cs="Arial"/>
                <w:sz w:val="20"/>
              </w:rPr>
              <w:t>Supplemental intake: 6 mg/day from the multivitamin (≈350% of the US adult Recommended Dietary Allowance (RDA) of 1.7 mg/day for men &gt;50 years).</w:t>
            </w:r>
          </w:p>
          <w:p w14:paraId="2A288F1D" w14:textId="77777777" w:rsidR="00515309" w:rsidRPr="00FF26BF" w:rsidRDefault="00515309" w:rsidP="00F84245">
            <w:pPr>
              <w:numPr>
                <w:ilvl w:val="0"/>
                <w:numId w:val="14"/>
              </w:numPr>
              <w:spacing w:before="120" w:after="0"/>
              <w:rPr>
                <w:rFonts w:cs="Arial"/>
                <w:sz w:val="20"/>
              </w:rPr>
            </w:pPr>
            <w:r w:rsidRPr="00FF26BF">
              <w:rPr>
                <w:rFonts w:eastAsia="Calibri" w:cs="Arial"/>
                <w:sz w:val="20"/>
              </w:rPr>
              <w:t>Background dietary intake: not directly measured; the authors cite a typical US dietary intake of approximately 2 mg/day for men.</w:t>
            </w:r>
          </w:p>
          <w:p w14:paraId="7107169C" w14:textId="77777777" w:rsidR="00515309" w:rsidRPr="00FF26BF" w:rsidRDefault="00515309" w:rsidP="00F84245">
            <w:pPr>
              <w:numPr>
                <w:ilvl w:val="0"/>
                <w:numId w:val="14"/>
              </w:numPr>
              <w:spacing w:before="120" w:after="0"/>
              <w:rPr>
                <w:rFonts w:cs="Arial"/>
                <w:sz w:val="20"/>
              </w:rPr>
            </w:pPr>
            <w:r w:rsidRPr="00FF26BF">
              <w:rPr>
                <w:rFonts w:eastAsia="Calibri" w:cs="Arial"/>
                <w:sz w:val="20"/>
              </w:rPr>
              <w:t>Estimated total chronic intake: approximately 8 mg/day (6 mg supplement + ~2 mg estimated diet) for &gt;10 years — i.e. below the EFSA Panel (2023) UL of 12 mg/day for adults.</w:t>
            </w:r>
          </w:p>
        </w:tc>
      </w:tr>
      <w:tr w:rsidR="00515309" w:rsidRPr="00FF26BF" w14:paraId="77B42045" w14:textId="77777777" w:rsidTr="00F74F30">
        <w:tc>
          <w:tcPr>
            <w:tcW w:w="1301" w:type="pct"/>
            <w:shd w:val="clear" w:color="auto" w:fill="F6FDE9"/>
          </w:tcPr>
          <w:p w14:paraId="417948DD" w14:textId="77777777" w:rsidR="00515309" w:rsidRPr="00FF26BF" w:rsidRDefault="00515309" w:rsidP="00F74F30">
            <w:pPr>
              <w:spacing w:after="0"/>
              <w:rPr>
                <w:rFonts w:cs="Arial"/>
                <w:sz w:val="20"/>
              </w:rPr>
            </w:pPr>
            <w:r w:rsidRPr="00FF26BF">
              <w:rPr>
                <w:rFonts w:eastAsia="Calibri" w:cs="Arial"/>
                <w:b/>
                <w:bCs/>
                <w:sz w:val="20"/>
              </w:rPr>
              <w:t>Biomarker of exposure</w:t>
            </w:r>
          </w:p>
        </w:tc>
        <w:tc>
          <w:tcPr>
            <w:tcW w:w="3699" w:type="pct"/>
          </w:tcPr>
          <w:p w14:paraId="64ED1E66" w14:textId="77777777" w:rsidR="00515309" w:rsidRPr="00FF26BF" w:rsidRDefault="00515309" w:rsidP="00F74F30">
            <w:pPr>
              <w:spacing w:after="0"/>
              <w:rPr>
                <w:rFonts w:cs="Arial"/>
                <w:sz w:val="20"/>
              </w:rPr>
            </w:pPr>
            <w:r w:rsidRPr="00FF26BF">
              <w:rPr>
                <w:rFonts w:eastAsia="Calibri" w:cs="Arial"/>
                <w:sz w:val="20"/>
              </w:rPr>
              <w:t>Serum vitamin B6 concentration: 259.9 nmol/L (laboratory reference range 20–125 nmol/L), i.e. approximately 2.1 times the upper limit of normal. The specific vitamer measured (PN, PL, PLP or total) is not stated in the case report, which is a limitation for direct comparison with EFSA's biomarker framework (which references plasma PLP as the primary biomarker of B6 status).</w:t>
            </w:r>
          </w:p>
        </w:tc>
      </w:tr>
      <w:tr w:rsidR="00515309" w:rsidRPr="00FF26BF" w14:paraId="696ACF13" w14:textId="77777777" w:rsidTr="00F74F30">
        <w:tc>
          <w:tcPr>
            <w:tcW w:w="1301" w:type="pct"/>
            <w:shd w:val="clear" w:color="auto" w:fill="F6FDE9"/>
          </w:tcPr>
          <w:p w14:paraId="5446E283" w14:textId="77777777" w:rsidR="00515309" w:rsidRPr="00FF26BF" w:rsidRDefault="00515309" w:rsidP="00F74F30">
            <w:pPr>
              <w:spacing w:after="0"/>
              <w:rPr>
                <w:rFonts w:cs="Arial"/>
                <w:sz w:val="20"/>
              </w:rPr>
            </w:pPr>
            <w:r w:rsidRPr="00FF26BF">
              <w:rPr>
                <w:rFonts w:eastAsia="Calibri" w:cs="Arial"/>
                <w:b/>
                <w:bCs/>
                <w:sz w:val="20"/>
              </w:rPr>
              <w:t>Duration of exposure</w:t>
            </w:r>
          </w:p>
        </w:tc>
        <w:tc>
          <w:tcPr>
            <w:tcW w:w="3699" w:type="pct"/>
          </w:tcPr>
          <w:p w14:paraId="3E6CA7B6" w14:textId="77777777" w:rsidR="00515309" w:rsidRPr="00FF26BF" w:rsidRDefault="00515309" w:rsidP="00F74F30">
            <w:pPr>
              <w:spacing w:after="0"/>
              <w:rPr>
                <w:rFonts w:cs="Arial"/>
                <w:sz w:val="20"/>
              </w:rPr>
            </w:pPr>
            <w:r w:rsidRPr="00FF26BF">
              <w:rPr>
                <w:rFonts w:eastAsia="Calibri" w:cs="Arial"/>
                <w:sz w:val="20"/>
              </w:rPr>
              <w:t>More than 10 years of continuous daily multivitamin use, by self-report.</w:t>
            </w:r>
          </w:p>
        </w:tc>
      </w:tr>
    </w:tbl>
    <w:p w14:paraId="41970390" w14:textId="77777777" w:rsidR="00515309" w:rsidRPr="00FF26BF" w:rsidRDefault="00515309" w:rsidP="00515309">
      <w:pPr>
        <w:rPr>
          <w:rFonts w:eastAsia="Times New Roman" w:cs="Times New Roman"/>
          <w:b/>
          <w:bCs/>
        </w:rPr>
      </w:pPr>
      <w:r w:rsidRPr="00FF26BF">
        <w:rPr>
          <w:rFonts w:eastAsia="Times New Roman" w:cs="Times New Roman"/>
          <w:b/>
          <w:bCs/>
        </w:rPr>
        <w:t>Outcomes</w:t>
      </w:r>
    </w:p>
    <w:tbl>
      <w:tblPr>
        <w:tblStyle w:val="SLROption1"/>
        <w:tblW w:w="5000" w:type="pct"/>
        <w:tblLook w:val="0000" w:firstRow="0" w:lastRow="0" w:firstColumn="0" w:lastColumn="0" w:noHBand="0" w:noVBand="0"/>
      </w:tblPr>
      <w:tblGrid>
        <w:gridCol w:w="3628"/>
        <w:gridCol w:w="10316"/>
      </w:tblGrid>
      <w:tr w:rsidR="00515309" w:rsidRPr="00FF26BF" w14:paraId="65DAD903" w14:textId="77777777" w:rsidTr="00F74F30">
        <w:tc>
          <w:tcPr>
            <w:tcW w:w="1301" w:type="pct"/>
            <w:shd w:val="clear" w:color="auto" w:fill="3C533C"/>
          </w:tcPr>
          <w:p w14:paraId="59708839" w14:textId="77777777" w:rsidR="00515309" w:rsidRPr="00FF26BF" w:rsidRDefault="00515309" w:rsidP="00F74F30">
            <w:pPr>
              <w:spacing w:after="0"/>
              <w:rPr>
                <w:rFonts w:cs="Arial"/>
                <w:sz w:val="20"/>
              </w:rPr>
            </w:pPr>
            <w:r w:rsidRPr="00FF26BF">
              <w:rPr>
                <w:rFonts w:eastAsia="Calibri" w:cs="Arial"/>
                <w:b/>
                <w:bCs/>
                <w:color w:val="FFFFFF"/>
                <w:sz w:val="20"/>
              </w:rPr>
              <w:t>Field</w:t>
            </w:r>
          </w:p>
        </w:tc>
        <w:tc>
          <w:tcPr>
            <w:tcW w:w="3699" w:type="pct"/>
            <w:shd w:val="clear" w:color="auto" w:fill="3C533C"/>
          </w:tcPr>
          <w:p w14:paraId="4D26D589" w14:textId="77777777" w:rsidR="00515309" w:rsidRPr="00FF26BF" w:rsidRDefault="00515309" w:rsidP="00F74F30">
            <w:pPr>
              <w:spacing w:after="0"/>
              <w:rPr>
                <w:rFonts w:cs="Arial"/>
                <w:sz w:val="20"/>
              </w:rPr>
            </w:pPr>
            <w:r w:rsidRPr="00FF26BF">
              <w:rPr>
                <w:rFonts w:eastAsia="Calibri" w:cs="Arial"/>
                <w:b/>
                <w:bCs/>
                <w:color w:val="FFFFFF"/>
                <w:sz w:val="20"/>
              </w:rPr>
              <w:t>Extracted information</w:t>
            </w:r>
          </w:p>
        </w:tc>
      </w:tr>
      <w:tr w:rsidR="00515309" w:rsidRPr="00FF26BF" w14:paraId="4C329546" w14:textId="77777777" w:rsidTr="00F74F30">
        <w:tc>
          <w:tcPr>
            <w:tcW w:w="1301" w:type="pct"/>
            <w:shd w:val="clear" w:color="auto" w:fill="F6FDE9"/>
          </w:tcPr>
          <w:p w14:paraId="17C425AE" w14:textId="77777777" w:rsidR="00515309" w:rsidRPr="00FF26BF" w:rsidRDefault="00515309" w:rsidP="00F74F30">
            <w:pPr>
              <w:spacing w:after="0"/>
              <w:rPr>
                <w:rFonts w:cs="Arial"/>
                <w:sz w:val="20"/>
              </w:rPr>
            </w:pPr>
            <w:r w:rsidRPr="00FF26BF">
              <w:rPr>
                <w:rFonts w:eastAsia="Calibri" w:cs="Arial"/>
                <w:b/>
                <w:bCs/>
                <w:sz w:val="20"/>
              </w:rPr>
              <w:t>Primary outcome</w:t>
            </w:r>
          </w:p>
        </w:tc>
        <w:tc>
          <w:tcPr>
            <w:tcW w:w="3699" w:type="pct"/>
          </w:tcPr>
          <w:p w14:paraId="5AE632AA" w14:textId="488C75CC" w:rsidR="00515309" w:rsidRPr="00FF26BF" w:rsidRDefault="00515309" w:rsidP="00F74F30">
            <w:pPr>
              <w:spacing w:after="0"/>
              <w:rPr>
                <w:rFonts w:cs="Arial"/>
                <w:sz w:val="20"/>
              </w:rPr>
            </w:pPr>
            <w:r w:rsidRPr="00FF26BF">
              <w:rPr>
                <w:rFonts w:eastAsia="Calibri" w:cs="Arial"/>
                <w:sz w:val="20"/>
              </w:rPr>
              <w:t xml:space="preserve">Peripheral neuropathy. The patient presented with a three-year history of progressive bilateral lower-limb numbness (initially nocturnal), later involving the fingertips. Supportive symptoms included new-onset </w:t>
            </w:r>
            <w:r w:rsidR="0072289E" w:rsidRPr="00FF26BF">
              <w:rPr>
                <w:rFonts w:eastAsia="Calibri" w:cs="Arial"/>
                <w:sz w:val="20"/>
              </w:rPr>
              <w:t>light-headedness</w:t>
            </w:r>
            <w:r w:rsidRPr="00FF26BF">
              <w:rPr>
                <w:rFonts w:eastAsia="Calibri" w:cs="Arial"/>
                <w:sz w:val="20"/>
              </w:rPr>
              <w:t xml:space="preserve"> and dizziness at the third clinic visit.</w:t>
            </w:r>
          </w:p>
        </w:tc>
      </w:tr>
      <w:tr w:rsidR="00515309" w:rsidRPr="00FF26BF" w14:paraId="2C3F4036" w14:textId="77777777" w:rsidTr="00F74F30">
        <w:tc>
          <w:tcPr>
            <w:tcW w:w="1301" w:type="pct"/>
            <w:shd w:val="clear" w:color="auto" w:fill="F6FDE9"/>
          </w:tcPr>
          <w:p w14:paraId="4B957F63" w14:textId="77777777" w:rsidR="00515309" w:rsidRPr="00FF26BF" w:rsidRDefault="00515309" w:rsidP="00F74F30">
            <w:pPr>
              <w:spacing w:after="0"/>
              <w:rPr>
                <w:rFonts w:cs="Arial"/>
                <w:sz w:val="20"/>
              </w:rPr>
            </w:pPr>
            <w:r w:rsidRPr="00FF26BF">
              <w:rPr>
                <w:rFonts w:eastAsia="Calibri" w:cs="Arial"/>
                <w:b/>
                <w:bCs/>
                <w:sz w:val="20"/>
              </w:rPr>
              <w:t>Outcome assessment – clinical examination</w:t>
            </w:r>
          </w:p>
        </w:tc>
        <w:tc>
          <w:tcPr>
            <w:tcW w:w="3699" w:type="pct"/>
          </w:tcPr>
          <w:p w14:paraId="4144D474" w14:textId="77777777" w:rsidR="00515309" w:rsidRPr="00FF26BF" w:rsidRDefault="00515309" w:rsidP="00F84245">
            <w:pPr>
              <w:numPr>
                <w:ilvl w:val="0"/>
                <w:numId w:val="14"/>
              </w:numPr>
              <w:spacing w:before="120" w:after="0"/>
              <w:rPr>
                <w:rFonts w:cs="Arial"/>
                <w:sz w:val="20"/>
              </w:rPr>
            </w:pPr>
            <w:r w:rsidRPr="00FF26BF">
              <w:rPr>
                <w:rFonts w:eastAsia="Calibri" w:cs="Arial"/>
                <w:sz w:val="20"/>
              </w:rPr>
              <w:t>Initial visit: normal pulses, strength, reflexes, gait and mental status; decreased vibratory sense at the left ankle; decreased monofilament sensation bilaterally.</w:t>
            </w:r>
          </w:p>
          <w:p w14:paraId="089737AB" w14:textId="77777777" w:rsidR="00515309" w:rsidRPr="00FF26BF" w:rsidRDefault="00515309" w:rsidP="00F84245">
            <w:pPr>
              <w:numPr>
                <w:ilvl w:val="0"/>
                <w:numId w:val="14"/>
              </w:numPr>
              <w:spacing w:before="120" w:after="0"/>
              <w:rPr>
                <w:rFonts w:cs="Arial"/>
                <w:sz w:val="20"/>
              </w:rPr>
            </w:pPr>
            <w:r w:rsidRPr="00FF26BF">
              <w:rPr>
                <w:rFonts w:eastAsia="Calibri" w:cs="Arial"/>
                <w:sz w:val="20"/>
              </w:rPr>
              <w:t>Eight-month follow-up: similar examination findings with bilaterally decreased vibratory sense.</w:t>
            </w:r>
          </w:p>
        </w:tc>
      </w:tr>
      <w:tr w:rsidR="00515309" w:rsidRPr="00FF26BF" w14:paraId="23B025A9" w14:textId="77777777" w:rsidTr="00F74F30">
        <w:tc>
          <w:tcPr>
            <w:tcW w:w="1301" w:type="pct"/>
            <w:shd w:val="clear" w:color="auto" w:fill="F6FDE9"/>
          </w:tcPr>
          <w:p w14:paraId="118F2E16" w14:textId="77777777" w:rsidR="00515309" w:rsidRPr="00FF26BF" w:rsidRDefault="00515309" w:rsidP="00F74F30">
            <w:pPr>
              <w:spacing w:after="0"/>
              <w:rPr>
                <w:rFonts w:cs="Arial"/>
                <w:sz w:val="20"/>
              </w:rPr>
            </w:pPr>
            <w:r w:rsidRPr="00FF26BF">
              <w:rPr>
                <w:rFonts w:eastAsia="Calibri" w:cs="Arial"/>
                <w:b/>
                <w:bCs/>
                <w:sz w:val="20"/>
              </w:rPr>
              <w:lastRenderedPageBreak/>
              <w:t>Outcome assessment – objective testing</w:t>
            </w:r>
          </w:p>
        </w:tc>
        <w:tc>
          <w:tcPr>
            <w:tcW w:w="3699" w:type="pct"/>
          </w:tcPr>
          <w:p w14:paraId="3CE7CCFF" w14:textId="77777777" w:rsidR="00515309" w:rsidRPr="00FF26BF" w:rsidRDefault="00515309" w:rsidP="00F74F30">
            <w:pPr>
              <w:spacing w:after="0"/>
              <w:rPr>
                <w:rFonts w:cs="Arial"/>
                <w:sz w:val="20"/>
              </w:rPr>
            </w:pPr>
            <w:r w:rsidRPr="00FF26BF">
              <w:rPr>
                <w:rFonts w:eastAsia="Calibri" w:cs="Arial"/>
                <w:sz w:val="20"/>
              </w:rPr>
              <w:t>Electromyography (EMG): bilateral sensory neuropathy of unknown aetiology with early signs of progression to motor fibres. EMG is an objective electrophysiological measure with established validity for peripheral neuropathy.</w:t>
            </w:r>
          </w:p>
        </w:tc>
      </w:tr>
      <w:tr w:rsidR="00515309" w:rsidRPr="00FF26BF" w14:paraId="5FCAE788" w14:textId="77777777" w:rsidTr="00F74F30">
        <w:tc>
          <w:tcPr>
            <w:tcW w:w="1301" w:type="pct"/>
            <w:shd w:val="clear" w:color="auto" w:fill="F6FDE9"/>
          </w:tcPr>
          <w:p w14:paraId="37A181C3" w14:textId="77777777" w:rsidR="00515309" w:rsidRPr="00FF26BF" w:rsidRDefault="00515309" w:rsidP="00F74F30">
            <w:pPr>
              <w:spacing w:after="0"/>
              <w:rPr>
                <w:rFonts w:cs="Arial"/>
                <w:sz w:val="20"/>
              </w:rPr>
            </w:pPr>
            <w:r w:rsidRPr="00FF26BF">
              <w:rPr>
                <w:rFonts w:eastAsia="Calibri" w:cs="Arial"/>
                <w:b/>
                <w:bCs/>
                <w:sz w:val="20"/>
              </w:rPr>
              <w:t>Outcome assessment – tools used</w:t>
            </w:r>
          </w:p>
        </w:tc>
        <w:tc>
          <w:tcPr>
            <w:tcW w:w="3699" w:type="pct"/>
          </w:tcPr>
          <w:p w14:paraId="49FBE69D" w14:textId="77777777" w:rsidR="00515309" w:rsidRPr="00FF26BF" w:rsidRDefault="00515309" w:rsidP="00F74F30">
            <w:pPr>
              <w:spacing w:after="0"/>
              <w:rPr>
                <w:rFonts w:cs="Arial"/>
                <w:sz w:val="20"/>
              </w:rPr>
            </w:pPr>
            <w:r w:rsidRPr="00FF26BF">
              <w:rPr>
                <w:rFonts w:eastAsia="Calibri" w:cs="Arial"/>
                <w:sz w:val="20"/>
              </w:rPr>
              <w:t>Standard clinical neurological examination (vibration sense, monofilament testing, reflexes, gait, strength); EMG; serum vitamin B6 immunoassay (laboratory not specified). No validated patient-reported outcome instrument (e.g., Total Neuropathy Score) was used.</w:t>
            </w:r>
          </w:p>
        </w:tc>
      </w:tr>
      <w:tr w:rsidR="00515309" w:rsidRPr="00FF26BF" w14:paraId="5F2C321A" w14:textId="77777777" w:rsidTr="00F74F30">
        <w:tc>
          <w:tcPr>
            <w:tcW w:w="1301" w:type="pct"/>
            <w:shd w:val="clear" w:color="auto" w:fill="F6FDE9"/>
          </w:tcPr>
          <w:p w14:paraId="062125BA" w14:textId="77777777" w:rsidR="00515309" w:rsidRPr="00FF26BF" w:rsidRDefault="00515309" w:rsidP="00F74F30">
            <w:pPr>
              <w:spacing w:after="0"/>
              <w:rPr>
                <w:rFonts w:cs="Arial"/>
                <w:sz w:val="20"/>
              </w:rPr>
            </w:pPr>
            <w:r w:rsidRPr="00FF26BF">
              <w:rPr>
                <w:rFonts w:eastAsia="Calibri" w:cs="Arial"/>
                <w:b/>
                <w:bCs/>
                <w:sz w:val="20"/>
              </w:rPr>
              <w:t>Response to withdrawal</w:t>
            </w:r>
          </w:p>
        </w:tc>
        <w:tc>
          <w:tcPr>
            <w:tcW w:w="3699" w:type="pct"/>
          </w:tcPr>
          <w:p w14:paraId="40B0F177" w14:textId="77777777" w:rsidR="00515309" w:rsidRPr="00FF26BF" w:rsidRDefault="00515309" w:rsidP="00F74F30">
            <w:pPr>
              <w:spacing w:after="0"/>
              <w:rPr>
                <w:rFonts w:cs="Arial"/>
                <w:sz w:val="20"/>
              </w:rPr>
            </w:pPr>
            <w:r w:rsidRPr="00FF26BF">
              <w:rPr>
                <w:rFonts w:eastAsia="Calibri" w:cs="Arial"/>
                <w:sz w:val="20"/>
              </w:rPr>
              <w:t xml:space="preserve">One month after discontinuing the multivitamin, the patient reported resolution of dizziness and slight improvement in numbness and tingling. Repeat serum vitamin B6 was scheduled for four months. </w:t>
            </w:r>
          </w:p>
        </w:tc>
      </w:tr>
    </w:tbl>
    <w:p w14:paraId="3D8B0169" w14:textId="77777777" w:rsidR="00515309" w:rsidRPr="00FF26BF" w:rsidRDefault="00515309" w:rsidP="00515309">
      <w:pPr>
        <w:rPr>
          <w:rFonts w:eastAsia="Times New Roman" w:cs="Times New Roman"/>
          <w:b/>
          <w:bCs/>
        </w:rPr>
      </w:pPr>
      <w:r w:rsidRPr="00FF26BF">
        <w:rPr>
          <w:rFonts w:eastAsia="Times New Roman" w:cs="Times New Roman"/>
          <w:b/>
          <w:bCs/>
        </w:rPr>
        <w:t>Results and Conclusions</w:t>
      </w:r>
    </w:p>
    <w:tbl>
      <w:tblPr>
        <w:tblStyle w:val="SLROption1"/>
        <w:tblW w:w="5000" w:type="pct"/>
        <w:tblLook w:val="0000" w:firstRow="0" w:lastRow="0" w:firstColumn="0" w:lastColumn="0" w:noHBand="0" w:noVBand="0"/>
      </w:tblPr>
      <w:tblGrid>
        <w:gridCol w:w="3628"/>
        <w:gridCol w:w="10316"/>
      </w:tblGrid>
      <w:tr w:rsidR="00515309" w:rsidRPr="00FF26BF" w14:paraId="694CB351" w14:textId="77777777" w:rsidTr="00F74F30">
        <w:trPr>
          <w:cantSplit/>
          <w:tblHeader/>
        </w:trPr>
        <w:tc>
          <w:tcPr>
            <w:tcW w:w="1301" w:type="pct"/>
            <w:shd w:val="clear" w:color="auto" w:fill="3C533C"/>
          </w:tcPr>
          <w:p w14:paraId="18C1FD8D" w14:textId="77777777" w:rsidR="00515309" w:rsidRPr="00FF26BF" w:rsidRDefault="00515309" w:rsidP="00F74F30">
            <w:pPr>
              <w:spacing w:after="0"/>
              <w:rPr>
                <w:rFonts w:cs="Arial"/>
                <w:sz w:val="20"/>
              </w:rPr>
            </w:pPr>
            <w:r w:rsidRPr="00FF26BF">
              <w:rPr>
                <w:rFonts w:eastAsia="Calibri" w:cs="Arial"/>
                <w:b/>
                <w:bCs/>
                <w:color w:val="FFFFFF"/>
                <w:sz w:val="20"/>
              </w:rPr>
              <w:t>Field</w:t>
            </w:r>
          </w:p>
        </w:tc>
        <w:tc>
          <w:tcPr>
            <w:tcW w:w="3699" w:type="pct"/>
            <w:shd w:val="clear" w:color="auto" w:fill="3C533C"/>
          </w:tcPr>
          <w:p w14:paraId="6528CCFB" w14:textId="77777777" w:rsidR="00515309" w:rsidRPr="00FF26BF" w:rsidRDefault="00515309" w:rsidP="00F74F30">
            <w:pPr>
              <w:spacing w:after="0"/>
              <w:rPr>
                <w:rFonts w:cs="Arial"/>
                <w:sz w:val="20"/>
              </w:rPr>
            </w:pPr>
            <w:r w:rsidRPr="00FF26BF">
              <w:rPr>
                <w:rFonts w:eastAsia="Calibri" w:cs="Arial"/>
                <w:b/>
                <w:bCs/>
                <w:color w:val="FFFFFF"/>
                <w:sz w:val="20"/>
              </w:rPr>
              <w:t>Extracted information</w:t>
            </w:r>
          </w:p>
        </w:tc>
      </w:tr>
      <w:tr w:rsidR="00515309" w:rsidRPr="00FF26BF" w14:paraId="6D771E3C" w14:textId="77777777" w:rsidTr="00F74F30">
        <w:trPr>
          <w:cantSplit/>
        </w:trPr>
        <w:tc>
          <w:tcPr>
            <w:tcW w:w="1301" w:type="pct"/>
            <w:shd w:val="clear" w:color="auto" w:fill="F6FDE9"/>
          </w:tcPr>
          <w:p w14:paraId="3E88071D" w14:textId="77777777" w:rsidR="00515309" w:rsidRPr="00FF26BF" w:rsidRDefault="00515309" w:rsidP="00F74F30">
            <w:pPr>
              <w:spacing w:after="0"/>
              <w:rPr>
                <w:rFonts w:cs="Arial"/>
                <w:sz w:val="20"/>
              </w:rPr>
            </w:pPr>
            <w:r w:rsidRPr="00FF26BF">
              <w:rPr>
                <w:rFonts w:eastAsia="Calibri" w:cs="Arial"/>
                <w:b/>
                <w:bCs/>
                <w:sz w:val="20"/>
              </w:rPr>
              <w:t>Main results</w:t>
            </w:r>
          </w:p>
        </w:tc>
        <w:tc>
          <w:tcPr>
            <w:tcW w:w="3699" w:type="pct"/>
          </w:tcPr>
          <w:p w14:paraId="0385B177" w14:textId="77777777" w:rsidR="00515309" w:rsidRPr="00FF26BF" w:rsidRDefault="00515309" w:rsidP="00F84245">
            <w:pPr>
              <w:numPr>
                <w:ilvl w:val="0"/>
                <w:numId w:val="14"/>
              </w:numPr>
              <w:spacing w:before="120" w:after="0"/>
              <w:rPr>
                <w:rFonts w:cs="Arial"/>
                <w:sz w:val="20"/>
              </w:rPr>
            </w:pPr>
            <w:r w:rsidRPr="00FF26BF">
              <w:rPr>
                <w:rFonts w:eastAsia="Calibri" w:cs="Arial"/>
                <w:sz w:val="20"/>
              </w:rPr>
              <w:t>Documented peripheral neuropathy (clinically and on EMG) in a 73-year-old man with chronic low-dose pyridoxine supplementation (6 mg/day for &gt;10 years) and elevated serum B6 (259.9 nmol/L).</w:t>
            </w:r>
          </w:p>
          <w:p w14:paraId="3AF5D21C" w14:textId="77777777" w:rsidR="00515309" w:rsidRPr="00FF26BF" w:rsidRDefault="00515309" w:rsidP="00F84245">
            <w:pPr>
              <w:numPr>
                <w:ilvl w:val="0"/>
                <w:numId w:val="14"/>
              </w:numPr>
              <w:spacing w:before="120" w:after="0"/>
              <w:rPr>
                <w:rFonts w:cs="Arial"/>
                <w:sz w:val="20"/>
              </w:rPr>
            </w:pPr>
            <w:r w:rsidRPr="00FF26BF">
              <w:rPr>
                <w:rFonts w:eastAsia="Calibri" w:cs="Arial"/>
                <w:sz w:val="20"/>
              </w:rPr>
              <w:t>Common alternative causes of peripheral neuropathy excluded by laboratory work-up.</w:t>
            </w:r>
          </w:p>
          <w:p w14:paraId="038A58A3" w14:textId="77777777" w:rsidR="00515309" w:rsidRPr="00FF26BF" w:rsidRDefault="00515309" w:rsidP="00F84245">
            <w:pPr>
              <w:numPr>
                <w:ilvl w:val="0"/>
                <w:numId w:val="14"/>
              </w:numPr>
              <w:spacing w:before="120" w:after="0"/>
              <w:rPr>
                <w:rFonts w:cs="Arial"/>
                <w:sz w:val="20"/>
              </w:rPr>
            </w:pPr>
            <w:r w:rsidRPr="00FF26BF">
              <w:rPr>
                <w:rFonts w:eastAsia="Calibri" w:cs="Arial"/>
                <w:sz w:val="20"/>
              </w:rPr>
              <w:t>Partial symptomatic improvement and resolution of dizziness within 1 month of stopping the multivitamin.</w:t>
            </w:r>
          </w:p>
        </w:tc>
      </w:tr>
      <w:tr w:rsidR="00515309" w:rsidRPr="00FF26BF" w14:paraId="1EBD2E10" w14:textId="77777777" w:rsidTr="00F74F30">
        <w:trPr>
          <w:cantSplit/>
        </w:trPr>
        <w:tc>
          <w:tcPr>
            <w:tcW w:w="1301" w:type="pct"/>
            <w:shd w:val="clear" w:color="auto" w:fill="F6FDE9"/>
          </w:tcPr>
          <w:p w14:paraId="0DCFC668" w14:textId="77777777" w:rsidR="00515309" w:rsidRPr="00FF26BF" w:rsidRDefault="00515309" w:rsidP="00F74F30">
            <w:pPr>
              <w:spacing w:after="0"/>
              <w:rPr>
                <w:rFonts w:cs="Arial"/>
                <w:sz w:val="20"/>
              </w:rPr>
            </w:pPr>
            <w:r w:rsidRPr="00FF26BF">
              <w:rPr>
                <w:rFonts w:eastAsia="Calibri" w:cs="Arial"/>
                <w:b/>
                <w:bCs/>
                <w:sz w:val="20"/>
              </w:rPr>
              <w:t>Authors' conclusions</w:t>
            </w:r>
          </w:p>
        </w:tc>
        <w:tc>
          <w:tcPr>
            <w:tcW w:w="3699" w:type="pct"/>
          </w:tcPr>
          <w:p w14:paraId="76FB38C1" w14:textId="77777777" w:rsidR="00515309" w:rsidRPr="00FF26BF" w:rsidRDefault="00515309" w:rsidP="00F74F30">
            <w:pPr>
              <w:spacing w:after="0"/>
              <w:rPr>
                <w:rFonts w:cs="Arial"/>
                <w:sz w:val="20"/>
              </w:rPr>
            </w:pPr>
            <w:r w:rsidRPr="00FF26BF">
              <w:rPr>
                <w:rFonts w:eastAsia="Calibri" w:cs="Arial"/>
                <w:sz w:val="20"/>
              </w:rPr>
              <w:t>The case suggests a need for more research into the effects of long-term, low-dose pyridoxine supplementation. Vitamin B6 toxicity should remain on the differential for peripheral neuropathy, especially when initial laboratory evaluations are inconclusive. The authors explicitly state that the patient's daily intake (estimated at ~8 mg/day) is below the newly established EFSA UL of 12 mg/day, raising a question about the protectiveness of that UL for some sensitive individuals.</w:t>
            </w:r>
          </w:p>
        </w:tc>
      </w:tr>
      <w:tr w:rsidR="00515309" w:rsidRPr="00FF26BF" w14:paraId="5F6BBF84" w14:textId="77777777" w:rsidTr="00F74F30">
        <w:trPr>
          <w:cantSplit/>
        </w:trPr>
        <w:tc>
          <w:tcPr>
            <w:tcW w:w="1301" w:type="pct"/>
            <w:shd w:val="clear" w:color="auto" w:fill="F6FDE9"/>
          </w:tcPr>
          <w:p w14:paraId="5A9CEFA8" w14:textId="77777777" w:rsidR="00515309" w:rsidRPr="00FF26BF" w:rsidRDefault="00515309" w:rsidP="00F74F30">
            <w:pPr>
              <w:spacing w:after="0"/>
              <w:rPr>
                <w:rFonts w:cs="Arial"/>
                <w:sz w:val="20"/>
              </w:rPr>
            </w:pPr>
            <w:r w:rsidRPr="00FF26BF">
              <w:rPr>
                <w:rFonts w:eastAsia="Calibri" w:cs="Arial"/>
                <w:b/>
                <w:bCs/>
                <w:sz w:val="20"/>
              </w:rPr>
              <w:t>Authors' acknowledged limitations</w:t>
            </w:r>
          </w:p>
        </w:tc>
        <w:tc>
          <w:tcPr>
            <w:tcW w:w="3699" w:type="pct"/>
          </w:tcPr>
          <w:p w14:paraId="51A2E3AF" w14:textId="77777777" w:rsidR="00515309" w:rsidRPr="00FF26BF" w:rsidRDefault="00515309" w:rsidP="00F84245">
            <w:pPr>
              <w:numPr>
                <w:ilvl w:val="0"/>
                <w:numId w:val="14"/>
              </w:numPr>
              <w:spacing w:before="120" w:after="0"/>
              <w:rPr>
                <w:rFonts w:cs="Arial"/>
                <w:sz w:val="20"/>
              </w:rPr>
            </w:pPr>
            <w:r w:rsidRPr="00FF26BF">
              <w:rPr>
                <w:rFonts w:eastAsia="Calibri" w:cs="Arial"/>
                <w:sz w:val="20"/>
              </w:rPr>
              <w:t>Significant additional intake from unreported or unknown sources cannot be ruled out (recall bias and incomplete supplement history are acknowledged).</w:t>
            </w:r>
          </w:p>
          <w:p w14:paraId="7105A0BD" w14:textId="77777777" w:rsidR="00515309" w:rsidRPr="00FF26BF" w:rsidRDefault="00515309" w:rsidP="00F84245">
            <w:pPr>
              <w:numPr>
                <w:ilvl w:val="0"/>
                <w:numId w:val="14"/>
              </w:numPr>
              <w:spacing w:before="120" w:after="0"/>
              <w:rPr>
                <w:rFonts w:cs="Arial"/>
                <w:sz w:val="20"/>
              </w:rPr>
            </w:pPr>
            <w:r w:rsidRPr="00FF26BF">
              <w:rPr>
                <w:rFonts w:eastAsia="Calibri" w:cs="Arial"/>
                <w:sz w:val="20"/>
              </w:rPr>
              <w:t>Retrospective dietary information over a 3-year span is difficult to collect accurately.</w:t>
            </w:r>
          </w:p>
          <w:p w14:paraId="7FF46FA3" w14:textId="77777777" w:rsidR="00515309" w:rsidRPr="00FF26BF" w:rsidRDefault="00515309" w:rsidP="00F84245">
            <w:pPr>
              <w:numPr>
                <w:ilvl w:val="0"/>
                <w:numId w:val="14"/>
              </w:numPr>
              <w:spacing w:before="120" w:after="0"/>
              <w:rPr>
                <w:rFonts w:cs="Arial"/>
                <w:sz w:val="20"/>
              </w:rPr>
            </w:pPr>
            <w:r w:rsidRPr="00FF26BF">
              <w:rPr>
                <w:rFonts w:eastAsia="Calibri" w:cs="Arial"/>
                <w:sz w:val="20"/>
              </w:rPr>
              <w:t>Single patient - no controls, no statistical inference possible.</w:t>
            </w:r>
          </w:p>
        </w:tc>
      </w:tr>
    </w:tbl>
    <w:p w14:paraId="439F1C2B" w14:textId="77777777" w:rsidR="00515309" w:rsidRPr="00FF26BF" w:rsidRDefault="00515309" w:rsidP="00515309">
      <w:pPr>
        <w:rPr>
          <w:rFonts w:eastAsia="Times New Roman" w:cs="Times New Roman"/>
          <w:b/>
          <w:bCs/>
        </w:rPr>
      </w:pPr>
      <w:r w:rsidRPr="00FF26BF">
        <w:rPr>
          <w:rFonts w:eastAsia="Times New Roman" w:cs="Times New Roman"/>
          <w:b/>
          <w:bCs/>
        </w:rPr>
        <w:t>Contextual information for the AU/NZ UL review</w:t>
      </w:r>
    </w:p>
    <w:tbl>
      <w:tblPr>
        <w:tblStyle w:val="SLROption1"/>
        <w:tblW w:w="5000" w:type="pct"/>
        <w:tblLook w:val="0000" w:firstRow="0" w:lastRow="0" w:firstColumn="0" w:lastColumn="0" w:noHBand="0" w:noVBand="0"/>
      </w:tblPr>
      <w:tblGrid>
        <w:gridCol w:w="3628"/>
        <w:gridCol w:w="10316"/>
      </w:tblGrid>
      <w:tr w:rsidR="00515309" w:rsidRPr="00FF26BF" w14:paraId="6059AAD4" w14:textId="77777777" w:rsidTr="00F74F30">
        <w:tc>
          <w:tcPr>
            <w:tcW w:w="1301" w:type="pct"/>
            <w:shd w:val="clear" w:color="auto" w:fill="F6FDE9"/>
          </w:tcPr>
          <w:p w14:paraId="4A088911" w14:textId="77777777" w:rsidR="00515309" w:rsidRPr="00FF26BF" w:rsidRDefault="00515309" w:rsidP="00F74F30">
            <w:pPr>
              <w:spacing w:after="0"/>
              <w:rPr>
                <w:rFonts w:cs="Arial"/>
                <w:sz w:val="20"/>
              </w:rPr>
            </w:pPr>
            <w:r w:rsidRPr="00FF26BF">
              <w:rPr>
                <w:rFonts w:eastAsia="Calibri" w:cs="Arial"/>
                <w:b/>
                <w:bCs/>
                <w:sz w:val="20"/>
              </w:rPr>
              <w:t>Generalisability to AU/NZ</w:t>
            </w:r>
          </w:p>
        </w:tc>
        <w:tc>
          <w:tcPr>
            <w:tcW w:w="3699" w:type="pct"/>
          </w:tcPr>
          <w:p w14:paraId="447F3D26" w14:textId="77777777" w:rsidR="00515309" w:rsidRPr="00FF26BF" w:rsidRDefault="00515309" w:rsidP="00F74F30">
            <w:pPr>
              <w:spacing w:after="0"/>
              <w:rPr>
                <w:rFonts w:cs="Arial"/>
                <w:sz w:val="20"/>
              </w:rPr>
            </w:pPr>
            <w:r w:rsidRPr="00FF26BF">
              <w:rPr>
                <w:rFonts w:eastAsia="Calibri" w:cs="Arial"/>
                <w:sz w:val="20"/>
              </w:rPr>
              <w:t xml:space="preserve">The patient is from the US, a population genetically and dietetically broadly comparable to AU/NZ. US RDA values cited by the authors (1.3–1.7 mg/day for adults) are essentially aligned with the current AU/NZ NRVs. Multivitamin formulations containing 5–10 mg pyridoxine per daily dose are common in the AU/NZ over-the-counter market; the exposure scenario described is </w:t>
            </w:r>
            <w:r w:rsidRPr="00FF26BF">
              <w:rPr>
                <w:rFonts w:eastAsia="Calibri" w:cs="Arial"/>
                <w:sz w:val="20"/>
                <w:u w:val="single"/>
              </w:rPr>
              <w:t>plausibly</w:t>
            </w:r>
            <w:r w:rsidRPr="00FF26BF">
              <w:rPr>
                <w:rFonts w:eastAsia="Calibri" w:cs="Arial"/>
                <w:sz w:val="20"/>
              </w:rPr>
              <w:t xml:space="preserve"> transferable to AU/NZ consumers.</w:t>
            </w:r>
          </w:p>
        </w:tc>
      </w:tr>
    </w:tbl>
    <w:p w14:paraId="2E989872" w14:textId="77777777" w:rsidR="00B8180E" w:rsidRDefault="00B8180E" w:rsidP="002F3314">
      <w:pPr>
        <w:rPr>
          <w:rFonts w:eastAsia="Times New Roman" w:cs="Arial"/>
          <w:b/>
          <w:bCs/>
        </w:rPr>
        <w:sectPr w:rsidR="00B8180E" w:rsidSect="00515309">
          <w:headerReference w:type="default" r:id="rId78"/>
          <w:footerReference w:type="default" r:id="rId79"/>
          <w:headerReference w:type="first" r:id="rId80"/>
          <w:pgSz w:w="16834" w:h="11909" w:orient="landscape" w:code="9"/>
          <w:pgMar w:top="1440" w:right="1440" w:bottom="1440" w:left="1440" w:header="576" w:footer="576" w:gutter="0"/>
          <w:cols w:space="720"/>
          <w:docGrid w:linePitch="360"/>
        </w:sectPr>
      </w:pPr>
    </w:p>
    <w:p w14:paraId="6B7B9AC6" w14:textId="77777777" w:rsidR="00B8180E" w:rsidRDefault="00B8180E" w:rsidP="002F3314">
      <w:pPr>
        <w:rPr>
          <w:rFonts w:eastAsia="Times New Roman" w:cs="Arial"/>
          <w:b/>
          <w:bCs/>
        </w:rPr>
      </w:pPr>
    </w:p>
    <w:p w14:paraId="18C8A0BD" w14:textId="6298E912" w:rsidR="00B8180E" w:rsidRDefault="00B8180E" w:rsidP="00B8180E">
      <w:pPr>
        <w:pStyle w:val="Heading9"/>
      </w:pPr>
      <w:bookmarkStart w:id="75" w:name="_Toc233022892"/>
      <w:r>
        <w:t>Arai et al.</w:t>
      </w:r>
      <w:r w:rsidR="00091690">
        <w:t>,</w:t>
      </w:r>
      <w:r>
        <w:t xml:space="preserve"> 2023</w:t>
      </w:r>
      <w:bookmarkEnd w:id="75"/>
    </w:p>
    <w:p w14:paraId="63CB350B" w14:textId="77777777" w:rsidR="00B8180E" w:rsidRPr="00FF26BF" w:rsidRDefault="00B8180E" w:rsidP="00B8180E">
      <w:pPr>
        <w:keepNext/>
        <w:spacing w:before="240"/>
        <w:ind w:left="1080" w:hanging="1080"/>
        <w:rPr>
          <w:rFonts w:eastAsia="Calibri" w:cs="Arial"/>
          <w:b/>
          <w:bCs/>
          <w:sz w:val="20"/>
        </w:rPr>
      </w:pPr>
      <w:r w:rsidRPr="00FF26BF">
        <w:rPr>
          <w:rFonts w:eastAsia="Calibri" w:cs="Arial"/>
          <w:b/>
          <w:bCs/>
          <w:sz w:val="20"/>
        </w:rPr>
        <w:t>Study identification and design</w:t>
      </w:r>
    </w:p>
    <w:tbl>
      <w:tblPr>
        <w:tblStyle w:val="SLROption1"/>
        <w:tblW w:w="5000" w:type="pct"/>
        <w:tblLook w:val="0000" w:firstRow="0" w:lastRow="0" w:firstColumn="0" w:lastColumn="0" w:noHBand="0" w:noVBand="0"/>
      </w:tblPr>
      <w:tblGrid>
        <w:gridCol w:w="3628"/>
        <w:gridCol w:w="10316"/>
      </w:tblGrid>
      <w:tr w:rsidR="00B8180E" w:rsidRPr="00B8180E" w14:paraId="221BAAA3" w14:textId="77777777" w:rsidTr="005E3223">
        <w:tc>
          <w:tcPr>
            <w:tcW w:w="1301" w:type="pct"/>
            <w:shd w:val="clear" w:color="auto" w:fill="3C533C"/>
          </w:tcPr>
          <w:p w14:paraId="05BEE4A8" w14:textId="77777777" w:rsidR="00B8180E" w:rsidRPr="00B8180E" w:rsidRDefault="00B8180E" w:rsidP="00B8180E">
            <w:pPr>
              <w:pStyle w:val="TableText"/>
              <w:rPr>
                <w:b/>
                <w:bCs/>
                <w:color w:val="FFFFFF" w:themeColor="background1"/>
              </w:rPr>
            </w:pPr>
            <w:r w:rsidRPr="00B8180E">
              <w:rPr>
                <w:b/>
                <w:bCs/>
                <w:color w:val="FFFFFF" w:themeColor="background1"/>
              </w:rPr>
              <w:t>Field</w:t>
            </w:r>
          </w:p>
        </w:tc>
        <w:tc>
          <w:tcPr>
            <w:tcW w:w="3699" w:type="pct"/>
            <w:shd w:val="clear" w:color="auto" w:fill="3C533C"/>
          </w:tcPr>
          <w:p w14:paraId="0756A59A" w14:textId="77777777" w:rsidR="00B8180E" w:rsidRPr="00B8180E" w:rsidRDefault="00B8180E" w:rsidP="00B8180E">
            <w:pPr>
              <w:pStyle w:val="TableText"/>
              <w:rPr>
                <w:b/>
                <w:bCs/>
                <w:color w:val="FFFFFF" w:themeColor="background1"/>
              </w:rPr>
            </w:pPr>
            <w:r w:rsidRPr="00B8180E">
              <w:rPr>
                <w:b/>
                <w:bCs/>
                <w:color w:val="FFFFFF" w:themeColor="background1"/>
              </w:rPr>
              <w:t>Extracted information</w:t>
            </w:r>
          </w:p>
        </w:tc>
      </w:tr>
      <w:tr w:rsidR="00B8180E" w:rsidRPr="00B8180E" w14:paraId="5AF69066" w14:textId="77777777" w:rsidTr="005E3223">
        <w:tc>
          <w:tcPr>
            <w:tcW w:w="1301" w:type="pct"/>
            <w:shd w:val="clear" w:color="auto" w:fill="F6FDE9"/>
          </w:tcPr>
          <w:p w14:paraId="1A6DF0B4" w14:textId="77777777" w:rsidR="00B8180E" w:rsidRPr="00B8180E" w:rsidRDefault="00B8180E" w:rsidP="00B8180E">
            <w:pPr>
              <w:pStyle w:val="TableText"/>
              <w:rPr>
                <w:b/>
                <w:bCs/>
              </w:rPr>
            </w:pPr>
            <w:r w:rsidRPr="00B8180E">
              <w:rPr>
                <w:b/>
                <w:bCs/>
              </w:rPr>
              <w:t>Citation</w:t>
            </w:r>
          </w:p>
        </w:tc>
        <w:tc>
          <w:tcPr>
            <w:tcW w:w="3699" w:type="pct"/>
          </w:tcPr>
          <w:p w14:paraId="06B7F9CB" w14:textId="476B5DBF" w:rsidR="00B8180E" w:rsidRPr="00B8180E" w:rsidRDefault="00B8180E" w:rsidP="00B8180E">
            <w:pPr>
              <w:pStyle w:val="TableText"/>
            </w:pPr>
            <w:r w:rsidRPr="00B8180E">
              <w:t>Arai, Y., Okanishi, T., Kanai, S., Ohta, K., Sunada, H., Noma, H., &amp; Maegaki, Y. (2023). Identifying risk factors for adverse events of pyridoxal phosphate in infantile epileptic spasms syndrome. Epilepsy &amp; Behavior, 145, 109348.</w:t>
            </w:r>
          </w:p>
        </w:tc>
      </w:tr>
      <w:tr w:rsidR="00B8180E" w:rsidRPr="00B8180E" w14:paraId="6F91AE5F" w14:textId="77777777" w:rsidTr="005E3223">
        <w:tc>
          <w:tcPr>
            <w:tcW w:w="1301" w:type="pct"/>
            <w:shd w:val="clear" w:color="auto" w:fill="F6FDE9"/>
          </w:tcPr>
          <w:p w14:paraId="400E86FA" w14:textId="77777777" w:rsidR="00B8180E" w:rsidRPr="00B8180E" w:rsidRDefault="00B8180E" w:rsidP="00B8180E">
            <w:pPr>
              <w:pStyle w:val="TableText"/>
              <w:rPr>
                <w:b/>
                <w:bCs/>
              </w:rPr>
            </w:pPr>
            <w:r w:rsidRPr="00B8180E">
              <w:rPr>
                <w:b/>
                <w:bCs/>
              </w:rPr>
              <w:t>Publication status</w:t>
            </w:r>
          </w:p>
        </w:tc>
        <w:tc>
          <w:tcPr>
            <w:tcW w:w="3699" w:type="pct"/>
          </w:tcPr>
          <w:p w14:paraId="085CEA35" w14:textId="5E9F4AD8" w:rsidR="00B8180E" w:rsidRPr="00B8180E" w:rsidRDefault="00B8180E" w:rsidP="00B8180E">
            <w:pPr>
              <w:pStyle w:val="TableText"/>
            </w:pPr>
            <w:r w:rsidRPr="00B8180E">
              <w:t>Published, peer-reviewed journal (Epilepsy &amp; Behavior, Elsevier), available online 16 July 2023</w:t>
            </w:r>
          </w:p>
        </w:tc>
      </w:tr>
      <w:tr w:rsidR="00B8180E" w:rsidRPr="00B8180E" w14:paraId="4ED089EF" w14:textId="77777777" w:rsidTr="00B8180E">
        <w:tc>
          <w:tcPr>
            <w:tcW w:w="1301" w:type="pct"/>
            <w:shd w:val="clear" w:color="auto" w:fill="F6FDE9"/>
          </w:tcPr>
          <w:p w14:paraId="42DB586A" w14:textId="77777777" w:rsidR="00B8180E" w:rsidRPr="00B8180E" w:rsidRDefault="00B8180E" w:rsidP="00B8180E">
            <w:pPr>
              <w:pStyle w:val="TableText"/>
              <w:rPr>
                <w:b/>
                <w:bCs/>
              </w:rPr>
            </w:pPr>
            <w:r w:rsidRPr="00B8180E">
              <w:rPr>
                <w:b/>
                <w:bCs/>
              </w:rPr>
              <w:t>Country / setting</w:t>
            </w:r>
          </w:p>
        </w:tc>
        <w:tc>
          <w:tcPr>
            <w:tcW w:w="3699" w:type="pct"/>
            <w:vAlign w:val="center"/>
          </w:tcPr>
          <w:p w14:paraId="73DBB58B" w14:textId="71726886" w:rsidR="00B8180E" w:rsidRPr="00B8180E" w:rsidRDefault="00B8180E" w:rsidP="00B8180E">
            <w:pPr>
              <w:pStyle w:val="TableText"/>
            </w:pPr>
            <w:r w:rsidRPr="00B8180E">
              <w:t xml:space="preserve">Japan; Tottori University Hospital (retrospective hospital-based study). </w:t>
            </w:r>
            <w:hyperlink r:id="rId81" w:history="1"/>
          </w:p>
        </w:tc>
      </w:tr>
      <w:tr w:rsidR="00B8180E" w:rsidRPr="00B8180E" w14:paraId="727CA40A" w14:textId="77777777" w:rsidTr="00B8180E">
        <w:tc>
          <w:tcPr>
            <w:tcW w:w="1301" w:type="pct"/>
            <w:shd w:val="clear" w:color="auto" w:fill="F6FDE9"/>
          </w:tcPr>
          <w:p w14:paraId="31487A28" w14:textId="77777777" w:rsidR="00B8180E" w:rsidRPr="00B8180E" w:rsidRDefault="00B8180E" w:rsidP="00B8180E">
            <w:pPr>
              <w:pStyle w:val="TableText"/>
              <w:rPr>
                <w:b/>
                <w:bCs/>
              </w:rPr>
            </w:pPr>
            <w:r w:rsidRPr="00B8180E">
              <w:rPr>
                <w:b/>
                <w:bCs/>
              </w:rPr>
              <w:t>Study design</w:t>
            </w:r>
          </w:p>
        </w:tc>
        <w:tc>
          <w:tcPr>
            <w:tcW w:w="3699" w:type="pct"/>
            <w:vAlign w:val="center"/>
          </w:tcPr>
          <w:p w14:paraId="44830C53" w14:textId="4D20CA86" w:rsidR="00B8180E" w:rsidRPr="00B8180E" w:rsidRDefault="00B8180E" w:rsidP="00B8180E">
            <w:pPr>
              <w:pStyle w:val="TableText"/>
            </w:pPr>
            <w:r w:rsidRPr="00B8180E">
              <w:t xml:space="preserve">Retrospective observational cohort study reviewing medical records of patients with IESS treated with PLP (n = 59). </w:t>
            </w:r>
            <w:hyperlink r:id="rId82" w:history="1"/>
          </w:p>
        </w:tc>
      </w:tr>
      <w:tr w:rsidR="00B8180E" w:rsidRPr="00B8180E" w14:paraId="56E4C44A" w14:textId="77777777" w:rsidTr="00B8180E">
        <w:tc>
          <w:tcPr>
            <w:tcW w:w="1301" w:type="pct"/>
            <w:shd w:val="clear" w:color="auto" w:fill="F6FDE9"/>
          </w:tcPr>
          <w:p w14:paraId="32AE164F" w14:textId="77777777" w:rsidR="00B8180E" w:rsidRPr="00B8180E" w:rsidRDefault="00B8180E" w:rsidP="00B8180E">
            <w:pPr>
              <w:pStyle w:val="TableText"/>
              <w:rPr>
                <w:b/>
                <w:bCs/>
              </w:rPr>
            </w:pPr>
            <w:r w:rsidRPr="00B8180E">
              <w:rPr>
                <w:b/>
                <w:bCs/>
              </w:rPr>
              <w:t>Funding / conflicts of interest</w:t>
            </w:r>
          </w:p>
        </w:tc>
        <w:tc>
          <w:tcPr>
            <w:tcW w:w="3699" w:type="pct"/>
            <w:vAlign w:val="center"/>
          </w:tcPr>
          <w:p w14:paraId="5B9AA625" w14:textId="36F73183" w:rsidR="00B8180E" w:rsidRPr="00B8180E" w:rsidRDefault="00B8180E" w:rsidP="00B8180E">
            <w:pPr>
              <w:pStyle w:val="TableText"/>
            </w:pPr>
            <w:r w:rsidRPr="00B8180E">
              <w:t xml:space="preserve">No funding reported; authors declare no competing financial interests. </w:t>
            </w:r>
            <w:hyperlink r:id="rId83" w:history="1"/>
          </w:p>
        </w:tc>
      </w:tr>
    </w:tbl>
    <w:p w14:paraId="214B2579" w14:textId="77777777" w:rsidR="00B8180E" w:rsidRPr="00FF26BF" w:rsidRDefault="00B8180E" w:rsidP="00B8180E">
      <w:pPr>
        <w:rPr>
          <w:rFonts w:eastAsia="Times New Roman" w:cs="Times New Roman"/>
        </w:rPr>
      </w:pPr>
      <w:r w:rsidRPr="00FF26BF">
        <w:rPr>
          <w:rFonts w:eastAsia="Calibri" w:cs="Arial"/>
          <w:b/>
          <w:bCs/>
          <w:sz w:val="20"/>
        </w:rPr>
        <w:t>Population</w:t>
      </w:r>
    </w:p>
    <w:tbl>
      <w:tblPr>
        <w:tblStyle w:val="SLROption1"/>
        <w:tblW w:w="5000" w:type="pct"/>
        <w:tblLook w:val="0000" w:firstRow="0" w:lastRow="0" w:firstColumn="0" w:lastColumn="0" w:noHBand="0" w:noVBand="0"/>
      </w:tblPr>
      <w:tblGrid>
        <w:gridCol w:w="3628"/>
        <w:gridCol w:w="10316"/>
      </w:tblGrid>
      <w:tr w:rsidR="00B8180E" w:rsidRPr="00FF26BF" w14:paraId="42CB9D3E" w14:textId="77777777" w:rsidTr="00B8180E">
        <w:tc>
          <w:tcPr>
            <w:tcW w:w="1301" w:type="pct"/>
            <w:shd w:val="clear" w:color="auto" w:fill="3C533C"/>
          </w:tcPr>
          <w:p w14:paraId="5AE95D96" w14:textId="77777777" w:rsidR="00B8180E" w:rsidRPr="00FF26BF" w:rsidRDefault="00B8180E" w:rsidP="005E3223">
            <w:pPr>
              <w:spacing w:after="0"/>
              <w:rPr>
                <w:rFonts w:cs="Arial"/>
                <w:sz w:val="20"/>
              </w:rPr>
            </w:pPr>
            <w:r w:rsidRPr="00FF26BF">
              <w:rPr>
                <w:rFonts w:eastAsia="Calibri" w:cs="Arial"/>
                <w:b/>
                <w:bCs/>
                <w:color w:val="FFFFFF"/>
                <w:sz w:val="20"/>
              </w:rPr>
              <w:t>Field</w:t>
            </w:r>
          </w:p>
        </w:tc>
        <w:tc>
          <w:tcPr>
            <w:tcW w:w="3699" w:type="pct"/>
            <w:tcBorders>
              <w:bottom w:val="single" w:sz="4" w:space="0" w:color="auto"/>
            </w:tcBorders>
            <w:shd w:val="clear" w:color="auto" w:fill="3C533C"/>
          </w:tcPr>
          <w:p w14:paraId="45B81A09" w14:textId="77777777" w:rsidR="00B8180E" w:rsidRPr="00FF26BF" w:rsidRDefault="00B8180E" w:rsidP="005E3223">
            <w:pPr>
              <w:spacing w:after="0"/>
              <w:rPr>
                <w:rFonts w:cs="Arial"/>
                <w:sz w:val="20"/>
              </w:rPr>
            </w:pPr>
            <w:r w:rsidRPr="00FF26BF">
              <w:rPr>
                <w:rFonts w:eastAsia="Calibri" w:cs="Arial"/>
                <w:b/>
                <w:bCs/>
                <w:color w:val="FFFFFF"/>
                <w:sz w:val="20"/>
              </w:rPr>
              <w:t>Extracted information</w:t>
            </w:r>
          </w:p>
        </w:tc>
      </w:tr>
      <w:tr w:rsidR="00B8180E" w:rsidRPr="00FF26BF" w14:paraId="48EC6FDB" w14:textId="77777777" w:rsidTr="00B8180E">
        <w:tc>
          <w:tcPr>
            <w:tcW w:w="1301" w:type="pct"/>
            <w:tcBorders>
              <w:right w:val="single" w:sz="4" w:space="0" w:color="auto"/>
            </w:tcBorders>
            <w:shd w:val="clear" w:color="auto" w:fill="F6FDE9"/>
          </w:tcPr>
          <w:p w14:paraId="185C226D" w14:textId="77777777" w:rsidR="00B8180E" w:rsidRPr="00FF26BF" w:rsidRDefault="00B8180E" w:rsidP="00B8180E">
            <w:pPr>
              <w:spacing w:after="0"/>
              <w:rPr>
                <w:rFonts w:cs="Arial"/>
                <w:sz w:val="20"/>
              </w:rPr>
            </w:pPr>
            <w:r w:rsidRPr="00FF26BF">
              <w:rPr>
                <w:rFonts w:eastAsia="Calibri" w:cs="Arial"/>
                <w:b/>
                <w:bCs/>
                <w:sz w:val="20"/>
              </w:rPr>
              <w:t>Sample size</w:t>
            </w:r>
          </w:p>
        </w:tc>
        <w:tc>
          <w:tcPr>
            <w:tcW w:w="3699" w:type="pct"/>
            <w:tcBorders>
              <w:top w:val="single" w:sz="4" w:space="0" w:color="auto"/>
              <w:left w:val="single" w:sz="4" w:space="0" w:color="auto"/>
              <w:bottom w:val="single" w:sz="4" w:space="0" w:color="auto"/>
              <w:right w:val="single" w:sz="4" w:space="0" w:color="auto"/>
            </w:tcBorders>
            <w:vAlign w:val="center"/>
          </w:tcPr>
          <w:p w14:paraId="21A16D57" w14:textId="56906DCF" w:rsidR="00B8180E" w:rsidRPr="00FF26BF" w:rsidRDefault="00B8180E" w:rsidP="00B8180E">
            <w:pPr>
              <w:pStyle w:val="TableText"/>
              <w:rPr>
                <w:rFonts w:cs="Arial"/>
              </w:rPr>
            </w:pPr>
            <w:r w:rsidRPr="001207E6">
              <w:rPr>
                <w:lang w:eastAsia="en-AU"/>
              </w:rPr>
              <w:t xml:space="preserve">n = 59 </w:t>
            </w:r>
            <w:hyperlink r:id="rId84" w:history="1"/>
          </w:p>
        </w:tc>
      </w:tr>
      <w:tr w:rsidR="00B8180E" w:rsidRPr="00FF26BF" w14:paraId="29A3B595" w14:textId="77777777" w:rsidTr="00B8180E">
        <w:tc>
          <w:tcPr>
            <w:tcW w:w="1301" w:type="pct"/>
            <w:tcBorders>
              <w:right w:val="single" w:sz="4" w:space="0" w:color="auto"/>
            </w:tcBorders>
            <w:shd w:val="clear" w:color="auto" w:fill="F6FDE9"/>
          </w:tcPr>
          <w:p w14:paraId="318C08D0" w14:textId="77777777" w:rsidR="00B8180E" w:rsidRPr="00FF26BF" w:rsidRDefault="00B8180E" w:rsidP="00B8180E">
            <w:pPr>
              <w:spacing w:after="0"/>
              <w:rPr>
                <w:rFonts w:cs="Arial"/>
                <w:sz w:val="20"/>
              </w:rPr>
            </w:pPr>
            <w:r w:rsidRPr="00FF26BF">
              <w:rPr>
                <w:rFonts w:eastAsia="Calibri" w:cs="Arial"/>
                <w:b/>
                <w:bCs/>
                <w:sz w:val="20"/>
              </w:rPr>
              <w:t>Patient characteristics</w:t>
            </w:r>
          </w:p>
        </w:tc>
        <w:tc>
          <w:tcPr>
            <w:tcW w:w="3699" w:type="pct"/>
            <w:tcBorders>
              <w:top w:val="single" w:sz="4" w:space="0" w:color="auto"/>
              <w:left w:val="single" w:sz="4" w:space="0" w:color="auto"/>
              <w:bottom w:val="single" w:sz="4" w:space="0" w:color="auto"/>
              <w:right w:val="single" w:sz="4" w:space="0" w:color="auto"/>
            </w:tcBorders>
            <w:vAlign w:val="center"/>
          </w:tcPr>
          <w:p w14:paraId="100EFA44" w14:textId="7DD18A64" w:rsidR="00B8180E" w:rsidRPr="00FF26BF" w:rsidRDefault="00B8180E" w:rsidP="00B8180E">
            <w:pPr>
              <w:pStyle w:val="TableText"/>
              <w:rPr>
                <w:rFonts w:cs="Arial"/>
              </w:rPr>
            </w:pPr>
            <w:r w:rsidRPr="001207E6">
              <w:rPr>
                <w:lang w:eastAsia="en-AU"/>
              </w:rPr>
              <w:t xml:space="preserve">Infants/young children with infantile epileptic spasms syndrome (IESS); 32 males and 27 females. Age at IESS onset: 2–27 months (mean 8.0 months). Age at PLP treatment: 2–33 months (mean 9.6 months). </w:t>
            </w:r>
            <w:hyperlink r:id="rId85" w:history="1"/>
          </w:p>
        </w:tc>
      </w:tr>
      <w:tr w:rsidR="00B8180E" w:rsidRPr="00FF26BF" w14:paraId="423B38E0" w14:textId="77777777" w:rsidTr="00B8180E">
        <w:tc>
          <w:tcPr>
            <w:tcW w:w="1301" w:type="pct"/>
            <w:tcBorders>
              <w:right w:val="single" w:sz="4" w:space="0" w:color="auto"/>
            </w:tcBorders>
            <w:shd w:val="clear" w:color="auto" w:fill="F6FDE9"/>
          </w:tcPr>
          <w:p w14:paraId="0879D56C" w14:textId="77777777" w:rsidR="00B8180E" w:rsidRPr="00FF26BF" w:rsidRDefault="00B8180E" w:rsidP="00B8180E">
            <w:pPr>
              <w:spacing w:after="0"/>
              <w:rPr>
                <w:rFonts w:cs="Arial"/>
                <w:sz w:val="20"/>
              </w:rPr>
            </w:pPr>
            <w:r w:rsidRPr="00FF26BF">
              <w:rPr>
                <w:rFonts w:eastAsia="Calibri" w:cs="Arial"/>
                <w:b/>
                <w:bCs/>
                <w:sz w:val="20"/>
              </w:rPr>
              <w:t>Inclusion/exclusion of alternative causes</w:t>
            </w:r>
          </w:p>
        </w:tc>
        <w:tc>
          <w:tcPr>
            <w:tcW w:w="3699" w:type="pct"/>
            <w:tcBorders>
              <w:top w:val="single" w:sz="4" w:space="0" w:color="auto"/>
              <w:left w:val="single" w:sz="4" w:space="0" w:color="auto"/>
              <w:bottom w:val="single" w:sz="4" w:space="0" w:color="auto"/>
              <w:right w:val="single" w:sz="4" w:space="0" w:color="auto"/>
            </w:tcBorders>
            <w:vAlign w:val="center"/>
          </w:tcPr>
          <w:p w14:paraId="44FD3DDE" w14:textId="6AB7299E" w:rsidR="00B8180E" w:rsidRPr="00FF26BF" w:rsidRDefault="00B8180E" w:rsidP="00B8180E">
            <w:pPr>
              <w:pStyle w:val="TableText"/>
              <w:rPr>
                <w:rFonts w:cs="Arial"/>
              </w:rPr>
            </w:pPr>
            <w:r w:rsidRPr="001207E6">
              <w:rPr>
                <w:lang w:eastAsia="en-AU"/>
              </w:rPr>
              <w:t xml:space="preserve">Inclusion: diagnosed IESS (&lt;36 months), treated with PLP, no prior ACTH or vigabatrin. Etiologies classified (structural, genetic, metabolic, infectious, unknown). No explicit systematic exclusion of all alternative causes of adverse events reported. </w:t>
            </w:r>
            <w:hyperlink r:id="rId86" w:history="1"/>
          </w:p>
        </w:tc>
      </w:tr>
    </w:tbl>
    <w:p w14:paraId="7501D14C" w14:textId="77777777" w:rsidR="00B8180E" w:rsidRPr="00FF26BF" w:rsidRDefault="00B8180E" w:rsidP="00B8180E">
      <w:pPr>
        <w:rPr>
          <w:rFonts w:eastAsia="Times New Roman" w:cs="Times New Roman"/>
          <w:b/>
          <w:bCs/>
        </w:rPr>
      </w:pPr>
      <w:r w:rsidRPr="00FF26BF">
        <w:rPr>
          <w:rFonts w:eastAsia="Times New Roman" w:cs="Times New Roman"/>
          <w:b/>
          <w:bCs/>
        </w:rPr>
        <w:t>Exposure</w:t>
      </w:r>
    </w:p>
    <w:tbl>
      <w:tblPr>
        <w:tblStyle w:val="SLROption1"/>
        <w:tblW w:w="5000" w:type="pct"/>
        <w:tblLook w:val="0000" w:firstRow="0" w:lastRow="0" w:firstColumn="0" w:lastColumn="0" w:noHBand="0" w:noVBand="0"/>
      </w:tblPr>
      <w:tblGrid>
        <w:gridCol w:w="3628"/>
        <w:gridCol w:w="10316"/>
      </w:tblGrid>
      <w:tr w:rsidR="00B8180E" w:rsidRPr="00FF26BF" w14:paraId="661EA989" w14:textId="77777777" w:rsidTr="00B8180E">
        <w:trPr>
          <w:cantSplit/>
          <w:tblHeader/>
        </w:trPr>
        <w:tc>
          <w:tcPr>
            <w:tcW w:w="1301" w:type="pct"/>
            <w:shd w:val="clear" w:color="auto" w:fill="3C533C"/>
          </w:tcPr>
          <w:p w14:paraId="61C74E56" w14:textId="77777777" w:rsidR="00B8180E" w:rsidRPr="00FF26BF" w:rsidRDefault="00B8180E" w:rsidP="005E3223">
            <w:pPr>
              <w:spacing w:after="0"/>
              <w:rPr>
                <w:rFonts w:cs="Arial"/>
                <w:sz w:val="20"/>
              </w:rPr>
            </w:pPr>
            <w:r w:rsidRPr="00FF26BF">
              <w:rPr>
                <w:rFonts w:eastAsia="Calibri" w:cs="Arial"/>
                <w:b/>
                <w:bCs/>
                <w:color w:val="FFFFFF"/>
                <w:sz w:val="20"/>
              </w:rPr>
              <w:t>Field</w:t>
            </w:r>
          </w:p>
        </w:tc>
        <w:tc>
          <w:tcPr>
            <w:tcW w:w="3699" w:type="pct"/>
            <w:tcBorders>
              <w:bottom w:val="single" w:sz="4" w:space="0" w:color="auto"/>
            </w:tcBorders>
            <w:shd w:val="clear" w:color="auto" w:fill="3C533C"/>
          </w:tcPr>
          <w:p w14:paraId="361531A7" w14:textId="77777777" w:rsidR="00B8180E" w:rsidRPr="00FF26BF" w:rsidRDefault="00B8180E" w:rsidP="005E3223">
            <w:pPr>
              <w:spacing w:after="0"/>
              <w:rPr>
                <w:rFonts w:cs="Arial"/>
                <w:sz w:val="20"/>
              </w:rPr>
            </w:pPr>
            <w:r w:rsidRPr="00FF26BF">
              <w:rPr>
                <w:rFonts w:eastAsia="Calibri" w:cs="Arial"/>
                <w:b/>
                <w:bCs/>
                <w:color w:val="FFFFFF"/>
                <w:sz w:val="20"/>
              </w:rPr>
              <w:t>Extracted information</w:t>
            </w:r>
          </w:p>
        </w:tc>
      </w:tr>
      <w:tr w:rsidR="00B8180E" w:rsidRPr="00FF26BF" w14:paraId="37AD9465" w14:textId="77777777" w:rsidTr="00B8180E">
        <w:tc>
          <w:tcPr>
            <w:tcW w:w="1301" w:type="pct"/>
            <w:tcBorders>
              <w:right w:val="single" w:sz="4" w:space="0" w:color="auto"/>
            </w:tcBorders>
            <w:shd w:val="clear" w:color="auto" w:fill="F6FDE9"/>
          </w:tcPr>
          <w:p w14:paraId="415ACCC1" w14:textId="77777777" w:rsidR="00B8180E" w:rsidRPr="00FF26BF" w:rsidRDefault="00B8180E" w:rsidP="00B8180E">
            <w:pPr>
              <w:spacing w:after="0"/>
              <w:rPr>
                <w:rFonts w:cs="Arial"/>
                <w:sz w:val="20"/>
              </w:rPr>
            </w:pPr>
            <w:r w:rsidRPr="00FF26BF">
              <w:rPr>
                <w:rFonts w:eastAsia="Calibri" w:cs="Arial"/>
                <w:b/>
                <w:bCs/>
                <w:sz w:val="20"/>
              </w:rPr>
              <w:t>Exposure characterisation – source</w:t>
            </w:r>
          </w:p>
        </w:tc>
        <w:tc>
          <w:tcPr>
            <w:tcW w:w="3699" w:type="pct"/>
            <w:tcBorders>
              <w:top w:val="single" w:sz="4" w:space="0" w:color="auto"/>
              <w:left w:val="single" w:sz="4" w:space="0" w:color="auto"/>
              <w:bottom w:val="single" w:sz="4" w:space="0" w:color="auto"/>
              <w:right w:val="single" w:sz="4" w:space="0" w:color="auto"/>
            </w:tcBorders>
            <w:vAlign w:val="center"/>
          </w:tcPr>
          <w:p w14:paraId="536DD5BD" w14:textId="0FC48604" w:rsidR="00B8180E" w:rsidRPr="00FF26BF" w:rsidRDefault="00B8180E" w:rsidP="00B8180E">
            <w:pPr>
              <w:pStyle w:val="TableText"/>
              <w:rPr>
                <w:rFonts w:cs="Arial"/>
              </w:rPr>
            </w:pPr>
            <w:r w:rsidRPr="001207E6">
              <w:rPr>
                <w:lang w:eastAsia="en-AU"/>
              </w:rPr>
              <w:t xml:space="preserve">Pyridoxal 5′-phosphate (PLP) administered as therapeutic treatment for IESS. </w:t>
            </w:r>
            <w:hyperlink r:id="rId87" w:history="1"/>
          </w:p>
        </w:tc>
      </w:tr>
      <w:tr w:rsidR="00B8180E" w:rsidRPr="00FF26BF" w14:paraId="0EB1FFE7" w14:textId="77777777" w:rsidTr="00B8180E">
        <w:tc>
          <w:tcPr>
            <w:tcW w:w="1301" w:type="pct"/>
            <w:tcBorders>
              <w:right w:val="single" w:sz="4" w:space="0" w:color="auto"/>
            </w:tcBorders>
            <w:shd w:val="clear" w:color="auto" w:fill="F6FDE9"/>
          </w:tcPr>
          <w:p w14:paraId="1922AD47" w14:textId="77777777" w:rsidR="00B8180E" w:rsidRPr="00FF26BF" w:rsidRDefault="00B8180E" w:rsidP="00B8180E">
            <w:pPr>
              <w:spacing w:after="0"/>
              <w:rPr>
                <w:rFonts w:cs="Arial"/>
                <w:sz w:val="20"/>
              </w:rPr>
            </w:pPr>
            <w:r w:rsidRPr="00FF26BF">
              <w:rPr>
                <w:rFonts w:eastAsia="Calibri" w:cs="Arial"/>
                <w:b/>
                <w:bCs/>
                <w:sz w:val="20"/>
              </w:rPr>
              <w:t>Exposure characterisation – dose</w:t>
            </w:r>
          </w:p>
        </w:tc>
        <w:tc>
          <w:tcPr>
            <w:tcW w:w="3699" w:type="pct"/>
            <w:tcBorders>
              <w:top w:val="single" w:sz="4" w:space="0" w:color="auto"/>
              <w:left w:val="single" w:sz="4" w:space="0" w:color="auto"/>
              <w:bottom w:val="single" w:sz="4" w:space="0" w:color="auto"/>
              <w:right w:val="single" w:sz="4" w:space="0" w:color="auto"/>
            </w:tcBorders>
            <w:vAlign w:val="center"/>
          </w:tcPr>
          <w:p w14:paraId="3AC0BA25" w14:textId="01560559" w:rsidR="00B8180E" w:rsidRPr="00FF26BF" w:rsidRDefault="00B8180E" w:rsidP="00B8180E">
            <w:pPr>
              <w:pStyle w:val="TableText"/>
              <w:rPr>
                <w:rFonts w:cs="Arial"/>
              </w:rPr>
            </w:pPr>
            <w:r w:rsidRPr="001207E6">
              <w:rPr>
                <w:lang w:eastAsia="en-AU"/>
              </w:rPr>
              <w:t xml:space="preserve">Initial dose: 10–20 mg/kg/day, increased to 30–50 mg/kg/day; maximum observed range 10–80 mg/kg/day (mean 33.8 mg/kg/day). </w:t>
            </w:r>
            <w:hyperlink r:id="rId88" w:history="1"/>
          </w:p>
        </w:tc>
      </w:tr>
      <w:tr w:rsidR="00B8180E" w:rsidRPr="00FF26BF" w14:paraId="54775753" w14:textId="77777777" w:rsidTr="00B8180E">
        <w:tc>
          <w:tcPr>
            <w:tcW w:w="1301" w:type="pct"/>
            <w:tcBorders>
              <w:right w:val="single" w:sz="4" w:space="0" w:color="auto"/>
            </w:tcBorders>
            <w:shd w:val="clear" w:color="auto" w:fill="F6FDE9"/>
          </w:tcPr>
          <w:p w14:paraId="5DB2E7F4" w14:textId="77777777" w:rsidR="00B8180E" w:rsidRPr="00FF26BF" w:rsidRDefault="00B8180E" w:rsidP="00B8180E">
            <w:pPr>
              <w:spacing w:after="0"/>
              <w:rPr>
                <w:rFonts w:cs="Arial"/>
                <w:sz w:val="20"/>
              </w:rPr>
            </w:pPr>
            <w:r w:rsidRPr="00FF26BF">
              <w:rPr>
                <w:rFonts w:eastAsia="Calibri" w:cs="Arial"/>
                <w:b/>
                <w:bCs/>
                <w:sz w:val="20"/>
              </w:rPr>
              <w:lastRenderedPageBreak/>
              <w:t>Biomarker of exposure</w:t>
            </w:r>
          </w:p>
        </w:tc>
        <w:tc>
          <w:tcPr>
            <w:tcW w:w="3699" w:type="pct"/>
            <w:tcBorders>
              <w:top w:val="single" w:sz="4" w:space="0" w:color="auto"/>
              <w:left w:val="single" w:sz="4" w:space="0" w:color="auto"/>
              <w:bottom w:val="single" w:sz="4" w:space="0" w:color="auto"/>
              <w:right w:val="single" w:sz="4" w:space="0" w:color="auto"/>
            </w:tcBorders>
            <w:vAlign w:val="center"/>
          </w:tcPr>
          <w:p w14:paraId="33796DD5" w14:textId="4F249690" w:rsidR="00B8180E" w:rsidRPr="00FF26BF" w:rsidRDefault="00B8180E" w:rsidP="00B8180E">
            <w:pPr>
              <w:pStyle w:val="TableText"/>
              <w:rPr>
                <w:rFonts w:cs="Arial"/>
              </w:rPr>
            </w:pPr>
            <w:r w:rsidRPr="001207E6">
              <w:rPr>
                <w:lang w:eastAsia="en-AU"/>
              </w:rPr>
              <w:t>NA (no direct biomarker of vitamin B6 status such as plasma PLP reported).</w:t>
            </w:r>
          </w:p>
        </w:tc>
      </w:tr>
      <w:tr w:rsidR="00B8180E" w:rsidRPr="00FF26BF" w14:paraId="56D9000A" w14:textId="77777777" w:rsidTr="00B8180E">
        <w:tc>
          <w:tcPr>
            <w:tcW w:w="1301" w:type="pct"/>
            <w:tcBorders>
              <w:right w:val="single" w:sz="4" w:space="0" w:color="auto"/>
            </w:tcBorders>
            <w:shd w:val="clear" w:color="auto" w:fill="F6FDE9"/>
          </w:tcPr>
          <w:p w14:paraId="015DE7EB" w14:textId="77777777" w:rsidR="00B8180E" w:rsidRPr="00FF26BF" w:rsidRDefault="00B8180E" w:rsidP="00B8180E">
            <w:pPr>
              <w:spacing w:after="0"/>
              <w:rPr>
                <w:rFonts w:cs="Arial"/>
                <w:sz w:val="20"/>
              </w:rPr>
            </w:pPr>
            <w:r w:rsidRPr="00FF26BF">
              <w:rPr>
                <w:rFonts w:eastAsia="Calibri" w:cs="Arial"/>
                <w:b/>
                <w:bCs/>
                <w:sz w:val="20"/>
              </w:rPr>
              <w:t>Duration of exposure</w:t>
            </w:r>
          </w:p>
        </w:tc>
        <w:tc>
          <w:tcPr>
            <w:tcW w:w="3699" w:type="pct"/>
            <w:tcBorders>
              <w:top w:val="single" w:sz="4" w:space="0" w:color="auto"/>
              <w:left w:val="single" w:sz="4" w:space="0" w:color="auto"/>
              <w:bottom w:val="single" w:sz="4" w:space="0" w:color="auto"/>
              <w:right w:val="single" w:sz="4" w:space="0" w:color="auto"/>
            </w:tcBorders>
            <w:vAlign w:val="center"/>
          </w:tcPr>
          <w:p w14:paraId="0A96D0E8" w14:textId="233547C8" w:rsidR="00B8180E" w:rsidRPr="00FF26BF" w:rsidRDefault="00B8180E" w:rsidP="00B8180E">
            <w:pPr>
              <w:pStyle w:val="TableText"/>
              <w:rPr>
                <w:rFonts w:cs="Arial"/>
              </w:rPr>
            </w:pPr>
            <w:r w:rsidRPr="001207E6">
              <w:rPr>
                <w:lang w:eastAsia="en-AU"/>
              </w:rPr>
              <w:t>NA (duration varies; protocol includes initiation and escalation within one week, but total treatment duration not consistently reported).</w:t>
            </w:r>
          </w:p>
        </w:tc>
      </w:tr>
    </w:tbl>
    <w:p w14:paraId="5DE367F8" w14:textId="77777777" w:rsidR="00B8180E" w:rsidRPr="00FF26BF" w:rsidRDefault="00B8180E" w:rsidP="00B8180E">
      <w:pPr>
        <w:rPr>
          <w:rFonts w:eastAsia="Times New Roman" w:cs="Times New Roman"/>
          <w:b/>
          <w:bCs/>
        </w:rPr>
      </w:pPr>
      <w:r w:rsidRPr="00FF26BF">
        <w:rPr>
          <w:rFonts w:eastAsia="Times New Roman" w:cs="Times New Roman"/>
          <w:b/>
          <w:bCs/>
        </w:rPr>
        <w:t>Outcomes</w:t>
      </w:r>
    </w:p>
    <w:tbl>
      <w:tblPr>
        <w:tblStyle w:val="SLROption1"/>
        <w:tblW w:w="5000" w:type="pct"/>
        <w:tblLook w:val="0000" w:firstRow="0" w:lastRow="0" w:firstColumn="0" w:lastColumn="0" w:noHBand="0" w:noVBand="0"/>
      </w:tblPr>
      <w:tblGrid>
        <w:gridCol w:w="3628"/>
        <w:gridCol w:w="10316"/>
      </w:tblGrid>
      <w:tr w:rsidR="00B8180E" w:rsidRPr="00FF26BF" w14:paraId="29915738" w14:textId="77777777" w:rsidTr="00B8180E">
        <w:tc>
          <w:tcPr>
            <w:tcW w:w="1301" w:type="pct"/>
            <w:shd w:val="clear" w:color="auto" w:fill="3C533C"/>
          </w:tcPr>
          <w:p w14:paraId="78187FA4" w14:textId="77777777" w:rsidR="00B8180E" w:rsidRPr="00FF26BF" w:rsidRDefault="00B8180E" w:rsidP="005E3223">
            <w:pPr>
              <w:spacing w:after="0"/>
              <w:rPr>
                <w:rFonts w:cs="Arial"/>
                <w:sz w:val="20"/>
              </w:rPr>
            </w:pPr>
            <w:r w:rsidRPr="00FF26BF">
              <w:rPr>
                <w:rFonts w:eastAsia="Calibri" w:cs="Arial"/>
                <w:b/>
                <w:bCs/>
                <w:color w:val="FFFFFF"/>
                <w:sz w:val="20"/>
              </w:rPr>
              <w:t>Field</w:t>
            </w:r>
          </w:p>
        </w:tc>
        <w:tc>
          <w:tcPr>
            <w:tcW w:w="3699" w:type="pct"/>
            <w:tcBorders>
              <w:bottom w:val="single" w:sz="4" w:space="0" w:color="auto"/>
            </w:tcBorders>
            <w:shd w:val="clear" w:color="auto" w:fill="3C533C"/>
          </w:tcPr>
          <w:p w14:paraId="5EE59BA8" w14:textId="77777777" w:rsidR="00B8180E" w:rsidRPr="00FF26BF" w:rsidRDefault="00B8180E" w:rsidP="005E3223">
            <w:pPr>
              <w:spacing w:after="0"/>
              <w:rPr>
                <w:rFonts w:cs="Arial"/>
                <w:sz w:val="20"/>
              </w:rPr>
            </w:pPr>
            <w:r w:rsidRPr="00FF26BF">
              <w:rPr>
                <w:rFonts w:eastAsia="Calibri" w:cs="Arial"/>
                <w:b/>
                <w:bCs/>
                <w:color w:val="FFFFFF"/>
                <w:sz w:val="20"/>
              </w:rPr>
              <w:t>Extracted information</w:t>
            </w:r>
          </w:p>
        </w:tc>
      </w:tr>
      <w:tr w:rsidR="00B8180E" w:rsidRPr="00FF26BF" w14:paraId="2744C49B" w14:textId="77777777" w:rsidTr="00B8180E">
        <w:tc>
          <w:tcPr>
            <w:tcW w:w="1301" w:type="pct"/>
            <w:tcBorders>
              <w:right w:val="single" w:sz="4" w:space="0" w:color="auto"/>
            </w:tcBorders>
            <w:shd w:val="clear" w:color="auto" w:fill="F6FDE9"/>
          </w:tcPr>
          <w:p w14:paraId="47CBDB5B" w14:textId="77777777" w:rsidR="00B8180E" w:rsidRPr="00FF26BF" w:rsidRDefault="00B8180E" w:rsidP="00B8180E">
            <w:pPr>
              <w:spacing w:after="0"/>
              <w:rPr>
                <w:rFonts w:cs="Arial"/>
                <w:sz w:val="20"/>
              </w:rPr>
            </w:pPr>
            <w:r w:rsidRPr="00FF26BF">
              <w:rPr>
                <w:rFonts w:eastAsia="Calibri" w:cs="Arial"/>
                <w:b/>
                <w:bCs/>
                <w:sz w:val="20"/>
              </w:rPr>
              <w:t>Primary outcome</w:t>
            </w:r>
          </w:p>
        </w:tc>
        <w:tc>
          <w:tcPr>
            <w:tcW w:w="3699" w:type="pct"/>
            <w:tcBorders>
              <w:top w:val="single" w:sz="4" w:space="0" w:color="auto"/>
              <w:left w:val="single" w:sz="4" w:space="0" w:color="auto"/>
              <w:bottom w:val="single" w:sz="4" w:space="0" w:color="auto"/>
              <w:right w:val="single" w:sz="4" w:space="0" w:color="auto"/>
            </w:tcBorders>
            <w:vAlign w:val="center"/>
          </w:tcPr>
          <w:p w14:paraId="72AB0DFE" w14:textId="5C17DC28" w:rsidR="00B8180E" w:rsidRPr="00FF26BF" w:rsidRDefault="00B8180E" w:rsidP="00B8180E">
            <w:pPr>
              <w:pStyle w:val="TableText"/>
              <w:rPr>
                <w:rFonts w:cs="Arial"/>
              </w:rPr>
            </w:pPr>
            <w:r w:rsidRPr="001207E6">
              <w:rPr>
                <w:lang w:eastAsia="en-AU"/>
              </w:rPr>
              <w:t xml:space="preserve">Adverse events associated with PLP therapy (vomiting, elevated liver enzymes, rhabdomyolysis). </w:t>
            </w:r>
            <w:hyperlink r:id="rId89" w:history="1"/>
          </w:p>
        </w:tc>
      </w:tr>
      <w:tr w:rsidR="00B8180E" w:rsidRPr="00FF26BF" w14:paraId="108ED2B9" w14:textId="77777777" w:rsidTr="00B8180E">
        <w:tc>
          <w:tcPr>
            <w:tcW w:w="1301" w:type="pct"/>
            <w:tcBorders>
              <w:right w:val="single" w:sz="4" w:space="0" w:color="auto"/>
            </w:tcBorders>
            <w:shd w:val="clear" w:color="auto" w:fill="F6FDE9"/>
          </w:tcPr>
          <w:p w14:paraId="1437478D" w14:textId="77777777" w:rsidR="00B8180E" w:rsidRPr="00FF26BF" w:rsidRDefault="00B8180E" w:rsidP="00B8180E">
            <w:pPr>
              <w:spacing w:after="0"/>
              <w:rPr>
                <w:rFonts w:cs="Arial"/>
                <w:sz w:val="20"/>
              </w:rPr>
            </w:pPr>
            <w:r w:rsidRPr="00FF26BF">
              <w:rPr>
                <w:rFonts w:eastAsia="Calibri" w:cs="Arial"/>
                <w:b/>
                <w:bCs/>
                <w:sz w:val="20"/>
              </w:rPr>
              <w:t>Outcome assessment – clinical examination</w:t>
            </w:r>
          </w:p>
        </w:tc>
        <w:tc>
          <w:tcPr>
            <w:tcW w:w="3699" w:type="pct"/>
            <w:tcBorders>
              <w:top w:val="single" w:sz="4" w:space="0" w:color="auto"/>
              <w:left w:val="single" w:sz="4" w:space="0" w:color="auto"/>
              <w:bottom w:val="single" w:sz="4" w:space="0" w:color="auto"/>
              <w:right w:val="single" w:sz="4" w:space="0" w:color="auto"/>
            </w:tcBorders>
            <w:vAlign w:val="center"/>
          </w:tcPr>
          <w:p w14:paraId="25A6F196" w14:textId="1A65C68C" w:rsidR="00B8180E" w:rsidRPr="00FF26BF" w:rsidRDefault="00B8180E" w:rsidP="00B8180E">
            <w:pPr>
              <w:pStyle w:val="TableText"/>
              <w:rPr>
                <w:rFonts w:cs="Arial"/>
              </w:rPr>
            </w:pPr>
            <w:r w:rsidRPr="001207E6">
              <w:rPr>
                <w:lang w:eastAsia="en-AU"/>
              </w:rPr>
              <w:t xml:space="preserve">Monitoring for symptoms such as vomiting; adverse events defined as symptoms or lab abnormalities requiring dose reduction/discontinuation. </w:t>
            </w:r>
            <w:hyperlink r:id="rId90" w:history="1"/>
          </w:p>
        </w:tc>
      </w:tr>
      <w:tr w:rsidR="00B8180E" w:rsidRPr="00FF26BF" w14:paraId="7AEFF2B8" w14:textId="77777777" w:rsidTr="00B8180E">
        <w:tc>
          <w:tcPr>
            <w:tcW w:w="1301" w:type="pct"/>
            <w:tcBorders>
              <w:right w:val="single" w:sz="4" w:space="0" w:color="auto"/>
            </w:tcBorders>
            <w:shd w:val="clear" w:color="auto" w:fill="F6FDE9"/>
          </w:tcPr>
          <w:p w14:paraId="5236C4C5" w14:textId="77777777" w:rsidR="00B8180E" w:rsidRPr="00FF26BF" w:rsidRDefault="00B8180E" w:rsidP="00B8180E">
            <w:pPr>
              <w:spacing w:after="0"/>
              <w:rPr>
                <w:rFonts w:cs="Arial"/>
                <w:sz w:val="20"/>
              </w:rPr>
            </w:pPr>
            <w:r w:rsidRPr="00FF26BF">
              <w:rPr>
                <w:rFonts w:eastAsia="Calibri" w:cs="Arial"/>
                <w:b/>
                <w:bCs/>
                <w:sz w:val="20"/>
              </w:rPr>
              <w:t>Outcome assessment – objective testing</w:t>
            </w:r>
          </w:p>
        </w:tc>
        <w:tc>
          <w:tcPr>
            <w:tcW w:w="3699" w:type="pct"/>
            <w:tcBorders>
              <w:top w:val="single" w:sz="4" w:space="0" w:color="auto"/>
              <w:left w:val="single" w:sz="4" w:space="0" w:color="auto"/>
              <w:bottom w:val="single" w:sz="4" w:space="0" w:color="auto"/>
              <w:right w:val="single" w:sz="4" w:space="0" w:color="auto"/>
            </w:tcBorders>
            <w:vAlign w:val="center"/>
          </w:tcPr>
          <w:p w14:paraId="1A2790EF" w14:textId="4D7EA9E6" w:rsidR="00B8180E" w:rsidRPr="00FF26BF" w:rsidRDefault="00B8180E" w:rsidP="00B8180E">
            <w:pPr>
              <w:pStyle w:val="TableText"/>
              <w:rPr>
                <w:rFonts w:cs="Arial"/>
              </w:rPr>
            </w:pPr>
            <w:r w:rsidRPr="001207E6">
              <w:rPr>
                <w:lang w:eastAsia="en-AU"/>
              </w:rPr>
              <w:t xml:space="preserve">Laboratory tests: AST, ALT, γ-GTP (liver enzymes), creatine kinase (CK). Rhabdomyolysis defined as CK &gt;10× upper limit. </w:t>
            </w:r>
            <w:hyperlink r:id="rId91" w:history="1"/>
          </w:p>
        </w:tc>
      </w:tr>
      <w:tr w:rsidR="00B8180E" w:rsidRPr="00FF26BF" w14:paraId="6D36BB6D" w14:textId="77777777" w:rsidTr="00B8180E">
        <w:tc>
          <w:tcPr>
            <w:tcW w:w="1301" w:type="pct"/>
            <w:tcBorders>
              <w:right w:val="single" w:sz="4" w:space="0" w:color="auto"/>
            </w:tcBorders>
            <w:shd w:val="clear" w:color="auto" w:fill="F6FDE9"/>
          </w:tcPr>
          <w:p w14:paraId="623F6B23" w14:textId="77777777" w:rsidR="00B8180E" w:rsidRPr="00FF26BF" w:rsidRDefault="00B8180E" w:rsidP="00B8180E">
            <w:pPr>
              <w:spacing w:after="0"/>
              <w:rPr>
                <w:rFonts w:cs="Arial"/>
                <w:sz w:val="20"/>
              </w:rPr>
            </w:pPr>
            <w:r w:rsidRPr="00FF26BF">
              <w:rPr>
                <w:rFonts w:eastAsia="Calibri" w:cs="Arial"/>
                <w:b/>
                <w:bCs/>
                <w:sz w:val="20"/>
              </w:rPr>
              <w:t>Outcome assessment – tools used</w:t>
            </w:r>
          </w:p>
        </w:tc>
        <w:tc>
          <w:tcPr>
            <w:tcW w:w="3699" w:type="pct"/>
            <w:tcBorders>
              <w:top w:val="single" w:sz="4" w:space="0" w:color="auto"/>
              <w:left w:val="single" w:sz="4" w:space="0" w:color="auto"/>
              <w:bottom w:val="single" w:sz="4" w:space="0" w:color="auto"/>
              <w:right w:val="single" w:sz="4" w:space="0" w:color="auto"/>
            </w:tcBorders>
            <w:vAlign w:val="center"/>
          </w:tcPr>
          <w:p w14:paraId="35FE05F1" w14:textId="0F48A982" w:rsidR="00B8180E" w:rsidRPr="00FF26BF" w:rsidRDefault="00B8180E" w:rsidP="00B8180E">
            <w:pPr>
              <w:pStyle w:val="TableText"/>
              <w:rPr>
                <w:rFonts w:cs="Arial"/>
              </w:rPr>
            </w:pPr>
            <w:r w:rsidRPr="001207E6">
              <w:rPr>
                <w:lang w:eastAsia="en-AU"/>
              </w:rPr>
              <w:t xml:space="preserve">Routine blood tests; clinical observation; retrospective medical record review. </w:t>
            </w:r>
            <w:hyperlink r:id="rId92" w:history="1"/>
          </w:p>
        </w:tc>
      </w:tr>
      <w:tr w:rsidR="00B8180E" w:rsidRPr="00FF26BF" w14:paraId="64A9F258" w14:textId="77777777" w:rsidTr="00B8180E">
        <w:tc>
          <w:tcPr>
            <w:tcW w:w="1301" w:type="pct"/>
            <w:tcBorders>
              <w:right w:val="single" w:sz="4" w:space="0" w:color="auto"/>
            </w:tcBorders>
            <w:shd w:val="clear" w:color="auto" w:fill="F6FDE9"/>
          </w:tcPr>
          <w:p w14:paraId="67C12C5F" w14:textId="77777777" w:rsidR="00B8180E" w:rsidRPr="00FF26BF" w:rsidRDefault="00B8180E" w:rsidP="00B8180E">
            <w:pPr>
              <w:spacing w:after="0"/>
              <w:rPr>
                <w:rFonts w:cs="Arial"/>
                <w:sz w:val="20"/>
              </w:rPr>
            </w:pPr>
            <w:r w:rsidRPr="00FF26BF">
              <w:rPr>
                <w:rFonts w:eastAsia="Calibri" w:cs="Arial"/>
                <w:b/>
                <w:bCs/>
                <w:sz w:val="20"/>
              </w:rPr>
              <w:t>Response to withdrawal</w:t>
            </w:r>
          </w:p>
        </w:tc>
        <w:tc>
          <w:tcPr>
            <w:tcW w:w="3699" w:type="pct"/>
            <w:tcBorders>
              <w:top w:val="single" w:sz="4" w:space="0" w:color="auto"/>
              <w:left w:val="single" w:sz="4" w:space="0" w:color="auto"/>
              <w:bottom w:val="single" w:sz="4" w:space="0" w:color="auto"/>
              <w:right w:val="single" w:sz="4" w:space="0" w:color="auto"/>
            </w:tcBorders>
            <w:vAlign w:val="center"/>
          </w:tcPr>
          <w:p w14:paraId="78D02860" w14:textId="719BA89B" w:rsidR="00B8180E" w:rsidRPr="00FF26BF" w:rsidRDefault="00B8180E" w:rsidP="00B8180E">
            <w:pPr>
              <w:pStyle w:val="TableText"/>
              <w:rPr>
                <w:rFonts w:cs="Arial"/>
              </w:rPr>
            </w:pPr>
            <w:r w:rsidRPr="001207E6">
              <w:rPr>
                <w:lang w:eastAsia="en-AU"/>
              </w:rPr>
              <w:t xml:space="preserve">Some adverse events (e.g., rhabdomyolysis cases) improved after management and/or dose reduction/discontinuation. </w:t>
            </w:r>
            <w:hyperlink r:id="rId93" w:history="1"/>
          </w:p>
        </w:tc>
      </w:tr>
    </w:tbl>
    <w:p w14:paraId="66C30364" w14:textId="77777777" w:rsidR="00B8180E" w:rsidRPr="00FF26BF" w:rsidRDefault="00B8180E" w:rsidP="00B8180E">
      <w:pPr>
        <w:rPr>
          <w:rFonts w:eastAsia="Times New Roman" w:cs="Times New Roman"/>
          <w:b/>
          <w:bCs/>
        </w:rPr>
      </w:pPr>
      <w:r w:rsidRPr="00FF26BF">
        <w:rPr>
          <w:rFonts w:eastAsia="Times New Roman" w:cs="Times New Roman"/>
          <w:b/>
          <w:bCs/>
        </w:rPr>
        <w:t>Results and Conclusions</w:t>
      </w:r>
    </w:p>
    <w:tbl>
      <w:tblPr>
        <w:tblStyle w:val="SLROption1"/>
        <w:tblW w:w="5000" w:type="pct"/>
        <w:tblLook w:val="0000" w:firstRow="0" w:lastRow="0" w:firstColumn="0" w:lastColumn="0" w:noHBand="0" w:noVBand="0"/>
      </w:tblPr>
      <w:tblGrid>
        <w:gridCol w:w="3628"/>
        <w:gridCol w:w="10316"/>
      </w:tblGrid>
      <w:tr w:rsidR="00B8180E" w:rsidRPr="00FF26BF" w14:paraId="7C13E0D1" w14:textId="77777777" w:rsidTr="00B8180E">
        <w:trPr>
          <w:cantSplit/>
          <w:tblHeader/>
        </w:trPr>
        <w:tc>
          <w:tcPr>
            <w:tcW w:w="1301" w:type="pct"/>
            <w:shd w:val="clear" w:color="auto" w:fill="3C533C"/>
          </w:tcPr>
          <w:p w14:paraId="626602F8" w14:textId="77777777" w:rsidR="00B8180E" w:rsidRPr="00FF26BF" w:rsidRDefault="00B8180E" w:rsidP="005E3223">
            <w:pPr>
              <w:spacing w:after="0"/>
              <w:rPr>
                <w:rFonts w:cs="Arial"/>
                <w:sz w:val="20"/>
              </w:rPr>
            </w:pPr>
            <w:r w:rsidRPr="00FF26BF">
              <w:rPr>
                <w:rFonts w:eastAsia="Calibri" w:cs="Arial"/>
                <w:b/>
                <w:bCs/>
                <w:color w:val="FFFFFF"/>
                <w:sz w:val="20"/>
              </w:rPr>
              <w:t>Field</w:t>
            </w:r>
          </w:p>
        </w:tc>
        <w:tc>
          <w:tcPr>
            <w:tcW w:w="3699" w:type="pct"/>
            <w:tcBorders>
              <w:bottom w:val="single" w:sz="4" w:space="0" w:color="auto"/>
            </w:tcBorders>
            <w:shd w:val="clear" w:color="auto" w:fill="3C533C"/>
          </w:tcPr>
          <w:p w14:paraId="7E8CD6A8" w14:textId="77777777" w:rsidR="00B8180E" w:rsidRPr="00FF26BF" w:rsidRDefault="00B8180E" w:rsidP="005E3223">
            <w:pPr>
              <w:spacing w:after="0"/>
              <w:rPr>
                <w:rFonts w:cs="Arial"/>
                <w:sz w:val="20"/>
              </w:rPr>
            </w:pPr>
            <w:r w:rsidRPr="00FF26BF">
              <w:rPr>
                <w:rFonts w:eastAsia="Calibri" w:cs="Arial"/>
                <w:b/>
                <w:bCs/>
                <w:color w:val="FFFFFF"/>
                <w:sz w:val="20"/>
              </w:rPr>
              <w:t>Extracted information</w:t>
            </w:r>
          </w:p>
        </w:tc>
      </w:tr>
      <w:tr w:rsidR="00B8180E" w:rsidRPr="00FF26BF" w14:paraId="2F1AC7C3" w14:textId="77777777" w:rsidTr="00B8180E">
        <w:trPr>
          <w:cantSplit/>
        </w:trPr>
        <w:tc>
          <w:tcPr>
            <w:tcW w:w="1301" w:type="pct"/>
            <w:tcBorders>
              <w:right w:val="single" w:sz="4" w:space="0" w:color="auto"/>
            </w:tcBorders>
            <w:shd w:val="clear" w:color="auto" w:fill="F6FDE9"/>
          </w:tcPr>
          <w:p w14:paraId="21A4A072" w14:textId="77777777" w:rsidR="00B8180E" w:rsidRPr="00FF26BF" w:rsidRDefault="00B8180E" w:rsidP="00B8180E">
            <w:pPr>
              <w:spacing w:after="0"/>
              <w:rPr>
                <w:rFonts w:cs="Arial"/>
                <w:sz w:val="20"/>
              </w:rPr>
            </w:pPr>
            <w:r w:rsidRPr="00FF26BF">
              <w:rPr>
                <w:rFonts w:eastAsia="Calibri" w:cs="Arial"/>
                <w:b/>
                <w:bCs/>
                <w:sz w:val="20"/>
              </w:rPr>
              <w:t>Main results</w:t>
            </w:r>
          </w:p>
        </w:tc>
        <w:tc>
          <w:tcPr>
            <w:tcW w:w="3699" w:type="pct"/>
            <w:tcBorders>
              <w:top w:val="single" w:sz="4" w:space="0" w:color="auto"/>
              <w:left w:val="single" w:sz="4" w:space="0" w:color="auto"/>
              <w:bottom w:val="single" w:sz="4" w:space="0" w:color="auto"/>
              <w:right w:val="single" w:sz="4" w:space="0" w:color="auto"/>
            </w:tcBorders>
            <w:vAlign w:val="center"/>
          </w:tcPr>
          <w:p w14:paraId="6AADF848" w14:textId="7BA02DFA" w:rsidR="00B8180E" w:rsidRPr="00FF26BF" w:rsidRDefault="00B8180E" w:rsidP="00B8180E">
            <w:pPr>
              <w:pStyle w:val="TableText"/>
              <w:rPr>
                <w:rFonts w:cs="Arial"/>
              </w:rPr>
            </w:pPr>
            <w:r w:rsidRPr="001207E6">
              <w:rPr>
                <w:lang w:eastAsia="en-AU"/>
              </w:rPr>
              <w:t xml:space="preserve">51.9% experienced adverse events. Vomiting: 59.3%; elevated liver enzymes: 55.6%; rhabdomyolysis: 3.4%. Risk factors for elevated liver enzymes: age &lt;9 months and dose ≥40 mg/kg/day (RR 3.6 and 2.6 respectively). </w:t>
            </w:r>
            <w:hyperlink r:id="rId94" w:history="1"/>
          </w:p>
        </w:tc>
      </w:tr>
      <w:tr w:rsidR="00B8180E" w:rsidRPr="00FF26BF" w14:paraId="118C4F6B" w14:textId="77777777" w:rsidTr="00B8180E">
        <w:trPr>
          <w:cantSplit/>
        </w:trPr>
        <w:tc>
          <w:tcPr>
            <w:tcW w:w="1301" w:type="pct"/>
            <w:tcBorders>
              <w:right w:val="single" w:sz="4" w:space="0" w:color="auto"/>
            </w:tcBorders>
            <w:shd w:val="clear" w:color="auto" w:fill="F6FDE9"/>
          </w:tcPr>
          <w:p w14:paraId="316E4301" w14:textId="77777777" w:rsidR="00B8180E" w:rsidRPr="00FF26BF" w:rsidRDefault="00B8180E" w:rsidP="00B8180E">
            <w:pPr>
              <w:spacing w:after="0"/>
              <w:rPr>
                <w:rFonts w:cs="Arial"/>
                <w:sz w:val="20"/>
              </w:rPr>
            </w:pPr>
            <w:r w:rsidRPr="00FF26BF">
              <w:rPr>
                <w:rFonts w:eastAsia="Calibri" w:cs="Arial"/>
                <w:b/>
                <w:bCs/>
                <w:sz w:val="20"/>
              </w:rPr>
              <w:t>Authors' conclusions</w:t>
            </w:r>
          </w:p>
        </w:tc>
        <w:tc>
          <w:tcPr>
            <w:tcW w:w="3699" w:type="pct"/>
            <w:tcBorders>
              <w:top w:val="single" w:sz="4" w:space="0" w:color="auto"/>
              <w:left w:val="single" w:sz="4" w:space="0" w:color="auto"/>
              <w:bottom w:val="single" w:sz="4" w:space="0" w:color="auto"/>
              <w:right w:val="single" w:sz="4" w:space="0" w:color="auto"/>
            </w:tcBorders>
            <w:vAlign w:val="center"/>
          </w:tcPr>
          <w:p w14:paraId="6E0D5BEC" w14:textId="4B10D0C6" w:rsidR="00B8180E" w:rsidRPr="00FF26BF" w:rsidRDefault="00B8180E" w:rsidP="00B8180E">
            <w:pPr>
              <w:pStyle w:val="TableText"/>
              <w:rPr>
                <w:rFonts w:cs="Arial"/>
              </w:rPr>
            </w:pPr>
            <w:r w:rsidRPr="001207E6">
              <w:rPr>
                <w:lang w:eastAsia="en-AU"/>
              </w:rPr>
              <w:t xml:space="preserve">Adverse events are common with PLP therapy in IESS. Younger age and higher dose are risk factors for liver enzyme elevation; rhabdomyolysis may occur particularly in younger or higher-dose cases. </w:t>
            </w:r>
            <w:hyperlink r:id="rId95" w:history="1"/>
          </w:p>
        </w:tc>
      </w:tr>
      <w:tr w:rsidR="00B8180E" w:rsidRPr="00FF26BF" w14:paraId="50BAED6C" w14:textId="77777777" w:rsidTr="00B8180E">
        <w:trPr>
          <w:cantSplit/>
        </w:trPr>
        <w:tc>
          <w:tcPr>
            <w:tcW w:w="1301" w:type="pct"/>
            <w:tcBorders>
              <w:right w:val="single" w:sz="4" w:space="0" w:color="auto"/>
            </w:tcBorders>
            <w:shd w:val="clear" w:color="auto" w:fill="F6FDE9"/>
          </w:tcPr>
          <w:p w14:paraId="4ECF77E3" w14:textId="77777777" w:rsidR="00B8180E" w:rsidRPr="00FF26BF" w:rsidRDefault="00B8180E" w:rsidP="00B8180E">
            <w:pPr>
              <w:spacing w:after="0"/>
              <w:rPr>
                <w:rFonts w:cs="Arial"/>
                <w:sz w:val="20"/>
              </w:rPr>
            </w:pPr>
            <w:r w:rsidRPr="00FF26BF">
              <w:rPr>
                <w:rFonts w:eastAsia="Calibri" w:cs="Arial"/>
                <w:b/>
                <w:bCs/>
                <w:sz w:val="20"/>
              </w:rPr>
              <w:t>Authors' acknowledged limitations</w:t>
            </w:r>
          </w:p>
        </w:tc>
        <w:tc>
          <w:tcPr>
            <w:tcW w:w="3699" w:type="pct"/>
            <w:tcBorders>
              <w:top w:val="single" w:sz="4" w:space="0" w:color="auto"/>
              <w:left w:val="single" w:sz="4" w:space="0" w:color="auto"/>
              <w:bottom w:val="single" w:sz="4" w:space="0" w:color="auto"/>
              <w:right w:val="single" w:sz="4" w:space="0" w:color="auto"/>
            </w:tcBorders>
            <w:vAlign w:val="center"/>
          </w:tcPr>
          <w:p w14:paraId="598EA774" w14:textId="5F2606A2" w:rsidR="00B8180E" w:rsidRPr="00FF26BF" w:rsidRDefault="00B8180E" w:rsidP="00B8180E">
            <w:pPr>
              <w:pStyle w:val="TableText"/>
              <w:rPr>
                <w:rFonts w:cs="Arial"/>
              </w:rPr>
            </w:pPr>
            <w:r w:rsidRPr="001207E6">
              <w:rPr>
                <w:lang w:eastAsia="en-AU"/>
              </w:rPr>
              <w:t xml:space="preserve">Single-centre study; small sample size; no multivariate analysis; all participants Japanese; focus primarily on adverse events rather than efficacy. </w:t>
            </w:r>
            <w:hyperlink r:id="rId96" w:history="1"/>
          </w:p>
        </w:tc>
      </w:tr>
    </w:tbl>
    <w:p w14:paraId="2E3331BC" w14:textId="77777777" w:rsidR="00B8180E" w:rsidRPr="00FF26BF" w:rsidRDefault="00B8180E" w:rsidP="00B8180E">
      <w:pPr>
        <w:rPr>
          <w:rFonts w:eastAsia="Times New Roman" w:cs="Times New Roman"/>
          <w:b/>
          <w:bCs/>
        </w:rPr>
      </w:pPr>
      <w:r w:rsidRPr="00FF26BF">
        <w:rPr>
          <w:rFonts w:eastAsia="Times New Roman" w:cs="Times New Roman"/>
          <w:b/>
          <w:bCs/>
        </w:rPr>
        <w:t>Contextual information for the AU/NZ UL review</w:t>
      </w:r>
    </w:p>
    <w:tbl>
      <w:tblPr>
        <w:tblStyle w:val="SLROption1"/>
        <w:tblW w:w="5000" w:type="pct"/>
        <w:tblLook w:val="0000" w:firstRow="0" w:lastRow="0" w:firstColumn="0" w:lastColumn="0" w:noHBand="0" w:noVBand="0"/>
      </w:tblPr>
      <w:tblGrid>
        <w:gridCol w:w="3628"/>
        <w:gridCol w:w="10316"/>
      </w:tblGrid>
      <w:tr w:rsidR="00B8180E" w:rsidRPr="00FF26BF" w14:paraId="5AC2387F" w14:textId="77777777" w:rsidTr="005E3223">
        <w:tc>
          <w:tcPr>
            <w:tcW w:w="1301" w:type="pct"/>
            <w:shd w:val="clear" w:color="auto" w:fill="F6FDE9"/>
          </w:tcPr>
          <w:p w14:paraId="7D07C98B" w14:textId="77777777" w:rsidR="00B8180E" w:rsidRPr="00FF26BF" w:rsidRDefault="00B8180E" w:rsidP="005E3223">
            <w:pPr>
              <w:spacing w:after="0"/>
              <w:rPr>
                <w:rFonts w:cs="Arial"/>
                <w:sz w:val="20"/>
              </w:rPr>
            </w:pPr>
            <w:r w:rsidRPr="00FF26BF">
              <w:rPr>
                <w:rFonts w:eastAsia="Calibri" w:cs="Arial"/>
                <w:b/>
                <w:bCs/>
                <w:sz w:val="20"/>
              </w:rPr>
              <w:t>Generalisability to AU/NZ</w:t>
            </w:r>
          </w:p>
        </w:tc>
        <w:tc>
          <w:tcPr>
            <w:tcW w:w="3699" w:type="pct"/>
          </w:tcPr>
          <w:p w14:paraId="2ECBC7F1" w14:textId="38B96251" w:rsidR="00B8180E" w:rsidRPr="00FF26BF" w:rsidRDefault="00B8180E" w:rsidP="005E3223">
            <w:pPr>
              <w:spacing w:after="0"/>
              <w:rPr>
                <w:rFonts w:cs="Arial"/>
                <w:sz w:val="20"/>
              </w:rPr>
            </w:pPr>
            <w:r w:rsidRPr="00B8180E">
              <w:rPr>
                <w:rFonts w:eastAsia="Calibri" w:cs="Arial"/>
                <w:sz w:val="20"/>
              </w:rPr>
              <w:t>Limited direct generalisability (Japanese infant population with epilepsy under hospital treatment). However, biological mechanisms (dose-dependent toxicity, liver immaturity in infants) likely applicable across populations. Clinical dosing context differs significantly from general population supplement use.</w:t>
            </w:r>
          </w:p>
        </w:tc>
      </w:tr>
    </w:tbl>
    <w:p w14:paraId="46D36912" w14:textId="77777777" w:rsidR="00B8180E" w:rsidRDefault="00B8180E" w:rsidP="00B8180E">
      <w:pPr>
        <w:rPr>
          <w:rFonts w:eastAsia="Times New Roman" w:cs="Arial"/>
        </w:rPr>
        <w:sectPr w:rsidR="00B8180E" w:rsidSect="00515309">
          <w:pgSz w:w="16834" w:h="11909" w:orient="landscape" w:code="9"/>
          <w:pgMar w:top="1440" w:right="1440" w:bottom="1440" w:left="1440" w:header="576" w:footer="576" w:gutter="0"/>
          <w:cols w:space="720"/>
          <w:docGrid w:linePitch="360"/>
        </w:sectPr>
      </w:pPr>
    </w:p>
    <w:p w14:paraId="15AE4501" w14:textId="77777777" w:rsidR="00B8180E" w:rsidRDefault="00B8180E" w:rsidP="00B8180E">
      <w:pPr>
        <w:rPr>
          <w:rFonts w:eastAsia="Times New Roman" w:cs="Arial"/>
        </w:rPr>
        <w:sectPr w:rsidR="00B8180E" w:rsidSect="00B8180E">
          <w:type w:val="continuous"/>
          <w:pgSz w:w="16834" w:h="11909" w:orient="landscape" w:code="9"/>
          <w:pgMar w:top="1440" w:right="1440" w:bottom="1440" w:left="1440" w:header="576" w:footer="576" w:gutter="0"/>
          <w:cols w:space="720"/>
          <w:docGrid w:linePitch="360"/>
        </w:sectPr>
      </w:pPr>
    </w:p>
    <w:p w14:paraId="7977888D" w14:textId="6052F79C" w:rsidR="00B8180E" w:rsidRDefault="00BB559B" w:rsidP="00B8180E">
      <w:pPr>
        <w:pStyle w:val="Heading9"/>
      </w:pPr>
      <w:bookmarkStart w:id="76" w:name="_Toc233022893"/>
      <w:r>
        <w:lastRenderedPageBreak/>
        <w:t>Bossard</w:t>
      </w:r>
      <w:r w:rsidR="00B8180E">
        <w:t xml:space="preserve"> et al.</w:t>
      </w:r>
      <w:r w:rsidR="00091690">
        <w:t>,</w:t>
      </w:r>
      <w:r w:rsidR="00B8180E">
        <w:t xml:space="preserve"> 202</w:t>
      </w:r>
      <w:r>
        <w:t>2</w:t>
      </w:r>
      <w:bookmarkEnd w:id="76"/>
    </w:p>
    <w:p w14:paraId="79BE7797" w14:textId="77777777" w:rsidR="00B8180E" w:rsidRPr="00FF26BF" w:rsidRDefault="00B8180E" w:rsidP="00B8180E">
      <w:pPr>
        <w:keepNext/>
        <w:spacing w:before="240"/>
        <w:ind w:left="1080" w:hanging="1080"/>
        <w:rPr>
          <w:rFonts w:eastAsia="Calibri" w:cs="Arial"/>
          <w:b/>
          <w:bCs/>
          <w:sz w:val="20"/>
        </w:rPr>
      </w:pPr>
      <w:r w:rsidRPr="00FF26BF">
        <w:rPr>
          <w:rFonts w:eastAsia="Calibri" w:cs="Arial"/>
          <w:b/>
          <w:bCs/>
          <w:sz w:val="20"/>
        </w:rPr>
        <w:t>Study identification and design</w:t>
      </w:r>
    </w:p>
    <w:tbl>
      <w:tblPr>
        <w:tblStyle w:val="SLROption1"/>
        <w:tblW w:w="5000" w:type="pct"/>
        <w:tblLook w:val="0000" w:firstRow="0" w:lastRow="0" w:firstColumn="0" w:lastColumn="0" w:noHBand="0" w:noVBand="0"/>
      </w:tblPr>
      <w:tblGrid>
        <w:gridCol w:w="3628"/>
        <w:gridCol w:w="10316"/>
      </w:tblGrid>
      <w:tr w:rsidR="00B8180E" w:rsidRPr="00B8180E" w14:paraId="5070CC3B" w14:textId="77777777" w:rsidTr="00BB559B">
        <w:tc>
          <w:tcPr>
            <w:tcW w:w="1301" w:type="pct"/>
            <w:shd w:val="clear" w:color="auto" w:fill="3C533C"/>
          </w:tcPr>
          <w:p w14:paraId="1AFECB20" w14:textId="77777777" w:rsidR="00B8180E" w:rsidRPr="00B8180E" w:rsidRDefault="00B8180E" w:rsidP="005E3223">
            <w:pPr>
              <w:pStyle w:val="TableText"/>
              <w:rPr>
                <w:b/>
                <w:bCs/>
                <w:color w:val="FFFFFF" w:themeColor="background1"/>
              </w:rPr>
            </w:pPr>
            <w:r w:rsidRPr="00B8180E">
              <w:rPr>
                <w:b/>
                <w:bCs/>
                <w:color w:val="FFFFFF" w:themeColor="background1"/>
              </w:rPr>
              <w:t>Field</w:t>
            </w:r>
          </w:p>
        </w:tc>
        <w:tc>
          <w:tcPr>
            <w:tcW w:w="3699" w:type="pct"/>
            <w:tcBorders>
              <w:bottom w:val="single" w:sz="4" w:space="0" w:color="auto"/>
            </w:tcBorders>
            <w:shd w:val="clear" w:color="auto" w:fill="3C533C"/>
          </w:tcPr>
          <w:p w14:paraId="3BC35A6D" w14:textId="77777777" w:rsidR="00B8180E" w:rsidRPr="00B8180E" w:rsidRDefault="00B8180E" w:rsidP="005E3223">
            <w:pPr>
              <w:pStyle w:val="TableText"/>
              <w:rPr>
                <w:b/>
                <w:bCs/>
                <w:color w:val="FFFFFF" w:themeColor="background1"/>
              </w:rPr>
            </w:pPr>
            <w:r w:rsidRPr="00B8180E">
              <w:rPr>
                <w:b/>
                <w:bCs/>
                <w:color w:val="FFFFFF" w:themeColor="background1"/>
              </w:rPr>
              <w:t>Extracted information</w:t>
            </w:r>
          </w:p>
        </w:tc>
      </w:tr>
      <w:tr w:rsidR="00BB559B" w:rsidRPr="00B8180E" w14:paraId="02747969" w14:textId="77777777" w:rsidTr="00BB559B">
        <w:tc>
          <w:tcPr>
            <w:tcW w:w="1301" w:type="pct"/>
            <w:tcBorders>
              <w:right w:val="single" w:sz="4" w:space="0" w:color="auto"/>
            </w:tcBorders>
            <w:shd w:val="clear" w:color="auto" w:fill="F6FDE9"/>
          </w:tcPr>
          <w:p w14:paraId="1257DBF6" w14:textId="77777777" w:rsidR="00BB559B" w:rsidRPr="00B8180E" w:rsidRDefault="00BB559B" w:rsidP="00BB559B">
            <w:pPr>
              <w:pStyle w:val="TableText"/>
              <w:rPr>
                <w:b/>
                <w:bCs/>
              </w:rPr>
            </w:pPr>
            <w:r w:rsidRPr="00B8180E">
              <w:rPr>
                <w:b/>
                <w:bCs/>
              </w:rPr>
              <w:t>Citation</w:t>
            </w:r>
          </w:p>
        </w:tc>
        <w:tc>
          <w:tcPr>
            <w:tcW w:w="3699" w:type="pct"/>
            <w:tcBorders>
              <w:top w:val="single" w:sz="4" w:space="0" w:color="auto"/>
              <w:left w:val="single" w:sz="4" w:space="0" w:color="auto"/>
              <w:bottom w:val="single" w:sz="4" w:space="0" w:color="auto"/>
              <w:right w:val="single" w:sz="4" w:space="0" w:color="auto"/>
            </w:tcBorders>
            <w:vAlign w:val="center"/>
          </w:tcPr>
          <w:p w14:paraId="4F9E2EC1" w14:textId="6C0446AF" w:rsidR="00BB559B" w:rsidRPr="00BB559B" w:rsidRDefault="00BB559B" w:rsidP="00BB559B">
            <w:pPr>
              <w:pStyle w:val="TableText"/>
            </w:pPr>
            <w:r w:rsidRPr="00BB559B">
              <w:t xml:space="preserve">Bossard, V., Bourmeyster, N., Pasini, S., Dupuis, P., El Balkhi, S., Richard, E., Alarcan, H., Hauet, T., &amp; Thuillier, R. (2022). Problematic rise of vitamin B6 supplementation overuse and potential risk to bariatric surgery patients. Nutrition, 102, 111738. </w:t>
            </w:r>
            <w:hyperlink r:id="rId97" w:history="1"/>
          </w:p>
        </w:tc>
      </w:tr>
      <w:tr w:rsidR="00BB559B" w:rsidRPr="00B8180E" w14:paraId="0D43B77A" w14:textId="77777777" w:rsidTr="00BB559B">
        <w:tc>
          <w:tcPr>
            <w:tcW w:w="1301" w:type="pct"/>
            <w:tcBorders>
              <w:right w:val="single" w:sz="4" w:space="0" w:color="auto"/>
            </w:tcBorders>
            <w:shd w:val="clear" w:color="auto" w:fill="F6FDE9"/>
          </w:tcPr>
          <w:p w14:paraId="496255B6" w14:textId="77777777" w:rsidR="00BB559B" w:rsidRPr="00B8180E" w:rsidRDefault="00BB559B" w:rsidP="00BB559B">
            <w:pPr>
              <w:pStyle w:val="TableText"/>
              <w:rPr>
                <w:b/>
                <w:bCs/>
              </w:rPr>
            </w:pPr>
            <w:r w:rsidRPr="00B8180E">
              <w:rPr>
                <w:b/>
                <w:bCs/>
              </w:rPr>
              <w:t>Publication status</w:t>
            </w:r>
          </w:p>
        </w:tc>
        <w:tc>
          <w:tcPr>
            <w:tcW w:w="3699" w:type="pct"/>
            <w:tcBorders>
              <w:top w:val="single" w:sz="4" w:space="0" w:color="auto"/>
              <w:left w:val="single" w:sz="4" w:space="0" w:color="auto"/>
              <w:bottom w:val="single" w:sz="4" w:space="0" w:color="auto"/>
              <w:right w:val="single" w:sz="4" w:space="0" w:color="auto"/>
            </w:tcBorders>
            <w:vAlign w:val="center"/>
          </w:tcPr>
          <w:p w14:paraId="5C7EF32C" w14:textId="473EF0F0" w:rsidR="00BB559B" w:rsidRPr="00BB559B" w:rsidRDefault="00BB559B" w:rsidP="00BB559B">
            <w:pPr>
              <w:pStyle w:val="TableText"/>
            </w:pPr>
            <w:r w:rsidRPr="00BB559B">
              <w:t xml:space="preserve">Published, peer-reviewed journal (Nutrition, Elsevier), 2022. </w:t>
            </w:r>
            <w:hyperlink r:id="rId98" w:history="1"/>
          </w:p>
        </w:tc>
      </w:tr>
      <w:tr w:rsidR="00BB559B" w:rsidRPr="00B8180E" w14:paraId="7F700C25" w14:textId="77777777" w:rsidTr="00BB559B">
        <w:tc>
          <w:tcPr>
            <w:tcW w:w="1301" w:type="pct"/>
            <w:tcBorders>
              <w:right w:val="single" w:sz="4" w:space="0" w:color="auto"/>
            </w:tcBorders>
            <w:shd w:val="clear" w:color="auto" w:fill="F6FDE9"/>
          </w:tcPr>
          <w:p w14:paraId="79E28AA6" w14:textId="77777777" w:rsidR="00BB559B" w:rsidRPr="00B8180E" w:rsidRDefault="00BB559B" w:rsidP="00BB559B">
            <w:pPr>
              <w:pStyle w:val="TableText"/>
              <w:rPr>
                <w:b/>
                <w:bCs/>
              </w:rPr>
            </w:pPr>
            <w:r w:rsidRPr="00B8180E">
              <w:rPr>
                <w:b/>
                <w:bCs/>
              </w:rPr>
              <w:t>Country / setting</w:t>
            </w:r>
          </w:p>
        </w:tc>
        <w:tc>
          <w:tcPr>
            <w:tcW w:w="3699" w:type="pct"/>
            <w:tcBorders>
              <w:top w:val="single" w:sz="4" w:space="0" w:color="auto"/>
              <w:left w:val="single" w:sz="4" w:space="0" w:color="auto"/>
              <w:bottom w:val="single" w:sz="4" w:space="0" w:color="auto"/>
              <w:right w:val="single" w:sz="4" w:space="0" w:color="auto"/>
            </w:tcBorders>
            <w:vAlign w:val="center"/>
          </w:tcPr>
          <w:p w14:paraId="02EDFF84" w14:textId="54AE1136" w:rsidR="00BB559B" w:rsidRPr="00BB559B" w:rsidRDefault="00BB559B" w:rsidP="00BB559B">
            <w:pPr>
              <w:pStyle w:val="TableText"/>
            </w:pPr>
            <w:r w:rsidRPr="00BB559B">
              <w:t xml:space="preserve">France; multicentre hospital-based study (Poitiers, Tours, Bordeaux, Limoges university hospitals). </w:t>
            </w:r>
            <w:hyperlink r:id="rId99" w:history="1"/>
          </w:p>
        </w:tc>
      </w:tr>
      <w:tr w:rsidR="00BB559B" w:rsidRPr="00B8180E" w14:paraId="0686AA72" w14:textId="77777777" w:rsidTr="00BB559B">
        <w:tc>
          <w:tcPr>
            <w:tcW w:w="1301" w:type="pct"/>
            <w:tcBorders>
              <w:right w:val="single" w:sz="4" w:space="0" w:color="auto"/>
            </w:tcBorders>
            <w:shd w:val="clear" w:color="auto" w:fill="F6FDE9"/>
          </w:tcPr>
          <w:p w14:paraId="088ED332" w14:textId="77777777" w:rsidR="00BB559B" w:rsidRPr="00B8180E" w:rsidRDefault="00BB559B" w:rsidP="00BB559B">
            <w:pPr>
              <w:pStyle w:val="TableText"/>
              <w:rPr>
                <w:b/>
                <w:bCs/>
              </w:rPr>
            </w:pPr>
            <w:r w:rsidRPr="00B8180E">
              <w:rPr>
                <w:b/>
                <w:bCs/>
              </w:rPr>
              <w:t>Study design</w:t>
            </w:r>
          </w:p>
        </w:tc>
        <w:tc>
          <w:tcPr>
            <w:tcW w:w="3699" w:type="pct"/>
            <w:tcBorders>
              <w:top w:val="single" w:sz="4" w:space="0" w:color="auto"/>
              <w:left w:val="single" w:sz="4" w:space="0" w:color="auto"/>
              <w:bottom w:val="single" w:sz="4" w:space="0" w:color="auto"/>
              <w:right w:val="single" w:sz="4" w:space="0" w:color="auto"/>
            </w:tcBorders>
            <w:vAlign w:val="center"/>
          </w:tcPr>
          <w:p w14:paraId="6A48D0FF" w14:textId="34D71F48" w:rsidR="00BB559B" w:rsidRPr="00BB559B" w:rsidRDefault="00BB559B" w:rsidP="00BB559B">
            <w:pPr>
              <w:pStyle w:val="TableText"/>
            </w:pPr>
            <w:r w:rsidRPr="00BB559B">
              <w:t xml:space="preserve">Retrospective observational study of laboratory measurements (vitamin B6 blood levels). </w:t>
            </w:r>
            <w:hyperlink r:id="rId100" w:history="1"/>
          </w:p>
        </w:tc>
      </w:tr>
      <w:tr w:rsidR="00BB559B" w:rsidRPr="00B8180E" w14:paraId="5761591A" w14:textId="77777777" w:rsidTr="00BB559B">
        <w:tc>
          <w:tcPr>
            <w:tcW w:w="1301" w:type="pct"/>
            <w:tcBorders>
              <w:right w:val="single" w:sz="4" w:space="0" w:color="auto"/>
            </w:tcBorders>
            <w:shd w:val="clear" w:color="auto" w:fill="F6FDE9"/>
          </w:tcPr>
          <w:p w14:paraId="774588CA" w14:textId="77777777" w:rsidR="00BB559B" w:rsidRPr="00B8180E" w:rsidRDefault="00BB559B" w:rsidP="00BB559B">
            <w:pPr>
              <w:pStyle w:val="TableText"/>
              <w:rPr>
                <w:b/>
                <w:bCs/>
              </w:rPr>
            </w:pPr>
            <w:r w:rsidRPr="00B8180E">
              <w:rPr>
                <w:b/>
                <w:bCs/>
              </w:rPr>
              <w:t>Funding / conflicts of interest</w:t>
            </w:r>
          </w:p>
        </w:tc>
        <w:tc>
          <w:tcPr>
            <w:tcW w:w="3699" w:type="pct"/>
            <w:tcBorders>
              <w:top w:val="single" w:sz="4" w:space="0" w:color="auto"/>
              <w:left w:val="single" w:sz="4" w:space="0" w:color="auto"/>
              <w:bottom w:val="single" w:sz="4" w:space="0" w:color="auto"/>
              <w:right w:val="single" w:sz="4" w:space="0" w:color="auto"/>
            </w:tcBorders>
            <w:vAlign w:val="center"/>
          </w:tcPr>
          <w:p w14:paraId="419DA21F" w14:textId="3BD7DEC1" w:rsidR="00BB559B" w:rsidRPr="00BB559B" w:rsidRDefault="00BB559B" w:rsidP="00BB559B">
            <w:pPr>
              <w:pStyle w:val="TableText"/>
            </w:pPr>
            <w:r w:rsidRPr="00BB559B">
              <w:t xml:space="preserve">Funded by CHU de Poitiers; no conflicts of interest stated. </w:t>
            </w:r>
            <w:hyperlink r:id="rId101" w:history="1"/>
          </w:p>
        </w:tc>
      </w:tr>
    </w:tbl>
    <w:p w14:paraId="4CA40C1E" w14:textId="77777777" w:rsidR="00B8180E" w:rsidRPr="00FF26BF" w:rsidRDefault="00B8180E" w:rsidP="00B8180E">
      <w:pPr>
        <w:rPr>
          <w:rFonts w:eastAsia="Times New Roman" w:cs="Times New Roman"/>
        </w:rPr>
      </w:pPr>
      <w:r w:rsidRPr="00FF26BF">
        <w:rPr>
          <w:rFonts w:eastAsia="Calibri" w:cs="Arial"/>
          <w:b/>
          <w:bCs/>
          <w:sz w:val="20"/>
        </w:rPr>
        <w:t>Population</w:t>
      </w:r>
    </w:p>
    <w:tbl>
      <w:tblPr>
        <w:tblStyle w:val="SLROption1"/>
        <w:tblW w:w="5000" w:type="pct"/>
        <w:tblLook w:val="0000" w:firstRow="0" w:lastRow="0" w:firstColumn="0" w:lastColumn="0" w:noHBand="0" w:noVBand="0"/>
      </w:tblPr>
      <w:tblGrid>
        <w:gridCol w:w="3628"/>
        <w:gridCol w:w="10316"/>
      </w:tblGrid>
      <w:tr w:rsidR="00B8180E" w:rsidRPr="00FF26BF" w14:paraId="41E782ED" w14:textId="77777777" w:rsidTr="00BB559B">
        <w:tc>
          <w:tcPr>
            <w:tcW w:w="1301" w:type="pct"/>
            <w:shd w:val="clear" w:color="auto" w:fill="3C533C"/>
          </w:tcPr>
          <w:p w14:paraId="4C71B44A" w14:textId="77777777" w:rsidR="00B8180E" w:rsidRPr="00FF26BF" w:rsidRDefault="00B8180E" w:rsidP="005E3223">
            <w:pPr>
              <w:spacing w:after="0"/>
              <w:rPr>
                <w:rFonts w:cs="Arial"/>
                <w:sz w:val="20"/>
              </w:rPr>
            </w:pPr>
            <w:r w:rsidRPr="00FF26BF">
              <w:rPr>
                <w:rFonts w:eastAsia="Calibri" w:cs="Arial"/>
                <w:b/>
                <w:bCs/>
                <w:color w:val="FFFFFF"/>
                <w:sz w:val="20"/>
              </w:rPr>
              <w:t>Field</w:t>
            </w:r>
          </w:p>
        </w:tc>
        <w:tc>
          <w:tcPr>
            <w:tcW w:w="3699" w:type="pct"/>
            <w:tcBorders>
              <w:bottom w:val="single" w:sz="4" w:space="0" w:color="auto"/>
            </w:tcBorders>
            <w:shd w:val="clear" w:color="auto" w:fill="3C533C"/>
          </w:tcPr>
          <w:p w14:paraId="411E491C" w14:textId="77777777" w:rsidR="00B8180E" w:rsidRPr="00FF26BF" w:rsidRDefault="00B8180E" w:rsidP="005E3223">
            <w:pPr>
              <w:spacing w:after="0"/>
              <w:rPr>
                <w:rFonts w:cs="Arial"/>
                <w:sz w:val="20"/>
              </w:rPr>
            </w:pPr>
            <w:r w:rsidRPr="00FF26BF">
              <w:rPr>
                <w:rFonts w:eastAsia="Calibri" w:cs="Arial"/>
                <w:b/>
                <w:bCs/>
                <w:color w:val="FFFFFF"/>
                <w:sz w:val="20"/>
              </w:rPr>
              <w:t>Extracted information</w:t>
            </w:r>
          </w:p>
        </w:tc>
      </w:tr>
      <w:tr w:rsidR="00BB559B" w:rsidRPr="00FF26BF" w14:paraId="466B828A" w14:textId="77777777" w:rsidTr="00BB559B">
        <w:tc>
          <w:tcPr>
            <w:tcW w:w="1301" w:type="pct"/>
            <w:tcBorders>
              <w:right w:val="single" w:sz="4" w:space="0" w:color="auto"/>
            </w:tcBorders>
            <w:shd w:val="clear" w:color="auto" w:fill="F6FDE9"/>
          </w:tcPr>
          <w:p w14:paraId="69968A13" w14:textId="77777777" w:rsidR="00BB559B" w:rsidRPr="00FF26BF" w:rsidRDefault="00BB559B" w:rsidP="00BB559B">
            <w:pPr>
              <w:spacing w:after="0"/>
              <w:rPr>
                <w:rFonts w:cs="Arial"/>
                <w:sz w:val="20"/>
              </w:rPr>
            </w:pPr>
            <w:r w:rsidRPr="00FF26BF">
              <w:rPr>
                <w:rFonts w:eastAsia="Calibri" w:cs="Arial"/>
                <w:b/>
                <w:bCs/>
                <w:sz w:val="20"/>
              </w:rPr>
              <w:t>Sample size</w:t>
            </w:r>
          </w:p>
        </w:tc>
        <w:tc>
          <w:tcPr>
            <w:tcW w:w="3699" w:type="pct"/>
            <w:tcBorders>
              <w:top w:val="single" w:sz="4" w:space="0" w:color="auto"/>
              <w:left w:val="single" w:sz="4" w:space="0" w:color="auto"/>
              <w:bottom w:val="single" w:sz="4" w:space="0" w:color="auto"/>
              <w:right w:val="single" w:sz="4" w:space="0" w:color="auto"/>
            </w:tcBorders>
            <w:vAlign w:val="center"/>
          </w:tcPr>
          <w:p w14:paraId="4F3BDBC9" w14:textId="63896488" w:rsidR="00BB559B" w:rsidRPr="00BB559B" w:rsidRDefault="00BB559B" w:rsidP="00BB559B">
            <w:pPr>
              <w:pStyle w:val="TableText"/>
            </w:pPr>
            <w:r w:rsidRPr="00BB559B">
              <w:t xml:space="preserve">n = 40,311 samples (vitamin B6 measurements). </w:t>
            </w:r>
            <w:hyperlink r:id="rId102" w:history="1"/>
          </w:p>
        </w:tc>
      </w:tr>
      <w:tr w:rsidR="00BB559B" w:rsidRPr="00FF26BF" w14:paraId="18948481" w14:textId="77777777" w:rsidTr="00BB559B">
        <w:tc>
          <w:tcPr>
            <w:tcW w:w="1301" w:type="pct"/>
            <w:tcBorders>
              <w:right w:val="single" w:sz="4" w:space="0" w:color="auto"/>
            </w:tcBorders>
            <w:shd w:val="clear" w:color="auto" w:fill="F6FDE9"/>
          </w:tcPr>
          <w:p w14:paraId="257BBDC7" w14:textId="77777777" w:rsidR="00BB559B" w:rsidRPr="00FF26BF" w:rsidRDefault="00BB559B" w:rsidP="00BB559B">
            <w:pPr>
              <w:spacing w:after="0"/>
              <w:rPr>
                <w:rFonts w:cs="Arial"/>
                <w:sz w:val="20"/>
              </w:rPr>
            </w:pPr>
            <w:r w:rsidRPr="00FF26BF">
              <w:rPr>
                <w:rFonts w:eastAsia="Calibri" w:cs="Arial"/>
                <w:b/>
                <w:bCs/>
                <w:sz w:val="20"/>
              </w:rPr>
              <w:t>Patient characteristics</w:t>
            </w:r>
          </w:p>
        </w:tc>
        <w:tc>
          <w:tcPr>
            <w:tcW w:w="3699" w:type="pct"/>
            <w:tcBorders>
              <w:top w:val="single" w:sz="4" w:space="0" w:color="auto"/>
              <w:left w:val="single" w:sz="4" w:space="0" w:color="auto"/>
              <w:bottom w:val="single" w:sz="4" w:space="0" w:color="auto"/>
              <w:right w:val="single" w:sz="4" w:space="0" w:color="auto"/>
            </w:tcBorders>
            <w:vAlign w:val="center"/>
          </w:tcPr>
          <w:p w14:paraId="172C4660" w14:textId="28E2AE1E" w:rsidR="00BB559B" w:rsidRPr="00BB559B" w:rsidRDefault="00BB559B" w:rsidP="00BB559B">
            <w:pPr>
              <w:pStyle w:val="TableText"/>
            </w:pPr>
            <w:r w:rsidRPr="00BB559B">
              <w:t xml:space="preserve">Mixed patient population undergoing vitamin B6 testing; 64% women, 36% men; most represented age group 41–60 years. </w:t>
            </w:r>
            <w:hyperlink r:id="rId103" w:history="1"/>
          </w:p>
        </w:tc>
      </w:tr>
      <w:tr w:rsidR="00BB559B" w:rsidRPr="00FF26BF" w14:paraId="2D40C1C4" w14:textId="77777777" w:rsidTr="00BB559B">
        <w:tc>
          <w:tcPr>
            <w:tcW w:w="1301" w:type="pct"/>
            <w:tcBorders>
              <w:right w:val="single" w:sz="4" w:space="0" w:color="auto"/>
            </w:tcBorders>
            <w:shd w:val="clear" w:color="auto" w:fill="F6FDE9"/>
          </w:tcPr>
          <w:p w14:paraId="14AC021D" w14:textId="77777777" w:rsidR="00BB559B" w:rsidRPr="00FF26BF" w:rsidRDefault="00BB559B" w:rsidP="00BB559B">
            <w:pPr>
              <w:spacing w:after="0"/>
              <w:rPr>
                <w:rFonts w:cs="Arial"/>
                <w:sz w:val="20"/>
              </w:rPr>
            </w:pPr>
            <w:r w:rsidRPr="00FF26BF">
              <w:rPr>
                <w:rFonts w:eastAsia="Calibri" w:cs="Arial"/>
                <w:b/>
                <w:bCs/>
                <w:sz w:val="20"/>
              </w:rPr>
              <w:t>Inclusion/exclusion of alternative causes</w:t>
            </w:r>
          </w:p>
        </w:tc>
        <w:tc>
          <w:tcPr>
            <w:tcW w:w="3699" w:type="pct"/>
            <w:tcBorders>
              <w:top w:val="single" w:sz="4" w:space="0" w:color="auto"/>
              <w:left w:val="single" w:sz="4" w:space="0" w:color="auto"/>
              <w:bottom w:val="single" w:sz="4" w:space="0" w:color="auto"/>
              <w:right w:val="single" w:sz="4" w:space="0" w:color="auto"/>
            </w:tcBorders>
            <w:vAlign w:val="center"/>
          </w:tcPr>
          <w:p w14:paraId="25D9BD52" w14:textId="1B3E8047" w:rsidR="00BB559B" w:rsidRPr="00BB559B" w:rsidRDefault="00BB559B" w:rsidP="00BB559B">
            <w:pPr>
              <w:pStyle w:val="TableText"/>
            </w:pPr>
            <w:r w:rsidRPr="00BB559B">
              <w:t xml:space="preserve">All patients with available vitamin B6 measurements included; no explicit exclusion of alternative causes of elevated B6 levels (e.g., supplement use assumed but not directly measured). </w:t>
            </w:r>
            <w:hyperlink r:id="rId104" w:history="1"/>
          </w:p>
        </w:tc>
      </w:tr>
    </w:tbl>
    <w:p w14:paraId="285640EA" w14:textId="77777777" w:rsidR="00B8180E" w:rsidRPr="00FF26BF" w:rsidRDefault="00B8180E" w:rsidP="00B8180E">
      <w:pPr>
        <w:rPr>
          <w:rFonts w:eastAsia="Times New Roman" w:cs="Times New Roman"/>
          <w:b/>
          <w:bCs/>
        </w:rPr>
      </w:pPr>
      <w:r w:rsidRPr="00FF26BF">
        <w:rPr>
          <w:rFonts w:eastAsia="Times New Roman" w:cs="Times New Roman"/>
          <w:b/>
          <w:bCs/>
        </w:rPr>
        <w:t>Exposure</w:t>
      </w:r>
    </w:p>
    <w:tbl>
      <w:tblPr>
        <w:tblStyle w:val="SLROption1"/>
        <w:tblW w:w="5000" w:type="pct"/>
        <w:tblLook w:val="0000" w:firstRow="0" w:lastRow="0" w:firstColumn="0" w:lastColumn="0" w:noHBand="0" w:noVBand="0"/>
      </w:tblPr>
      <w:tblGrid>
        <w:gridCol w:w="3628"/>
        <w:gridCol w:w="10316"/>
      </w:tblGrid>
      <w:tr w:rsidR="00B8180E" w:rsidRPr="00FF26BF" w14:paraId="601628A2" w14:textId="77777777" w:rsidTr="00BB559B">
        <w:trPr>
          <w:cantSplit/>
          <w:tblHeader/>
        </w:trPr>
        <w:tc>
          <w:tcPr>
            <w:tcW w:w="1301" w:type="pct"/>
            <w:shd w:val="clear" w:color="auto" w:fill="3C533C"/>
          </w:tcPr>
          <w:p w14:paraId="10051A24" w14:textId="77777777" w:rsidR="00B8180E" w:rsidRPr="00FF26BF" w:rsidRDefault="00B8180E" w:rsidP="005E3223">
            <w:pPr>
              <w:spacing w:after="0"/>
              <w:rPr>
                <w:rFonts w:cs="Arial"/>
                <w:sz w:val="20"/>
              </w:rPr>
            </w:pPr>
            <w:r w:rsidRPr="00FF26BF">
              <w:rPr>
                <w:rFonts w:eastAsia="Calibri" w:cs="Arial"/>
                <w:b/>
                <w:bCs/>
                <w:color w:val="FFFFFF"/>
                <w:sz w:val="20"/>
              </w:rPr>
              <w:t>Field</w:t>
            </w:r>
          </w:p>
        </w:tc>
        <w:tc>
          <w:tcPr>
            <w:tcW w:w="3699" w:type="pct"/>
            <w:tcBorders>
              <w:bottom w:val="single" w:sz="4" w:space="0" w:color="auto"/>
            </w:tcBorders>
            <w:shd w:val="clear" w:color="auto" w:fill="3C533C"/>
          </w:tcPr>
          <w:p w14:paraId="2EC89558" w14:textId="77777777" w:rsidR="00B8180E" w:rsidRPr="00FF26BF" w:rsidRDefault="00B8180E" w:rsidP="005E3223">
            <w:pPr>
              <w:spacing w:after="0"/>
              <w:rPr>
                <w:rFonts w:cs="Arial"/>
                <w:sz w:val="20"/>
              </w:rPr>
            </w:pPr>
            <w:r w:rsidRPr="00FF26BF">
              <w:rPr>
                <w:rFonts w:eastAsia="Calibri" w:cs="Arial"/>
                <w:b/>
                <w:bCs/>
                <w:color w:val="FFFFFF"/>
                <w:sz w:val="20"/>
              </w:rPr>
              <w:t>Extracted information</w:t>
            </w:r>
          </w:p>
        </w:tc>
      </w:tr>
      <w:tr w:rsidR="00BB559B" w:rsidRPr="00FF26BF" w14:paraId="2505B3C4" w14:textId="77777777" w:rsidTr="00BB559B">
        <w:tc>
          <w:tcPr>
            <w:tcW w:w="1301" w:type="pct"/>
            <w:tcBorders>
              <w:right w:val="single" w:sz="4" w:space="0" w:color="auto"/>
            </w:tcBorders>
            <w:shd w:val="clear" w:color="auto" w:fill="F6FDE9"/>
          </w:tcPr>
          <w:p w14:paraId="4D21BC9F" w14:textId="77777777" w:rsidR="00BB559B" w:rsidRPr="00FF26BF" w:rsidRDefault="00BB559B" w:rsidP="00BB559B">
            <w:pPr>
              <w:spacing w:after="0"/>
              <w:rPr>
                <w:rFonts w:cs="Arial"/>
                <w:sz w:val="20"/>
              </w:rPr>
            </w:pPr>
            <w:r w:rsidRPr="00FF26BF">
              <w:rPr>
                <w:rFonts w:eastAsia="Calibri" w:cs="Arial"/>
                <w:b/>
                <w:bCs/>
                <w:sz w:val="20"/>
              </w:rPr>
              <w:t>Exposure characterisation – source</w:t>
            </w:r>
          </w:p>
        </w:tc>
        <w:tc>
          <w:tcPr>
            <w:tcW w:w="3699" w:type="pct"/>
            <w:tcBorders>
              <w:top w:val="single" w:sz="4" w:space="0" w:color="auto"/>
              <w:left w:val="single" w:sz="4" w:space="0" w:color="auto"/>
              <w:bottom w:val="single" w:sz="4" w:space="0" w:color="auto"/>
              <w:right w:val="single" w:sz="4" w:space="0" w:color="auto"/>
            </w:tcBorders>
            <w:vAlign w:val="center"/>
          </w:tcPr>
          <w:p w14:paraId="224DFD93" w14:textId="47CBF34B" w:rsidR="00BB559B" w:rsidRPr="00BB559B" w:rsidRDefault="00BB559B" w:rsidP="00BB559B">
            <w:pPr>
              <w:pStyle w:val="TableText"/>
            </w:pPr>
            <w:r w:rsidRPr="00BB559B">
              <w:t xml:space="preserve">Vitamin B6 exposure inferred primarily from supplement use (particularly multivitamins), especially in bariatric surgery patients; not directly measured. </w:t>
            </w:r>
            <w:hyperlink r:id="rId105" w:history="1"/>
          </w:p>
        </w:tc>
      </w:tr>
      <w:tr w:rsidR="00BB559B" w:rsidRPr="00FF26BF" w14:paraId="50F6A1FB" w14:textId="77777777" w:rsidTr="00BB559B">
        <w:tc>
          <w:tcPr>
            <w:tcW w:w="1301" w:type="pct"/>
            <w:tcBorders>
              <w:right w:val="single" w:sz="4" w:space="0" w:color="auto"/>
            </w:tcBorders>
            <w:shd w:val="clear" w:color="auto" w:fill="F6FDE9"/>
          </w:tcPr>
          <w:p w14:paraId="66CE24FE" w14:textId="77777777" w:rsidR="00BB559B" w:rsidRPr="00FF26BF" w:rsidRDefault="00BB559B" w:rsidP="00BB559B">
            <w:pPr>
              <w:spacing w:after="0"/>
              <w:rPr>
                <w:rFonts w:cs="Arial"/>
                <w:sz w:val="20"/>
              </w:rPr>
            </w:pPr>
            <w:r w:rsidRPr="00FF26BF">
              <w:rPr>
                <w:rFonts w:eastAsia="Calibri" w:cs="Arial"/>
                <w:b/>
                <w:bCs/>
                <w:sz w:val="20"/>
              </w:rPr>
              <w:t>Exposure characterisation – dose</w:t>
            </w:r>
          </w:p>
        </w:tc>
        <w:tc>
          <w:tcPr>
            <w:tcW w:w="3699" w:type="pct"/>
            <w:tcBorders>
              <w:top w:val="single" w:sz="4" w:space="0" w:color="auto"/>
              <w:left w:val="single" w:sz="4" w:space="0" w:color="auto"/>
              <w:bottom w:val="single" w:sz="4" w:space="0" w:color="auto"/>
              <w:right w:val="single" w:sz="4" w:space="0" w:color="auto"/>
            </w:tcBorders>
            <w:vAlign w:val="center"/>
          </w:tcPr>
          <w:p w14:paraId="0D6E065C" w14:textId="7641535E" w:rsidR="00BB559B" w:rsidRPr="00BB559B" w:rsidRDefault="00BB559B" w:rsidP="00BB559B">
            <w:pPr>
              <w:pStyle w:val="TableText"/>
            </w:pPr>
            <w:r w:rsidRPr="00BB559B">
              <w:t xml:space="preserve">Not directly measured at individual level; multivitamin products commonly contain 1.5–12.6 mg vitamin B6 per tablet (up to ~900% of RDA). </w:t>
            </w:r>
            <w:hyperlink r:id="rId106" w:history="1"/>
          </w:p>
        </w:tc>
      </w:tr>
      <w:tr w:rsidR="00BB559B" w:rsidRPr="00FF26BF" w14:paraId="3B9AF9F7" w14:textId="77777777" w:rsidTr="00BB559B">
        <w:tc>
          <w:tcPr>
            <w:tcW w:w="1301" w:type="pct"/>
            <w:tcBorders>
              <w:right w:val="single" w:sz="4" w:space="0" w:color="auto"/>
            </w:tcBorders>
            <w:shd w:val="clear" w:color="auto" w:fill="F6FDE9"/>
          </w:tcPr>
          <w:p w14:paraId="20B0FA9E" w14:textId="77777777" w:rsidR="00BB559B" w:rsidRPr="00FF26BF" w:rsidRDefault="00BB559B" w:rsidP="00BB559B">
            <w:pPr>
              <w:spacing w:after="0"/>
              <w:rPr>
                <w:rFonts w:cs="Arial"/>
                <w:sz w:val="20"/>
              </w:rPr>
            </w:pPr>
            <w:r w:rsidRPr="00FF26BF">
              <w:rPr>
                <w:rFonts w:eastAsia="Calibri" w:cs="Arial"/>
                <w:b/>
                <w:bCs/>
                <w:sz w:val="20"/>
              </w:rPr>
              <w:lastRenderedPageBreak/>
              <w:t>Biomarker of exposure</w:t>
            </w:r>
          </w:p>
        </w:tc>
        <w:tc>
          <w:tcPr>
            <w:tcW w:w="3699" w:type="pct"/>
            <w:tcBorders>
              <w:top w:val="single" w:sz="4" w:space="0" w:color="auto"/>
              <w:left w:val="single" w:sz="4" w:space="0" w:color="auto"/>
              <w:bottom w:val="single" w:sz="4" w:space="0" w:color="auto"/>
              <w:right w:val="single" w:sz="4" w:space="0" w:color="auto"/>
            </w:tcBorders>
            <w:vAlign w:val="center"/>
          </w:tcPr>
          <w:p w14:paraId="408B5079" w14:textId="43283628" w:rsidR="00BB559B" w:rsidRPr="00BB559B" w:rsidRDefault="00BB559B" w:rsidP="00BB559B">
            <w:pPr>
              <w:pStyle w:val="TableText"/>
            </w:pPr>
            <w:r w:rsidRPr="00BB559B">
              <w:t xml:space="preserve">Blood pyridoxal-5′-phosphate (PLP) measured using HPLC; categories: deficiency (&lt;30 nmol/L), normal (30–100 nmol/L), overdose (&gt;100 nmol/L). </w:t>
            </w:r>
            <w:hyperlink r:id="rId107" w:history="1"/>
          </w:p>
        </w:tc>
      </w:tr>
      <w:tr w:rsidR="00BB559B" w:rsidRPr="00FF26BF" w14:paraId="599D4653" w14:textId="77777777" w:rsidTr="00BB559B">
        <w:tc>
          <w:tcPr>
            <w:tcW w:w="1301" w:type="pct"/>
            <w:tcBorders>
              <w:right w:val="single" w:sz="4" w:space="0" w:color="auto"/>
            </w:tcBorders>
            <w:shd w:val="clear" w:color="auto" w:fill="F6FDE9"/>
          </w:tcPr>
          <w:p w14:paraId="43744190" w14:textId="77777777" w:rsidR="00BB559B" w:rsidRPr="00FF26BF" w:rsidRDefault="00BB559B" w:rsidP="00BB559B">
            <w:pPr>
              <w:spacing w:after="0"/>
              <w:rPr>
                <w:rFonts w:cs="Arial"/>
                <w:sz w:val="20"/>
              </w:rPr>
            </w:pPr>
            <w:r w:rsidRPr="00FF26BF">
              <w:rPr>
                <w:rFonts w:eastAsia="Calibri" w:cs="Arial"/>
                <w:b/>
                <w:bCs/>
                <w:sz w:val="20"/>
              </w:rPr>
              <w:t>Duration of exposure</w:t>
            </w:r>
          </w:p>
        </w:tc>
        <w:tc>
          <w:tcPr>
            <w:tcW w:w="3699" w:type="pct"/>
            <w:tcBorders>
              <w:top w:val="single" w:sz="4" w:space="0" w:color="auto"/>
              <w:left w:val="single" w:sz="4" w:space="0" w:color="auto"/>
              <w:bottom w:val="single" w:sz="4" w:space="0" w:color="auto"/>
              <w:right w:val="single" w:sz="4" w:space="0" w:color="auto"/>
            </w:tcBorders>
            <w:vAlign w:val="center"/>
          </w:tcPr>
          <w:p w14:paraId="5E03FA11" w14:textId="2866401A" w:rsidR="00BB559B" w:rsidRPr="00BB559B" w:rsidRDefault="00BB559B" w:rsidP="00BB559B">
            <w:pPr>
              <w:pStyle w:val="TableText"/>
            </w:pPr>
            <w:r w:rsidRPr="00BB559B">
              <w:t>NA (not directly assessed; inferred chronic exposure due to supplement use trends over 2012–2020).</w:t>
            </w:r>
          </w:p>
        </w:tc>
      </w:tr>
    </w:tbl>
    <w:p w14:paraId="019FCA6E" w14:textId="77777777" w:rsidR="00B8180E" w:rsidRPr="00FF26BF" w:rsidRDefault="00B8180E" w:rsidP="00B8180E">
      <w:pPr>
        <w:rPr>
          <w:rFonts w:eastAsia="Times New Roman" w:cs="Times New Roman"/>
          <w:b/>
          <w:bCs/>
        </w:rPr>
      </w:pPr>
      <w:r w:rsidRPr="00FF26BF">
        <w:rPr>
          <w:rFonts w:eastAsia="Times New Roman" w:cs="Times New Roman"/>
          <w:b/>
          <w:bCs/>
        </w:rPr>
        <w:t>Outcomes</w:t>
      </w:r>
    </w:p>
    <w:tbl>
      <w:tblPr>
        <w:tblStyle w:val="SLROption1"/>
        <w:tblW w:w="5000" w:type="pct"/>
        <w:tblLook w:val="0000" w:firstRow="0" w:lastRow="0" w:firstColumn="0" w:lastColumn="0" w:noHBand="0" w:noVBand="0"/>
      </w:tblPr>
      <w:tblGrid>
        <w:gridCol w:w="3628"/>
        <w:gridCol w:w="10316"/>
      </w:tblGrid>
      <w:tr w:rsidR="00B8180E" w:rsidRPr="00FF26BF" w14:paraId="5FB960E7" w14:textId="77777777" w:rsidTr="00BB559B">
        <w:tc>
          <w:tcPr>
            <w:tcW w:w="1301" w:type="pct"/>
            <w:shd w:val="clear" w:color="auto" w:fill="3C533C"/>
          </w:tcPr>
          <w:p w14:paraId="6A257D21" w14:textId="77777777" w:rsidR="00B8180E" w:rsidRPr="00FF26BF" w:rsidRDefault="00B8180E" w:rsidP="005E3223">
            <w:pPr>
              <w:spacing w:after="0"/>
              <w:rPr>
                <w:rFonts w:cs="Arial"/>
                <w:sz w:val="20"/>
              </w:rPr>
            </w:pPr>
            <w:r w:rsidRPr="00FF26BF">
              <w:rPr>
                <w:rFonts w:eastAsia="Calibri" w:cs="Arial"/>
                <w:b/>
                <w:bCs/>
                <w:color w:val="FFFFFF"/>
                <w:sz w:val="20"/>
              </w:rPr>
              <w:t>Field</w:t>
            </w:r>
          </w:p>
        </w:tc>
        <w:tc>
          <w:tcPr>
            <w:tcW w:w="3699" w:type="pct"/>
            <w:tcBorders>
              <w:bottom w:val="single" w:sz="4" w:space="0" w:color="auto"/>
            </w:tcBorders>
            <w:shd w:val="clear" w:color="auto" w:fill="3C533C"/>
          </w:tcPr>
          <w:p w14:paraId="3B3E4A69" w14:textId="77777777" w:rsidR="00B8180E" w:rsidRPr="00FF26BF" w:rsidRDefault="00B8180E" w:rsidP="005E3223">
            <w:pPr>
              <w:spacing w:after="0"/>
              <w:rPr>
                <w:rFonts w:cs="Arial"/>
                <w:sz w:val="20"/>
              </w:rPr>
            </w:pPr>
            <w:r w:rsidRPr="00FF26BF">
              <w:rPr>
                <w:rFonts w:eastAsia="Calibri" w:cs="Arial"/>
                <w:b/>
                <w:bCs/>
                <w:color w:val="FFFFFF"/>
                <w:sz w:val="20"/>
              </w:rPr>
              <w:t>Extracted information</w:t>
            </w:r>
          </w:p>
        </w:tc>
      </w:tr>
      <w:tr w:rsidR="00BB559B" w:rsidRPr="00FF26BF" w14:paraId="576CF512" w14:textId="77777777" w:rsidTr="00BB559B">
        <w:tc>
          <w:tcPr>
            <w:tcW w:w="1301" w:type="pct"/>
            <w:tcBorders>
              <w:right w:val="single" w:sz="4" w:space="0" w:color="auto"/>
            </w:tcBorders>
            <w:shd w:val="clear" w:color="auto" w:fill="F6FDE9"/>
          </w:tcPr>
          <w:p w14:paraId="65C7780D" w14:textId="77777777" w:rsidR="00BB559B" w:rsidRPr="00FF26BF" w:rsidRDefault="00BB559B" w:rsidP="00BB559B">
            <w:pPr>
              <w:spacing w:after="0"/>
              <w:rPr>
                <w:rFonts w:cs="Arial"/>
                <w:sz w:val="20"/>
              </w:rPr>
            </w:pPr>
            <w:r w:rsidRPr="00FF26BF">
              <w:rPr>
                <w:rFonts w:eastAsia="Calibri" w:cs="Arial"/>
                <w:b/>
                <w:bCs/>
                <w:sz w:val="20"/>
              </w:rPr>
              <w:t>Primary outcome</w:t>
            </w:r>
          </w:p>
        </w:tc>
        <w:tc>
          <w:tcPr>
            <w:tcW w:w="3699" w:type="pct"/>
            <w:tcBorders>
              <w:top w:val="single" w:sz="4" w:space="0" w:color="auto"/>
              <w:left w:val="single" w:sz="4" w:space="0" w:color="auto"/>
              <w:bottom w:val="single" w:sz="4" w:space="0" w:color="auto"/>
              <w:right w:val="single" w:sz="4" w:space="0" w:color="auto"/>
            </w:tcBorders>
            <w:vAlign w:val="center"/>
          </w:tcPr>
          <w:p w14:paraId="30556769" w14:textId="78B283DB" w:rsidR="00BB559B" w:rsidRPr="00BB559B" w:rsidRDefault="00BB559B" w:rsidP="00BB559B">
            <w:pPr>
              <w:pStyle w:val="TableText"/>
            </w:pPr>
            <w:r w:rsidRPr="00BB559B">
              <w:t xml:space="preserve">Prevalence of vitamin B6 deficiency and overdose (hypervitaminosis B6) based on blood levels. </w:t>
            </w:r>
            <w:hyperlink r:id="rId108" w:history="1"/>
          </w:p>
        </w:tc>
      </w:tr>
      <w:tr w:rsidR="00BB559B" w:rsidRPr="00FF26BF" w14:paraId="47615048" w14:textId="77777777" w:rsidTr="00BB559B">
        <w:tc>
          <w:tcPr>
            <w:tcW w:w="1301" w:type="pct"/>
            <w:tcBorders>
              <w:right w:val="single" w:sz="4" w:space="0" w:color="auto"/>
            </w:tcBorders>
            <w:shd w:val="clear" w:color="auto" w:fill="F6FDE9"/>
          </w:tcPr>
          <w:p w14:paraId="0A0289C9" w14:textId="77777777" w:rsidR="00BB559B" w:rsidRPr="00FF26BF" w:rsidRDefault="00BB559B" w:rsidP="00BB559B">
            <w:pPr>
              <w:spacing w:after="0"/>
              <w:rPr>
                <w:rFonts w:cs="Arial"/>
                <w:sz w:val="20"/>
              </w:rPr>
            </w:pPr>
            <w:r w:rsidRPr="00FF26BF">
              <w:rPr>
                <w:rFonts w:eastAsia="Calibri" w:cs="Arial"/>
                <w:b/>
                <w:bCs/>
                <w:sz w:val="20"/>
              </w:rPr>
              <w:t>Outcome assessment – clinical examination</w:t>
            </w:r>
          </w:p>
        </w:tc>
        <w:tc>
          <w:tcPr>
            <w:tcW w:w="3699" w:type="pct"/>
            <w:tcBorders>
              <w:top w:val="single" w:sz="4" w:space="0" w:color="auto"/>
              <w:left w:val="single" w:sz="4" w:space="0" w:color="auto"/>
              <w:bottom w:val="single" w:sz="4" w:space="0" w:color="auto"/>
              <w:right w:val="single" w:sz="4" w:space="0" w:color="auto"/>
            </w:tcBorders>
            <w:vAlign w:val="center"/>
          </w:tcPr>
          <w:p w14:paraId="1E6C9A1F" w14:textId="1672A467" w:rsidR="00BB559B" w:rsidRPr="00BB559B" w:rsidRDefault="00BB559B" w:rsidP="00BB559B">
            <w:pPr>
              <w:pStyle w:val="TableText"/>
            </w:pPr>
            <w:r w:rsidRPr="00BB559B">
              <w:t>NA (no direct clinical examination outcomes systematically reported).</w:t>
            </w:r>
          </w:p>
        </w:tc>
      </w:tr>
      <w:tr w:rsidR="00BB559B" w:rsidRPr="00FF26BF" w14:paraId="274D885F" w14:textId="77777777" w:rsidTr="00BB559B">
        <w:tc>
          <w:tcPr>
            <w:tcW w:w="1301" w:type="pct"/>
            <w:tcBorders>
              <w:right w:val="single" w:sz="4" w:space="0" w:color="auto"/>
            </w:tcBorders>
            <w:shd w:val="clear" w:color="auto" w:fill="F6FDE9"/>
          </w:tcPr>
          <w:p w14:paraId="7B51BCC2" w14:textId="77777777" w:rsidR="00BB559B" w:rsidRPr="00FF26BF" w:rsidRDefault="00BB559B" w:rsidP="00BB559B">
            <w:pPr>
              <w:spacing w:after="0"/>
              <w:rPr>
                <w:rFonts w:cs="Arial"/>
                <w:sz w:val="20"/>
              </w:rPr>
            </w:pPr>
            <w:r w:rsidRPr="00FF26BF">
              <w:rPr>
                <w:rFonts w:eastAsia="Calibri" w:cs="Arial"/>
                <w:b/>
                <w:bCs/>
                <w:sz w:val="20"/>
              </w:rPr>
              <w:t>Outcome assessment – objective testing</w:t>
            </w:r>
          </w:p>
        </w:tc>
        <w:tc>
          <w:tcPr>
            <w:tcW w:w="3699" w:type="pct"/>
            <w:tcBorders>
              <w:top w:val="single" w:sz="4" w:space="0" w:color="auto"/>
              <w:left w:val="single" w:sz="4" w:space="0" w:color="auto"/>
              <w:bottom w:val="single" w:sz="4" w:space="0" w:color="auto"/>
              <w:right w:val="single" w:sz="4" w:space="0" w:color="auto"/>
            </w:tcBorders>
            <w:vAlign w:val="center"/>
          </w:tcPr>
          <w:p w14:paraId="09C3602E" w14:textId="737954E7" w:rsidR="00BB559B" w:rsidRPr="00BB559B" w:rsidRDefault="00BB559B" w:rsidP="00BB559B">
            <w:pPr>
              <w:pStyle w:val="TableText"/>
            </w:pPr>
            <w:r w:rsidRPr="00BB559B">
              <w:t xml:space="preserve">Laboratory measurement of PLP concentrations in whole blood via HPLC with fluorescence detection. </w:t>
            </w:r>
            <w:hyperlink r:id="rId109" w:history="1"/>
          </w:p>
        </w:tc>
      </w:tr>
      <w:tr w:rsidR="00BB559B" w:rsidRPr="00FF26BF" w14:paraId="3889C056" w14:textId="77777777" w:rsidTr="00BB559B">
        <w:tc>
          <w:tcPr>
            <w:tcW w:w="1301" w:type="pct"/>
            <w:tcBorders>
              <w:right w:val="single" w:sz="4" w:space="0" w:color="auto"/>
            </w:tcBorders>
            <w:shd w:val="clear" w:color="auto" w:fill="F6FDE9"/>
          </w:tcPr>
          <w:p w14:paraId="64757F2C" w14:textId="77777777" w:rsidR="00BB559B" w:rsidRPr="00FF26BF" w:rsidRDefault="00BB559B" w:rsidP="00BB559B">
            <w:pPr>
              <w:spacing w:after="0"/>
              <w:rPr>
                <w:rFonts w:cs="Arial"/>
                <w:sz w:val="20"/>
              </w:rPr>
            </w:pPr>
            <w:r w:rsidRPr="00FF26BF">
              <w:rPr>
                <w:rFonts w:eastAsia="Calibri" w:cs="Arial"/>
                <w:b/>
                <w:bCs/>
                <w:sz w:val="20"/>
              </w:rPr>
              <w:t>Outcome assessment – tools used</w:t>
            </w:r>
          </w:p>
        </w:tc>
        <w:tc>
          <w:tcPr>
            <w:tcW w:w="3699" w:type="pct"/>
            <w:tcBorders>
              <w:top w:val="single" w:sz="4" w:space="0" w:color="auto"/>
              <w:left w:val="single" w:sz="4" w:space="0" w:color="auto"/>
              <w:bottom w:val="single" w:sz="4" w:space="0" w:color="auto"/>
              <w:right w:val="single" w:sz="4" w:space="0" w:color="auto"/>
            </w:tcBorders>
            <w:vAlign w:val="center"/>
          </w:tcPr>
          <w:p w14:paraId="0A9CB2F3" w14:textId="10BB14F0" w:rsidR="00BB559B" w:rsidRPr="00BB559B" w:rsidRDefault="00BB559B" w:rsidP="00BB559B">
            <w:pPr>
              <w:pStyle w:val="TableText"/>
            </w:pPr>
            <w:r w:rsidRPr="00BB559B">
              <w:t xml:space="preserve">Chromsystems HPLC assay with fluorescence detection; defined biochemical thresholds for deficiency and overdose. </w:t>
            </w:r>
            <w:hyperlink r:id="rId110" w:history="1"/>
          </w:p>
        </w:tc>
      </w:tr>
      <w:tr w:rsidR="00BB559B" w:rsidRPr="00FF26BF" w14:paraId="7E7CE64B" w14:textId="77777777" w:rsidTr="00BB559B">
        <w:tc>
          <w:tcPr>
            <w:tcW w:w="1301" w:type="pct"/>
            <w:tcBorders>
              <w:right w:val="single" w:sz="4" w:space="0" w:color="auto"/>
            </w:tcBorders>
            <w:shd w:val="clear" w:color="auto" w:fill="F6FDE9"/>
          </w:tcPr>
          <w:p w14:paraId="17A47597" w14:textId="77777777" w:rsidR="00BB559B" w:rsidRPr="00FF26BF" w:rsidRDefault="00BB559B" w:rsidP="00BB559B">
            <w:pPr>
              <w:spacing w:after="0"/>
              <w:rPr>
                <w:rFonts w:cs="Arial"/>
                <w:sz w:val="20"/>
              </w:rPr>
            </w:pPr>
            <w:r w:rsidRPr="00FF26BF">
              <w:rPr>
                <w:rFonts w:eastAsia="Calibri" w:cs="Arial"/>
                <w:b/>
                <w:bCs/>
                <w:sz w:val="20"/>
              </w:rPr>
              <w:t>Response to withdrawal</w:t>
            </w:r>
          </w:p>
        </w:tc>
        <w:tc>
          <w:tcPr>
            <w:tcW w:w="3699" w:type="pct"/>
            <w:tcBorders>
              <w:top w:val="single" w:sz="4" w:space="0" w:color="auto"/>
              <w:left w:val="single" w:sz="4" w:space="0" w:color="auto"/>
              <w:bottom w:val="single" w:sz="4" w:space="0" w:color="auto"/>
              <w:right w:val="single" w:sz="4" w:space="0" w:color="auto"/>
            </w:tcBorders>
            <w:vAlign w:val="center"/>
          </w:tcPr>
          <w:p w14:paraId="1B3FED3C" w14:textId="78FBB536" w:rsidR="00BB559B" w:rsidRPr="00BB559B" w:rsidRDefault="00BB559B" w:rsidP="00BB559B">
            <w:pPr>
              <w:pStyle w:val="TableText"/>
            </w:pPr>
            <w:r w:rsidRPr="00BB559B">
              <w:t>NA (individual patient follow-up or withdrawal response not assessed in this study).</w:t>
            </w:r>
          </w:p>
        </w:tc>
      </w:tr>
    </w:tbl>
    <w:p w14:paraId="189BC0BD" w14:textId="77777777" w:rsidR="00B8180E" w:rsidRPr="00FF26BF" w:rsidRDefault="00B8180E" w:rsidP="00B8180E">
      <w:pPr>
        <w:rPr>
          <w:rFonts w:eastAsia="Times New Roman" w:cs="Times New Roman"/>
          <w:b/>
          <w:bCs/>
        </w:rPr>
      </w:pPr>
      <w:r w:rsidRPr="00FF26BF">
        <w:rPr>
          <w:rFonts w:eastAsia="Times New Roman" w:cs="Times New Roman"/>
          <w:b/>
          <w:bCs/>
        </w:rPr>
        <w:t>Results and Conclusions</w:t>
      </w:r>
    </w:p>
    <w:tbl>
      <w:tblPr>
        <w:tblStyle w:val="SLROption1"/>
        <w:tblW w:w="5000" w:type="pct"/>
        <w:tblLook w:val="0000" w:firstRow="0" w:lastRow="0" w:firstColumn="0" w:lastColumn="0" w:noHBand="0" w:noVBand="0"/>
      </w:tblPr>
      <w:tblGrid>
        <w:gridCol w:w="3628"/>
        <w:gridCol w:w="10316"/>
      </w:tblGrid>
      <w:tr w:rsidR="00B8180E" w:rsidRPr="00FF26BF" w14:paraId="44523FDA" w14:textId="77777777" w:rsidTr="00BB559B">
        <w:trPr>
          <w:cantSplit/>
          <w:tblHeader/>
        </w:trPr>
        <w:tc>
          <w:tcPr>
            <w:tcW w:w="1301" w:type="pct"/>
            <w:shd w:val="clear" w:color="auto" w:fill="3C533C"/>
          </w:tcPr>
          <w:p w14:paraId="2A3DBEF2" w14:textId="77777777" w:rsidR="00B8180E" w:rsidRPr="00FF26BF" w:rsidRDefault="00B8180E" w:rsidP="005E3223">
            <w:pPr>
              <w:spacing w:after="0"/>
              <w:rPr>
                <w:rFonts w:cs="Arial"/>
                <w:sz w:val="20"/>
              </w:rPr>
            </w:pPr>
            <w:r w:rsidRPr="00FF26BF">
              <w:rPr>
                <w:rFonts w:eastAsia="Calibri" w:cs="Arial"/>
                <w:b/>
                <w:bCs/>
                <w:color w:val="FFFFFF"/>
                <w:sz w:val="20"/>
              </w:rPr>
              <w:t>Field</w:t>
            </w:r>
          </w:p>
        </w:tc>
        <w:tc>
          <w:tcPr>
            <w:tcW w:w="3699" w:type="pct"/>
            <w:tcBorders>
              <w:bottom w:val="single" w:sz="4" w:space="0" w:color="auto"/>
            </w:tcBorders>
            <w:shd w:val="clear" w:color="auto" w:fill="3C533C"/>
          </w:tcPr>
          <w:p w14:paraId="1DD30ACE" w14:textId="77777777" w:rsidR="00B8180E" w:rsidRPr="00FF26BF" w:rsidRDefault="00B8180E" w:rsidP="005E3223">
            <w:pPr>
              <w:spacing w:after="0"/>
              <w:rPr>
                <w:rFonts w:cs="Arial"/>
                <w:sz w:val="20"/>
              </w:rPr>
            </w:pPr>
            <w:r w:rsidRPr="00FF26BF">
              <w:rPr>
                <w:rFonts w:eastAsia="Calibri" w:cs="Arial"/>
                <w:b/>
                <w:bCs/>
                <w:color w:val="FFFFFF"/>
                <w:sz w:val="20"/>
              </w:rPr>
              <w:t>Extracted information</w:t>
            </w:r>
          </w:p>
        </w:tc>
      </w:tr>
      <w:tr w:rsidR="00BB559B" w:rsidRPr="00FF26BF" w14:paraId="3E7F0064" w14:textId="77777777" w:rsidTr="00BB559B">
        <w:trPr>
          <w:cantSplit/>
        </w:trPr>
        <w:tc>
          <w:tcPr>
            <w:tcW w:w="1301" w:type="pct"/>
            <w:tcBorders>
              <w:bottom w:val="single" w:sz="4" w:space="0" w:color="auto"/>
              <w:right w:val="single" w:sz="4" w:space="0" w:color="auto"/>
            </w:tcBorders>
            <w:shd w:val="clear" w:color="auto" w:fill="F6FDE9"/>
          </w:tcPr>
          <w:p w14:paraId="22685ED2" w14:textId="77777777" w:rsidR="00BB559B" w:rsidRPr="00FF26BF" w:rsidRDefault="00BB559B" w:rsidP="00BB559B">
            <w:pPr>
              <w:spacing w:after="0"/>
              <w:rPr>
                <w:rFonts w:cs="Arial"/>
                <w:sz w:val="20"/>
              </w:rPr>
            </w:pPr>
            <w:r w:rsidRPr="00FF26BF">
              <w:rPr>
                <w:rFonts w:eastAsia="Calibri" w:cs="Arial"/>
                <w:b/>
                <w:bCs/>
                <w:sz w:val="20"/>
              </w:rPr>
              <w:t>Main results</w:t>
            </w:r>
          </w:p>
        </w:tc>
        <w:tc>
          <w:tcPr>
            <w:tcW w:w="3699" w:type="pct"/>
            <w:tcBorders>
              <w:top w:val="single" w:sz="4" w:space="0" w:color="auto"/>
              <w:left w:val="single" w:sz="4" w:space="0" w:color="auto"/>
              <w:bottom w:val="single" w:sz="4" w:space="0" w:color="auto"/>
              <w:right w:val="single" w:sz="4" w:space="0" w:color="auto"/>
            </w:tcBorders>
            <w:vAlign w:val="center"/>
          </w:tcPr>
          <w:p w14:paraId="190A62DA" w14:textId="741EE7C4" w:rsidR="00BB559B" w:rsidRPr="00BB559B" w:rsidRDefault="00BB559B" w:rsidP="00BB559B">
            <w:pPr>
              <w:pStyle w:val="TableText"/>
            </w:pPr>
            <w:r w:rsidRPr="00BB559B">
              <w:t xml:space="preserve">Marked increase in vitamin B6 testing and overdose over time (2012–2020). Overdose prevalence reached ~30–40% of samples across centres. Deficiencies decreased and became negligible by later years. </w:t>
            </w:r>
            <w:hyperlink r:id="rId111" w:history="1"/>
          </w:p>
        </w:tc>
      </w:tr>
      <w:tr w:rsidR="00BB559B" w:rsidRPr="00FF26BF" w14:paraId="7F71B6C8" w14:textId="77777777" w:rsidTr="00BB559B">
        <w:trPr>
          <w:cantSplit/>
        </w:trPr>
        <w:tc>
          <w:tcPr>
            <w:tcW w:w="1301" w:type="pct"/>
            <w:tcBorders>
              <w:top w:val="single" w:sz="4" w:space="0" w:color="auto"/>
              <w:left w:val="single" w:sz="4" w:space="0" w:color="auto"/>
              <w:bottom w:val="single" w:sz="4" w:space="0" w:color="auto"/>
              <w:right w:val="single" w:sz="4" w:space="0" w:color="auto"/>
            </w:tcBorders>
            <w:shd w:val="clear" w:color="auto" w:fill="F6FDE9" w:themeFill="accent5" w:themeFillTint="33"/>
            <w:vAlign w:val="center"/>
          </w:tcPr>
          <w:p w14:paraId="585BE8C1" w14:textId="26911B83" w:rsidR="00BB559B" w:rsidRPr="00BB559B" w:rsidRDefault="00BB559B" w:rsidP="00BB559B">
            <w:pPr>
              <w:spacing w:after="0"/>
              <w:rPr>
                <w:rFonts w:eastAsia="Calibri" w:cs="Arial"/>
                <w:b/>
                <w:bCs/>
                <w:sz w:val="20"/>
              </w:rPr>
            </w:pPr>
            <w:r w:rsidRPr="00BB559B">
              <w:rPr>
                <w:rFonts w:cs="Arial"/>
                <w:b/>
                <w:bCs/>
                <w:sz w:val="20"/>
                <w:lang w:eastAsia="en-AU"/>
              </w:rPr>
              <w:t>Dose-response / exposure-response</w:t>
            </w:r>
          </w:p>
        </w:tc>
        <w:tc>
          <w:tcPr>
            <w:tcW w:w="3699" w:type="pct"/>
            <w:tcBorders>
              <w:top w:val="single" w:sz="4" w:space="0" w:color="auto"/>
              <w:left w:val="single" w:sz="4" w:space="0" w:color="auto"/>
              <w:bottom w:val="single" w:sz="4" w:space="0" w:color="auto"/>
              <w:right w:val="single" w:sz="4" w:space="0" w:color="auto"/>
            </w:tcBorders>
            <w:vAlign w:val="center"/>
          </w:tcPr>
          <w:p w14:paraId="58FD1093" w14:textId="60AE4D53" w:rsidR="00BB559B" w:rsidRPr="00BB559B" w:rsidRDefault="00BB559B" w:rsidP="00BB559B">
            <w:pPr>
              <w:pStyle w:val="TableText"/>
            </w:pPr>
            <w:r w:rsidRPr="00BB559B">
              <w:t xml:space="preserve">Higher blood PLP levels associated with likely increased supplement intake; no quantified intake–response relationship. </w:t>
            </w:r>
            <w:hyperlink r:id="rId112" w:history="1"/>
          </w:p>
        </w:tc>
      </w:tr>
      <w:tr w:rsidR="00BB559B" w:rsidRPr="00FF26BF" w14:paraId="08B2978A" w14:textId="77777777" w:rsidTr="00BB559B">
        <w:trPr>
          <w:cantSplit/>
        </w:trPr>
        <w:tc>
          <w:tcPr>
            <w:tcW w:w="1301" w:type="pct"/>
            <w:tcBorders>
              <w:top w:val="single" w:sz="4" w:space="0" w:color="auto"/>
              <w:left w:val="single" w:sz="4" w:space="0" w:color="auto"/>
              <w:bottom w:val="single" w:sz="4" w:space="0" w:color="auto"/>
              <w:right w:val="single" w:sz="4" w:space="0" w:color="auto"/>
            </w:tcBorders>
            <w:shd w:val="clear" w:color="auto" w:fill="F6FDE9" w:themeFill="accent5" w:themeFillTint="33"/>
            <w:vAlign w:val="center"/>
          </w:tcPr>
          <w:p w14:paraId="3729AD45" w14:textId="5473E1DE" w:rsidR="00BB559B" w:rsidRPr="00BB559B" w:rsidRDefault="00BB559B" w:rsidP="00BB559B">
            <w:pPr>
              <w:spacing w:after="0"/>
              <w:rPr>
                <w:rFonts w:eastAsia="Calibri" w:cs="Arial"/>
                <w:b/>
                <w:bCs/>
                <w:sz w:val="20"/>
              </w:rPr>
            </w:pPr>
            <w:r w:rsidRPr="00BB559B">
              <w:rPr>
                <w:rFonts w:cs="Arial"/>
                <w:b/>
                <w:bCs/>
                <w:sz w:val="20"/>
                <w:lang w:eastAsia="en-AU"/>
              </w:rPr>
              <w:t>Additional findings</w:t>
            </w:r>
          </w:p>
        </w:tc>
        <w:tc>
          <w:tcPr>
            <w:tcW w:w="3699" w:type="pct"/>
            <w:tcBorders>
              <w:top w:val="single" w:sz="4" w:space="0" w:color="auto"/>
              <w:left w:val="single" w:sz="4" w:space="0" w:color="auto"/>
              <w:bottom w:val="single" w:sz="4" w:space="0" w:color="auto"/>
              <w:right w:val="single" w:sz="4" w:space="0" w:color="auto"/>
            </w:tcBorders>
            <w:vAlign w:val="center"/>
          </w:tcPr>
          <w:p w14:paraId="54E8F958" w14:textId="19D96490" w:rsidR="00BB559B" w:rsidRPr="00BB559B" w:rsidRDefault="00BB559B" w:rsidP="00BB559B">
            <w:pPr>
              <w:pStyle w:val="TableText"/>
            </w:pPr>
            <w:r w:rsidRPr="00BB559B">
              <w:t xml:space="preserve">Overdose categories included moderate (101–200 nmol/L), high (201–500 nmol/L), and very high (&gt;500 nmol/L), all increasing over time. </w:t>
            </w:r>
            <w:hyperlink r:id="rId113" w:history="1"/>
          </w:p>
        </w:tc>
      </w:tr>
      <w:tr w:rsidR="00BB559B" w:rsidRPr="00FF26BF" w14:paraId="1A66BBD9" w14:textId="77777777" w:rsidTr="00BB559B">
        <w:trPr>
          <w:cantSplit/>
        </w:trPr>
        <w:tc>
          <w:tcPr>
            <w:tcW w:w="1301" w:type="pct"/>
            <w:tcBorders>
              <w:top w:val="single" w:sz="4" w:space="0" w:color="auto"/>
              <w:right w:val="single" w:sz="4" w:space="0" w:color="auto"/>
            </w:tcBorders>
            <w:shd w:val="clear" w:color="auto" w:fill="F6FDE9"/>
          </w:tcPr>
          <w:p w14:paraId="293EC2D6" w14:textId="77777777" w:rsidR="00BB559B" w:rsidRPr="00FF26BF" w:rsidRDefault="00BB559B" w:rsidP="00BB559B">
            <w:pPr>
              <w:spacing w:after="0"/>
              <w:rPr>
                <w:rFonts w:cs="Arial"/>
                <w:sz w:val="20"/>
              </w:rPr>
            </w:pPr>
            <w:r w:rsidRPr="00FF26BF">
              <w:rPr>
                <w:rFonts w:eastAsia="Calibri" w:cs="Arial"/>
                <w:b/>
                <w:bCs/>
                <w:sz w:val="20"/>
              </w:rPr>
              <w:t>Authors' conclusions</w:t>
            </w:r>
          </w:p>
        </w:tc>
        <w:tc>
          <w:tcPr>
            <w:tcW w:w="3699" w:type="pct"/>
            <w:tcBorders>
              <w:top w:val="single" w:sz="4" w:space="0" w:color="auto"/>
              <w:left w:val="single" w:sz="4" w:space="0" w:color="auto"/>
              <w:bottom w:val="single" w:sz="4" w:space="0" w:color="auto"/>
              <w:right w:val="single" w:sz="4" w:space="0" w:color="auto"/>
            </w:tcBorders>
            <w:vAlign w:val="center"/>
          </w:tcPr>
          <w:p w14:paraId="67C562A8" w14:textId="43F3A202" w:rsidR="00BB559B" w:rsidRPr="00BB559B" w:rsidRDefault="00BB559B" w:rsidP="00BB559B">
            <w:pPr>
              <w:pStyle w:val="TableText"/>
            </w:pPr>
            <w:r w:rsidRPr="00BB559B">
              <w:t xml:space="preserve">Increasing vitamin B6 overdoses are likely driven by supplement use rather than diet. High B6 intake may lead to polyneuropathy. Clear guidelines on supplementation are needed, particularly for bariatric surgery patients. </w:t>
            </w:r>
            <w:hyperlink r:id="rId114" w:history="1"/>
          </w:p>
        </w:tc>
      </w:tr>
      <w:tr w:rsidR="00BB559B" w:rsidRPr="00FF26BF" w14:paraId="36FA6107" w14:textId="77777777" w:rsidTr="00BB559B">
        <w:trPr>
          <w:cantSplit/>
        </w:trPr>
        <w:tc>
          <w:tcPr>
            <w:tcW w:w="1301" w:type="pct"/>
            <w:tcBorders>
              <w:right w:val="single" w:sz="4" w:space="0" w:color="auto"/>
            </w:tcBorders>
            <w:shd w:val="clear" w:color="auto" w:fill="F6FDE9"/>
          </w:tcPr>
          <w:p w14:paraId="72412E20" w14:textId="77777777" w:rsidR="00BB559B" w:rsidRPr="00FF26BF" w:rsidRDefault="00BB559B" w:rsidP="00BB559B">
            <w:pPr>
              <w:spacing w:after="0"/>
              <w:rPr>
                <w:rFonts w:cs="Arial"/>
                <w:sz w:val="20"/>
              </w:rPr>
            </w:pPr>
            <w:r w:rsidRPr="00FF26BF">
              <w:rPr>
                <w:rFonts w:eastAsia="Calibri" w:cs="Arial"/>
                <w:b/>
                <w:bCs/>
                <w:sz w:val="20"/>
              </w:rPr>
              <w:t>Authors' acknowledged limitations</w:t>
            </w:r>
          </w:p>
        </w:tc>
        <w:tc>
          <w:tcPr>
            <w:tcW w:w="3699" w:type="pct"/>
            <w:tcBorders>
              <w:top w:val="single" w:sz="4" w:space="0" w:color="auto"/>
              <w:left w:val="single" w:sz="4" w:space="0" w:color="auto"/>
              <w:bottom w:val="single" w:sz="4" w:space="0" w:color="auto"/>
              <w:right w:val="single" w:sz="4" w:space="0" w:color="auto"/>
            </w:tcBorders>
            <w:vAlign w:val="center"/>
          </w:tcPr>
          <w:p w14:paraId="4993679A" w14:textId="749AFB51" w:rsidR="00BB559B" w:rsidRPr="00BB559B" w:rsidRDefault="00BB559B" w:rsidP="00BB559B">
            <w:pPr>
              <w:pStyle w:val="TableText"/>
            </w:pPr>
            <w:r w:rsidRPr="00BB559B">
              <w:t xml:space="preserve">No direct measurement of supplement intake; observational design; inability to link individual exposure with clinical outcomes; reliance on laboratory data only. </w:t>
            </w:r>
          </w:p>
        </w:tc>
      </w:tr>
    </w:tbl>
    <w:p w14:paraId="3E691A77" w14:textId="77777777" w:rsidR="00B8180E" w:rsidRPr="00FF26BF" w:rsidRDefault="00B8180E" w:rsidP="00B8180E">
      <w:pPr>
        <w:rPr>
          <w:rFonts w:eastAsia="Times New Roman" w:cs="Times New Roman"/>
          <w:b/>
          <w:bCs/>
        </w:rPr>
      </w:pPr>
      <w:r w:rsidRPr="00FF26BF">
        <w:rPr>
          <w:rFonts w:eastAsia="Times New Roman" w:cs="Times New Roman"/>
          <w:b/>
          <w:bCs/>
        </w:rPr>
        <w:lastRenderedPageBreak/>
        <w:t>Contextual information for the AU/NZ UL review</w:t>
      </w:r>
    </w:p>
    <w:tbl>
      <w:tblPr>
        <w:tblStyle w:val="SLROption1"/>
        <w:tblW w:w="5000" w:type="pct"/>
        <w:tblLook w:val="0000" w:firstRow="0" w:lastRow="0" w:firstColumn="0" w:lastColumn="0" w:noHBand="0" w:noVBand="0"/>
      </w:tblPr>
      <w:tblGrid>
        <w:gridCol w:w="3628"/>
        <w:gridCol w:w="10316"/>
      </w:tblGrid>
      <w:tr w:rsidR="00B8180E" w:rsidRPr="00FF26BF" w14:paraId="6B2C3462" w14:textId="77777777" w:rsidTr="005E3223">
        <w:tc>
          <w:tcPr>
            <w:tcW w:w="1301" w:type="pct"/>
            <w:shd w:val="clear" w:color="auto" w:fill="F6FDE9"/>
          </w:tcPr>
          <w:p w14:paraId="612927A9" w14:textId="77777777" w:rsidR="00B8180E" w:rsidRPr="00FF26BF" w:rsidRDefault="00B8180E" w:rsidP="005E3223">
            <w:pPr>
              <w:spacing w:after="0"/>
              <w:rPr>
                <w:rFonts w:cs="Arial"/>
                <w:sz w:val="20"/>
              </w:rPr>
            </w:pPr>
            <w:r w:rsidRPr="00FF26BF">
              <w:rPr>
                <w:rFonts w:eastAsia="Calibri" w:cs="Arial"/>
                <w:b/>
                <w:bCs/>
                <w:sz w:val="20"/>
              </w:rPr>
              <w:t>Generalisability to AU/NZ</w:t>
            </w:r>
          </w:p>
        </w:tc>
        <w:tc>
          <w:tcPr>
            <w:tcW w:w="3699" w:type="pct"/>
          </w:tcPr>
          <w:p w14:paraId="02E375D6" w14:textId="48A8FC19" w:rsidR="00B8180E" w:rsidRPr="00FF26BF" w:rsidRDefault="00BB559B" w:rsidP="005E3223">
            <w:pPr>
              <w:spacing w:after="0"/>
              <w:rPr>
                <w:rFonts w:cs="Arial"/>
                <w:sz w:val="20"/>
              </w:rPr>
            </w:pPr>
            <w:r w:rsidRPr="00BB559B">
              <w:rPr>
                <w:rFonts w:eastAsia="Calibri" w:cs="Arial"/>
                <w:sz w:val="20"/>
              </w:rPr>
              <w:t>Moderate. Population includes general clinical patients and bariatric populations; supplement use patterns likely comparable to AU/NZ. However, results are biomarker-based and not directly linked to intake levels.</w:t>
            </w:r>
          </w:p>
        </w:tc>
      </w:tr>
    </w:tbl>
    <w:p w14:paraId="5FDB2D26" w14:textId="77777777" w:rsidR="00834C85" w:rsidRDefault="00834C85" w:rsidP="00834C85">
      <w:pPr>
        <w:rPr>
          <w:rFonts w:eastAsia="Times New Roman" w:cs="Arial"/>
        </w:rPr>
      </w:pPr>
    </w:p>
    <w:p w14:paraId="4D374071" w14:textId="77777777" w:rsidR="00834C85" w:rsidRDefault="00834C85" w:rsidP="00834C85">
      <w:pPr>
        <w:rPr>
          <w:rFonts w:eastAsia="Times New Roman" w:cs="Arial"/>
        </w:rPr>
      </w:pPr>
    </w:p>
    <w:p w14:paraId="317BC0B6" w14:textId="77777777" w:rsidR="00834C85" w:rsidRPr="00834C85" w:rsidRDefault="00834C85" w:rsidP="00834C85">
      <w:pPr>
        <w:rPr>
          <w:rFonts w:eastAsia="Times New Roman" w:cs="Arial"/>
        </w:rPr>
        <w:sectPr w:rsidR="00834C85" w:rsidRPr="00834C85" w:rsidSect="00B8180E">
          <w:pgSz w:w="16834" w:h="11909" w:orient="landscape" w:code="9"/>
          <w:pgMar w:top="1440" w:right="1440" w:bottom="1440" w:left="1440" w:header="576" w:footer="576" w:gutter="0"/>
          <w:cols w:space="720"/>
          <w:docGrid w:linePitch="360"/>
        </w:sectPr>
      </w:pPr>
    </w:p>
    <w:p w14:paraId="4ECB69DE" w14:textId="28C11A41" w:rsidR="00813E44" w:rsidRDefault="00813E44" w:rsidP="00813E44">
      <w:pPr>
        <w:pStyle w:val="Heading9"/>
      </w:pPr>
      <w:bookmarkStart w:id="77" w:name="_Toc233022894"/>
      <w:r>
        <w:lastRenderedPageBreak/>
        <w:t>Brands et al.</w:t>
      </w:r>
      <w:r w:rsidR="00091690">
        <w:t>,</w:t>
      </w:r>
      <w:r>
        <w:t xml:space="preserve"> 2026</w:t>
      </w:r>
      <w:bookmarkEnd w:id="77"/>
    </w:p>
    <w:p w14:paraId="6CA94A61" w14:textId="77777777" w:rsidR="00813E44" w:rsidRPr="00FF26BF" w:rsidRDefault="00813E44" w:rsidP="00813E44">
      <w:pPr>
        <w:keepNext/>
        <w:spacing w:before="240"/>
        <w:ind w:left="1080" w:hanging="1080"/>
        <w:rPr>
          <w:rFonts w:eastAsia="Calibri" w:cs="Arial"/>
          <w:b/>
          <w:bCs/>
          <w:sz w:val="20"/>
        </w:rPr>
      </w:pPr>
      <w:r w:rsidRPr="00FF26BF">
        <w:rPr>
          <w:rFonts w:eastAsia="Calibri" w:cs="Arial"/>
          <w:b/>
          <w:bCs/>
          <w:sz w:val="20"/>
        </w:rPr>
        <w:t>Study identification and design</w:t>
      </w:r>
    </w:p>
    <w:tbl>
      <w:tblPr>
        <w:tblStyle w:val="SLROption1"/>
        <w:tblW w:w="5000" w:type="pct"/>
        <w:tblLook w:val="0000" w:firstRow="0" w:lastRow="0" w:firstColumn="0" w:lastColumn="0" w:noHBand="0" w:noVBand="0"/>
      </w:tblPr>
      <w:tblGrid>
        <w:gridCol w:w="3628"/>
        <w:gridCol w:w="10316"/>
      </w:tblGrid>
      <w:tr w:rsidR="00813E44" w:rsidRPr="00B8180E" w14:paraId="5DAEC770" w14:textId="77777777" w:rsidTr="00FB357C">
        <w:tc>
          <w:tcPr>
            <w:tcW w:w="1301" w:type="pct"/>
            <w:shd w:val="clear" w:color="auto" w:fill="3C533C"/>
          </w:tcPr>
          <w:p w14:paraId="3597582F" w14:textId="77777777" w:rsidR="00813E44" w:rsidRPr="00B8180E" w:rsidRDefault="00813E44" w:rsidP="00983C71">
            <w:pPr>
              <w:pStyle w:val="TableText"/>
              <w:rPr>
                <w:b/>
                <w:bCs/>
                <w:color w:val="FFFFFF" w:themeColor="background1"/>
              </w:rPr>
            </w:pPr>
            <w:r w:rsidRPr="00B8180E">
              <w:rPr>
                <w:b/>
                <w:bCs/>
                <w:color w:val="FFFFFF" w:themeColor="background1"/>
              </w:rPr>
              <w:t>Field</w:t>
            </w:r>
          </w:p>
        </w:tc>
        <w:tc>
          <w:tcPr>
            <w:tcW w:w="3699" w:type="pct"/>
            <w:tcBorders>
              <w:bottom w:val="single" w:sz="4" w:space="0" w:color="auto"/>
            </w:tcBorders>
            <w:shd w:val="clear" w:color="auto" w:fill="3C533C"/>
          </w:tcPr>
          <w:p w14:paraId="0A1EE11D" w14:textId="77777777" w:rsidR="00813E44" w:rsidRPr="00B8180E" w:rsidRDefault="00813E44" w:rsidP="00983C71">
            <w:pPr>
              <w:pStyle w:val="TableText"/>
              <w:rPr>
                <w:b/>
                <w:bCs/>
                <w:color w:val="FFFFFF" w:themeColor="background1"/>
              </w:rPr>
            </w:pPr>
            <w:r w:rsidRPr="00B8180E">
              <w:rPr>
                <w:b/>
                <w:bCs/>
                <w:color w:val="FFFFFF" w:themeColor="background1"/>
              </w:rPr>
              <w:t>Extracted information</w:t>
            </w:r>
          </w:p>
        </w:tc>
      </w:tr>
      <w:tr w:rsidR="00813E44" w:rsidRPr="00B8180E" w14:paraId="43D7EC67" w14:textId="77777777" w:rsidTr="00FB357C">
        <w:tc>
          <w:tcPr>
            <w:tcW w:w="1301" w:type="pct"/>
            <w:tcBorders>
              <w:right w:val="single" w:sz="4" w:space="0" w:color="auto"/>
            </w:tcBorders>
            <w:shd w:val="clear" w:color="auto" w:fill="F6FDE9"/>
          </w:tcPr>
          <w:p w14:paraId="1525EC7B" w14:textId="77777777" w:rsidR="00813E44" w:rsidRPr="00B8180E" w:rsidRDefault="00813E44" w:rsidP="00813E44">
            <w:pPr>
              <w:pStyle w:val="TableText"/>
              <w:rPr>
                <w:b/>
                <w:bCs/>
              </w:rPr>
            </w:pPr>
            <w:r w:rsidRPr="00B8180E">
              <w:rPr>
                <w:b/>
                <w:bCs/>
              </w:rPr>
              <w:t>Citation</w:t>
            </w:r>
          </w:p>
        </w:tc>
        <w:tc>
          <w:tcPr>
            <w:tcW w:w="3699" w:type="pct"/>
            <w:tcBorders>
              <w:top w:val="single" w:sz="4" w:space="0" w:color="auto"/>
              <w:left w:val="single" w:sz="4" w:space="0" w:color="auto"/>
              <w:bottom w:val="single" w:sz="4" w:space="0" w:color="auto"/>
              <w:right w:val="single" w:sz="4" w:space="0" w:color="auto"/>
            </w:tcBorders>
            <w:vAlign w:val="center"/>
          </w:tcPr>
          <w:p w14:paraId="6AEDE786" w14:textId="34FB3A11" w:rsidR="00813E44" w:rsidRPr="00FB357C" w:rsidRDefault="00813E44" w:rsidP="00813E44">
            <w:pPr>
              <w:pStyle w:val="TableText"/>
              <w:rPr>
                <w:rFonts w:cs="Arial"/>
              </w:rPr>
            </w:pPr>
            <w:r w:rsidRPr="00FB357C">
              <w:rPr>
                <w:rFonts w:cs="Arial"/>
                <w:lang w:eastAsia="en-AU"/>
              </w:rPr>
              <w:t xml:space="preserve">Brands, M. M., de Puyraimond, C., Gospe, S. M., Schiff, M. M., Jaeger, B., Koot, B. G., Raphael, M. F., Lubout, C. M., Soto, B., Delanne, J., Imbard, A., Zempel, J., Kraal, K. C., Scheenstra, R., &amp; Clayton, P. T. (2026). Hepatocellular carcinoma: A critical complication in patients treated with pyridoxal phosphate. </w:t>
            </w:r>
            <w:r w:rsidRPr="00FB357C">
              <w:rPr>
                <w:rFonts w:cs="Arial"/>
                <w:i/>
                <w:iCs/>
                <w:lang w:eastAsia="en-AU"/>
              </w:rPr>
              <w:t>Neuropediatrics, 57</w:t>
            </w:r>
            <w:r w:rsidRPr="00FB357C">
              <w:rPr>
                <w:rFonts w:cs="Arial"/>
                <w:lang w:eastAsia="en-AU"/>
              </w:rPr>
              <w:t>, 59–64.</w:t>
            </w:r>
          </w:p>
        </w:tc>
      </w:tr>
      <w:tr w:rsidR="00813E44" w:rsidRPr="00B8180E" w14:paraId="7D58C02F" w14:textId="77777777" w:rsidTr="00FB357C">
        <w:tc>
          <w:tcPr>
            <w:tcW w:w="1301" w:type="pct"/>
            <w:tcBorders>
              <w:right w:val="single" w:sz="4" w:space="0" w:color="auto"/>
            </w:tcBorders>
            <w:shd w:val="clear" w:color="auto" w:fill="F6FDE9"/>
          </w:tcPr>
          <w:p w14:paraId="4D94F479" w14:textId="77777777" w:rsidR="00813E44" w:rsidRPr="00B8180E" w:rsidRDefault="00813E44" w:rsidP="00813E44">
            <w:pPr>
              <w:pStyle w:val="TableText"/>
              <w:rPr>
                <w:b/>
                <w:bCs/>
              </w:rPr>
            </w:pPr>
            <w:r w:rsidRPr="00B8180E">
              <w:rPr>
                <w:b/>
                <w:bCs/>
              </w:rPr>
              <w:t>Publication status</w:t>
            </w:r>
          </w:p>
        </w:tc>
        <w:tc>
          <w:tcPr>
            <w:tcW w:w="3699" w:type="pct"/>
            <w:tcBorders>
              <w:top w:val="single" w:sz="4" w:space="0" w:color="auto"/>
              <w:left w:val="single" w:sz="4" w:space="0" w:color="auto"/>
              <w:bottom w:val="single" w:sz="4" w:space="0" w:color="auto"/>
              <w:right w:val="single" w:sz="4" w:space="0" w:color="auto"/>
            </w:tcBorders>
            <w:vAlign w:val="center"/>
          </w:tcPr>
          <w:p w14:paraId="6673A39E" w14:textId="493BA997" w:rsidR="00813E44" w:rsidRPr="00FB357C" w:rsidRDefault="00813E44" w:rsidP="00813E44">
            <w:pPr>
              <w:pStyle w:val="TableText"/>
              <w:rPr>
                <w:rFonts w:cs="Arial"/>
              </w:rPr>
            </w:pPr>
            <w:r w:rsidRPr="00FB357C">
              <w:rPr>
                <w:rFonts w:cs="Arial"/>
                <w:lang w:eastAsia="en-AU"/>
              </w:rPr>
              <w:t xml:space="preserve">Published, peer-reviewed journal (Neuropediatrics), published January 2026. </w:t>
            </w:r>
            <w:hyperlink r:id="rId115" w:history="1"/>
          </w:p>
        </w:tc>
      </w:tr>
      <w:tr w:rsidR="00813E44" w:rsidRPr="00B8180E" w14:paraId="1B8FC011" w14:textId="77777777" w:rsidTr="00FB357C">
        <w:tc>
          <w:tcPr>
            <w:tcW w:w="1301" w:type="pct"/>
            <w:tcBorders>
              <w:right w:val="single" w:sz="4" w:space="0" w:color="auto"/>
            </w:tcBorders>
            <w:shd w:val="clear" w:color="auto" w:fill="F6FDE9"/>
          </w:tcPr>
          <w:p w14:paraId="50D1B878" w14:textId="77777777" w:rsidR="00813E44" w:rsidRPr="00B8180E" w:rsidRDefault="00813E44" w:rsidP="00813E44">
            <w:pPr>
              <w:pStyle w:val="TableText"/>
              <w:rPr>
                <w:b/>
                <w:bCs/>
              </w:rPr>
            </w:pPr>
            <w:r w:rsidRPr="00B8180E">
              <w:rPr>
                <w:b/>
                <w:bCs/>
              </w:rPr>
              <w:t>Country / setting</w:t>
            </w:r>
          </w:p>
        </w:tc>
        <w:tc>
          <w:tcPr>
            <w:tcW w:w="3699" w:type="pct"/>
            <w:tcBorders>
              <w:top w:val="single" w:sz="4" w:space="0" w:color="auto"/>
              <w:left w:val="single" w:sz="4" w:space="0" w:color="auto"/>
              <w:bottom w:val="single" w:sz="4" w:space="0" w:color="auto"/>
              <w:right w:val="single" w:sz="4" w:space="0" w:color="auto"/>
            </w:tcBorders>
            <w:vAlign w:val="center"/>
          </w:tcPr>
          <w:p w14:paraId="189EB4EE" w14:textId="0726FE89" w:rsidR="00813E44" w:rsidRPr="00FB357C" w:rsidRDefault="00813E44" w:rsidP="00813E44">
            <w:pPr>
              <w:pStyle w:val="TableText"/>
              <w:rPr>
                <w:rFonts w:cs="Arial"/>
              </w:rPr>
            </w:pPr>
            <w:r w:rsidRPr="00FB357C">
              <w:rPr>
                <w:rFonts w:cs="Arial"/>
                <w:lang w:eastAsia="en-AU"/>
              </w:rPr>
              <w:t xml:space="preserve">Multinational case series (institutions in the Netherlands, France, USA, UK and others; tertiary hospital settings). </w:t>
            </w:r>
            <w:hyperlink r:id="rId116" w:history="1"/>
          </w:p>
        </w:tc>
      </w:tr>
      <w:tr w:rsidR="00813E44" w:rsidRPr="00B8180E" w14:paraId="75DBB037" w14:textId="77777777" w:rsidTr="00FB357C">
        <w:tc>
          <w:tcPr>
            <w:tcW w:w="1301" w:type="pct"/>
            <w:tcBorders>
              <w:right w:val="single" w:sz="4" w:space="0" w:color="auto"/>
            </w:tcBorders>
            <w:shd w:val="clear" w:color="auto" w:fill="F6FDE9"/>
          </w:tcPr>
          <w:p w14:paraId="74C80917" w14:textId="77777777" w:rsidR="00813E44" w:rsidRPr="00B8180E" w:rsidRDefault="00813E44" w:rsidP="00813E44">
            <w:pPr>
              <w:pStyle w:val="TableText"/>
              <w:rPr>
                <w:b/>
                <w:bCs/>
              </w:rPr>
            </w:pPr>
            <w:r w:rsidRPr="00B8180E">
              <w:rPr>
                <w:b/>
                <w:bCs/>
              </w:rPr>
              <w:t>Study design</w:t>
            </w:r>
          </w:p>
        </w:tc>
        <w:tc>
          <w:tcPr>
            <w:tcW w:w="3699" w:type="pct"/>
            <w:tcBorders>
              <w:top w:val="single" w:sz="4" w:space="0" w:color="auto"/>
              <w:left w:val="single" w:sz="4" w:space="0" w:color="auto"/>
              <w:bottom w:val="single" w:sz="4" w:space="0" w:color="auto"/>
              <w:right w:val="single" w:sz="4" w:space="0" w:color="auto"/>
            </w:tcBorders>
            <w:vAlign w:val="center"/>
          </w:tcPr>
          <w:p w14:paraId="3911AB0C" w14:textId="7DFF8B6F" w:rsidR="00813E44" w:rsidRPr="00FB357C" w:rsidRDefault="00813E44" w:rsidP="00813E44">
            <w:pPr>
              <w:pStyle w:val="TableText"/>
              <w:rPr>
                <w:rFonts w:cs="Arial"/>
              </w:rPr>
            </w:pPr>
            <w:r w:rsidRPr="00FB357C">
              <w:rPr>
                <w:rFonts w:cs="Arial"/>
                <w:lang w:eastAsia="en-AU"/>
              </w:rPr>
              <w:t xml:space="preserve">Case series of pediatric patients (n = 4) with vitamin B6-dependent epilepsy treated with long-term PLP. </w:t>
            </w:r>
            <w:hyperlink r:id="rId117" w:history="1"/>
          </w:p>
        </w:tc>
      </w:tr>
      <w:tr w:rsidR="00813E44" w:rsidRPr="00B8180E" w14:paraId="271EF491" w14:textId="77777777" w:rsidTr="00FB357C">
        <w:tc>
          <w:tcPr>
            <w:tcW w:w="1301" w:type="pct"/>
            <w:tcBorders>
              <w:right w:val="single" w:sz="4" w:space="0" w:color="auto"/>
            </w:tcBorders>
            <w:shd w:val="clear" w:color="auto" w:fill="F6FDE9"/>
          </w:tcPr>
          <w:p w14:paraId="08042B6A" w14:textId="77777777" w:rsidR="00813E44" w:rsidRPr="00B8180E" w:rsidRDefault="00813E44" w:rsidP="00813E44">
            <w:pPr>
              <w:pStyle w:val="TableText"/>
              <w:rPr>
                <w:b/>
                <w:bCs/>
              </w:rPr>
            </w:pPr>
            <w:r w:rsidRPr="00B8180E">
              <w:rPr>
                <w:b/>
                <w:bCs/>
              </w:rPr>
              <w:t>Funding / conflicts of interest</w:t>
            </w:r>
          </w:p>
        </w:tc>
        <w:tc>
          <w:tcPr>
            <w:tcW w:w="3699" w:type="pct"/>
            <w:tcBorders>
              <w:top w:val="single" w:sz="4" w:space="0" w:color="auto"/>
              <w:left w:val="single" w:sz="4" w:space="0" w:color="auto"/>
              <w:bottom w:val="single" w:sz="4" w:space="0" w:color="auto"/>
              <w:right w:val="single" w:sz="4" w:space="0" w:color="auto"/>
            </w:tcBorders>
            <w:vAlign w:val="center"/>
          </w:tcPr>
          <w:p w14:paraId="230237AF" w14:textId="4F950DF8" w:rsidR="00813E44" w:rsidRPr="00FB357C" w:rsidRDefault="00813E44" w:rsidP="00813E44">
            <w:pPr>
              <w:pStyle w:val="TableText"/>
              <w:rPr>
                <w:rFonts w:cs="Arial"/>
              </w:rPr>
            </w:pPr>
            <w:r w:rsidRPr="00FB357C">
              <w:rPr>
                <w:rFonts w:cs="Arial"/>
                <w:lang w:eastAsia="en-AU"/>
              </w:rPr>
              <w:t xml:space="preserve">No conflicts of interest declared; funding not clearly specified → NA </w:t>
            </w:r>
            <w:hyperlink r:id="rId118" w:history="1"/>
          </w:p>
        </w:tc>
      </w:tr>
    </w:tbl>
    <w:p w14:paraId="699916CB" w14:textId="77777777" w:rsidR="00813E44" w:rsidRPr="00FF26BF" w:rsidRDefault="00813E44" w:rsidP="00813E44">
      <w:pPr>
        <w:rPr>
          <w:rFonts w:eastAsia="Times New Roman" w:cs="Times New Roman"/>
        </w:rPr>
      </w:pPr>
      <w:r w:rsidRPr="00FF26BF">
        <w:rPr>
          <w:rFonts w:eastAsia="Calibri" w:cs="Arial"/>
          <w:b/>
          <w:bCs/>
          <w:sz w:val="20"/>
        </w:rPr>
        <w:t>Population</w:t>
      </w:r>
    </w:p>
    <w:tbl>
      <w:tblPr>
        <w:tblStyle w:val="SLROption1"/>
        <w:tblW w:w="5000" w:type="pct"/>
        <w:tblLook w:val="0000" w:firstRow="0" w:lastRow="0" w:firstColumn="0" w:lastColumn="0" w:noHBand="0" w:noVBand="0"/>
      </w:tblPr>
      <w:tblGrid>
        <w:gridCol w:w="3628"/>
        <w:gridCol w:w="10316"/>
      </w:tblGrid>
      <w:tr w:rsidR="00813E44" w:rsidRPr="00FF26BF" w14:paraId="12F97AF0" w14:textId="77777777" w:rsidTr="00FB357C">
        <w:tc>
          <w:tcPr>
            <w:tcW w:w="1301" w:type="pct"/>
            <w:shd w:val="clear" w:color="auto" w:fill="3C533C"/>
          </w:tcPr>
          <w:p w14:paraId="310C6BD3" w14:textId="77777777" w:rsidR="00813E44" w:rsidRPr="00FF26BF" w:rsidRDefault="00813E44" w:rsidP="00983C71">
            <w:pPr>
              <w:spacing w:after="0"/>
              <w:rPr>
                <w:rFonts w:cs="Arial"/>
                <w:sz w:val="20"/>
              </w:rPr>
            </w:pPr>
            <w:r w:rsidRPr="00FF26BF">
              <w:rPr>
                <w:rFonts w:eastAsia="Calibri" w:cs="Arial"/>
                <w:b/>
                <w:bCs/>
                <w:color w:val="FFFFFF"/>
                <w:sz w:val="20"/>
              </w:rPr>
              <w:t>Field</w:t>
            </w:r>
          </w:p>
        </w:tc>
        <w:tc>
          <w:tcPr>
            <w:tcW w:w="3699" w:type="pct"/>
            <w:tcBorders>
              <w:bottom w:val="single" w:sz="4" w:space="0" w:color="auto"/>
            </w:tcBorders>
            <w:shd w:val="clear" w:color="auto" w:fill="3C533C"/>
          </w:tcPr>
          <w:p w14:paraId="44913DB7" w14:textId="77777777" w:rsidR="00813E44" w:rsidRPr="00FF26BF" w:rsidRDefault="00813E44" w:rsidP="00983C71">
            <w:pPr>
              <w:spacing w:after="0"/>
              <w:rPr>
                <w:rFonts w:cs="Arial"/>
                <w:sz w:val="20"/>
              </w:rPr>
            </w:pPr>
            <w:r w:rsidRPr="00FF26BF">
              <w:rPr>
                <w:rFonts w:eastAsia="Calibri" w:cs="Arial"/>
                <w:b/>
                <w:bCs/>
                <w:color w:val="FFFFFF"/>
                <w:sz w:val="20"/>
              </w:rPr>
              <w:t>Extracted information</w:t>
            </w:r>
          </w:p>
        </w:tc>
      </w:tr>
      <w:tr w:rsidR="00813E44" w:rsidRPr="00FF26BF" w14:paraId="2BCF07A2" w14:textId="77777777" w:rsidTr="00FB357C">
        <w:tc>
          <w:tcPr>
            <w:tcW w:w="1301" w:type="pct"/>
            <w:tcBorders>
              <w:right w:val="single" w:sz="4" w:space="0" w:color="auto"/>
            </w:tcBorders>
            <w:shd w:val="clear" w:color="auto" w:fill="F6FDE9"/>
          </w:tcPr>
          <w:p w14:paraId="07EDFA6B" w14:textId="77777777" w:rsidR="00813E44" w:rsidRPr="00FF26BF" w:rsidRDefault="00813E44" w:rsidP="00813E44">
            <w:pPr>
              <w:spacing w:after="0"/>
              <w:rPr>
                <w:rFonts w:cs="Arial"/>
                <w:sz w:val="20"/>
              </w:rPr>
            </w:pPr>
            <w:r w:rsidRPr="00FF26BF">
              <w:rPr>
                <w:rFonts w:eastAsia="Calibri" w:cs="Arial"/>
                <w:b/>
                <w:bCs/>
                <w:sz w:val="20"/>
              </w:rPr>
              <w:t>Sample size</w:t>
            </w:r>
          </w:p>
        </w:tc>
        <w:tc>
          <w:tcPr>
            <w:tcW w:w="3699" w:type="pct"/>
            <w:tcBorders>
              <w:top w:val="single" w:sz="4" w:space="0" w:color="auto"/>
              <w:left w:val="single" w:sz="4" w:space="0" w:color="auto"/>
              <w:bottom w:val="single" w:sz="4" w:space="0" w:color="auto"/>
              <w:right w:val="single" w:sz="4" w:space="0" w:color="auto"/>
            </w:tcBorders>
            <w:vAlign w:val="center"/>
          </w:tcPr>
          <w:p w14:paraId="4FAC9B4F" w14:textId="13E43909" w:rsidR="00813E44" w:rsidRPr="00FB357C" w:rsidRDefault="00813E44" w:rsidP="00FB357C">
            <w:pPr>
              <w:pStyle w:val="TableText"/>
            </w:pPr>
            <w:r w:rsidRPr="00FB357C">
              <w:t>n = 4</w:t>
            </w:r>
          </w:p>
        </w:tc>
      </w:tr>
      <w:tr w:rsidR="00813E44" w:rsidRPr="00FF26BF" w14:paraId="63CBDF31" w14:textId="77777777" w:rsidTr="00FB357C">
        <w:tc>
          <w:tcPr>
            <w:tcW w:w="1301" w:type="pct"/>
            <w:tcBorders>
              <w:right w:val="single" w:sz="4" w:space="0" w:color="auto"/>
            </w:tcBorders>
            <w:shd w:val="clear" w:color="auto" w:fill="F6FDE9"/>
          </w:tcPr>
          <w:p w14:paraId="406494D6" w14:textId="77777777" w:rsidR="00813E44" w:rsidRPr="00FF26BF" w:rsidRDefault="00813E44" w:rsidP="00813E44">
            <w:pPr>
              <w:spacing w:after="0"/>
              <w:rPr>
                <w:rFonts w:cs="Arial"/>
                <w:sz w:val="20"/>
              </w:rPr>
            </w:pPr>
            <w:r w:rsidRPr="00FF26BF">
              <w:rPr>
                <w:rFonts w:eastAsia="Calibri" w:cs="Arial"/>
                <w:b/>
                <w:bCs/>
                <w:sz w:val="20"/>
              </w:rPr>
              <w:t>Patient characteristics</w:t>
            </w:r>
          </w:p>
        </w:tc>
        <w:tc>
          <w:tcPr>
            <w:tcW w:w="3699" w:type="pct"/>
            <w:tcBorders>
              <w:top w:val="single" w:sz="4" w:space="0" w:color="auto"/>
              <w:left w:val="single" w:sz="4" w:space="0" w:color="auto"/>
              <w:bottom w:val="single" w:sz="4" w:space="0" w:color="auto"/>
              <w:right w:val="single" w:sz="4" w:space="0" w:color="auto"/>
            </w:tcBorders>
            <w:vAlign w:val="center"/>
          </w:tcPr>
          <w:p w14:paraId="6DAEBE6A" w14:textId="2BAD0764" w:rsidR="00813E44" w:rsidRPr="00FB357C" w:rsidRDefault="00813E44" w:rsidP="00FB357C">
            <w:pPr>
              <w:pStyle w:val="TableText"/>
            </w:pPr>
            <w:r w:rsidRPr="00FB357C">
              <w:t>Pediatric patients with vitamin B6-dependent epilepsy; included PNPO deficiency (n = 2) and ALDH7A1 deficiency (n = 2); all required long-term PLP therapy</w:t>
            </w:r>
          </w:p>
        </w:tc>
      </w:tr>
      <w:tr w:rsidR="00813E44" w:rsidRPr="00FF26BF" w14:paraId="4A1D2D67" w14:textId="77777777" w:rsidTr="00FB357C">
        <w:tc>
          <w:tcPr>
            <w:tcW w:w="1301" w:type="pct"/>
            <w:tcBorders>
              <w:right w:val="single" w:sz="4" w:space="0" w:color="auto"/>
            </w:tcBorders>
            <w:shd w:val="clear" w:color="auto" w:fill="F6FDE9"/>
          </w:tcPr>
          <w:p w14:paraId="1F3E5037" w14:textId="77777777" w:rsidR="00813E44" w:rsidRPr="00FF26BF" w:rsidRDefault="00813E44" w:rsidP="00813E44">
            <w:pPr>
              <w:spacing w:after="0"/>
              <w:rPr>
                <w:rFonts w:cs="Arial"/>
                <w:sz w:val="20"/>
              </w:rPr>
            </w:pPr>
            <w:r w:rsidRPr="00FF26BF">
              <w:rPr>
                <w:rFonts w:eastAsia="Calibri" w:cs="Arial"/>
                <w:b/>
                <w:bCs/>
                <w:sz w:val="20"/>
              </w:rPr>
              <w:t>Inclusion/exclusion of alternative causes</w:t>
            </w:r>
          </w:p>
        </w:tc>
        <w:tc>
          <w:tcPr>
            <w:tcW w:w="3699" w:type="pct"/>
            <w:tcBorders>
              <w:top w:val="single" w:sz="4" w:space="0" w:color="auto"/>
              <w:left w:val="single" w:sz="4" w:space="0" w:color="auto"/>
              <w:bottom w:val="single" w:sz="4" w:space="0" w:color="auto"/>
              <w:right w:val="single" w:sz="4" w:space="0" w:color="auto"/>
            </w:tcBorders>
            <w:vAlign w:val="center"/>
          </w:tcPr>
          <w:p w14:paraId="349819A9" w14:textId="5738E8F5" w:rsidR="00813E44" w:rsidRPr="00FB357C" w:rsidRDefault="00813E44" w:rsidP="00FB357C">
            <w:pPr>
              <w:pStyle w:val="TableText"/>
            </w:pPr>
            <w:r w:rsidRPr="00FB357C">
              <w:t>Genetic diagnoses confirmed (PNPO or ALDH7A1 deficiency); authors considered underlying disease as alternative cause of liver pathology but concluded shared PLP exposure likely contributor</w:t>
            </w:r>
          </w:p>
        </w:tc>
      </w:tr>
    </w:tbl>
    <w:p w14:paraId="5C63AD6B" w14:textId="77777777" w:rsidR="00813E44" w:rsidRPr="00FF26BF" w:rsidRDefault="00813E44" w:rsidP="00813E44">
      <w:pPr>
        <w:rPr>
          <w:rFonts w:eastAsia="Times New Roman" w:cs="Times New Roman"/>
          <w:b/>
          <w:bCs/>
        </w:rPr>
      </w:pPr>
      <w:r w:rsidRPr="00FF26BF">
        <w:rPr>
          <w:rFonts w:eastAsia="Times New Roman" w:cs="Times New Roman"/>
          <w:b/>
          <w:bCs/>
        </w:rPr>
        <w:t>Exposure</w:t>
      </w:r>
    </w:p>
    <w:tbl>
      <w:tblPr>
        <w:tblStyle w:val="SLROption1"/>
        <w:tblW w:w="5000" w:type="pct"/>
        <w:tblLook w:val="0000" w:firstRow="0" w:lastRow="0" w:firstColumn="0" w:lastColumn="0" w:noHBand="0" w:noVBand="0"/>
      </w:tblPr>
      <w:tblGrid>
        <w:gridCol w:w="3628"/>
        <w:gridCol w:w="10316"/>
      </w:tblGrid>
      <w:tr w:rsidR="00813E44" w:rsidRPr="00FF26BF" w14:paraId="3AB3A540" w14:textId="77777777" w:rsidTr="00FB357C">
        <w:trPr>
          <w:cantSplit/>
          <w:tblHeader/>
        </w:trPr>
        <w:tc>
          <w:tcPr>
            <w:tcW w:w="1301" w:type="pct"/>
            <w:shd w:val="clear" w:color="auto" w:fill="3C533C"/>
          </w:tcPr>
          <w:p w14:paraId="7700DC60" w14:textId="77777777" w:rsidR="00813E44" w:rsidRPr="00FF26BF" w:rsidRDefault="00813E44" w:rsidP="00983C71">
            <w:pPr>
              <w:spacing w:after="0"/>
              <w:rPr>
                <w:rFonts w:cs="Arial"/>
                <w:sz w:val="20"/>
              </w:rPr>
            </w:pPr>
            <w:r w:rsidRPr="00FF26BF">
              <w:rPr>
                <w:rFonts w:eastAsia="Calibri" w:cs="Arial"/>
                <w:b/>
                <w:bCs/>
                <w:color w:val="FFFFFF"/>
                <w:sz w:val="20"/>
              </w:rPr>
              <w:t>Field</w:t>
            </w:r>
          </w:p>
        </w:tc>
        <w:tc>
          <w:tcPr>
            <w:tcW w:w="3699" w:type="pct"/>
            <w:tcBorders>
              <w:bottom w:val="single" w:sz="4" w:space="0" w:color="auto"/>
            </w:tcBorders>
            <w:shd w:val="clear" w:color="auto" w:fill="3C533C"/>
          </w:tcPr>
          <w:p w14:paraId="77134E66" w14:textId="77777777" w:rsidR="00813E44" w:rsidRPr="00FF26BF" w:rsidRDefault="00813E44" w:rsidP="00983C71">
            <w:pPr>
              <w:spacing w:after="0"/>
              <w:rPr>
                <w:rFonts w:cs="Arial"/>
                <w:sz w:val="20"/>
              </w:rPr>
            </w:pPr>
            <w:r w:rsidRPr="00FF26BF">
              <w:rPr>
                <w:rFonts w:eastAsia="Calibri" w:cs="Arial"/>
                <w:b/>
                <w:bCs/>
                <w:color w:val="FFFFFF"/>
                <w:sz w:val="20"/>
              </w:rPr>
              <w:t>Extracted information</w:t>
            </w:r>
          </w:p>
        </w:tc>
      </w:tr>
      <w:tr w:rsidR="00813E44" w:rsidRPr="00FF26BF" w14:paraId="21A06201" w14:textId="77777777" w:rsidTr="00FB357C">
        <w:tc>
          <w:tcPr>
            <w:tcW w:w="1301" w:type="pct"/>
            <w:tcBorders>
              <w:right w:val="single" w:sz="4" w:space="0" w:color="auto"/>
            </w:tcBorders>
            <w:shd w:val="clear" w:color="auto" w:fill="F6FDE9"/>
          </w:tcPr>
          <w:p w14:paraId="18D76E61" w14:textId="77777777" w:rsidR="00813E44" w:rsidRPr="00FF26BF" w:rsidRDefault="00813E44" w:rsidP="00813E44">
            <w:pPr>
              <w:spacing w:after="0"/>
              <w:rPr>
                <w:rFonts w:cs="Arial"/>
                <w:sz w:val="20"/>
              </w:rPr>
            </w:pPr>
            <w:r w:rsidRPr="00FF26BF">
              <w:rPr>
                <w:rFonts w:eastAsia="Calibri" w:cs="Arial"/>
                <w:b/>
                <w:bCs/>
                <w:sz w:val="20"/>
              </w:rPr>
              <w:t>Exposure characterisation – source</w:t>
            </w:r>
          </w:p>
        </w:tc>
        <w:tc>
          <w:tcPr>
            <w:tcW w:w="3699" w:type="pct"/>
            <w:tcBorders>
              <w:top w:val="single" w:sz="4" w:space="0" w:color="auto"/>
              <w:left w:val="single" w:sz="4" w:space="0" w:color="auto"/>
              <w:bottom w:val="single" w:sz="4" w:space="0" w:color="auto"/>
              <w:right w:val="single" w:sz="4" w:space="0" w:color="auto"/>
            </w:tcBorders>
            <w:vAlign w:val="center"/>
          </w:tcPr>
          <w:p w14:paraId="1BB248D2" w14:textId="542CC0E3" w:rsidR="00813E44" w:rsidRPr="00FB357C" w:rsidRDefault="00813E44" w:rsidP="00FB357C">
            <w:pPr>
              <w:pStyle w:val="TableText"/>
            </w:pPr>
            <w:r w:rsidRPr="00FB357C">
              <w:t>Oral pyridoxal-5′-phosphate (PLP) used as therapeutic treatment for vitamin B6–dependent epilepsy</w:t>
            </w:r>
          </w:p>
        </w:tc>
      </w:tr>
      <w:tr w:rsidR="00813E44" w:rsidRPr="00FF26BF" w14:paraId="6CEF84F4" w14:textId="77777777" w:rsidTr="00FB357C">
        <w:tc>
          <w:tcPr>
            <w:tcW w:w="1301" w:type="pct"/>
            <w:tcBorders>
              <w:right w:val="single" w:sz="4" w:space="0" w:color="auto"/>
            </w:tcBorders>
            <w:shd w:val="clear" w:color="auto" w:fill="F6FDE9"/>
          </w:tcPr>
          <w:p w14:paraId="20DC7F4E" w14:textId="77777777" w:rsidR="00813E44" w:rsidRPr="00FF26BF" w:rsidRDefault="00813E44" w:rsidP="00813E44">
            <w:pPr>
              <w:spacing w:after="0"/>
              <w:rPr>
                <w:rFonts w:cs="Arial"/>
                <w:sz w:val="20"/>
              </w:rPr>
            </w:pPr>
            <w:r w:rsidRPr="00FF26BF">
              <w:rPr>
                <w:rFonts w:eastAsia="Calibri" w:cs="Arial"/>
                <w:b/>
                <w:bCs/>
                <w:sz w:val="20"/>
              </w:rPr>
              <w:t>Exposure characterisation – dose</w:t>
            </w:r>
          </w:p>
        </w:tc>
        <w:tc>
          <w:tcPr>
            <w:tcW w:w="3699" w:type="pct"/>
            <w:tcBorders>
              <w:top w:val="single" w:sz="4" w:space="0" w:color="auto"/>
              <w:left w:val="single" w:sz="4" w:space="0" w:color="auto"/>
              <w:bottom w:val="single" w:sz="4" w:space="0" w:color="auto"/>
              <w:right w:val="single" w:sz="4" w:space="0" w:color="auto"/>
            </w:tcBorders>
            <w:vAlign w:val="center"/>
          </w:tcPr>
          <w:p w14:paraId="460C9CFE" w14:textId="2445CB9F" w:rsidR="00813E44" w:rsidRPr="00FB357C" w:rsidRDefault="00813E44" w:rsidP="00FB357C">
            <w:pPr>
              <w:pStyle w:val="TableText"/>
            </w:pPr>
            <w:r w:rsidRPr="00FB357C">
              <w:t xml:space="preserve">Approximately 30–50 mg/kg/day; highest reported doses up to 50 mg/kg/day; long-term exposure for ≥5 years prior to hepatocellular carcinoma in affected patients </w:t>
            </w:r>
            <w:hyperlink r:id="rId119" w:history="1"/>
          </w:p>
        </w:tc>
      </w:tr>
      <w:tr w:rsidR="00813E44" w:rsidRPr="00FF26BF" w14:paraId="46C7F39B" w14:textId="77777777" w:rsidTr="00FB357C">
        <w:tc>
          <w:tcPr>
            <w:tcW w:w="1301" w:type="pct"/>
            <w:tcBorders>
              <w:right w:val="single" w:sz="4" w:space="0" w:color="auto"/>
            </w:tcBorders>
            <w:shd w:val="clear" w:color="auto" w:fill="F6FDE9"/>
          </w:tcPr>
          <w:p w14:paraId="3BCC65D3" w14:textId="77777777" w:rsidR="00813E44" w:rsidRPr="00FF26BF" w:rsidRDefault="00813E44" w:rsidP="00813E44">
            <w:pPr>
              <w:spacing w:after="0"/>
              <w:rPr>
                <w:rFonts w:cs="Arial"/>
                <w:sz w:val="20"/>
              </w:rPr>
            </w:pPr>
            <w:r w:rsidRPr="00FF26BF">
              <w:rPr>
                <w:rFonts w:eastAsia="Calibri" w:cs="Arial"/>
                <w:b/>
                <w:bCs/>
                <w:sz w:val="20"/>
              </w:rPr>
              <w:t>Biomarker of exposure</w:t>
            </w:r>
          </w:p>
        </w:tc>
        <w:tc>
          <w:tcPr>
            <w:tcW w:w="3699" w:type="pct"/>
            <w:tcBorders>
              <w:top w:val="single" w:sz="4" w:space="0" w:color="auto"/>
              <w:left w:val="single" w:sz="4" w:space="0" w:color="auto"/>
              <w:bottom w:val="single" w:sz="4" w:space="0" w:color="auto"/>
              <w:right w:val="single" w:sz="4" w:space="0" w:color="auto"/>
            </w:tcBorders>
            <w:vAlign w:val="center"/>
          </w:tcPr>
          <w:p w14:paraId="2B6B19C2" w14:textId="7AC8A934" w:rsidR="00813E44" w:rsidRPr="00FB357C" w:rsidRDefault="00813E44" w:rsidP="00FB357C">
            <w:pPr>
              <w:pStyle w:val="TableText"/>
            </w:pPr>
            <w:r w:rsidRPr="00FB357C">
              <w:t>NA (no direct plasma PLP concentrations systematically reported)</w:t>
            </w:r>
          </w:p>
        </w:tc>
      </w:tr>
      <w:tr w:rsidR="00813E44" w:rsidRPr="00FF26BF" w14:paraId="7F523539" w14:textId="77777777" w:rsidTr="00FB357C">
        <w:tc>
          <w:tcPr>
            <w:tcW w:w="1301" w:type="pct"/>
            <w:tcBorders>
              <w:right w:val="single" w:sz="4" w:space="0" w:color="auto"/>
            </w:tcBorders>
            <w:shd w:val="clear" w:color="auto" w:fill="F6FDE9"/>
          </w:tcPr>
          <w:p w14:paraId="7FD949C3" w14:textId="77777777" w:rsidR="00813E44" w:rsidRPr="00FF26BF" w:rsidRDefault="00813E44" w:rsidP="00813E44">
            <w:pPr>
              <w:spacing w:after="0"/>
              <w:rPr>
                <w:rFonts w:cs="Arial"/>
                <w:sz w:val="20"/>
              </w:rPr>
            </w:pPr>
            <w:r w:rsidRPr="00FF26BF">
              <w:rPr>
                <w:rFonts w:eastAsia="Calibri" w:cs="Arial"/>
                <w:b/>
                <w:bCs/>
                <w:sz w:val="20"/>
              </w:rPr>
              <w:lastRenderedPageBreak/>
              <w:t>Duration of exposure</w:t>
            </w:r>
          </w:p>
        </w:tc>
        <w:tc>
          <w:tcPr>
            <w:tcW w:w="3699" w:type="pct"/>
            <w:tcBorders>
              <w:top w:val="single" w:sz="4" w:space="0" w:color="auto"/>
              <w:left w:val="single" w:sz="4" w:space="0" w:color="auto"/>
              <w:bottom w:val="single" w:sz="4" w:space="0" w:color="auto"/>
              <w:right w:val="single" w:sz="4" w:space="0" w:color="auto"/>
            </w:tcBorders>
            <w:vAlign w:val="center"/>
          </w:tcPr>
          <w:p w14:paraId="4DEFB07B" w14:textId="24A15526" w:rsidR="00813E44" w:rsidRPr="00FB357C" w:rsidRDefault="00813E44" w:rsidP="00FB357C">
            <w:pPr>
              <w:pStyle w:val="TableText"/>
            </w:pPr>
            <w:r w:rsidRPr="00FB357C">
              <w:t xml:space="preserve">Several years (approximately 5–9 years before development of hepatocellular carcinoma) </w:t>
            </w:r>
            <w:hyperlink r:id="rId120" w:history="1"/>
          </w:p>
        </w:tc>
      </w:tr>
    </w:tbl>
    <w:p w14:paraId="0FD0C40C" w14:textId="77777777" w:rsidR="00813E44" w:rsidRPr="00FF26BF" w:rsidRDefault="00813E44" w:rsidP="00813E44">
      <w:pPr>
        <w:rPr>
          <w:rFonts w:eastAsia="Times New Roman" w:cs="Times New Roman"/>
          <w:b/>
          <w:bCs/>
        </w:rPr>
      </w:pPr>
      <w:r w:rsidRPr="00FF26BF">
        <w:rPr>
          <w:rFonts w:eastAsia="Times New Roman" w:cs="Times New Roman"/>
          <w:b/>
          <w:bCs/>
        </w:rPr>
        <w:t>Outcomes</w:t>
      </w:r>
    </w:p>
    <w:tbl>
      <w:tblPr>
        <w:tblStyle w:val="SLROption1"/>
        <w:tblW w:w="5000" w:type="pct"/>
        <w:tblLook w:val="0000" w:firstRow="0" w:lastRow="0" w:firstColumn="0" w:lastColumn="0" w:noHBand="0" w:noVBand="0"/>
      </w:tblPr>
      <w:tblGrid>
        <w:gridCol w:w="3628"/>
        <w:gridCol w:w="10316"/>
      </w:tblGrid>
      <w:tr w:rsidR="00813E44" w:rsidRPr="00FF26BF" w14:paraId="43DA2DA4" w14:textId="77777777" w:rsidTr="00FB357C">
        <w:tc>
          <w:tcPr>
            <w:tcW w:w="1301" w:type="pct"/>
            <w:shd w:val="clear" w:color="auto" w:fill="3C533C"/>
          </w:tcPr>
          <w:p w14:paraId="56FDA90B" w14:textId="77777777" w:rsidR="00813E44" w:rsidRPr="00FF26BF" w:rsidRDefault="00813E44" w:rsidP="00983C71">
            <w:pPr>
              <w:spacing w:after="0"/>
              <w:rPr>
                <w:rFonts w:cs="Arial"/>
                <w:sz w:val="20"/>
              </w:rPr>
            </w:pPr>
            <w:r w:rsidRPr="00FF26BF">
              <w:rPr>
                <w:rFonts w:eastAsia="Calibri" w:cs="Arial"/>
                <w:b/>
                <w:bCs/>
                <w:color w:val="FFFFFF"/>
                <w:sz w:val="20"/>
              </w:rPr>
              <w:t>Field</w:t>
            </w:r>
          </w:p>
        </w:tc>
        <w:tc>
          <w:tcPr>
            <w:tcW w:w="3699" w:type="pct"/>
            <w:tcBorders>
              <w:bottom w:val="single" w:sz="4" w:space="0" w:color="auto"/>
            </w:tcBorders>
            <w:shd w:val="clear" w:color="auto" w:fill="3C533C"/>
          </w:tcPr>
          <w:p w14:paraId="5C4AFD09" w14:textId="77777777" w:rsidR="00813E44" w:rsidRPr="00FF26BF" w:rsidRDefault="00813E44" w:rsidP="00983C71">
            <w:pPr>
              <w:spacing w:after="0"/>
              <w:rPr>
                <w:rFonts w:cs="Arial"/>
                <w:sz w:val="20"/>
              </w:rPr>
            </w:pPr>
            <w:r w:rsidRPr="00FF26BF">
              <w:rPr>
                <w:rFonts w:eastAsia="Calibri" w:cs="Arial"/>
                <w:b/>
                <w:bCs/>
                <w:color w:val="FFFFFF"/>
                <w:sz w:val="20"/>
              </w:rPr>
              <w:t>Extracted information</w:t>
            </w:r>
          </w:p>
        </w:tc>
      </w:tr>
      <w:tr w:rsidR="00813E44" w:rsidRPr="00FF26BF" w14:paraId="0E3AF799" w14:textId="77777777" w:rsidTr="00FB357C">
        <w:tc>
          <w:tcPr>
            <w:tcW w:w="1301" w:type="pct"/>
            <w:tcBorders>
              <w:right w:val="single" w:sz="4" w:space="0" w:color="auto"/>
            </w:tcBorders>
            <w:shd w:val="clear" w:color="auto" w:fill="F6FDE9"/>
          </w:tcPr>
          <w:p w14:paraId="2415D195" w14:textId="77777777" w:rsidR="00813E44" w:rsidRPr="00FF26BF" w:rsidRDefault="00813E44" w:rsidP="00813E44">
            <w:pPr>
              <w:spacing w:after="0"/>
              <w:rPr>
                <w:rFonts w:cs="Arial"/>
                <w:sz w:val="20"/>
              </w:rPr>
            </w:pPr>
            <w:r w:rsidRPr="00FF26BF">
              <w:rPr>
                <w:rFonts w:eastAsia="Calibri" w:cs="Arial"/>
                <w:b/>
                <w:bCs/>
                <w:sz w:val="20"/>
              </w:rPr>
              <w:t>Primary outcome</w:t>
            </w:r>
          </w:p>
        </w:tc>
        <w:tc>
          <w:tcPr>
            <w:tcW w:w="3699" w:type="pct"/>
            <w:tcBorders>
              <w:top w:val="single" w:sz="4" w:space="0" w:color="auto"/>
              <w:left w:val="single" w:sz="4" w:space="0" w:color="auto"/>
              <w:bottom w:val="single" w:sz="4" w:space="0" w:color="auto"/>
              <w:right w:val="single" w:sz="4" w:space="0" w:color="auto"/>
            </w:tcBorders>
            <w:vAlign w:val="center"/>
          </w:tcPr>
          <w:p w14:paraId="74161545" w14:textId="282760D4" w:rsidR="00813E44" w:rsidRPr="00FB357C" w:rsidRDefault="00813E44" w:rsidP="00FB357C">
            <w:pPr>
              <w:pStyle w:val="TableText"/>
            </w:pPr>
            <w:r w:rsidRPr="00FB357C">
              <w:t>Severe liver outcomes including hepatotoxicity, cirrhosis, and hepatocellular carcinoma (HCC)</w:t>
            </w:r>
          </w:p>
        </w:tc>
      </w:tr>
      <w:tr w:rsidR="00813E44" w:rsidRPr="00FF26BF" w14:paraId="4B06FEE7" w14:textId="77777777" w:rsidTr="00FB357C">
        <w:tc>
          <w:tcPr>
            <w:tcW w:w="1301" w:type="pct"/>
            <w:tcBorders>
              <w:right w:val="single" w:sz="4" w:space="0" w:color="auto"/>
            </w:tcBorders>
            <w:shd w:val="clear" w:color="auto" w:fill="F6FDE9"/>
          </w:tcPr>
          <w:p w14:paraId="0739620E" w14:textId="77777777" w:rsidR="00813E44" w:rsidRPr="00FF26BF" w:rsidRDefault="00813E44" w:rsidP="00813E44">
            <w:pPr>
              <w:spacing w:after="0"/>
              <w:rPr>
                <w:rFonts w:cs="Arial"/>
                <w:sz w:val="20"/>
              </w:rPr>
            </w:pPr>
            <w:r w:rsidRPr="00FF26BF">
              <w:rPr>
                <w:rFonts w:eastAsia="Calibri" w:cs="Arial"/>
                <w:b/>
                <w:bCs/>
                <w:sz w:val="20"/>
              </w:rPr>
              <w:t>Outcome assessment – clinical examination</w:t>
            </w:r>
          </w:p>
        </w:tc>
        <w:tc>
          <w:tcPr>
            <w:tcW w:w="3699" w:type="pct"/>
            <w:tcBorders>
              <w:top w:val="single" w:sz="4" w:space="0" w:color="auto"/>
              <w:left w:val="single" w:sz="4" w:space="0" w:color="auto"/>
              <w:bottom w:val="single" w:sz="4" w:space="0" w:color="auto"/>
              <w:right w:val="single" w:sz="4" w:space="0" w:color="auto"/>
            </w:tcBorders>
            <w:vAlign w:val="center"/>
          </w:tcPr>
          <w:p w14:paraId="3F7372C6" w14:textId="4FAA8B5F" w:rsidR="00813E44" w:rsidRPr="00FB357C" w:rsidRDefault="00813E44" w:rsidP="00FB357C">
            <w:pPr>
              <w:pStyle w:val="TableText"/>
            </w:pPr>
            <w:r w:rsidRPr="00FB357C">
              <w:t>Clinical monitoring for hepatomegaly, symptoms, and disease progression</w:t>
            </w:r>
          </w:p>
        </w:tc>
      </w:tr>
      <w:tr w:rsidR="00813E44" w:rsidRPr="00FF26BF" w14:paraId="2E381B68" w14:textId="77777777" w:rsidTr="00FB357C">
        <w:tc>
          <w:tcPr>
            <w:tcW w:w="1301" w:type="pct"/>
            <w:tcBorders>
              <w:right w:val="single" w:sz="4" w:space="0" w:color="auto"/>
            </w:tcBorders>
            <w:shd w:val="clear" w:color="auto" w:fill="F6FDE9"/>
          </w:tcPr>
          <w:p w14:paraId="666DD01D" w14:textId="77777777" w:rsidR="00813E44" w:rsidRPr="00FF26BF" w:rsidRDefault="00813E44" w:rsidP="00813E44">
            <w:pPr>
              <w:spacing w:after="0"/>
              <w:rPr>
                <w:rFonts w:cs="Arial"/>
                <w:sz w:val="20"/>
              </w:rPr>
            </w:pPr>
            <w:r w:rsidRPr="00FF26BF">
              <w:rPr>
                <w:rFonts w:eastAsia="Calibri" w:cs="Arial"/>
                <w:b/>
                <w:bCs/>
                <w:sz w:val="20"/>
              </w:rPr>
              <w:t>Outcome assessment – objective testing</w:t>
            </w:r>
          </w:p>
        </w:tc>
        <w:tc>
          <w:tcPr>
            <w:tcW w:w="3699" w:type="pct"/>
            <w:tcBorders>
              <w:top w:val="single" w:sz="4" w:space="0" w:color="auto"/>
              <w:left w:val="single" w:sz="4" w:space="0" w:color="auto"/>
              <w:bottom w:val="single" w:sz="4" w:space="0" w:color="auto"/>
              <w:right w:val="single" w:sz="4" w:space="0" w:color="auto"/>
            </w:tcBorders>
            <w:vAlign w:val="center"/>
          </w:tcPr>
          <w:p w14:paraId="1DD5CD77" w14:textId="25BB1859" w:rsidR="00813E44" w:rsidRPr="00FB357C" w:rsidRDefault="00813E44" w:rsidP="00FB357C">
            <w:pPr>
              <w:pStyle w:val="TableText"/>
            </w:pPr>
            <w:r w:rsidRPr="00FB357C">
              <w:t>Liver enzyme monitoring (AST, ALT, γ-GT), imaging (ultrasound, MRI), alpha-fetoprotein (AFP), liver biopsy where applicable</w:t>
            </w:r>
          </w:p>
        </w:tc>
      </w:tr>
      <w:tr w:rsidR="00813E44" w:rsidRPr="00FF26BF" w14:paraId="4E0921AF" w14:textId="77777777" w:rsidTr="00FB357C">
        <w:tc>
          <w:tcPr>
            <w:tcW w:w="1301" w:type="pct"/>
            <w:tcBorders>
              <w:right w:val="single" w:sz="4" w:space="0" w:color="auto"/>
            </w:tcBorders>
            <w:shd w:val="clear" w:color="auto" w:fill="F6FDE9"/>
          </w:tcPr>
          <w:p w14:paraId="39804211" w14:textId="77777777" w:rsidR="00813E44" w:rsidRPr="00FF26BF" w:rsidRDefault="00813E44" w:rsidP="00813E44">
            <w:pPr>
              <w:spacing w:after="0"/>
              <w:rPr>
                <w:rFonts w:cs="Arial"/>
                <w:sz w:val="20"/>
              </w:rPr>
            </w:pPr>
            <w:r w:rsidRPr="00FF26BF">
              <w:rPr>
                <w:rFonts w:eastAsia="Calibri" w:cs="Arial"/>
                <w:b/>
                <w:bCs/>
                <w:sz w:val="20"/>
              </w:rPr>
              <w:t>Outcome assessment – tools used</w:t>
            </w:r>
          </w:p>
        </w:tc>
        <w:tc>
          <w:tcPr>
            <w:tcW w:w="3699" w:type="pct"/>
            <w:tcBorders>
              <w:top w:val="single" w:sz="4" w:space="0" w:color="auto"/>
              <w:left w:val="single" w:sz="4" w:space="0" w:color="auto"/>
              <w:bottom w:val="single" w:sz="4" w:space="0" w:color="auto"/>
              <w:right w:val="single" w:sz="4" w:space="0" w:color="auto"/>
            </w:tcBorders>
            <w:vAlign w:val="center"/>
          </w:tcPr>
          <w:p w14:paraId="0873657D" w14:textId="7E913A72" w:rsidR="00813E44" w:rsidRPr="00FB357C" w:rsidRDefault="00813E44" w:rsidP="00FB357C">
            <w:pPr>
              <w:pStyle w:val="TableText"/>
            </w:pPr>
            <w:r w:rsidRPr="00FB357C">
              <w:t>Standard clinical biochemistry tests, imaging modalities, and tumour markers</w:t>
            </w:r>
          </w:p>
        </w:tc>
      </w:tr>
      <w:tr w:rsidR="00813E44" w:rsidRPr="00FF26BF" w14:paraId="3884B7E7" w14:textId="77777777" w:rsidTr="00FB357C">
        <w:tc>
          <w:tcPr>
            <w:tcW w:w="1301" w:type="pct"/>
            <w:tcBorders>
              <w:right w:val="single" w:sz="4" w:space="0" w:color="auto"/>
            </w:tcBorders>
            <w:shd w:val="clear" w:color="auto" w:fill="F6FDE9"/>
          </w:tcPr>
          <w:p w14:paraId="4F5E1608" w14:textId="77777777" w:rsidR="00813E44" w:rsidRPr="00FF26BF" w:rsidRDefault="00813E44" w:rsidP="00813E44">
            <w:pPr>
              <w:spacing w:after="0"/>
              <w:rPr>
                <w:rFonts w:cs="Arial"/>
                <w:sz w:val="20"/>
              </w:rPr>
            </w:pPr>
            <w:r w:rsidRPr="00FF26BF">
              <w:rPr>
                <w:rFonts w:eastAsia="Calibri" w:cs="Arial"/>
                <w:b/>
                <w:bCs/>
                <w:sz w:val="20"/>
              </w:rPr>
              <w:t>Response to withdrawal</w:t>
            </w:r>
          </w:p>
        </w:tc>
        <w:tc>
          <w:tcPr>
            <w:tcW w:w="3699" w:type="pct"/>
            <w:tcBorders>
              <w:top w:val="single" w:sz="4" w:space="0" w:color="auto"/>
              <w:left w:val="single" w:sz="4" w:space="0" w:color="auto"/>
              <w:bottom w:val="single" w:sz="4" w:space="0" w:color="auto"/>
              <w:right w:val="single" w:sz="4" w:space="0" w:color="auto"/>
            </w:tcBorders>
            <w:vAlign w:val="center"/>
          </w:tcPr>
          <w:p w14:paraId="67801A7A" w14:textId="4BB7D6BF" w:rsidR="00813E44" w:rsidRPr="00FB357C" w:rsidRDefault="00813E44" w:rsidP="00FB357C">
            <w:pPr>
              <w:pStyle w:val="TableText"/>
            </w:pPr>
            <w:r w:rsidRPr="00FB357C">
              <w:t>In one patient, liver dysfunction resolved after switching from PLP to pyridoxine; in others, dose reduction attempted but severe outcomes (HCC) still occurred</w:t>
            </w:r>
          </w:p>
        </w:tc>
      </w:tr>
    </w:tbl>
    <w:p w14:paraId="568FDCE0" w14:textId="77777777" w:rsidR="00813E44" w:rsidRPr="00FF26BF" w:rsidRDefault="00813E44" w:rsidP="00813E44">
      <w:pPr>
        <w:rPr>
          <w:rFonts w:eastAsia="Times New Roman" w:cs="Times New Roman"/>
          <w:b/>
          <w:bCs/>
        </w:rPr>
      </w:pPr>
      <w:r w:rsidRPr="00FF26BF">
        <w:rPr>
          <w:rFonts w:eastAsia="Times New Roman" w:cs="Times New Roman"/>
          <w:b/>
          <w:bCs/>
        </w:rPr>
        <w:t>Results and Conclusions</w:t>
      </w:r>
    </w:p>
    <w:tbl>
      <w:tblPr>
        <w:tblStyle w:val="SLROption1"/>
        <w:tblW w:w="5000" w:type="pct"/>
        <w:tblLook w:val="0000" w:firstRow="0" w:lastRow="0" w:firstColumn="0" w:lastColumn="0" w:noHBand="0" w:noVBand="0"/>
      </w:tblPr>
      <w:tblGrid>
        <w:gridCol w:w="3628"/>
        <w:gridCol w:w="10316"/>
      </w:tblGrid>
      <w:tr w:rsidR="00813E44" w:rsidRPr="00FF26BF" w14:paraId="677F0E2E" w14:textId="77777777" w:rsidTr="00FB357C">
        <w:trPr>
          <w:cantSplit/>
          <w:tblHeader/>
        </w:trPr>
        <w:tc>
          <w:tcPr>
            <w:tcW w:w="1301" w:type="pct"/>
            <w:shd w:val="clear" w:color="auto" w:fill="3C533C"/>
          </w:tcPr>
          <w:p w14:paraId="681973E9" w14:textId="77777777" w:rsidR="00813E44" w:rsidRPr="00FF26BF" w:rsidRDefault="00813E44" w:rsidP="00983C71">
            <w:pPr>
              <w:spacing w:after="0"/>
              <w:rPr>
                <w:rFonts w:cs="Arial"/>
                <w:sz w:val="20"/>
              </w:rPr>
            </w:pPr>
            <w:r w:rsidRPr="00FF26BF">
              <w:rPr>
                <w:rFonts w:eastAsia="Calibri" w:cs="Arial"/>
                <w:b/>
                <w:bCs/>
                <w:color w:val="FFFFFF"/>
                <w:sz w:val="20"/>
              </w:rPr>
              <w:t>Field</w:t>
            </w:r>
          </w:p>
        </w:tc>
        <w:tc>
          <w:tcPr>
            <w:tcW w:w="3699" w:type="pct"/>
            <w:tcBorders>
              <w:bottom w:val="single" w:sz="4" w:space="0" w:color="auto"/>
            </w:tcBorders>
            <w:shd w:val="clear" w:color="auto" w:fill="3C533C"/>
          </w:tcPr>
          <w:p w14:paraId="3380991F" w14:textId="77777777" w:rsidR="00813E44" w:rsidRPr="00FF26BF" w:rsidRDefault="00813E44" w:rsidP="00983C71">
            <w:pPr>
              <w:spacing w:after="0"/>
              <w:rPr>
                <w:rFonts w:cs="Arial"/>
                <w:sz w:val="20"/>
              </w:rPr>
            </w:pPr>
            <w:r w:rsidRPr="00FF26BF">
              <w:rPr>
                <w:rFonts w:eastAsia="Calibri" w:cs="Arial"/>
                <w:b/>
                <w:bCs/>
                <w:color w:val="FFFFFF"/>
                <w:sz w:val="20"/>
              </w:rPr>
              <w:t>Extracted information</w:t>
            </w:r>
          </w:p>
        </w:tc>
      </w:tr>
      <w:tr w:rsidR="00813E44" w:rsidRPr="00FF26BF" w14:paraId="683E3016" w14:textId="77777777" w:rsidTr="00FB357C">
        <w:trPr>
          <w:cantSplit/>
        </w:trPr>
        <w:tc>
          <w:tcPr>
            <w:tcW w:w="1301" w:type="pct"/>
            <w:tcBorders>
              <w:bottom w:val="single" w:sz="4" w:space="0" w:color="auto"/>
              <w:right w:val="single" w:sz="4" w:space="0" w:color="auto"/>
            </w:tcBorders>
            <w:shd w:val="clear" w:color="auto" w:fill="F6FDE9"/>
          </w:tcPr>
          <w:p w14:paraId="104FE556" w14:textId="77777777" w:rsidR="00813E44" w:rsidRPr="00FF26BF" w:rsidRDefault="00813E44" w:rsidP="00813E44">
            <w:pPr>
              <w:spacing w:after="0"/>
              <w:rPr>
                <w:rFonts w:cs="Arial"/>
                <w:sz w:val="20"/>
              </w:rPr>
            </w:pPr>
            <w:r w:rsidRPr="00FF26BF">
              <w:rPr>
                <w:rFonts w:eastAsia="Calibri" w:cs="Arial"/>
                <w:b/>
                <w:bCs/>
                <w:sz w:val="20"/>
              </w:rPr>
              <w:t>Main results</w:t>
            </w:r>
          </w:p>
        </w:tc>
        <w:tc>
          <w:tcPr>
            <w:tcW w:w="3699" w:type="pct"/>
            <w:tcBorders>
              <w:top w:val="single" w:sz="4" w:space="0" w:color="auto"/>
              <w:left w:val="single" w:sz="4" w:space="0" w:color="auto"/>
              <w:bottom w:val="single" w:sz="4" w:space="0" w:color="auto"/>
              <w:right w:val="single" w:sz="4" w:space="0" w:color="auto"/>
            </w:tcBorders>
            <w:vAlign w:val="center"/>
          </w:tcPr>
          <w:p w14:paraId="641DD9EC" w14:textId="5C4C6A18" w:rsidR="00813E44" w:rsidRPr="00FB357C" w:rsidRDefault="00813E44" w:rsidP="00FB357C">
            <w:pPr>
              <w:pStyle w:val="TableText"/>
            </w:pPr>
            <w:r w:rsidRPr="00FB357C">
              <w:t xml:space="preserve">3/4 patients developed hepatocellular carcinoma after long-term PLP exposure; 1/4 developed severe but reversible hepatotoxicity; liver injury occurred after prolonged high-dose exposure and across different genetic conditions </w:t>
            </w:r>
            <w:hyperlink r:id="rId121" w:history="1"/>
          </w:p>
        </w:tc>
      </w:tr>
      <w:tr w:rsidR="00FB357C" w:rsidRPr="00FF26BF" w14:paraId="35ABD295" w14:textId="77777777" w:rsidTr="00FB357C">
        <w:trPr>
          <w:cantSplit/>
        </w:trPr>
        <w:tc>
          <w:tcPr>
            <w:tcW w:w="1301" w:type="pct"/>
            <w:tcBorders>
              <w:top w:val="single" w:sz="4" w:space="0" w:color="auto"/>
              <w:right w:val="single" w:sz="4" w:space="0" w:color="auto"/>
            </w:tcBorders>
            <w:shd w:val="clear" w:color="auto" w:fill="F6FDE9"/>
          </w:tcPr>
          <w:p w14:paraId="34C7B7C6" w14:textId="54F23C10" w:rsidR="00FB357C" w:rsidRPr="00BB559B" w:rsidRDefault="00FB357C" w:rsidP="00FB357C">
            <w:pPr>
              <w:spacing w:after="0"/>
              <w:rPr>
                <w:rFonts w:eastAsia="Calibri" w:cs="Arial"/>
                <w:b/>
                <w:bCs/>
                <w:sz w:val="20"/>
              </w:rPr>
            </w:pPr>
            <w:r w:rsidRPr="00FF26BF">
              <w:rPr>
                <w:rFonts w:eastAsia="Calibri" w:cs="Arial"/>
                <w:b/>
                <w:bCs/>
                <w:sz w:val="20"/>
              </w:rPr>
              <w:t>Authors' conclusions</w:t>
            </w:r>
          </w:p>
        </w:tc>
        <w:tc>
          <w:tcPr>
            <w:tcW w:w="3699" w:type="pct"/>
            <w:tcBorders>
              <w:top w:val="single" w:sz="4" w:space="0" w:color="auto"/>
              <w:left w:val="single" w:sz="4" w:space="0" w:color="auto"/>
              <w:bottom w:val="single" w:sz="4" w:space="0" w:color="auto"/>
              <w:right w:val="single" w:sz="4" w:space="0" w:color="auto"/>
            </w:tcBorders>
            <w:vAlign w:val="center"/>
          </w:tcPr>
          <w:p w14:paraId="6CE20377" w14:textId="7A8F0C02" w:rsidR="00FB357C" w:rsidRPr="00FB357C" w:rsidRDefault="00FB357C" w:rsidP="00FB357C">
            <w:pPr>
              <w:pStyle w:val="TableText"/>
            </w:pPr>
            <w:r w:rsidRPr="00FB357C">
              <w:t xml:space="preserve">Long-term high-dose PLP therapy may pose significant hepatotoxic risk, including malignancy; careful monitoring and improved formulations are needed; PLP exposure is a likely contributing factor independent of underlying disease </w:t>
            </w:r>
            <w:hyperlink r:id="rId122" w:history="1"/>
          </w:p>
        </w:tc>
      </w:tr>
      <w:tr w:rsidR="00813E44" w:rsidRPr="00FF26BF" w14:paraId="31714F99" w14:textId="77777777" w:rsidTr="00FB357C">
        <w:trPr>
          <w:cantSplit/>
        </w:trPr>
        <w:tc>
          <w:tcPr>
            <w:tcW w:w="1301" w:type="pct"/>
            <w:tcBorders>
              <w:top w:val="single" w:sz="4" w:space="0" w:color="auto"/>
              <w:left w:val="single" w:sz="4" w:space="0" w:color="auto"/>
              <w:bottom w:val="single" w:sz="4" w:space="0" w:color="auto"/>
              <w:right w:val="single" w:sz="4" w:space="0" w:color="auto"/>
            </w:tcBorders>
            <w:shd w:val="clear" w:color="auto" w:fill="F6FDE9" w:themeFill="accent5" w:themeFillTint="33"/>
            <w:vAlign w:val="center"/>
          </w:tcPr>
          <w:p w14:paraId="1BBA7CC4" w14:textId="2A6DAD6D" w:rsidR="00813E44" w:rsidRPr="00BB559B" w:rsidRDefault="00FB357C" w:rsidP="00813E44">
            <w:pPr>
              <w:spacing w:after="0"/>
              <w:rPr>
                <w:rFonts w:eastAsia="Calibri" w:cs="Arial"/>
                <w:b/>
                <w:bCs/>
                <w:sz w:val="20"/>
              </w:rPr>
            </w:pPr>
            <w:r w:rsidRPr="00FB357C">
              <w:rPr>
                <w:rFonts w:cs="Arial"/>
                <w:b/>
                <w:bCs/>
                <w:sz w:val="20"/>
                <w:lang w:eastAsia="en-AU"/>
              </w:rPr>
              <w:t>Authors' acknowledged limitations</w:t>
            </w:r>
          </w:p>
        </w:tc>
        <w:tc>
          <w:tcPr>
            <w:tcW w:w="3699" w:type="pct"/>
            <w:tcBorders>
              <w:top w:val="single" w:sz="4" w:space="0" w:color="auto"/>
              <w:left w:val="single" w:sz="4" w:space="0" w:color="auto"/>
              <w:bottom w:val="single" w:sz="4" w:space="0" w:color="auto"/>
              <w:right w:val="single" w:sz="4" w:space="0" w:color="auto"/>
            </w:tcBorders>
            <w:vAlign w:val="center"/>
          </w:tcPr>
          <w:p w14:paraId="5C512E7D" w14:textId="4516E8F2" w:rsidR="00813E44" w:rsidRPr="00FB357C" w:rsidRDefault="00813E44" w:rsidP="00FB357C">
            <w:pPr>
              <w:pStyle w:val="TableText"/>
            </w:pPr>
            <w:r w:rsidRPr="00FB357C">
              <w:t>Small sample size (case series); difficulty separating effects of PLP from underlying metabolic disease; variable formulations and dosing; lack of controlled comparison</w:t>
            </w:r>
          </w:p>
        </w:tc>
      </w:tr>
    </w:tbl>
    <w:p w14:paraId="40014732" w14:textId="77777777" w:rsidR="00813E44" w:rsidRPr="00FF26BF" w:rsidRDefault="00813E44" w:rsidP="00813E44">
      <w:pPr>
        <w:rPr>
          <w:rFonts w:eastAsia="Times New Roman" w:cs="Times New Roman"/>
          <w:b/>
          <w:bCs/>
        </w:rPr>
      </w:pPr>
      <w:r w:rsidRPr="00FF26BF">
        <w:rPr>
          <w:rFonts w:eastAsia="Times New Roman" w:cs="Times New Roman"/>
          <w:b/>
          <w:bCs/>
        </w:rPr>
        <w:t>Contextual information for the AU/NZ UL review</w:t>
      </w:r>
    </w:p>
    <w:tbl>
      <w:tblPr>
        <w:tblStyle w:val="SLROption1"/>
        <w:tblW w:w="5000" w:type="pct"/>
        <w:tblLook w:val="0000" w:firstRow="0" w:lastRow="0" w:firstColumn="0" w:lastColumn="0" w:noHBand="0" w:noVBand="0"/>
      </w:tblPr>
      <w:tblGrid>
        <w:gridCol w:w="3628"/>
        <w:gridCol w:w="10316"/>
      </w:tblGrid>
      <w:tr w:rsidR="00813E44" w:rsidRPr="00FF26BF" w14:paraId="7E2B1270" w14:textId="77777777" w:rsidTr="00983C71">
        <w:tc>
          <w:tcPr>
            <w:tcW w:w="1301" w:type="pct"/>
            <w:shd w:val="clear" w:color="auto" w:fill="F6FDE9"/>
          </w:tcPr>
          <w:p w14:paraId="0C1527F4" w14:textId="77777777" w:rsidR="00813E44" w:rsidRPr="00FF26BF" w:rsidRDefault="00813E44" w:rsidP="00983C71">
            <w:pPr>
              <w:spacing w:after="0"/>
              <w:rPr>
                <w:rFonts w:cs="Arial"/>
                <w:sz w:val="20"/>
              </w:rPr>
            </w:pPr>
            <w:r w:rsidRPr="00FF26BF">
              <w:rPr>
                <w:rFonts w:eastAsia="Calibri" w:cs="Arial"/>
                <w:b/>
                <w:bCs/>
                <w:sz w:val="20"/>
              </w:rPr>
              <w:t>Generalisability to AU/NZ</w:t>
            </w:r>
          </w:p>
        </w:tc>
        <w:tc>
          <w:tcPr>
            <w:tcW w:w="3699" w:type="pct"/>
          </w:tcPr>
          <w:p w14:paraId="22AA6680" w14:textId="51B3A3AF" w:rsidR="00813E44" w:rsidRPr="00FF26BF" w:rsidRDefault="00813E44" w:rsidP="00983C71">
            <w:pPr>
              <w:spacing w:after="0"/>
              <w:rPr>
                <w:rFonts w:cs="Arial"/>
                <w:sz w:val="20"/>
              </w:rPr>
            </w:pPr>
            <w:r w:rsidRPr="00813E44">
              <w:rPr>
                <w:rFonts w:eastAsia="Calibri" w:cs="Arial"/>
                <w:sz w:val="20"/>
              </w:rPr>
              <w:t xml:space="preserve">Limited; rare pediatric metabolic population on very high therapeutic doses; </w:t>
            </w:r>
            <w:r w:rsidR="00082621">
              <w:rPr>
                <w:rFonts w:eastAsia="Calibri" w:cs="Arial"/>
                <w:sz w:val="20"/>
              </w:rPr>
              <w:t xml:space="preserve">therapeutic level not relevant to the general population intake of vitamin B6. </w:t>
            </w:r>
          </w:p>
        </w:tc>
      </w:tr>
    </w:tbl>
    <w:p w14:paraId="05132EFA" w14:textId="77777777" w:rsidR="00CC2D4D" w:rsidRPr="00CC2D4D" w:rsidRDefault="00CC2D4D" w:rsidP="00CC2D4D">
      <w:pPr>
        <w:rPr>
          <w:rFonts w:eastAsia="Times New Roman" w:cs="Arial"/>
        </w:rPr>
      </w:pPr>
    </w:p>
    <w:p w14:paraId="2CF1DCB7" w14:textId="39BE503B" w:rsidR="00CC2D4D" w:rsidRDefault="00CC2D4D" w:rsidP="00CC2D4D">
      <w:pPr>
        <w:tabs>
          <w:tab w:val="left" w:pos="1172"/>
        </w:tabs>
        <w:rPr>
          <w:rFonts w:eastAsia="Times New Roman" w:cs="Arial"/>
        </w:rPr>
        <w:sectPr w:rsidR="00CC2D4D" w:rsidSect="00B8180E">
          <w:pgSz w:w="16834" w:h="11909" w:orient="landscape" w:code="9"/>
          <w:pgMar w:top="1440" w:right="1440" w:bottom="1440" w:left="1440" w:header="576" w:footer="576" w:gutter="0"/>
          <w:cols w:space="720"/>
          <w:docGrid w:linePitch="360"/>
        </w:sectPr>
      </w:pPr>
    </w:p>
    <w:p w14:paraId="5053CF56" w14:textId="24D10A39" w:rsidR="00CC2D4D" w:rsidRPr="00091690" w:rsidRDefault="00091690" w:rsidP="00CC2D4D">
      <w:pPr>
        <w:pStyle w:val="Heading9"/>
        <w:rPr>
          <w:rFonts w:asciiTheme="minorHAnsi" w:hAnsiTheme="minorHAnsi" w:cstheme="minorHAnsi"/>
          <w:sz w:val="20"/>
        </w:rPr>
      </w:pPr>
      <w:bookmarkStart w:id="78" w:name="_Toc233022895"/>
      <w:r w:rsidRPr="00091690">
        <w:rPr>
          <w:rFonts w:asciiTheme="minorHAnsi" w:hAnsiTheme="minorHAnsi" w:cstheme="minorHAnsi"/>
          <w:sz w:val="20"/>
        </w:rPr>
        <w:lastRenderedPageBreak/>
        <w:t>Gdynia</w:t>
      </w:r>
      <w:r w:rsidR="00CC2D4D" w:rsidRPr="00091690">
        <w:rPr>
          <w:rFonts w:asciiTheme="minorHAnsi" w:hAnsiTheme="minorHAnsi" w:cstheme="minorHAnsi"/>
          <w:sz w:val="20"/>
        </w:rPr>
        <w:t xml:space="preserve"> et al.</w:t>
      </w:r>
      <w:r w:rsidRPr="00091690">
        <w:rPr>
          <w:rFonts w:asciiTheme="minorHAnsi" w:hAnsiTheme="minorHAnsi" w:cstheme="minorHAnsi"/>
          <w:sz w:val="20"/>
        </w:rPr>
        <w:t>,</w:t>
      </w:r>
      <w:r w:rsidR="00CC2D4D" w:rsidRPr="00091690">
        <w:rPr>
          <w:rFonts w:asciiTheme="minorHAnsi" w:hAnsiTheme="minorHAnsi" w:cstheme="minorHAnsi"/>
          <w:sz w:val="20"/>
        </w:rPr>
        <w:t xml:space="preserve"> 202</w:t>
      </w:r>
      <w:r w:rsidRPr="00091690">
        <w:rPr>
          <w:rFonts w:asciiTheme="minorHAnsi" w:hAnsiTheme="minorHAnsi" w:cstheme="minorHAnsi"/>
          <w:sz w:val="20"/>
        </w:rPr>
        <w:t>5</w:t>
      </w:r>
      <w:bookmarkEnd w:id="78"/>
    </w:p>
    <w:p w14:paraId="3A45FF11" w14:textId="77777777" w:rsidR="00CC2D4D" w:rsidRPr="00091690" w:rsidRDefault="00CC2D4D" w:rsidP="00CC2D4D">
      <w:pPr>
        <w:keepNext/>
        <w:spacing w:before="240"/>
        <w:ind w:left="1080" w:hanging="1080"/>
        <w:rPr>
          <w:rFonts w:asciiTheme="minorHAnsi" w:eastAsia="Calibri" w:hAnsiTheme="minorHAnsi" w:cstheme="minorHAnsi"/>
          <w:b/>
          <w:bCs/>
          <w:sz w:val="20"/>
        </w:rPr>
      </w:pPr>
      <w:r w:rsidRPr="00091690">
        <w:rPr>
          <w:rFonts w:asciiTheme="minorHAnsi" w:eastAsia="Calibri" w:hAnsiTheme="minorHAnsi" w:cstheme="minorHAnsi"/>
          <w:b/>
          <w:bCs/>
          <w:sz w:val="20"/>
        </w:rPr>
        <w:t>Study identification and design</w:t>
      </w:r>
    </w:p>
    <w:tbl>
      <w:tblPr>
        <w:tblStyle w:val="SLROption1"/>
        <w:tblW w:w="5000" w:type="pct"/>
        <w:tblLook w:val="0000" w:firstRow="0" w:lastRow="0" w:firstColumn="0" w:lastColumn="0" w:noHBand="0" w:noVBand="0"/>
      </w:tblPr>
      <w:tblGrid>
        <w:gridCol w:w="3628"/>
        <w:gridCol w:w="10316"/>
      </w:tblGrid>
      <w:tr w:rsidR="00CC2D4D" w:rsidRPr="00091690" w14:paraId="0E08FC91" w14:textId="77777777" w:rsidTr="00091690">
        <w:tc>
          <w:tcPr>
            <w:tcW w:w="1301" w:type="pct"/>
            <w:shd w:val="clear" w:color="auto" w:fill="3C533C"/>
          </w:tcPr>
          <w:p w14:paraId="2A570D70" w14:textId="77777777" w:rsidR="00CC2D4D" w:rsidRPr="00091690" w:rsidRDefault="00CC2D4D" w:rsidP="00983C71">
            <w:pPr>
              <w:pStyle w:val="TableText"/>
              <w:rPr>
                <w:rFonts w:asciiTheme="minorHAnsi" w:hAnsiTheme="minorHAnsi" w:cstheme="minorHAnsi"/>
                <w:b/>
                <w:bCs/>
                <w:color w:val="FFFFFF" w:themeColor="background1"/>
              </w:rPr>
            </w:pPr>
            <w:r w:rsidRPr="00091690">
              <w:rPr>
                <w:rFonts w:asciiTheme="minorHAnsi" w:hAnsiTheme="minorHAnsi" w:cstheme="minorHAnsi"/>
                <w:b/>
                <w:bCs/>
                <w:color w:val="FFFFFF" w:themeColor="background1"/>
              </w:rPr>
              <w:t>Field</w:t>
            </w:r>
          </w:p>
        </w:tc>
        <w:tc>
          <w:tcPr>
            <w:tcW w:w="3699" w:type="pct"/>
            <w:shd w:val="clear" w:color="auto" w:fill="3C533C"/>
          </w:tcPr>
          <w:p w14:paraId="68AB487E" w14:textId="77777777" w:rsidR="00CC2D4D" w:rsidRPr="00091690" w:rsidRDefault="00CC2D4D" w:rsidP="00983C71">
            <w:pPr>
              <w:pStyle w:val="TableText"/>
              <w:rPr>
                <w:rFonts w:asciiTheme="minorHAnsi" w:hAnsiTheme="minorHAnsi" w:cstheme="minorHAnsi"/>
                <w:b/>
                <w:bCs/>
                <w:color w:val="FFFFFF" w:themeColor="background1"/>
              </w:rPr>
            </w:pPr>
            <w:r w:rsidRPr="00091690">
              <w:rPr>
                <w:rFonts w:asciiTheme="minorHAnsi" w:hAnsiTheme="minorHAnsi" w:cstheme="minorHAnsi"/>
                <w:b/>
                <w:bCs/>
                <w:color w:val="FFFFFF" w:themeColor="background1"/>
              </w:rPr>
              <w:t>Extracted information</w:t>
            </w:r>
          </w:p>
        </w:tc>
      </w:tr>
      <w:tr w:rsidR="00091690" w:rsidRPr="00091690" w14:paraId="4ED7A930" w14:textId="77777777" w:rsidTr="00091690">
        <w:tc>
          <w:tcPr>
            <w:tcW w:w="1301" w:type="pct"/>
            <w:shd w:val="clear" w:color="auto" w:fill="F6FDE9"/>
          </w:tcPr>
          <w:p w14:paraId="09CE04A5" w14:textId="77777777" w:rsidR="00091690" w:rsidRPr="00091690" w:rsidRDefault="00091690" w:rsidP="00091690">
            <w:pPr>
              <w:pStyle w:val="TableText"/>
              <w:rPr>
                <w:rFonts w:asciiTheme="minorHAnsi" w:hAnsiTheme="minorHAnsi" w:cstheme="minorHAnsi"/>
                <w:b/>
                <w:bCs/>
              </w:rPr>
            </w:pPr>
            <w:r w:rsidRPr="00091690">
              <w:rPr>
                <w:rFonts w:asciiTheme="minorHAnsi" w:hAnsiTheme="minorHAnsi" w:cstheme="minorHAnsi"/>
                <w:b/>
                <w:bCs/>
              </w:rPr>
              <w:t>Citation</w:t>
            </w:r>
          </w:p>
        </w:tc>
        <w:tc>
          <w:tcPr>
            <w:tcW w:w="3699" w:type="pct"/>
            <w:vAlign w:val="center"/>
          </w:tcPr>
          <w:p w14:paraId="3F94E9BC" w14:textId="3F9B0286" w:rsidR="00091690" w:rsidRPr="00091690" w:rsidRDefault="00091690" w:rsidP="00091690">
            <w:pPr>
              <w:pStyle w:val="TableText"/>
              <w:rPr>
                <w:rFonts w:asciiTheme="minorHAnsi" w:hAnsiTheme="minorHAnsi" w:cstheme="minorHAnsi"/>
              </w:rPr>
            </w:pPr>
            <w:r w:rsidRPr="00091690">
              <w:rPr>
                <w:rFonts w:asciiTheme="minorHAnsi" w:hAnsiTheme="minorHAnsi" w:cstheme="minorHAnsi"/>
                <w:lang w:eastAsia="en-AU"/>
              </w:rPr>
              <w:t xml:space="preserve">Gdynia, N., Gratzer, A., &amp; Gdynia, H.-J. (2025). Polyneuropathy due to vitamin B6 hypervitaminosis: A case series and call for more education. </w:t>
            </w:r>
            <w:r w:rsidRPr="00091690">
              <w:rPr>
                <w:rFonts w:asciiTheme="minorHAnsi" w:hAnsiTheme="minorHAnsi" w:cstheme="minorHAnsi"/>
                <w:i/>
                <w:iCs/>
                <w:lang w:eastAsia="en-AU"/>
              </w:rPr>
              <w:t>Journal of Neurosciences in Rural Practice</w:t>
            </w:r>
            <w:r w:rsidRPr="00091690">
              <w:rPr>
                <w:rFonts w:asciiTheme="minorHAnsi" w:hAnsiTheme="minorHAnsi" w:cstheme="minorHAnsi"/>
                <w:lang w:eastAsia="en-AU"/>
              </w:rPr>
              <w:t>.</w:t>
            </w:r>
          </w:p>
        </w:tc>
      </w:tr>
      <w:tr w:rsidR="00091690" w:rsidRPr="00091690" w14:paraId="3A2FC603" w14:textId="77777777" w:rsidTr="00091690">
        <w:tc>
          <w:tcPr>
            <w:tcW w:w="1301" w:type="pct"/>
            <w:shd w:val="clear" w:color="auto" w:fill="F6FDE9"/>
          </w:tcPr>
          <w:p w14:paraId="428272C0" w14:textId="77777777" w:rsidR="00091690" w:rsidRPr="00091690" w:rsidRDefault="00091690" w:rsidP="00091690">
            <w:pPr>
              <w:pStyle w:val="TableText"/>
              <w:rPr>
                <w:rFonts w:asciiTheme="minorHAnsi" w:hAnsiTheme="minorHAnsi" w:cstheme="minorHAnsi"/>
                <w:b/>
                <w:bCs/>
              </w:rPr>
            </w:pPr>
            <w:r w:rsidRPr="00091690">
              <w:rPr>
                <w:rFonts w:asciiTheme="minorHAnsi" w:hAnsiTheme="minorHAnsi" w:cstheme="minorHAnsi"/>
                <w:b/>
                <w:bCs/>
              </w:rPr>
              <w:t>Publication status</w:t>
            </w:r>
          </w:p>
        </w:tc>
        <w:tc>
          <w:tcPr>
            <w:tcW w:w="3699" w:type="pct"/>
            <w:vAlign w:val="center"/>
          </w:tcPr>
          <w:p w14:paraId="21790133" w14:textId="087DB7B9" w:rsidR="00091690" w:rsidRPr="00091690" w:rsidRDefault="00091690" w:rsidP="00091690">
            <w:pPr>
              <w:pStyle w:val="TableText"/>
              <w:rPr>
                <w:rFonts w:asciiTheme="minorHAnsi" w:hAnsiTheme="minorHAnsi" w:cstheme="minorHAnsi"/>
              </w:rPr>
            </w:pPr>
            <w:r w:rsidRPr="00091690">
              <w:rPr>
                <w:rFonts w:asciiTheme="minorHAnsi" w:hAnsiTheme="minorHAnsi" w:cstheme="minorHAnsi"/>
                <w:lang w:eastAsia="en-AU"/>
              </w:rPr>
              <w:t xml:space="preserve">Published (article in press), peer-reviewed journal; accepted January 2025, early online publication February 2025. </w:t>
            </w:r>
            <w:hyperlink r:id="rId123" w:history="1"/>
          </w:p>
        </w:tc>
      </w:tr>
      <w:tr w:rsidR="00091690" w:rsidRPr="00091690" w14:paraId="6702AAA5" w14:textId="77777777" w:rsidTr="00091690">
        <w:tc>
          <w:tcPr>
            <w:tcW w:w="1301" w:type="pct"/>
            <w:shd w:val="clear" w:color="auto" w:fill="F6FDE9"/>
          </w:tcPr>
          <w:p w14:paraId="55CC3BAD" w14:textId="77777777" w:rsidR="00091690" w:rsidRPr="00091690" w:rsidRDefault="00091690" w:rsidP="00091690">
            <w:pPr>
              <w:pStyle w:val="TableText"/>
              <w:rPr>
                <w:rFonts w:asciiTheme="minorHAnsi" w:hAnsiTheme="minorHAnsi" w:cstheme="minorHAnsi"/>
                <w:b/>
                <w:bCs/>
              </w:rPr>
            </w:pPr>
            <w:r w:rsidRPr="00091690">
              <w:rPr>
                <w:rFonts w:asciiTheme="minorHAnsi" w:hAnsiTheme="minorHAnsi" w:cstheme="minorHAnsi"/>
                <w:b/>
                <w:bCs/>
              </w:rPr>
              <w:t>Country / setting</w:t>
            </w:r>
          </w:p>
        </w:tc>
        <w:tc>
          <w:tcPr>
            <w:tcW w:w="3699" w:type="pct"/>
            <w:vAlign w:val="center"/>
          </w:tcPr>
          <w:p w14:paraId="171A4CD8" w14:textId="1612BDDE" w:rsidR="00091690" w:rsidRPr="00091690" w:rsidRDefault="00091690" w:rsidP="00091690">
            <w:pPr>
              <w:pStyle w:val="TableText"/>
              <w:rPr>
                <w:rFonts w:asciiTheme="minorHAnsi" w:hAnsiTheme="minorHAnsi" w:cstheme="minorHAnsi"/>
              </w:rPr>
            </w:pPr>
            <w:r w:rsidRPr="00091690">
              <w:rPr>
                <w:rFonts w:asciiTheme="minorHAnsi" w:hAnsiTheme="minorHAnsi" w:cstheme="minorHAnsi"/>
                <w:lang w:eastAsia="en-AU"/>
              </w:rPr>
              <w:t xml:space="preserve">Germany; outpatient neurology clinic (Clinic Enzensberg). </w:t>
            </w:r>
            <w:hyperlink r:id="rId124" w:history="1"/>
          </w:p>
        </w:tc>
      </w:tr>
      <w:tr w:rsidR="00091690" w:rsidRPr="00091690" w14:paraId="1677E87C" w14:textId="77777777" w:rsidTr="00091690">
        <w:tc>
          <w:tcPr>
            <w:tcW w:w="1301" w:type="pct"/>
            <w:shd w:val="clear" w:color="auto" w:fill="F6FDE9"/>
          </w:tcPr>
          <w:p w14:paraId="6C597446" w14:textId="77777777" w:rsidR="00091690" w:rsidRPr="00091690" w:rsidRDefault="00091690" w:rsidP="00091690">
            <w:pPr>
              <w:pStyle w:val="TableText"/>
              <w:rPr>
                <w:rFonts w:asciiTheme="minorHAnsi" w:hAnsiTheme="minorHAnsi" w:cstheme="minorHAnsi"/>
                <w:b/>
                <w:bCs/>
              </w:rPr>
            </w:pPr>
            <w:r w:rsidRPr="00091690">
              <w:rPr>
                <w:rFonts w:asciiTheme="minorHAnsi" w:hAnsiTheme="minorHAnsi" w:cstheme="minorHAnsi"/>
                <w:b/>
                <w:bCs/>
              </w:rPr>
              <w:t>Study design</w:t>
            </w:r>
          </w:p>
        </w:tc>
        <w:tc>
          <w:tcPr>
            <w:tcW w:w="3699" w:type="pct"/>
            <w:vAlign w:val="center"/>
          </w:tcPr>
          <w:p w14:paraId="3ECE96B1" w14:textId="680AB2E1" w:rsidR="00091690" w:rsidRPr="00091690" w:rsidRDefault="00091690" w:rsidP="00091690">
            <w:pPr>
              <w:pStyle w:val="TableText"/>
              <w:rPr>
                <w:rFonts w:asciiTheme="minorHAnsi" w:hAnsiTheme="minorHAnsi" w:cstheme="minorHAnsi"/>
              </w:rPr>
            </w:pPr>
            <w:r w:rsidRPr="00091690">
              <w:rPr>
                <w:rFonts w:asciiTheme="minorHAnsi" w:hAnsiTheme="minorHAnsi" w:cstheme="minorHAnsi"/>
                <w:lang w:eastAsia="en-AU"/>
              </w:rPr>
              <w:t xml:space="preserve">Case series of consecutively recruited patients with vitamin B6-associated polyneuropathy. </w:t>
            </w:r>
            <w:hyperlink r:id="rId125" w:history="1"/>
          </w:p>
        </w:tc>
      </w:tr>
      <w:tr w:rsidR="00091690" w:rsidRPr="00091690" w14:paraId="7ADFEE48" w14:textId="77777777" w:rsidTr="00091690">
        <w:tc>
          <w:tcPr>
            <w:tcW w:w="1301" w:type="pct"/>
            <w:shd w:val="clear" w:color="auto" w:fill="F6FDE9"/>
          </w:tcPr>
          <w:p w14:paraId="111E8AE8" w14:textId="77777777" w:rsidR="00091690" w:rsidRPr="00091690" w:rsidRDefault="00091690" w:rsidP="00091690">
            <w:pPr>
              <w:pStyle w:val="TableText"/>
              <w:rPr>
                <w:rFonts w:asciiTheme="minorHAnsi" w:hAnsiTheme="minorHAnsi" w:cstheme="minorHAnsi"/>
                <w:b/>
                <w:bCs/>
              </w:rPr>
            </w:pPr>
            <w:r w:rsidRPr="00091690">
              <w:rPr>
                <w:rFonts w:asciiTheme="minorHAnsi" w:hAnsiTheme="minorHAnsi" w:cstheme="minorHAnsi"/>
                <w:b/>
                <w:bCs/>
              </w:rPr>
              <w:t>Funding / conflicts of interest</w:t>
            </w:r>
          </w:p>
        </w:tc>
        <w:tc>
          <w:tcPr>
            <w:tcW w:w="3699" w:type="pct"/>
            <w:vAlign w:val="center"/>
          </w:tcPr>
          <w:p w14:paraId="5BC3A00D" w14:textId="7D7D5BA5" w:rsidR="00091690" w:rsidRPr="00091690" w:rsidRDefault="00091690" w:rsidP="00091690">
            <w:pPr>
              <w:pStyle w:val="TableText"/>
              <w:rPr>
                <w:rFonts w:asciiTheme="minorHAnsi" w:hAnsiTheme="minorHAnsi" w:cstheme="minorHAnsi"/>
              </w:rPr>
            </w:pPr>
            <w:r w:rsidRPr="00091690">
              <w:rPr>
                <w:rFonts w:asciiTheme="minorHAnsi" w:hAnsiTheme="minorHAnsi" w:cstheme="minorHAnsi"/>
                <w:lang w:eastAsia="en-AU"/>
              </w:rPr>
              <w:t xml:space="preserve">No financial support; no competing interests declared. </w:t>
            </w:r>
            <w:hyperlink r:id="rId126" w:history="1"/>
          </w:p>
        </w:tc>
      </w:tr>
    </w:tbl>
    <w:p w14:paraId="7BC53F02" w14:textId="77777777" w:rsidR="00CC2D4D" w:rsidRPr="00091690" w:rsidRDefault="00CC2D4D" w:rsidP="00CC2D4D">
      <w:pPr>
        <w:rPr>
          <w:rFonts w:asciiTheme="minorHAnsi" w:eastAsia="Times New Roman" w:hAnsiTheme="minorHAnsi" w:cstheme="minorHAnsi"/>
          <w:sz w:val="20"/>
        </w:rPr>
      </w:pPr>
      <w:r w:rsidRPr="00091690">
        <w:rPr>
          <w:rFonts w:asciiTheme="minorHAnsi" w:eastAsia="Calibri" w:hAnsiTheme="minorHAnsi" w:cstheme="minorHAnsi"/>
          <w:b/>
          <w:bCs/>
          <w:sz w:val="20"/>
        </w:rPr>
        <w:t>Population</w:t>
      </w:r>
    </w:p>
    <w:tbl>
      <w:tblPr>
        <w:tblStyle w:val="SLROption1"/>
        <w:tblW w:w="5000" w:type="pct"/>
        <w:tblLook w:val="0000" w:firstRow="0" w:lastRow="0" w:firstColumn="0" w:lastColumn="0" w:noHBand="0" w:noVBand="0"/>
      </w:tblPr>
      <w:tblGrid>
        <w:gridCol w:w="3628"/>
        <w:gridCol w:w="10316"/>
      </w:tblGrid>
      <w:tr w:rsidR="00CC2D4D" w:rsidRPr="00091690" w14:paraId="6A0F0382" w14:textId="77777777" w:rsidTr="00091690">
        <w:tc>
          <w:tcPr>
            <w:tcW w:w="1301" w:type="pct"/>
            <w:shd w:val="clear" w:color="auto" w:fill="3C533C"/>
          </w:tcPr>
          <w:p w14:paraId="590F1D7F" w14:textId="77777777" w:rsidR="00CC2D4D" w:rsidRPr="00091690" w:rsidRDefault="00CC2D4D" w:rsidP="00983C71">
            <w:pPr>
              <w:spacing w:after="0"/>
              <w:rPr>
                <w:rFonts w:asciiTheme="minorHAnsi" w:hAnsiTheme="minorHAnsi" w:cstheme="minorHAnsi"/>
                <w:sz w:val="20"/>
              </w:rPr>
            </w:pPr>
            <w:r w:rsidRPr="00091690">
              <w:rPr>
                <w:rFonts w:asciiTheme="minorHAnsi" w:eastAsia="Calibri" w:hAnsiTheme="minorHAnsi" w:cstheme="minorHAnsi"/>
                <w:b/>
                <w:bCs/>
                <w:color w:val="FFFFFF"/>
                <w:sz w:val="20"/>
              </w:rPr>
              <w:t>Field</w:t>
            </w:r>
          </w:p>
        </w:tc>
        <w:tc>
          <w:tcPr>
            <w:tcW w:w="3699" w:type="pct"/>
            <w:shd w:val="clear" w:color="auto" w:fill="3C533C"/>
          </w:tcPr>
          <w:p w14:paraId="33EB6F06" w14:textId="77777777" w:rsidR="00CC2D4D" w:rsidRPr="00091690" w:rsidRDefault="00CC2D4D" w:rsidP="00983C71">
            <w:pPr>
              <w:spacing w:after="0"/>
              <w:rPr>
                <w:rFonts w:asciiTheme="minorHAnsi" w:hAnsiTheme="minorHAnsi" w:cstheme="minorHAnsi"/>
                <w:sz w:val="20"/>
              </w:rPr>
            </w:pPr>
            <w:r w:rsidRPr="00091690">
              <w:rPr>
                <w:rFonts w:asciiTheme="minorHAnsi" w:eastAsia="Calibri" w:hAnsiTheme="minorHAnsi" w:cstheme="minorHAnsi"/>
                <w:b/>
                <w:bCs/>
                <w:color w:val="FFFFFF"/>
                <w:sz w:val="20"/>
              </w:rPr>
              <w:t>Extracted information</w:t>
            </w:r>
          </w:p>
        </w:tc>
      </w:tr>
      <w:tr w:rsidR="00091690" w:rsidRPr="00091690" w14:paraId="6DBEA8B9" w14:textId="77777777" w:rsidTr="00091690">
        <w:tc>
          <w:tcPr>
            <w:tcW w:w="1301" w:type="pct"/>
            <w:shd w:val="clear" w:color="auto" w:fill="F6FDE9"/>
          </w:tcPr>
          <w:p w14:paraId="5D067342" w14:textId="77777777" w:rsidR="00091690" w:rsidRPr="00091690" w:rsidRDefault="00091690" w:rsidP="00091690">
            <w:pPr>
              <w:spacing w:after="0"/>
              <w:rPr>
                <w:rFonts w:asciiTheme="minorHAnsi" w:hAnsiTheme="minorHAnsi" w:cstheme="minorHAnsi"/>
                <w:sz w:val="20"/>
              </w:rPr>
            </w:pPr>
            <w:r w:rsidRPr="00091690">
              <w:rPr>
                <w:rFonts w:asciiTheme="minorHAnsi" w:eastAsia="Calibri" w:hAnsiTheme="minorHAnsi" w:cstheme="minorHAnsi"/>
                <w:b/>
                <w:bCs/>
                <w:sz w:val="20"/>
              </w:rPr>
              <w:t>Sample size</w:t>
            </w:r>
          </w:p>
        </w:tc>
        <w:tc>
          <w:tcPr>
            <w:tcW w:w="3699" w:type="pct"/>
            <w:vAlign w:val="center"/>
          </w:tcPr>
          <w:p w14:paraId="5B808D6E" w14:textId="31D326EF" w:rsidR="00091690" w:rsidRPr="00091690" w:rsidRDefault="00091690" w:rsidP="00091690">
            <w:pPr>
              <w:pStyle w:val="TableText"/>
              <w:rPr>
                <w:rFonts w:asciiTheme="minorHAnsi" w:hAnsiTheme="minorHAnsi" w:cstheme="minorHAnsi"/>
              </w:rPr>
            </w:pPr>
            <w:r w:rsidRPr="00091690">
              <w:rPr>
                <w:rFonts w:asciiTheme="minorHAnsi" w:hAnsiTheme="minorHAnsi" w:cstheme="minorHAnsi"/>
                <w:lang w:eastAsia="en-AU"/>
              </w:rPr>
              <w:t>n = 8</w:t>
            </w:r>
          </w:p>
        </w:tc>
      </w:tr>
      <w:tr w:rsidR="00091690" w:rsidRPr="00091690" w14:paraId="1E9193C3" w14:textId="77777777" w:rsidTr="00091690">
        <w:tc>
          <w:tcPr>
            <w:tcW w:w="1301" w:type="pct"/>
            <w:shd w:val="clear" w:color="auto" w:fill="F6FDE9"/>
          </w:tcPr>
          <w:p w14:paraId="465BB366" w14:textId="77777777" w:rsidR="00091690" w:rsidRPr="00091690" w:rsidRDefault="00091690" w:rsidP="00091690">
            <w:pPr>
              <w:spacing w:after="0"/>
              <w:rPr>
                <w:rFonts w:asciiTheme="minorHAnsi" w:hAnsiTheme="minorHAnsi" w:cstheme="minorHAnsi"/>
                <w:sz w:val="20"/>
              </w:rPr>
            </w:pPr>
            <w:r w:rsidRPr="00091690">
              <w:rPr>
                <w:rFonts w:asciiTheme="minorHAnsi" w:eastAsia="Calibri" w:hAnsiTheme="minorHAnsi" w:cstheme="minorHAnsi"/>
                <w:b/>
                <w:bCs/>
                <w:sz w:val="20"/>
              </w:rPr>
              <w:t>Patient characteristics</w:t>
            </w:r>
          </w:p>
        </w:tc>
        <w:tc>
          <w:tcPr>
            <w:tcW w:w="3699" w:type="pct"/>
            <w:vAlign w:val="center"/>
          </w:tcPr>
          <w:p w14:paraId="46FE2300" w14:textId="4D31B716" w:rsidR="00091690" w:rsidRPr="00091690" w:rsidRDefault="00091690" w:rsidP="00091690">
            <w:pPr>
              <w:pStyle w:val="TableText"/>
              <w:rPr>
                <w:rFonts w:asciiTheme="minorHAnsi" w:hAnsiTheme="minorHAnsi" w:cstheme="minorHAnsi"/>
              </w:rPr>
            </w:pPr>
            <w:r w:rsidRPr="00091690">
              <w:rPr>
                <w:rFonts w:asciiTheme="minorHAnsi" w:hAnsiTheme="minorHAnsi" w:cstheme="minorHAnsi"/>
                <w:lang w:eastAsia="en-AU"/>
              </w:rPr>
              <w:t xml:space="preserve">Older adults; mean age 80.1 years (range 70–86); 5 males, 3 females; all had suspected or confirmed polyneuropathy. </w:t>
            </w:r>
            <w:hyperlink r:id="rId127" w:history="1"/>
          </w:p>
        </w:tc>
      </w:tr>
      <w:tr w:rsidR="00091690" w:rsidRPr="00091690" w14:paraId="1E023FB6" w14:textId="77777777" w:rsidTr="00091690">
        <w:tc>
          <w:tcPr>
            <w:tcW w:w="1301" w:type="pct"/>
            <w:shd w:val="clear" w:color="auto" w:fill="F6FDE9"/>
          </w:tcPr>
          <w:p w14:paraId="51DE74BC" w14:textId="77777777" w:rsidR="00091690" w:rsidRPr="00091690" w:rsidRDefault="00091690" w:rsidP="00091690">
            <w:pPr>
              <w:spacing w:after="0"/>
              <w:rPr>
                <w:rFonts w:asciiTheme="minorHAnsi" w:hAnsiTheme="minorHAnsi" w:cstheme="minorHAnsi"/>
                <w:sz w:val="20"/>
              </w:rPr>
            </w:pPr>
            <w:r w:rsidRPr="00091690">
              <w:rPr>
                <w:rFonts w:asciiTheme="minorHAnsi" w:eastAsia="Calibri" w:hAnsiTheme="minorHAnsi" w:cstheme="minorHAnsi"/>
                <w:b/>
                <w:bCs/>
                <w:sz w:val="20"/>
              </w:rPr>
              <w:t>Inclusion/exclusion of alternative causes</w:t>
            </w:r>
          </w:p>
        </w:tc>
        <w:tc>
          <w:tcPr>
            <w:tcW w:w="3699" w:type="pct"/>
            <w:vAlign w:val="center"/>
          </w:tcPr>
          <w:p w14:paraId="5E31226B" w14:textId="0749A16F" w:rsidR="00091690" w:rsidRPr="00091690" w:rsidRDefault="00091690" w:rsidP="00091690">
            <w:pPr>
              <w:pStyle w:val="TableText"/>
              <w:rPr>
                <w:rFonts w:asciiTheme="minorHAnsi" w:hAnsiTheme="minorHAnsi" w:cstheme="minorHAnsi"/>
              </w:rPr>
            </w:pPr>
            <w:r w:rsidRPr="00091690">
              <w:rPr>
                <w:rFonts w:asciiTheme="minorHAnsi" w:hAnsiTheme="minorHAnsi" w:cstheme="minorHAnsi"/>
                <w:lang w:eastAsia="en-AU"/>
              </w:rPr>
              <w:t xml:space="preserve">Extensive diagnostic workup performed (laboratory, neurological, electrophysiological); no alternative causes identified in 7/8 patients; 1 patient had pre-existing neuropathy (uremia) with possible worsening due to B6. </w:t>
            </w:r>
            <w:hyperlink r:id="rId128" w:history="1"/>
          </w:p>
        </w:tc>
      </w:tr>
    </w:tbl>
    <w:p w14:paraId="5752DE9D" w14:textId="77777777" w:rsidR="00CC2D4D" w:rsidRPr="00091690" w:rsidRDefault="00CC2D4D" w:rsidP="00CC2D4D">
      <w:pPr>
        <w:rPr>
          <w:rFonts w:asciiTheme="minorHAnsi" w:eastAsia="Times New Roman" w:hAnsiTheme="minorHAnsi" w:cstheme="minorHAnsi"/>
          <w:b/>
          <w:bCs/>
          <w:sz w:val="20"/>
        </w:rPr>
      </w:pPr>
      <w:r w:rsidRPr="00091690">
        <w:rPr>
          <w:rFonts w:asciiTheme="minorHAnsi" w:eastAsia="Times New Roman" w:hAnsiTheme="minorHAnsi" w:cstheme="minorHAnsi"/>
          <w:b/>
          <w:bCs/>
          <w:sz w:val="20"/>
        </w:rPr>
        <w:t>Exposure</w:t>
      </w:r>
    </w:p>
    <w:tbl>
      <w:tblPr>
        <w:tblStyle w:val="SLROption1"/>
        <w:tblW w:w="5000" w:type="pct"/>
        <w:tblLook w:val="0000" w:firstRow="0" w:lastRow="0" w:firstColumn="0" w:lastColumn="0" w:noHBand="0" w:noVBand="0"/>
      </w:tblPr>
      <w:tblGrid>
        <w:gridCol w:w="3628"/>
        <w:gridCol w:w="10316"/>
      </w:tblGrid>
      <w:tr w:rsidR="00CC2D4D" w:rsidRPr="00091690" w14:paraId="1176C00C" w14:textId="77777777" w:rsidTr="00091690">
        <w:trPr>
          <w:cantSplit/>
          <w:tblHeader/>
        </w:trPr>
        <w:tc>
          <w:tcPr>
            <w:tcW w:w="1301" w:type="pct"/>
            <w:shd w:val="clear" w:color="auto" w:fill="3C533C"/>
          </w:tcPr>
          <w:p w14:paraId="21332167" w14:textId="77777777" w:rsidR="00CC2D4D" w:rsidRPr="00091690" w:rsidRDefault="00CC2D4D" w:rsidP="00983C71">
            <w:pPr>
              <w:spacing w:after="0"/>
              <w:rPr>
                <w:rFonts w:asciiTheme="minorHAnsi" w:hAnsiTheme="minorHAnsi" w:cstheme="minorHAnsi"/>
                <w:sz w:val="20"/>
              </w:rPr>
            </w:pPr>
            <w:r w:rsidRPr="00091690">
              <w:rPr>
                <w:rFonts w:asciiTheme="minorHAnsi" w:eastAsia="Calibri" w:hAnsiTheme="minorHAnsi" w:cstheme="minorHAnsi"/>
                <w:b/>
                <w:bCs/>
                <w:color w:val="FFFFFF"/>
                <w:sz w:val="20"/>
              </w:rPr>
              <w:t>Field</w:t>
            </w:r>
          </w:p>
        </w:tc>
        <w:tc>
          <w:tcPr>
            <w:tcW w:w="3699" w:type="pct"/>
            <w:shd w:val="clear" w:color="auto" w:fill="3C533C"/>
          </w:tcPr>
          <w:p w14:paraId="41952344" w14:textId="77777777" w:rsidR="00CC2D4D" w:rsidRPr="00091690" w:rsidRDefault="00CC2D4D" w:rsidP="00983C71">
            <w:pPr>
              <w:spacing w:after="0"/>
              <w:rPr>
                <w:rFonts w:asciiTheme="minorHAnsi" w:hAnsiTheme="minorHAnsi" w:cstheme="minorHAnsi"/>
                <w:sz w:val="20"/>
              </w:rPr>
            </w:pPr>
            <w:r w:rsidRPr="00091690">
              <w:rPr>
                <w:rFonts w:asciiTheme="minorHAnsi" w:eastAsia="Calibri" w:hAnsiTheme="minorHAnsi" w:cstheme="minorHAnsi"/>
                <w:b/>
                <w:bCs/>
                <w:color w:val="FFFFFF"/>
                <w:sz w:val="20"/>
              </w:rPr>
              <w:t>Extracted information</w:t>
            </w:r>
          </w:p>
        </w:tc>
      </w:tr>
      <w:tr w:rsidR="00091690" w:rsidRPr="00091690" w14:paraId="3C4E5743" w14:textId="77777777" w:rsidTr="00091690">
        <w:tc>
          <w:tcPr>
            <w:tcW w:w="1301" w:type="pct"/>
            <w:shd w:val="clear" w:color="auto" w:fill="F6FDE9"/>
          </w:tcPr>
          <w:p w14:paraId="13B245C2" w14:textId="77777777" w:rsidR="00091690" w:rsidRPr="00091690" w:rsidRDefault="00091690" w:rsidP="00091690">
            <w:pPr>
              <w:spacing w:after="0"/>
              <w:rPr>
                <w:rFonts w:asciiTheme="minorHAnsi" w:hAnsiTheme="minorHAnsi" w:cstheme="minorHAnsi"/>
                <w:sz w:val="20"/>
              </w:rPr>
            </w:pPr>
            <w:r w:rsidRPr="00091690">
              <w:rPr>
                <w:rFonts w:asciiTheme="minorHAnsi" w:eastAsia="Calibri" w:hAnsiTheme="minorHAnsi" w:cstheme="minorHAnsi"/>
                <w:b/>
                <w:bCs/>
                <w:sz w:val="20"/>
              </w:rPr>
              <w:t>Exposure characterisation – source</w:t>
            </w:r>
          </w:p>
        </w:tc>
        <w:tc>
          <w:tcPr>
            <w:tcW w:w="3699" w:type="pct"/>
            <w:vAlign w:val="center"/>
          </w:tcPr>
          <w:p w14:paraId="392ADC33" w14:textId="2EC2DC04" w:rsidR="00091690" w:rsidRPr="00091690" w:rsidRDefault="00091690" w:rsidP="00091690">
            <w:pPr>
              <w:pStyle w:val="TableText"/>
              <w:rPr>
                <w:rFonts w:asciiTheme="minorHAnsi" w:hAnsiTheme="minorHAnsi" w:cstheme="minorHAnsi"/>
              </w:rPr>
            </w:pPr>
            <w:r w:rsidRPr="00091690">
              <w:rPr>
                <w:rFonts w:asciiTheme="minorHAnsi" w:hAnsiTheme="minorHAnsi" w:cstheme="minorHAnsi"/>
                <w:lang w:eastAsia="en-AU"/>
              </w:rPr>
              <w:t xml:space="preserve">Vitamin B6 (pyridoxine) from supplements or multivitamin preparations (self-medication or prescribed). </w:t>
            </w:r>
            <w:hyperlink r:id="rId129" w:history="1"/>
          </w:p>
        </w:tc>
      </w:tr>
      <w:tr w:rsidR="00091690" w:rsidRPr="00091690" w14:paraId="1144DBBC" w14:textId="77777777" w:rsidTr="00091690">
        <w:tc>
          <w:tcPr>
            <w:tcW w:w="1301" w:type="pct"/>
            <w:shd w:val="clear" w:color="auto" w:fill="F6FDE9"/>
          </w:tcPr>
          <w:p w14:paraId="24766ACD" w14:textId="77777777" w:rsidR="00091690" w:rsidRPr="00091690" w:rsidRDefault="00091690" w:rsidP="00091690">
            <w:pPr>
              <w:spacing w:after="0"/>
              <w:rPr>
                <w:rFonts w:asciiTheme="minorHAnsi" w:hAnsiTheme="minorHAnsi" w:cstheme="minorHAnsi"/>
                <w:sz w:val="20"/>
              </w:rPr>
            </w:pPr>
            <w:r w:rsidRPr="00091690">
              <w:rPr>
                <w:rFonts w:asciiTheme="minorHAnsi" w:eastAsia="Calibri" w:hAnsiTheme="minorHAnsi" w:cstheme="minorHAnsi"/>
                <w:b/>
                <w:bCs/>
                <w:sz w:val="20"/>
              </w:rPr>
              <w:t>Exposure characterisation – dose</w:t>
            </w:r>
          </w:p>
        </w:tc>
        <w:tc>
          <w:tcPr>
            <w:tcW w:w="3699" w:type="pct"/>
            <w:vAlign w:val="center"/>
          </w:tcPr>
          <w:p w14:paraId="6DEBFC8F" w14:textId="047F643E" w:rsidR="00091690" w:rsidRPr="00091690" w:rsidRDefault="00091690" w:rsidP="00091690">
            <w:pPr>
              <w:pStyle w:val="TableText"/>
              <w:rPr>
                <w:rFonts w:asciiTheme="minorHAnsi" w:hAnsiTheme="minorHAnsi" w:cstheme="minorHAnsi"/>
              </w:rPr>
            </w:pPr>
            <w:r w:rsidRPr="00091690">
              <w:rPr>
                <w:rFonts w:asciiTheme="minorHAnsi" w:hAnsiTheme="minorHAnsi" w:cstheme="minorHAnsi"/>
                <w:lang w:eastAsia="en-AU"/>
              </w:rPr>
              <w:t xml:space="preserve">Variable; examples include long-term intake of ~10 mg/day for 13 years and unspecified higher-dose polyvitamin use; some cases involved chronic high intake via multiple supplements </w:t>
            </w:r>
            <w:hyperlink r:id="rId130" w:history="1"/>
          </w:p>
        </w:tc>
      </w:tr>
      <w:tr w:rsidR="00091690" w:rsidRPr="00091690" w14:paraId="4558CDEE" w14:textId="77777777" w:rsidTr="00091690">
        <w:tc>
          <w:tcPr>
            <w:tcW w:w="1301" w:type="pct"/>
            <w:shd w:val="clear" w:color="auto" w:fill="F6FDE9"/>
          </w:tcPr>
          <w:p w14:paraId="19AE706C" w14:textId="77777777" w:rsidR="00091690" w:rsidRPr="00091690" w:rsidRDefault="00091690" w:rsidP="00091690">
            <w:pPr>
              <w:spacing w:after="0"/>
              <w:rPr>
                <w:rFonts w:asciiTheme="minorHAnsi" w:hAnsiTheme="minorHAnsi" w:cstheme="minorHAnsi"/>
                <w:sz w:val="20"/>
              </w:rPr>
            </w:pPr>
            <w:r w:rsidRPr="00091690">
              <w:rPr>
                <w:rFonts w:asciiTheme="minorHAnsi" w:eastAsia="Calibri" w:hAnsiTheme="minorHAnsi" w:cstheme="minorHAnsi"/>
                <w:b/>
                <w:bCs/>
                <w:sz w:val="20"/>
              </w:rPr>
              <w:t>Biomarker of exposure</w:t>
            </w:r>
          </w:p>
        </w:tc>
        <w:tc>
          <w:tcPr>
            <w:tcW w:w="3699" w:type="pct"/>
            <w:vAlign w:val="center"/>
          </w:tcPr>
          <w:p w14:paraId="541BB0C1" w14:textId="26354962" w:rsidR="00091690" w:rsidRPr="00091690" w:rsidRDefault="00091690" w:rsidP="00091690">
            <w:pPr>
              <w:pStyle w:val="TableText"/>
              <w:rPr>
                <w:rFonts w:asciiTheme="minorHAnsi" w:hAnsiTheme="minorHAnsi" w:cstheme="minorHAnsi"/>
              </w:rPr>
            </w:pPr>
            <w:r w:rsidRPr="00091690">
              <w:rPr>
                <w:rFonts w:asciiTheme="minorHAnsi" w:hAnsiTheme="minorHAnsi" w:cstheme="minorHAnsi"/>
                <w:lang w:eastAsia="en-AU"/>
              </w:rPr>
              <w:t xml:space="preserve">Serum vitamin B6 levels elevated in all patients; e.g. up to 373.6 µg/L (reference 3.6–18.0 µg/L) </w:t>
            </w:r>
            <w:hyperlink r:id="rId131" w:history="1"/>
          </w:p>
        </w:tc>
      </w:tr>
      <w:tr w:rsidR="00091690" w:rsidRPr="00091690" w14:paraId="068FAA54" w14:textId="77777777" w:rsidTr="00091690">
        <w:tc>
          <w:tcPr>
            <w:tcW w:w="1301" w:type="pct"/>
            <w:shd w:val="clear" w:color="auto" w:fill="F6FDE9"/>
          </w:tcPr>
          <w:p w14:paraId="7AE0F9ED" w14:textId="77777777" w:rsidR="00091690" w:rsidRPr="00091690" w:rsidRDefault="00091690" w:rsidP="00091690">
            <w:pPr>
              <w:spacing w:after="0"/>
              <w:rPr>
                <w:rFonts w:asciiTheme="minorHAnsi" w:hAnsiTheme="minorHAnsi" w:cstheme="minorHAnsi"/>
                <w:sz w:val="20"/>
              </w:rPr>
            </w:pPr>
            <w:r w:rsidRPr="00091690">
              <w:rPr>
                <w:rFonts w:asciiTheme="minorHAnsi" w:eastAsia="Calibri" w:hAnsiTheme="minorHAnsi" w:cstheme="minorHAnsi"/>
                <w:b/>
                <w:bCs/>
                <w:sz w:val="20"/>
              </w:rPr>
              <w:t>Duration of exposure</w:t>
            </w:r>
          </w:p>
        </w:tc>
        <w:tc>
          <w:tcPr>
            <w:tcW w:w="3699" w:type="pct"/>
            <w:vAlign w:val="center"/>
          </w:tcPr>
          <w:p w14:paraId="23E0EA77" w14:textId="654D0A8B" w:rsidR="00091690" w:rsidRPr="00091690" w:rsidRDefault="00091690" w:rsidP="00091690">
            <w:pPr>
              <w:pStyle w:val="TableText"/>
              <w:rPr>
                <w:rFonts w:asciiTheme="minorHAnsi" w:hAnsiTheme="minorHAnsi" w:cstheme="minorHAnsi"/>
              </w:rPr>
            </w:pPr>
            <w:r w:rsidRPr="00091690">
              <w:rPr>
                <w:rFonts w:asciiTheme="minorHAnsi" w:hAnsiTheme="minorHAnsi" w:cstheme="minorHAnsi"/>
                <w:lang w:eastAsia="en-AU"/>
              </w:rPr>
              <w:t xml:space="preserve">Long-term exposure (years to &gt;10 years in several cases) </w:t>
            </w:r>
            <w:hyperlink r:id="rId132" w:history="1"/>
          </w:p>
        </w:tc>
      </w:tr>
    </w:tbl>
    <w:p w14:paraId="50861CD9" w14:textId="77777777" w:rsidR="00CC2D4D" w:rsidRPr="00091690" w:rsidRDefault="00CC2D4D" w:rsidP="00CC2D4D">
      <w:pPr>
        <w:rPr>
          <w:rFonts w:asciiTheme="minorHAnsi" w:eastAsia="Times New Roman" w:hAnsiTheme="minorHAnsi" w:cstheme="minorHAnsi"/>
          <w:b/>
          <w:bCs/>
          <w:sz w:val="20"/>
        </w:rPr>
      </w:pPr>
      <w:r w:rsidRPr="00091690">
        <w:rPr>
          <w:rFonts w:asciiTheme="minorHAnsi" w:eastAsia="Times New Roman" w:hAnsiTheme="minorHAnsi" w:cstheme="minorHAnsi"/>
          <w:b/>
          <w:bCs/>
          <w:sz w:val="20"/>
        </w:rPr>
        <w:lastRenderedPageBreak/>
        <w:t>Outcomes</w:t>
      </w:r>
    </w:p>
    <w:tbl>
      <w:tblPr>
        <w:tblStyle w:val="SLROption1"/>
        <w:tblW w:w="5000" w:type="pct"/>
        <w:tblLook w:val="0000" w:firstRow="0" w:lastRow="0" w:firstColumn="0" w:lastColumn="0" w:noHBand="0" w:noVBand="0"/>
      </w:tblPr>
      <w:tblGrid>
        <w:gridCol w:w="3628"/>
        <w:gridCol w:w="10316"/>
      </w:tblGrid>
      <w:tr w:rsidR="00CC2D4D" w:rsidRPr="00091690" w14:paraId="5296652F" w14:textId="77777777" w:rsidTr="00091690">
        <w:tc>
          <w:tcPr>
            <w:tcW w:w="1301" w:type="pct"/>
            <w:shd w:val="clear" w:color="auto" w:fill="3C533C"/>
          </w:tcPr>
          <w:p w14:paraId="440DA3D9" w14:textId="77777777" w:rsidR="00CC2D4D" w:rsidRPr="00091690" w:rsidRDefault="00CC2D4D" w:rsidP="00983C71">
            <w:pPr>
              <w:spacing w:after="0"/>
              <w:rPr>
                <w:rFonts w:asciiTheme="minorHAnsi" w:hAnsiTheme="minorHAnsi" w:cstheme="minorHAnsi"/>
                <w:sz w:val="20"/>
              </w:rPr>
            </w:pPr>
            <w:r w:rsidRPr="00091690">
              <w:rPr>
                <w:rFonts w:asciiTheme="minorHAnsi" w:eastAsia="Calibri" w:hAnsiTheme="minorHAnsi" w:cstheme="minorHAnsi"/>
                <w:b/>
                <w:bCs/>
                <w:color w:val="FFFFFF"/>
                <w:sz w:val="20"/>
              </w:rPr>
              <w:t>Field</w:t>
            </w:r>
          </w:p>
        </w:tc>
        <w:tc>
          <w:tcPr>
            <w:tcW w:w="3699" w:type="pct"/>
            <w:shd w:val="clear" w:color="auto" w:fill="3C533C"/>
          </w:tcPr>
          <w:p w14:paraId="5A538EB4" w14:textId="77777777" w:rsidR="00CC2D4D" w:rsidRPr="00091690" w:rsidRDefault="00CC2D4D" w:rsidP="00983C71">
            <w:pPr>
              <w:spacing w:after="0"/>
              <w:rPr>
                <w:rFonts w:asciiTheme="minorHAnsi" w:hAnsiTheme="minorHAnsi" w:cstheme="minorHAnsi"/>
                <w:sz w:val="20"/>
              </w:rPr>
            </w:pPr>
            <w:r w:rsidRPr="00091690">
              <w:rPr>
                <w:rFonts w:asciiTheme="minorHAnsi" w:eastAsia="Calibri" w:hAnsiTheme="minorHAnsi" w:cstheme="minorHAnsi"/>
                <w:b/>
                <w:bCs/>
                <w:color w:val="FFFFFF"/>
                <w:sz w:val="20"/>
              </w:rPr>
              <w:t>Extracted information</w:t>
            </w:r>
          </w:p>
        </w:tc>
      </w:tr>
      <w:tr w:rsidR="00091690" w:rsidRPr="00091690" w14:paraId="42DB76E1" w14:textId="77777777" w:rsidTr="00091690">
        <w:tc>
          <w:tcPr>
            <w:tcW w:w="1301" w:type="pct"/>
            <w:shd w:val="clear" w:color="auto" w:fill="F6FDE9"/>
          </w:tcPr>
          <w:p w14:paraId="6EB49516" w14:textId="77777777" w:rsidR="00091690" w:rsidRPr="00091690" w:rsidRDefault="00091690" w:rsidP="00091690">
            <w:pPr>
              <w:spacing w:after="0"/>
              <w:rPr>
                <w:rFonts w:asciiTheme="minorHAnsi" w:hAnsiTheme="minorHAnsi" w:cstheme="minorHAnsi"/>
                <w:sz w:val="20"/>
              </w:rPr>
            </w:pPr>
            <w:r w:rsidRPr="00091690">
              <w:rPr>
                <w:rFonts w:asciiTheme="minorHAnsi" w:eastAsia="Calibri" w:hAnsiTheme="minorHAnsi" w:cstheme="minorHAnsi"/>
                <w:b/>
                <w:bCs/>
                <w:sz w:val="20"/>
              </w:rPr>
              <w:t>Primary outcome</w:t>
            </w:r>
          </w:p>
        </w:tc>
        <w:tc>
          <w:tcPr>
            <w:tcW w:w="3699" w:type="pct"/>
            <w:vAlign w:val="center"/>
          </w:tcPr>
          <w:p w14:paraId="20C8651B" w14:textId="56E4D094" w:rsidR="00091690" w:rsidRPr="00091690" w:rsidRDefault="00091690" w:rsidP="00091690">
            <w:pPr>
              <w:pStyle w:val="TableText"/>
              <w:rPr>
                <w:rFonts w:asciiTheme="minorHAnsi" w:hAnsiTheme="minorHAnsi" w:cstheme="minorHAnsi"/>
              </w:rPr>
            </w:pPr>
            <w:r w:rsidRPr="00091690">
              <w:rPr>
                <w:rFonts w:asciiTheme="minorHAnsi" w:hAnsiTheme="minorHAnsi" w:cstheme="minorHAnsi"/>
                <w:lang w:eastAsia="en-AU"/>
              </w:rPr>
              <w:t>Sensorimotor polyneuropathy associated with vitamin B6 hypervitaminosis</w:t>
            </w:r>
          </w:p>
        </w:tc>
      </w:tr>
      <w:tr w:rsidR="00091690" w:rsidRPr="00091690" w14:paraId="2E9606F2" w14:textId="77777777" w:rsidTr="00091690">
        <w:tc>
          <w:tcPr>
            <w:tcW w:w="1301" w:type="pct"/>
            <w:shd w:val="clear" w:color="auto" w:fill="F6FDE9"/>
          </w:tcPr>
          <w:p w14:paraId="786C66CF" w14:textId="77777777" w:rsidR="00091690" w:rsidRPr="00091690" w:rsidRDefault="00091690" w:rsidP="00091690">
            <w:pPr>
              <w:spacing w:after="0"/>
              <w:rPr>
                <w:rFonts w:asciiTheme="minorHAnsi" w:hAnsiTheme="minorHAnsi" w:cstheme="minorHAnsi"/>
                <w:sz w:val="20"/>
              </w:rPr>
            </w:pPr>
            <w:r w:rsidRPr="00091690">
              <w:rPr>
                <w:rFonts w:asciiTheme="minorHAnsi" w:eastAsia="Calibri" w:hAnsiTheme="minorHAnsi" w:cstheme="minorHAnsi"/>
                <w:b/>
                <w:bCs/>
                <w:sz w:val="20"/>
              </w:rPr>
              <w:t>Outcome assessment – clinical examination</w:t>
            </w:r>
          </w:p>
        </w:tc>
        <w:tc>
          <w:tcPr>
            <w:tcW w:w="3699" w:type="pct"/>
            <w:vAlign w:val="center"/>
          </w:tcPr>
          <w:p w14:paraId="71B10191" w14:textId="579A5D72" w:rsidR="00091690" w:rsidRPr="00091690" w:rsidRDefault="00091690" w:rsidP="00091690">
            <w:pPr>
              <w:pStyle w:val="TableText"/>
              <w:rPr>
                <w:rFonts w:asciiTheme="minorHAnsi" w:hAnsiTheme="minorHAnsi" w:cstheme="minorHAnsi"/>
              </w:rPr>
            </w:pPr>
            <w:r w:rsidRPr="00091690">
              <w:rPr>
                <w:rFonts w:asciiTheme="minorHAnsi" w:hAnsiTheme="minorHAnsi" w:cstheme="minorHAnsi"/>
                <w:lang w:eastAsia="en-AU"/>
              </w:rPr>
              <w:t xml:space="preserve">Neurological exam showing sensory deficits (loss of vibration sense, distal sensory loss, atactic gait in some patients) </w:t>
            </w:r>
            <w:hyperlink r:id="rId133" w:history="1"/>
          </w:p>
        </w:tc>
      </w:tr>
      <w:tr w:rsidR="00091690" w:rsidRPr="00091690" w14:paraId="411E170F" w14:textId="77777777" w:rsidTr="00091690">
        <w:tc>
          <w:tcPr>
            <w:tcW w:w="1301" w:type="pct"/>
            <w:shd w:val="clear" w:color="auto" w:fill="F6FDE9"/>
          </w:tcPr>
          <w:p w14:paraId="4C9541B6" w14:textId="77777777" w:rsidR="00091690" w:rsidRPr="00091690" w:rsidRDefault="00091690" w:rsidP="00091690">
            <w:pPr>
              <w:spacing w:after="0"/>
              <w:rPr>
                <w:rFonts w:asciiTheme="minorHAnsi" w:hAnsiTheme="minorHAnsi" w:cstheme="minorHAnsi"/>
                <w:sz w:val="20"/>
              </w:rPr>
            </w:pPr>
            <w:r w:rsidRPr="00091690">
              <w:rPr>
                <w:rFonts w:asciiTheme="minorHAnsi" w:eastAsia="Calibri" w:hAnsiTheme="minorHAnsi" w:cstheme="minorHAnsi"/>
                <w:b/>
                <w:bCs/>
                <w:sz w:val="20"/>
              </w:rPr>
              <w:t>Outcome assessment – objective testing</w:t>
            </w:r>
          </w:p>
        </w:tc>
        <w:tc>
          <w:tcPr>
            <w:tcW w:w="3699" w:type="pct"/>
            <w:vAlign w:val="center"/>
          </w:tcPr>
          <w:p w14:paraId="1506CE1E" w14:textId="57FFCE48" w:rsidR="00091690" w:rsidRPr="00091690" w:rsidRDefault="00091690" w:rsidP="00091690">
            <w:pPr>
              <w:pStyle w:val="TableText"/>
              <w:rPr>
                <w:rFonts w:asciiTheme="minorHAnsi" w:hAnsiTheme="minorHAnsi" w:cstheme="minorHAnsi"/>
              </w:rPr>
            </w:pPr>
            <w:r w:rsidRPr="00091690">
              <w:rPr>
                <w:rFonts w:asciiTheme="minorHAnsi" w:hAnsiTheme="minorHAnsi" w:cstheme="minorHAnsi"/>
                <w:lang w:eastAsia="en-AU"/>
              </w:rPr>
              <w:t xml:space="preserve">Nerve conduction studies (NCS), electromyography (EMG), laboratory testing including vitamin levels </w:t>
            </w:r>
            <w:hyperlink r:id="rId134" w:history="1"/>
          </w:p>
        </w:tc>
      </w:tr>
      <w:tr w:rsidR="00091690" w:rsidRPr="00091690" w14:paraId="7FDBCD37" w14:textId="77777777" w:rsidTr="00091690">
        <w:tc>
          <w:tcPr>
            <w:tcW w:w="1301" w:type="pct"/>
            <w:shd w:val="clear" w:color="auto" w:fill="F6FDE9"/>
          </w:tcPr>
          <w:p w14:paraId="3A678333" w14:textId="77777777" w:rsidR="00091690" w:rsidRPr="00091690" w:rsidRDefault="00091690" w:rsidP="00091690">
            <w:pPr>
              <w:spacing w:after="0"/>
              <w:rPr>
                <w:rFonts w:asciiTheme="minorHAnsi" w:hAnsiTheme="minorHAnsi" w:cstheme="minorHAnsi"/>
                <w:sz w:val="20"/>
              </w:rPr>
            </w:pPr>
            <w:r w:rsidRPr="00091690">
              <w:rPr>
                <w:rFonts w:asciiTheme="minorHAnsi" w:eastAsia="Calibri" w:hAnsiTheme="minorHAnsi" w:cstheme="minorHAnsi"/>
                <w:b/>
                <w:bCs/>
                <w:sz w:val="20"/>
              </w:rPr>
              <w:t>Outcome assessment – tools used</w:t>
            </w:r>
          </w:p>
        </w:tc>
        <w:tc>
          <w:tcPr>
            <w:tcW w:w="3699" w:type="pct"/>
            <w:vAlign w:val="center"/>
          </w:tcPr>
          <w:p w14:paraId="302112D2" w14:textId="0B998144" w:rsidR="00091690" w:rsidRPr="00091690" w:rsidRDefault="00091690" w:rsidP="00091690">
            <w:pPr>
              <w:pStyle w:val="TableText"/>
              <w:rPr>
                <w:rFonts w:asciiTheme="minorHAnsi" w:hAnsiTheme="minorHAnsi" w:cstheme="minorHAnsi"/>
              </w:rPr>
            </w:pPr>
            <w:r w:rsidRPr="00091690">
              <w:rPr>
                <w:rFonts w:asciiTheme="minorHAnsi" w:hAnsiTheme="minorHAnsi" w:cstheme="minorHAnsi"/>
                <w:lang w:eastAsia="en-AU"/>
              </w:rPr>
              <w:t xml:space="preserve">Sensory and motor nerve conduction studies; EMG; blood tests including B6, B12, B1, methylmalonic acid </w:t>
            </w:r>
            <w:hyperlink r:id="rId135" w:history="1"/>
          </w:p>
        </w:tc>
      </w:tr>
      <w:tr w:rsidR="00091690" w:rsidRPr="00091690" w14:paraId="0455D7C5" w14:textId="77777777" w:rsidTr="00091690">
        <w:tc>
          <w:tcPr>
            <w:tcW w:w="1301" w:type="pct"/>
            <w:shd w:val="clear" w:color="auto" w:fill="F6FDE9"/>
          </w:tcPr>
          <w:p w14:paraId="2E5CA966" w14:textId="77777777" w:rsidR="00091690" w:rsidRPr="00091690" w:rsidRDefault="00091690" w:rsidP="00091690">
            <w:pPr>
              <w:spacing w:after="0"/>
              <w:rPr>
                <w:rFonts w:asciiTheme="minorHAnsi" w:hAnsiTheme="minorHAnsi" w:cstheme="minorHAnsi"/>
                <w:sz w:val="20"/>
              </w:rPr>
            </w:pPr>
            <w:r w:rsidRPr="00091690">
              <w:rPr>
                <w:rFonts w:asciiTheme="minorHAnsi" w:eastAsia="Calibri" w:hAnsiTheme="minorHAnsi" w:cstheme="minorHAnsi"/>
                <w:b/>
                <w:bCs/>
                <w:sz w:val="20"/>
              </w:rPr>
              <w:t>Response to withdrawal</w:t>
            </w:r>
          </w:p>
        </w:tc>
        <w:tc>
          <w:tcPr>
            <w:tcW w:w="3699" w:type="pct"/>
            <w:vAlign w:val="center"/>
          </w:tcPr>
          <w:p w14:paraId="33DB6F9E" w14:textId="1B00D0C4" w:rsidR="00091690" w:rsidRPr="00091690" w:rsidRDefault="00091690" w:rsidP="00091690">
            <w:pPr>
              <w:pStyle w:val="TableText"/>
              <w:rPr>
                <w:rFonts w:asciiTheme="minorHAnsi" w:hAnsiTheme="minorHAnsi" w:cstheme="minorHAnsi"/>
              </w:rPr>
            </w:pPr>
            <w:r w:rsidRPr="00091690">
              <w:rPr>
                <w:rFonts w:asciiTheme="minorHAnsi" w:hAnsiTheme="minorHAnsi" w:cstheme="minorHAnsi"/>
                <w:lang w:eastAsia="en-AU"/>
              </w:rPr>
              <w:t xml:space="preserve">In at least one patient, neurological improvement observed after discontinuation of vitamin B6; in others, symptoms persisted or only partially improved </w:t>
            </w:r>
            <w:hyperlink r:id="rId136" w:history="1"/>
          </w:p>
        </w:tc>
      </w:tr>
    </w:tbl>
    <w:p w14:paraId="6C434C19" w14:textId="77777777" w:rsidR="00CC2D4D" w:rsidRPr="00091690" w:rsidRDefault="00CC2D4D" w:rsidP="00CC2D4D">
      <w:pPr>
        <w:rPr>
          <w:rFonts w:asciiTheme="minorHAnsi" w:eastAsia="Times New Roman" w:hAnsiTheme="minorHAnsi" w:cstheme="minorHAnsi"/>
          <w:b/>
          <w:bCs/>
          <w:sz w:val="20"/>
        </w:rPr>
      </w:pPr>
      <w:r w:rsidRPr="00091690">
        <w:rPr>
          <w:rFonts w:asciiTheme="minorHAnsi" w:eastAsia="Times New Roman" w:hAnsiTheme="minorHAnsi" w:cstheme="minorHAnsi"/>
          <w:b/>
          <w:bCs/>
          <w:sz w:val="20"/>
        </w:rPr>
        <w:t>Results and Conclusions</w:t>
      </w:r>
    </w:p>
    <w:tbl>
      <w:tblPr>
        <w:tblStyle w:val="SLROption1"/>
        <w:tblW w:w="5000" w:type="pct"/>
        <w:tblLook w:val="0000" w:firstRow="0" w:lastRow="0" w:firstColumn="0" w:lastColumn="0" w:noHBand="0" w:noVBand="0"/>
      </w:tblPr>
      <w:tblGrid>
        <w:gridCol w:w="3628"/>
        <w:gridCol w:w="10316"/>
      </w:tblGrid>
      <w:tr w:rsidR="00CC2D4D" w:rsidRPr="00091690" w14:paraId="789E4265" w14:textId="77777777" w:rsidTr="00091690">
        <w:trPr>
          <w:cantSplit/>
          <w:tblHeader/>
        </w:trPr>
        <w:tc>
          <w:tcPr>
            <w:tcW w:w="1301" w:type="pct"/>
            <w:shd w:val="clear" w:color="auto" w:fill="3C533C"/>
          </w:tcPr>
          <w:p w14:paraId="6CCB4960" w14:textId="77777777" w:rsidR="00CC2D4D" w:rsidRPr="00091690" w:rsidRDefault="00CC2D4D" w:rsidP="00983C71">
            <w:pPr>
              <w:spacing w:after="0"/>
              <w:rPr>
                <w:rFonts w:asciiTheme="minorHAnsi" w:hAnsiTheme="minorHAnsi" w:cstheme="minorHAnsi"/>
                <w:sz w:val="20"/>
              </w:rPr>
            </w:pPr>
            <w:r w:rsidRPr="00091690">
              <w:rPr>
                <w:rFonts w:asciiTheme="minorHAnsi" w:eastAsia="Calibri" w:hAnsiTheme="minorHAnsi" w:cstheme="minorHAnsi"/>
                <w:b/>
                <w:bCs/>
                <w:color w:val="FFFFFF"/>
                <w:sz w:val="20"/>
              </w:rPr>
              <w:t>Field</w:t>
            </w:r>
          </w:p>
        </w:tc>
        <w:tc>
          <w:tcPr>
            <w:tcW w:w="3699" w:type="pct"/>
            <w:shd w:val="clear" w:color="auto" w:fill="3C533C"/>
          </w:tcPr>
          <w:p w14:paraId="4DCAD01A" w14:textId="77777777" w:rsidR="00CC2D4D" w:rsidRPr="00091690" w:rsidRDefault="00CC2D4D" w:rsidP="00983C71">
            <w:pPr>
              <w:spacing w:after="0"/>
              <w:rPr>
                <w:rFonts w:asciiTheme="minorHAnsi" w:hAnsiTheme="minorHAnsi" w:cstheme="minorHAnsi"/>
                <w:sz w:val="20"/>
              </w:rPr>
            </w:pPr>
            <w:r w:rsidRPr="00091690">
              <w:rPr>
                <w:rFonts w:asciiTheme="minorHAnsi" w:eastAsia="Calibri" w:hAnsiTheme="minorHAnsi" w:cstheme="minorHAnsi"/>
                <w:b/>
                <w:bCs/>
                <w:color w:val="FFFFFF"/>
                <w:sz w:val="20"/>
              </w:rPr>
              <w:t>Extracted information</w:t>
            </w:r>
          </w:p>
        </w:tc>
      </w:tr>
      <w:tr w:rsidR="00091690" w:rsidRPr="00091690" w14:paraId="6D20ACE4" w14:textId="77777777" w:rsidTr="00091690">
        <w:trPr>
          <w:cantSplit/>
        </w:trPr>
        <w:tc>
          <w:tcPr>
            <w:tcW w:w="1301" w:type="pct"/>
            <w:shd w:val="clear" w:color="auto" w:fill="F6FDE9"/>
          </w:tcPr>
          <w:p w14:paraId="6A660B6F" w14:textId="77777777" w:rsidR="00091690" w:rsidRPr="00091690" w:rsidRDefault="00091690" w:rsidP="00091690">
            <w:pPr>
              <w:spacing w:after="0"/>
              <w:rPr>
                <w:rFonts w:asciiTheme="minorHAnsi" w:hAnsiTheme="minorHAnsi" w:cstheme="minorHAnsi"/>
                <w:sz w:val="20"/>
              </w:rPr>
            </w:pPr>
            <w:r w:rsidRPr="00091690">
              <w:rPr>
                <w:rFonts w:asciiTheme="minorHAnsi" w:eastAsia="Calibri" w:hAnsiTheme="minorHAnsi" w:cstheme="minorHAnsi"/>
                <w:b/>
                <w:bCs/>
                <w:sz w:val="20"/>
              </w:rPr>
              <w:t>Main results</w:t>
            </w:r>
          </w:p>
        </w:tc>
        <w:tc>
          <w:tcPr>
            <w:tcW w:w="3699" w:type="pct"/>
            <w:vAlign w:val="center"/>
          </w:tcPr>
          <w:p w14:paraId="67D18D25" w14:textId="0955B87D" w:rsidR="00091690" w:rsidRPr="00091690" w:rsidRDefault="00091690" w:rsidP="00091690">
            <w:pPr>
              <w:pStyle w:val="TableText"/>
              <w:rPr>
                <w:rFonts w:asciiTheme="minorHAnsi" w:hAnsiTheme="minorHAnsi" w:cstheme="minorHAnsi"/>
              </w:rPr>
            </w:pPr>
            <w:r w:rsidRPr="00091690">
              <w:rPr>
                <w:rFonts w:asciiTheme="minorHAnsi" w:hAnsiTheme="minorHAnsi" w:cstheme="minorHAnsi"/>
                <w:lang w:eastAsia="en-AU"/>
              </w:rPr>
              <w:t xml:space="preserve">7/8 patients developed sensorimotor polyneuropathy attributed to vitamin B6 hypervitaminosis; all patients had elevated serum B6; even modest elevations associated with motor nerve involvement </w:t>
            </w:r>
            <w:hyperlink r:id="rId137" w:history="1"/>
          </w:p>
        </w:tc>
      </w:tr>
      <w:tr w:rsidR="00091690" w:rsidRPr="00091690" w14:paraId="4BF48A6B" w14:textId="77777777" w:rsidTr="00091690">
        <w:trPr>
          <w:cantSplit/>
        </w:trPr>
        <w:tc>
          <w:tcPr>
            <w:tcW w:w="1301" w:type="pct"/>
            <w:shd w:val="clear" w:color="auto" w:fill="F6FDE9"/>
          </w:tcPr>
          <w:p w14:paraId="1995889D" w14:textId="77777777" w:rsidR="00091690" w:rsidRPr="00091690" w:rsidRDefault="00091690" w:rsidP="00091690">
            <w:pPr>
              <w:spacing w:after="0"/>
              <w:rPr>
                <w:rFonts w:asciiTheme="minorHAnsi" w:eastAsia="Calibri" w:hAnsiTheme="minorHAnsi" w:cstheme="minorHAnsi"/>
                <w:b/>
                <w:bCs/>
                <w:sz w:val="20"/>
              </w:rPr>
            </w:pPr>
            <w:r w:rsidRPr="00091690">
              <w:rPr>
                <w:rFonts w:asciiTheme="minorHAnsi" w:eastAsia="Calibri" w:hAnsiTheme="minorHAnsi" w:cstheme="minorHAnsi"/>
                <w:b/>
                <w:bCs/>
                <w:sz w:val="20"/>
              </w:rPr>
              <w:t>Authors' conclusions</w:t>
            </w:r>
          </w:p>
        </w:tc>
        <w:tc>
          <w:tcPr>
            <w:tcW w:w="3699" w:type="pct"/>
            <w:vAlign w:val="center"/>
          </w:tcPr>
          <w:p w14:paraId="18A6A429" w14:textId="38933940" w:rsidR="00091690" w:rsidRPr="00091690" w:rsidRDefault="00091690" w:rsidP="00091690">
            <w:pPr>
              <w:pStyle w:val="TableText"/>
              <w:rPr>
                <w:rFonts w:asciiTheme="minorHAnsi" w:hAnsiTheme="minorHAnsi" w:cstheme="minorHAnsi"/>
              </w:rPr>
            </w:pPr>
            <w:r w:rsidRPr="00091690">
              <w:rPr>
                <w:rFonts w:asciiTheme="minorHAnsi" w:hAnsiTheme="minorHAnsi" w:cstheme="minorHAnsi"/>
                <w:lang w:eastAsia="en-AU"/>
              </w:rPr>
              <w:t xml:space="preserve">Vitamin B6-induced polyneuropathy is a significant and under-recognised problem; often due to self-medication; even relatively low or “acceptable” supplement doses may be harmful; increased awareness and monitoring are needed </w:t>
            </w:r>
            <w:hyperlink r:id="rId138" w:history="1"/>
          </w:p>
        </w:tc>
      </w:tr>
      <w:tr w:rsidR="00091690" w:rsidRPr="00091690" w14:paraId="377432EA" w14:textId="77777777" w:rsidTr="00091690">
        <w:trPr>
          <w:cantSplit/>
        </w:trPr>
        <w:tc>
          <w:tcPr>
            <w:tcW w:w="1301" w:type="pct"/>
            <w:shd w:val="clear" w:color="auto" w:fill="F6FDE9" w:themeFill="accent5" w:themeFillTint="33"/>
            <w:vAlign w:val="center"/>
          </w:tcPr>
          <w:p w14:paraId="7F6EF652" w14:textId="77777777" w:rsidR="00091690" w:rsidRPr="00091690" w:rsidRDefault="00091690" w:rsidP="00091690">
            <w:pPr>
              <w:spacing w:after="0"/>
              <w:rPr>
                <w:rFonts w:asciiTheme="minorHAnsi" w:eastAsia="Calibri" w:hAnsiTheme="minorHAnsi" w:cstheme="minorHAnsi"/>
                <w:b/>
                <w:bCs/>
                <w:sz w:val="20"/>
              </w:rPr>
            </w:pPr>
            <w:r w:rsidRPr="00091690">
              <w:rPr>
                <w:rFonts w:asciiTheme="minorHAnsi" w:hAnsiTheme="minorHAnsi" w:cstheme="minorHAnsi"/>
                <w:b/>
                <w:bCs/>
                <w:sz w:val="20"/>
                <w:lang w:eastAsia="en-AU"/>
              </w:rPr>
              <w:t>Authors' acknowledged limitations</w:t>
            </w:r>
          </w:p>
        </w:tc>
        <w:tc>
          <w:tcPr>
            <w:tcW w:w="3699" w:type="pct"/>
            <w:vAlign w:val="center"/>
          </w:tcPr>
          <w:p w14:paraId="5EECA49E" w14:textId="49A3FB48" w:rsidR="00091690" w:rsidRPr="00091690" w:rsidRDefault="00091690" w:rsidP="00091690">
            <w:pPr>
              <w:pStyle w:val="TableText"/>
              <w:rPr>
                <w:rFonts w:asciiTheme="minorHAnsi" w:hAnsiTheme="minorHAnsi" w:cstheme="minorHAnsi"/>
              </w:rPr>
            </w:pPr>
            <w:r w:rsidRPr="00091690">
              <w:rPr>
                <w:rFonts w:asciiTheme="minorHAnsi" w:hAnsiTheme="minorHAnsi" w:cstheme="minorHAnsi"/>
                <w:lang w:eastAsia="en-AU"/>
              </w:rPr>
              <w:t>Small sample size; case series design; reliance on observational data; limited ability to quantify exact doses and causality</w:t>
            </w:r>
          </w:p>
        </w:tc>
      </w:tr>
    </w:tbl>
    <w:p w14:paraId="7FD21BF6" w14:textId="77777777" w:rsidR="00CC2D4D" w:rsidRPr="00091690" w:rsidRDefault="00CC2D4D" w:rsidP="00CC2D4D">
      <w:pPr>
        <w:rPr>
          <w:rFonts w:asciiTheme="minorHAnsi" w:eastAsia="Times New Roman" w:hAnsiTheme="minorHAnsi" w:cstheme="minorHAnsi"/>
          <w:b/>
          <w:bCs/>
          <w:sz w:val="20"/>
        </w:rPr>
      </w:pPr>
      <w:r w:rsidRPr="00091690">
        <w:rPr>
          <w:rFonts w:asciiTheme="minorHAnsi" w:eastAsia="Times New Roman" w:hAnsiTheme="minorHAnsi" w:cstheme="minorHAnsi"/>
          <w:b/>
          <w:bCs/>
          <w:sz w:val="20"/>
        </w:rPr>
        <w:t>Contextual information for the AU/NZ UL review</w:t>
      </w:r>
    </w:p>
    <w:tbl>
      <w:tblPr>
        <w:tblStyle w:val="SLROption1"/>
        <w:tblW w:w="5001" w:type="pct"/>
        <w:tblLook w:val="0000" w:firstRow="0" w:lastRow="0" w:firstColumn="0" w:lastColumn="0" w:noHBand="0" w:noVBand="0"/>
      </w:tblPr>
      <w:tblGrid>
        <w:gridCol w:w="3629"/>
        <w:gridCol w:w="10318"/>
      </w:tblGrid>
      <w:tr w:rsidR="00091690" w:rsidRPr="00091690" w14:paraId="09C0CEFA" w14:textId="77777777" w:rsidTr="00091690">
        <w:tc>
          <w:tcPr>
            <w:tcW w:w="1301" w:type="pct"/>
            <w:shd w:val="clear" w:color="auto" w:fill="F6FDE9"/>
          </w:tcPr>
          <w:p w14:paraId="3A87AE38" w14:textId="77777777" w:rsidR="00091690" w:rsidRPr="00091690" w:rsidRDefault="00091690" w:rsidP="00091690">
            <w:pPr>
              <w:spacing w:after="0"/>
              <w:rPr>
                <w:rFonts w:asciiTheme="minorHAnsi" w:hAnsiTheme="minorHAnsi" w:cstheme="minorHAnsi"/>
                <w:sz w:val="20"/>
              </w:rPr>
            </w:pPr>
            <w:r w:rsidRPr="00091690">
              <w:rPr>
                <w:rFonts w:asciiTheme="minorHAnsi" w:eastAsia="Calibri" w:hAnsiTheme="minorHAnsi" w:cstheme="minorHAnsi"/>
                <w:b/>
                <w:bCs/>
                <w:sz w:val="20"/>
              </w:rPr>
              <w:t>Generalisability to AU/NZ</w:t>
            </w:r>
          </w:p>
        </w:tc>
        <w:tc>
          <w:tcPr>
            <w:tcW w:w="3699" w:type="pct"/>
            <w:vAlign w:val="center"/>
          </w:tcPr>
          <w:p w14:paraId="02336BF2" w14:textId="738F9AF0" w:rsidR="00091690" w:rsidRPr="00091690" w:rsidRDefault="00091690" w:rsidP="00091690">
            <w:pPr>
              <w:spacing w:after="0"/>
              <w:rPr>
                <w:rFonts w:asciiTheme="minorHAnsi" w:hAnsiTheme="minorHAnsi" w:cstheme="minorHAnsi"/>
                <w:sz w:val="20"/>
              </w:rPr>
            </w:pPr>
            <w:r w:rsidRPr="00091690">
              <w:rPr>
                <w:rFonts w:asciiTheme="minorHAnsi" w:hAnsiTheme="minorHAnsi" w:cstheme="minorHAnsi"/>
                <w:sz w:val="20"/>
                <w:lang w:eastAsia="en-AU"/>
              </w:rPr>
              <w:t>Moderate; reflects real-world supplement use in general population; highlights risk from over-the-counter vitamin use at doses comparable to those available in AU/NZ</w:t>
            </w:r>
          </w:p>
        </w:tc>
      </w:tr>
    </w:tbl>
    <w:p w14:paraId="44D0F8CE" w14:textId="77777777" w:rsidR="00CC2D4D" w:rsidRPr="00091690" w:rsidRDefault="00CC2D4D" w:rsidP="00CC2D4D">
      <w:pPr>
        <w:rPr>
          <w:rFonts w:asciiTheme="minorHAnsi" w:eastAsia="Times New Roman" w:hAnsiTheme="minorHAnsi" w:cstheme="minorHAnsi"/>
          <w:sz w:val="20"/>
        </w:rPr>
        <w:sectPr w:rsidR="00CC2D4D" w:rsidRPr="00091690" w:rsidSect="00CC2D4D">
          <w:pgSz w:w="16834" w:h="11909" w:orient="landscape" w:code="9"/>
          <w:pgMar w:top="1440" w:right="1440" w:bottom="1440" w:left="1440" w:header="576" w:footer="576" w:gutter="0"/>
          <w:cols w:space="720"/>
          <w:docGrid w:linePitch="360"/>
        </w:sectPr>
      </w:pPr>
    </w:p>
    <w:p w14:paraId="58167832" w14:textId="07967B37" w:rsidR="00CC2D4D" w:rsidRDefault="00F83499" w:rsidP="00CC2D4D">
      <w:pPr>
        <w:pStyle w:val="Heading9"/>
      </w:pPr>
      <w:bookmarkStart w:id="79" w:name="_Toc233022896"/>
      <w:r>
        <w:lastRenderedPageBreak/>
        <w:t xml:space="preserve">Gospe, </w:t>
      </w:r>
      <w:r w:rsidR="00CC2D4D">
        <w:t>202</w:t>
      </w:r>
      <w:r>
        <w:t>2</w:t>
      </w:r>
      <w:bookmarkEnd w:id="79"/>
    </w:p>
    <w:p w14:paraId="710DF1B9" w14:textId="77777777" w:rsidR="00CC2D4D" w:rsidRPr="00FF26BF" w:rsidRDefault="00CC2D4D" w:rsidP="00CC2D4D">
      <w:pPr>
        <w:keepNext/>
        <w:spacing w:before="240"/>
        <w:ind w:left="1080" w:hanging="1080"/>
        <w:rPr>
          <w:rFonts w:eastAsia="Calibri" w:cs="Arial"/>
          <w:b/>
          <w:bCs/>
          <w:sz w:val="20"/>
        </w:rPr>
      </w:pPr>
      <w:r w:rsidRPr="00FF26BF">
        <w:rPr>
          <w:rFonts w:eastAsia="Calibri" w:cs="Arial"/>
          <w:b/>
          <w:bCs/>
          <w:sz w:val="20"/>
        </w:rPr>
        <w:t>Study identification and design</w:t>
      </w:r>
    </w:p>
    <w:tbl>
      <w:tblPr>
        <w:tblStyle w:val="SLROption1"/>
        <w:tblW w:w="5000" w:type="pct"/>
        <w:tblLook w:val="0000" w:firstRow="0" w:lastRow="0" w:firstColumn="0" w:lastColumn="0" w:noHBand="0" w:noVBand="0"/>
      </w:tblPr>
      <w:tblGrid>
        <w:gridCol w:w="3628"/>
        <w:gridCol w:w="10316"/>
      </w:tblGrid>
      <w:tr w:rsidR="00CC2D4D" w:rsidRPr="00B8180E" w14:paraId="17A4C828" w14:textId="77777777" w:rsidTr="00F83499">
        <w:tc>
          <w:tcPr>
            <w:tcW w:w="1301" w:type="pct"/>
            <w:shd w:val="clear" w:color="auto" w:fill="3C533C"/>
          </w:tcPr>
          <w:p w14:paraId="3EFF4510" w14:textId="77777777" w:rsidR="00CC2D4D" w:rsidRPr="00B8180E" w:rsidRDefault="00CC2D4D" w:rsidP="00983C71">
            <w:pPr>
              <w:pStyle w:val="TableText"/>
              <w:rPr>
                <w:b/>
                <w:bCs/>
                <w:color w:val="FFFFFF" w:themeColor="background1"/>
              </w:rPr>
            </w:pPr>
            <w:r w:rsidRPr="00B8180E">
              <w:rPr>
                <w:b/>
                <w:bCs/>
                <w:color w:val="FFFFFF" w:themeColor="background1"/>
              </w:rPr>
              <w:t>Field</w:t>
            </w:r>
          </w:p>
        </w:tc>
        <w:tc>
          <w:tcPr>
            <w:tcW w:w="3699" w:type="pct"/>
            <w:shd w:val="clear" w:color="auto" w:fill="3C533C"/>
          </w:tcPr>
          <w:p w14:paraId="62093E38" w14:textId="77777777" w:rsidR="00CC2D4D" w:rsidRPr="00B8180E" w:rsidRDefault="00CC2D4D" w:rsidP="00983C71">
            <w:pPr>
              <w:pStyle w:val="TableText"/>
              <w:rPr>
                <w:b/>
                <w:bCs/>
                <w:color w:val="FFFFFF" w:themeColor="background1"/>
              </w:rPr>
            </w:pPr>
            <w:r w:rsidRPr="00B8180E">
              <w:rPr>
                <w:b/>
                <w:bCs/>
                <w:color w:val="FFFFFF" w:themeColor="background1"/>
              </w:rPr>
              <w:t>Extracted information</w:t>
            </w:r>
          </w:p>
        </w:tc>
      </w:tr>
      <w:tr w:rsidR="00F83499" w:rsidRPr="00F83499" w14:paraId="1B336344" w14:textId="77777777" w:rsidTr="00F83499">
        <w:tc>
          <w:tcPr>
            <w:tcW w:w="1301" w:type="pct"/>
            <w:shd w:val="clear" w:color="auto" w:fill="F6FDE9"/>
          </w:tcPr>
          <w:p w14:paraId="279F69E5" w14:textId="77777777" w:rsidR="00F83499" w:rsidRPr="00F83499" w:rsidRDefault="00F83499" w:rsidP="00F83499">
            <w:pPr>
              <w:pStyle w:val="TableText"/>
              <w:rPr>
                <w:rFonts w:cs="Arial"/>
                <w:b/>
                <w:bCs/>
              </w:rPr>
            </w:pPr>
            <w:r w:rsidRPr="00F83499">
              <w:rPr>
                <w:rFonts w:cs="Arial"/>
                <w:b/>
                <w:bCs/>
              </w:rPr>
              <w:t>Citation</w:t>
            </w:r>
          </w:p>
        </w:tc>
        <w:tc>
          <w:tcPr>
            <w:tcW w:w="3699" w:type="pct"/>
            <w:vAlign w:val="center"/>
          </w:tcPr>
          <w:p w14:paraId="29AE34FC" w14:textId="3D0B8B6F" w:rsidR="00F83499" w:rsidRPr="00F83499" w:rsidRDefault="00F83499" w:rsidP="00F83499">
            <w:pPr>
              <w:pStyle w:val="TableText"/>
              <w:rPr>
                <w:rFonts w:cs="Arial"/>
              </w:rPr>
            </w:pPr>
            <w:r w:rsidRPr="00F83499">
              <w:rPr>
                <w:rFonts w:cs="Arial"/>
                <w:lang w:eastAsia="en-AU"/>
              </w:rPr>
              <w:t xml:space="preserve">Gospe, S. M., Jr. (2001, updated 2022). Pyridoxine-dependent epilepsy – ALDH7A1. In M. P. Adam, S. Bick, G. M. Mirzaa, et al. (Eds.), </w:t>
            </w:r>
            <w:r w:rsidRPr="00F83499">
              <w:rPr>
                <w:rFonts w:cs="Arial"/>
                <w:i/>
                <w:iCs/>
                <w:lang w:eastAsia="en-AU"/>
              </w:rPr>
              <w:t>GeneReviews®</w:t>
            </w:r>
            <w:r w:rsidRPr="00F83499">
              <w:rPr>
                <w:rFonts w:cs="Arial"/>
                <w:lang w:eastAsia="en-AU"/>
              </w:rPr>
              <w:t xml:space="preserve"> [Internet]. University of Washington, Seattle.</w:t>
            </w:r>
          </w:p>
        </w:tc>
      </w:tr>
      <w:tr w:rsidR="00F83499" w:rsidRPr="00F83499" w14:paraId="36072906" w14:textId="77777777" w:rsidTr="00F83499">
        <w:tc>
          <w:tcPr>
            <w:tcW w:w="1301" w:type="pct"/>
            <w:shd w:val="clear" w:color="auto" w:fill="F6FDE9"/>
          </w:tcPr>
          <w:p w14:paraId="1D73F8A1" w14:textId="77777777" w:rsidR="00F83499" w:rsidRPr="00F83499" w:rsidRDefault="00F83499" w:rsidP="00F83499">
            <w:pPr>
              <w:pStyle w:val="TableText"/>
              <w:rPr>
                <w:rFonts w:cs="Arial"/>
                <w:b/>
                <w:bCs/>
              </w:rPr>
            </w:pPr>
            <w:r w:rsidRPr="00F83499">
              <w:rPr>
                <w:rFonts w:cs="Arial"/>
                <w:b/>
                <w:bCs/>
              </w:rPr>
              <w:t>Publication status</w:t>
            </w:r>
          </w:p>
        </w:tc>
        <w:tc>
          <w:tcPr>
            <w:tcW w:w="3699" w:type="pct"/>
            <w:vAlign w:val="center"/>
          </w:tcPr>
          <w:p w14:paraId="0515F290" w14:textId="7C36DF11" w:rsidR="00F83499" w:rsidRPr="00F83499" w:rsidRDefault="00F83499" w:rsidP="00F83499">
            <w:pPr>
              <w:pStyle w:val="TableText"/>
              <w:rPr>
                <w:rFonts w:cs="Arial"/>
              </w:rPr>
            </w:pPr>
            <w:r w:rsidRPr="00F83499">
              <w:rPr>
                <w:rFonts w:cs="Arial"/>
                <w:lang w:eastAsia="en-AU"/>
              </w:rPr>
              <w:t>Published, peer-reviewed clinical reference (GeneReviews®), originally 2001, updated September 22, 2022</w:t>
            </w:r>
          </w:p>
        </w:tc>
      </w:tr>
      <w:tr w:rsidR="00F83499" w:rsidRPr="00F83499" w14:paraId="02D45CD3" w14:textId="77777777" w:rsidTr="00F83499">
        <w:tc>
          <w:tcPr>
            <w:tcW w:w="1301" w:type="pct"/>
            <w:shd w:val="clear" w:color="auto" w:fill="F6FDE9"/>
          </w:tcPr>
          <w:p w14:paraId="4BBD932F" w14:textId="77777777" w:rsidR="00F83499" w:rsidRPr="00F83499" w:rsidRDefault="00F83499" w:rsidP="00F83499">
            <w:pPr>
              <w:pStyle w:val="TableText"/>
              <w:rPr>
                <w:rFonts w:cs="Arial"/>
                <w:b/>
                <w:bCs/>
              </w:rPr>
            </w:pPr>
            <w:r w:rsidRPr="00F83499">
              <w:rPr>
                <w:rFonts w:cs="Arial"/>
                <w:b/>
                <w:bCs/>
              </w:rPr>
              <w:t>Country / setting</w:t>
            </w:r>
          </w:p>
        </w:tc>
        <w:tc>
          <w:tcPr>
            <w:tcW w:w="3699" w:type="pct"/>
            <w:vAlign w:val="center"/>
          </w:tcPr>
          <w:p w14:paraId="42C46145" w14:textId="28A0553B" w:rsidR="00F83499" w:rsidRPr="00F83499" w:rsidRDefault="00F83499" w:rsidP="00F83499">
            <w:pPr>
              <w:pStyle w:val="TableText"/>
              <w:rPr>
                <w:rFonts w:cs="Arial"/>
              </w:rPr>
            </w:pPr>
            <w:r w:rsidRPr="00F83499">
              <w:rPr>
                <w:rFonts w:cs="Arial"/>
                <w:lang w:eastAsia="en-AU"/>
              </w:rPr>
              <w:t>United States (University of Washington, Seattle; web-based clinical reference resource)</w:t>
            </w:r>
          </w:p>
        </w:tc>
      </w:tr>
      <w:tr w:rsidR="00F83499" w:rsidRPr="00F83499" w14:paraId="607149E7" w14:textId="77777777" w:rsidTr="00F83499">
        <w:tc>
          <w:tcPr>
            <w:tcW w:w="1301" w:type="pct"/>
            <w:shd w:val="clear" w:color="auto" w:fill="F6FDE9"/>
          </w:tcPr>
          <w:p w14:paraId="27F9CC71" w14:textId="77777777" w:rsidR="00F83499" w:rsidRPr="00F83499" w:rsidRDefault="00F83499" w:rsidP="00F83499">
            <w:pPr>
              <w:pStyle w:val="TableText"/>
              <w:rPr>
                <w:rFonts w:cs="Arial"/>
                <w:b/>
                <w:bCs/>
              </w:rPr>
            </w:pPr>
            <w:r w:rsidRPr="00F83499">
              <w:rPr>
                <w:rFonts w:cs="Arial"/>
                <w:b/>
                <w:bCs/>
              </w:rPr>
              <w:t>Study design</w:t>
            </w:r>
          </w:p>
        </w:tc>
        <w:tc>
          <w:tcPr>
            <w:tcW w:w="3699" w:type="pct"/>
            <w:vAlign w:val="center"/>
          </w:tcPr>
          <w:p w14:paraId="3524D0F6" w14:textId="5533AF08" w:rsidR="00F83499" w:rsidRPr="00F83499" w:rsidRDefault="00F83499" w:rsidP="00F83499">
            <w:pPr>
              <w:pStyle w:val="TableText"/>
              <w:rPr>
                <w:rFonts w:cs="Arial"/>
              </w:rPr>
            </w:pPr>
            <w:r w:rsidRPr="00F83499">
              <w:rPr>
                <w:rFonts w:cs="Arial"/>
                <w:lang w:eastAsia="en-AU"/>
              </w:rPr>
              <w:t xml:space="preserve">Narrative clinical review / reference monograph </w:t>
            </w:r>
            <w:r w:rsidRPr="002F3314">
              <w:rPr>
                <w:rFonts w:cs="Arial"/>
                <w:b/>
                <w:bCs/>
                <w:lang w:eastAsia="en-AU"/>
              </w:rPr>
              <w:t>(not original research study)</w:t>
            </w:r>
          </w:p>
        </w:tc>
      </w:tr>
      <w:tr w:rsidR="00F83499" w:rsidRPr="00F83499" w14:paraId="5B6F4F02" w14:textId="77777777" w:rsidTr="00F83499">
        <w:tc>
          <w:tcPr>
            <w:tcW w:w="1301" w:type="pct"/>
            <w:shd w:val="clear" w:color="auto" w:fill="F6FDE9"/>
          </w:tcPr>
          <w:p w14:paraId="752D0944" w14:textId="77777777" w:rsidR="00F83499" w:rsidRPr="00F83499" w:rsidRDefault="00F83499" w:rsidP="00F83499">
            <w:pPr>
              <w:pStyle w:val="TableText"/>
              <w:rPr>
                <w:rFonts w:cs="Arial"/>
                <w:b/>
                <w:bCs/>
              </w:rPr>
            </w:pPr>
            <w:r w:rsidRPr="00F83499">
              <w:rPr>
                <w:rFonts w:cs="Arial"/>
                <w:b/>
                <w:bCs/>
              </w:rPr>
              <w:t>Funding / conflicts of interest</w:t>
            </w:r>
          </w:p>
        </w:tc>
        <w:tc>
          <w:tcPr>
            <w:tcW w:w="3699" w:type="pct"/>
            <w:vAlign w:val="center"/>
          </w:tcPr>
          <w:p w14:paraId="5BC97A8D" w14:textId="2294226A" w:rsidR="00F83499" w:rsidRPr="00F83499" w:rsidRDefault="00F83499" w:rsidP="00F83499">
            <w:pPr>
              <w:pStyle w:val="TableText"/>
              <w:rPr>
                <w:rFonts w:cs="Arial"/>
              </w:rPr>
            </w:pPr>
            <w:r w:rsidRPr="00F83499">
              <w:rPr>
                <w:rFonts w:cs="Arial"/>
                <w:lang w:eastAsia="en-AU"/>
              </w:rPr>
              <w:t>NA (not explicitly reported in GeneReviews format)</w:t>
            </w:r>
          </w:p>
        </w:tc>
      </w:tr>
    </w:tbl>
    <w:p w14:paraId="5836ED1F" w14:textId="77777777" w:rsidR="00CC2D4D" w:rsidRPr="00F83499" w:rsidRDefault="00CC2D4D" w:rsidP="00CC2D4D">
      <w:pPr>
        <w:rPr>
          <w:rFonts w:eastAsia="Times New Roman" w:cs="Arial"/>
          <w:sz w:val="20"/>
        </w:rPr>
      </w:pPr>
      <w:r w:rsidRPr="00F83499">
        <w:rPr>
          <w:rFonts w:eastAsia="Calibri" w:cs="Arial"/>
          <w:b/>
          <w:bCs/>
          <w:sz w:val="20"/>
        </w:rPr>
        <w:t>Population</w:t>
      </w:r>
    </w:p>
    <w:tbl>
      <w:tblPr>
        <w:tblStyle w:val="SLROption1"/>
        <w:tblW w:w="5000" w:type="pct"/>
        <w:tblLook w:val="0000" w:firstRow="0" w:lastRow="0" w:firstColumn="0" w:lastColumn="0" w:noHBand="0" w:noVBand="0"/>
      </w:tblPr>
      <w:tblGrid>
        <w:gridCol w:w="3628"/>
        <w:gridCol w:w="10316"/>
      </w:tblGrid>
      <w:tr w:rsidR="00CC2D4D" w:rsidRPr="00F83499" w14:paraId="6489885A" w14:textId="77777777" w:rsidTr="00F83499">
        <w:tc>
          <w:tcPr>
            <w:tcW w:w="1301" w:type="pct"/>
            <w:shd w:val="clear" w:color="auto" w:fill="3C533C"/>
          </w:tcPr>
          <w:p w14:paraId="4E339F98" w14:textId="77777777" w:rsidR="00CC2D4D" w:rsidRPr="00F83499" w:rsidRDefault="00CC2D4D" w:rsidP="00983C71">
            <w:pPr>
              <w:spacing w:after="0"/>
              <w:rPr>
                <w:rFonts w:cs="Arial"/>
                <w:sz w:val="20"/>
              </w:rPr>
            </w:pPr>
            <w:r w:rsidRPr="00F83499">
              <w:rPr>
                <w:rFonts w:eastAsia="Calibri" w:cs="Arial"/>
                <w:b/>
                <w:bCs/>
                <w:color w:val="FFFFFF"/>
                <w:sz w:val="20"/>
              </w:rPr>
              <w:t>Field</w:t>
            </w:r>
          </w:p>
        </w:tc>
        <w:tc>
          <w:tcPr>
            <w:tcW w:w="3699" w:type="pct"/>
            <w:shd w:val="clear" w:color="auto" w:fill="3C533C"/>
          </w:tcPr>
          <w:p w14:paraId="2D7E6230" w14:textId="77777777" w:rsidR="00CC2D4D" w:rsidRPr="00F83499" w:rsidRDefault="00CC2D4D" w:rsidP="00983C71">
            <w:pPr>
              <w:spacing w:after="0"/>
              <w:rPr>
                <w:rFonts w:cs="Arial"/>
                <w:sz w:val="20"/>
              </w:rPr>
            </w:pPr>
            <w:r w:rsidRPr="00F83499">
              <w:rPr>
                <w:rFonts w:eastAsia="Calibri" w:cs="Arial"/>
                <w:b/>
                <w:bCs/>
                <w:color w:val="FFFFFF"/>
                <w:sz w:val="20"/>
              </w:rPr>
              <w:t>Extracted information</w:t>
            </w:r>
          </w:p>
        </w:tc>
      </w:tr>
      <w:tr w:rsidR="00F83499" w:rsidRPr="00F83499" w14:paraId="6A70FFB7" w14:textId="77777777" w:rsidTr="00F83499">
        <w:tc>
          <w:tcPr>
            <w:tcW w:w="1301" w:type="pct"/>
            <w:shd w:val="clear" w:color="auto" w:fill="F6FDE9"/>
          </w:tcPr>
          <w:p w14:paraId="0B40D863" w14:textId="77777777" w:rsidR="00F83499" w:rsidRPr="00F83499" w:rsidRDefault="00F83499" w:rsidP="00F83499">
            <w:pPr>
              <w:spacing w:after="0"/>
              <w:rPr>
                <w:rFonts w:cs="Arial"/>
                <w:sz w:val="20"/>
              </w:rPr>
            </w:pPr>
            <w:r w:rsidRPr="00F83499">
              <w:rPr>
                <w:rFonts w:eastAsia="Calibri" w:cs="Arial"/>
                <w:b/>
                <w:bCs/>
                <w:sz w:val="20"/>
              </w:rPr>
              <w:t>Sample size</w:t>
            </w:r>
          </w:p>
        </w:tc>
        <w:tc>
          <w:tcPr>
            <w:tcW w:w="3699" w:type="pct"/>
            <w:vAlign w:val="center"/>
          </w:tcPr>
          <w:p w14:paraId="51BA12D3" w14:textId="434E7B9E" w:rsidR="00F83499" w:rsidRPr="00F83499" w:rsidRDefault="00F83499" w:rsidP="00F83499">
            <w:pPr>
              <w:pStyle w:val="TableText"/>
              <w:rPr>
                <w:rFonts w:cs="Arial"/>
              </w:rPr>
            </w:pPr>
            <w:r w:rsidRPr="00F83499">
              <w:rPr>
                <w:rFonts w:cs="Arial"/>
                <w:lang w:eastAsia="en-AU"/>
              </w:rPr>
              <w:t>NA</w:t>
            </w:r>
          </w:p>
        </w:tc>
      </w:tr>
      <w:tr w:rsidR="00F83499" w:rsidRPr="00F83499" w14:paraId="3027208F" w14:textId="77777777" w:rsidTr="00F83499">
        <w:tc>
          <w:tcPr>
            <w:tcW w:w="1301" w:type="pct"/>
            <w:shd w:val="clear" w:color="auto" w:fill="F6FDE9"/>
          </w:tcPr>
          <w:p w14:paraId="0C0F123C" w14:textId="77777777" w:rsidR="00F83499" w:rsidRPr="00F83499" w:rsidRDefault="00F83499" w:rsidP="00F83499">
            <w:pPr>
              <w:spacing w:after="0"/>
              <w:rPr>
                <w:rFonts w:cs="Arial"/>
                <w:sz w:val="20"/>
              </w:rPr>
            </w:pPr>
            <w:r w:rsidRPr="00F83499">
              <w:rPr>
                <w:rFonts w:eastAsia="Calibri" w:cs="Arial"/>
                <w:b/>
                <w:bCs/>
                <w:sz w:val="20"/>
              </w:rPr>
              <w:t>Patient characteristics</w:t>
            </w:r>
          </w:p>
        </w:tc>
        <w:tc>
          <w:tcPr>
            <w:tcW w:w="3699" w:type="pct"/>
            <w:vAlign w:val="center"/>
          </w:tcPr>
          <w:p w14:paraId="393B39DA" w14:textId="6EDE95D8" w:rsidR="00F83499" w:rsidRPr="00F83499" w:rsidRDefault="00F83499" w:rsidP="00F83499">
            <w:pPr>
              <w:pStyle w:val="TableText"/>
              <w:rPr>
                <w:rFonts w:cs="Arial"/>
              </w:rPr>
            </w:pPr>
            <w:r w:rsidRPr="00F83499">
              <w:rPr>
                <w:rFonts w:cs="Arial"/>
                <w:lang w:eastAsia="en-AU"/>
              </w:rPr>
              <w:t>Individuals with pyridoxine-dependent epilepsy (ALDH7A1 deficiency), typically presenting in neonates or early childhood; includes both classic and atypical phenotypes</w:t>
            </w:r>
          </w:p>
        </w:tc>
      </w:tr>
      <w:tr w:rsidR="00F83499" w:rsidRPr="00F83499" w14:paraId="4C58E0D6" w14:textId="77777777" w:rsidTr="00F83499">
        <w:tc>
          <w:tcPr>
            <w:tcW w:w="1301" w:type="pct"/>
            <w:shd w:val="clear" w:color="auto" w:fill="F6FDE9"/>
          </w:tcPr>
          <w:p w14:paraId="6818E8E9" w14:textId="77777777" w:rsidR="00F83499" w:rsidRPr="00F83499" w:rsidRDefault="00F83499" w:rsidP="00F83499">
            <w:pPr>
              <w:spacing w:after="0"/>
              <w:rPr>
                <w:rFonts w:cs="Arial"/>
                <w:sz w:val="20"/>
              </w:rPr>
            </w:pPr>
            <w:r w:rsidRPr="00F83499">
              <w:rPr>
                <w:rFonts w:eastAsia="Calibri" w:cs="Arial"/>
                <w:b/>
                <w:bCs/>
                <w:sz w:val="20"/>
              </w:rPr>
              <w:t>Inclusion/exclusion of alternative causes</w:t>
            </w:r>
          </w:p>
        </w:tc>
        <w:tc>
          <w:tcPr>
            <w:tcW w:w="3699" w:type="pct"/>
            <w:vAlign w:val="center"/>
          </w:tcPr>
          <w:p w14:paraId="1EAC201E" w14:textId="3DFB8D9D" w:rsidR="00F83499" w:rsidRPr="00F83499" w:rsidRDefault="00F83499" w:rsidP="00F83499">
            <w:pPr>
              <w:pStyle w:val="TableText"/>
              <w:rPr>
                <w:rFonts w:cs="Arial"/>
              </w:rPr>
            </w:pPr>
            <w:r w:rsidRPr="00F83499">
              <w:rPr>
                <w:rFonts w:cs="Arial"/>
                <w:lang w:eastAsia="en-AU"/>
              </w:rPr>
              <w:t>Diagnostic framework includes differentiation from PNPO deficiency, PLPBP deficiency, and other causes of vitamin B6-responsive seizures; relies on genetic confirmation (ALDH7A1 variants) and biochemical markers (α-AASA)</w:t>
            </w:r>
          </w:p>
        </w:tc>
      </w:tr>
    </w:tbl>
    <w:p w14:paraId="08B64597" w14:textId="77777777" w:rsidR="00CC2D4D" w:rsidRPr="00F83499" w:rsidRDefault="00CC2D4D" w:rsidP="00CC2D4D">
      <w:pPr>
        <w:rPr>
          <w:rFonts w:eastAsia="Times New Roman" w:cs="Arial"/>
          <w:b/>
          <w:bCs/>
          <w:sz w:val="20"/>
        </w:rPr>
      </w:pPr>
      <w:r w:rsidRPr="00F83499">
        <w:rPr>
          <w:rFonts w:eastAsia="Times New Roman" w:cs="Arial"/>
          <w:b/>
          <w:bCs/>
          <w:sz w:val="20"/>
        </w:rPr>
        <w:t>Exposure</w:t>
      </w:r>
    </w:p>
    <w:tbl>
      <w:tblPr>
        <w:tblStyle w:val="SLROption1"/>
        <w:tblW w:w="5000" w:type="pct"/>
        <w:tblLook w:val="0000" w:firstRow="0" w:lastRow="0" w:firstColumn="0" w:lastColumn="0" w:noHBand="0" w:noVBand="0"/>
      </w:tblPr>
      <w:tblGrid>
        <w:gridCol w:w="3628"/>
        <w:gridCol w:w="10316"/>
      </w:tblGrid>
      <w:tr w:rsidR="00CC2D4D" w:rsidRPr="00F83499" w14:paraId="2CBF0D4A" w14:textId="77777777" w:rsidTr="00F83499">
        <w:trPr>
          <w:cantSplit/>
          <w:tblHeader/>
        </w:trPr>
        <w:tc>
          <w:tcPr>
            <w:tcW w:w="1301" w:type="pct"/>
            <w:shd w:val="clear" w:color="auto" w:fill="3C533C"/>
          </w:tcPr>
          <w:p w14:paraId="53986F25" w14:textId="77777777" w:rsidR="00CC2D4D" w:rsidRPr="00F83499" w:rsidRDefault="00CC2D4D" w:rsidP="00983C71">
            <w:pPr>
              <w:spacing w:after="0"/>
              <w:rPr>
                <w:rFonts w:cs="Arial"/>
                <w:sz w:val="20"/>
              </w:rPr>
            </w:pPr>
            <w:r w:rsidRPr="00F83499">
              <w:rPr>
                <w:rFonts w:eastAsia="Calibri" w:cs="Arial"/>
                <w:b/>
                <w:bCs/>
                <w:color w:val="FFFFFF"/>
                <w:sz w:val="20"/>
              </w:rPr>
              <w:t>Field</w:t>
            </w:r>
          </w:p>
        </w:tc>
        <w:tc>
          <w:tcPr>
            <w:tcW w:w="3699" w:type="pct"/>
            <w:shd w:val="clear" w:color="auto" w:fill="3C533C"/>
          </w:tcPr>
          <w:p w14:paraId="19ECCE9D" w14:textId="77777777" w:rsidR="00CC2D4D" w:rsidRPr="00F83499" w:rsidRDefault="00CC2D4D" w:rsidP="00983C71">
            <w:pPr>
              <w:spacing w:after="0"/>
              <w:rPr>
                <w:rFonts w:cs="Arial"/>
                <w:sz w:val="20"/>
              </w:rPr>
            </w:pPr>
            <w:r w:rsidRPr="00F83499">
              <w:rPr>
                <w:rFonts w:eastAsia="Calibri" w:cs="Arial"/>
                <w:b/>
                <w:bCs/>
                <w:color w:val="FFFFFF"/>
                <w:sz w:val="20"/>
              </w:rPr>
              <w:t>Extracted information</w:t>
            </w:r>
          </w:p>
        </w:tc>
      </w:tr>
      <w:tr w:rsidR="00F83499" w:rsidRPr="00F83499" w14:paraId="2CF66D71" w14:textId="77777777" w:rsidTr="00F83499">
        <w:tc>
          <w:tcPr>
            <w:tcW w:w="1301" w:type="pct"/>
            <w:shd w:val="clear" w:color="auto" w:fill="F6FDE9"/>
          </w:tcPr>
          <w:p w14:paraId="386DA8D3" w14:textId="77777777" w:rsidR="00F83499" w:rsidRPr="00F83499" w:rsidRDefault="00F83499" w:rsidP="00F83499">
            <w:pPr>
              <w:spacing w:after="0"/>
              <w:rPr>
                <w:rFonts w:cs="Arial"/>
                <w:sz w:val="20"/>
              </w:rPr>
            </w:pPr>
            <w:r w:rsidRPr="00F83499">
              <w:rPr>
                <w:rFonts w:eastAsia="Calibri" w:cs="Arial"/>
                <w:b/>
                <w:bCs/>
                <w:sz w:val="20"/>
              </w:rPr>
              <w:t>Exposure characterisation – source</w:t>
            </w:r>
          </w:p>
        </w:tc>
        <w:tc>
          <w:tcPr>
            <w:tcW w:w="3699" w:type="pct"/>
            <w:vAlign w:val="center"/>
          </w:tcPr>
          <w:p w14:paraId="61F2716E" w14:textId="0D21CE03" w:rsidR="00F83499" w:rsidRPr="00F83499" w:rsidRDefault="00F83499" w:rsidP="00F83499">
            <w:pPr>
              <w:pStyle w:val="TableText"/>
              <w:rPr>
                <w:rFonts w:cs="Arial"/>
              </w:rPr>
            </w:pPr>
            <w:r w:rsidRPr="00F83499">
              <w:rPr>
                <w:rFonts w:cs="Arial"/>
                <w:lang w:eastAsia="en-AU"/>
              </w:rPr>
              <w:t>Pharmacologic pyridoxine (vitamin B6) supplementation as lifelong therapy</w:t>
            </w:r>
          </w:p>
        </w:tc>
      </w:tr>
      <w:tr w:rsidR="00F83499" w:rsidRPr="00F83499" w14:paraId="1378CE66" w14:textId="77777777" w:rsidTr="00F83499">
        <w:tc>
          <w:tcPr>
            <w:tcW w:w="1301" w:type="pct"/>
            <w:shd w:val="clear" w:color="auto" w:fill="F6FDE9"/>
          </w:tcPr>
          <w:p w14:paraId="04D151C9" w14:textId="77777777" w:rsidR="00F83499" w:rsidRPr="00F83499" w:rsidRDefault="00F83499" w:rsidP="00F83499">
            <w:pPr>
              <w:spacing w:after="0"/>
              <w:rPr>
                <w:rFonts w:cs="Arial"/>
                <w:sz w:val="20"/>
              </w:rPr>
            </w:pPr>
            <w:r w:rsidRPr="00F83499">
              <w:rPr>
                <w:rFonts w:eastAsia="Calibri" w:cs="Arial"/>
                <w:b/>
                <w:bCs/>
                <w:sz w:val="20"/>
              </w:rPr>
              <w:t>Exposure characterisation – dose</w:t>
            </w:r>
          </w:p>
        </w:tc>
        <w:tc>
          <w:tcPr>
            <w:tcW w:w="3699" w:type="pct"/>
            <w:vAlign w:val="center"/>
          </w:tcPr>
          <w:p w14:paraId="6D3B354D" w14:textId="5B58DF63" w:rsidR="00F83499" w:rsidRPr="00F83499" w:rsidRDefault="00F83499" w:rsidP="00F83499">
            <w:pPr>
              <w:pStyle w:val="TableText"/>
              <w:rPr>
                <w:rFonts w:cs="Arial"/>
              </w:rPr>
            </w:pPr>
            <w:r w:rsidRPr="00F83499">
              <w:rPr>
                <w:rFonts w:cs="Arial"/>
                <w:lang w:eastAsia="en-AU"/>
              </w:rPr>
              <w:t>Recommended doses: newborns ~100 mg/day; infants and beyond ~30 mg/kg/day (maximum 300–500 mg/day depending on age); temporary dose increases during illness</w:t>
            </w:r>
          </w:p>
        </w:tc>
      </w:tr>
      <w:tr w:rsidR="00F83499" w:rsidRPr="00F83499" w14:paraId="12B9A7FB" w14:textId="77777777" w:rsidTr="00F83499">
        <w:tc>
          <w:tcPr>
            <w:tcW w:w="1301" w:type="pct"/>
            <w:shd w:val="clear" w:color="auto" w:fill="F6FDE9"/>
          </w:tcPr>
          <w:p w14:paraId="1C92E99C" w14:textId="77777777" w:rsidR="00F83499" w:rsidRPr="00F83499" w:rsidRDefault="00F83499" w:rsidP="00F83499">
            <w:pPr>
              <w:spacing w:after="0"/>
              <w:rPr>
                <w:rFonts w:cs="Arial"/>
                <w:sz w:val="20"/>
              </w:rPr>
            </w:pPr>
            <w:r w:rsidRPr="00F83499">
              <w:rPr>
                <w:rFonts w:eastAsia="Calibri" w:cs="Arial"/>
                <w:b/>
                <w:bCs/>
                <w:sz w:val="20"/>
              </w:rPr>
              <w:t>Biomarker of exposure</w:t>
            </w:r>
          </w:p>
        </w:tc>
        <w:tc>
          <w:tcPr>
            <w:tcW w:w="3699" w:type="pct"/>
            <w:vAlign w:val="center"/>
          </w:tcPr>
          <w:p w14:paraId="4B18D53F" w14:textId="4816E991" w:rsidR="00F83499" w:rsidRPr="00F83499" w:rsidRDefault="00F83499" w:rsidP="00F83499">
            <w:pPr>
              <w:pStyle w:val="TableText"/>
              <w:rPr>
                <w:rFonts w:cs="Arial"/>
              </w:rPr>
            </w:pPr>
            <w:r w:rsidRPr="00F83499">
              <w:rPr>
                <w:rFonts w:cs="Arial"/>
                <w:lang w:eastAsia="en-AU"/>
              </w:rPr>
              <w:t>Indirect: biochemical markers of disease (e.g. α-aminoadipic semialdehyde [α-AASA], pipecolic acid); no direct biomarker of pyridoxine toxicity specified</w:t>
            </w:r>
          </w:p>
        </w:tc>
      </w:tr>
      <w:tr w:rsidR="00F83499" w:rsidRPr="00F83499" w14:paraId="5F5D3C2B" w14:textId="77777777" w:rsidTr="00F83499">
        <w:tc>
          <w:tcPr>
            <w:tcW w:w="1301" w:type="pct"/>
            <w:shd w:val="clear" w:color="auto" w:fill="F6FDE9"/>
          </w:tcPr>
          <w:p w14:paraId="776E16B5" w14:textId="77777777" w:rsidR="00F83499" w:rsidRPr="00F83499" w:rsidRDefault="00F83499" w:rsidP="00F83499">
            <w:pPr>
              <w:spacing w:after="0"/>
              <w:rPr>
                <w:rFonts w:cs="Arial"/>
                <w:sz w:val="20"/>
              </w:rPr>
            </w:pPr>
            <w:r w:rsidRPr="00F83499">
              <w:rPr>
                <w:rFonts w:eastAsia="Calibri" w:cs="Arial"/>
                <w:b/>
                <w:bCs/>
                <w:sz w:val="20"/>
              </w:rPr>
              <w:lastRenderedPageBreak/>
              <w:t>Duration of exposure</w:t>
            </w:r>
          </w:p>
        </w:tc>
        <w:tc>
          <w:tcPr>
            <w:tcW w:w="3699" w:type="pct"/>
            <w:vAlign w:val="center"/>
          </w:tcPr>
          <w:p w14:paraId="556A0561" w14:textId="7331940E" w:rsidR="00F83499" w:rsidRPr="00F83499" w:rsidRDefault="00F83499" w:rsidP="00F83499">
            <w:pPr>
              <w:pStyle w:val="TableText"/>
              <w:rPr>
                <w:rFonts w:cs="Arial"/>
              </w:rPr>
            </w:pPr>
            <w:r w:rsidRPr="00F83499">
              <w:rPr>
                <w:rFonts w:cs="Arial"/>
                <w:lang w:eastAsia="en-AU"/>
              </w:rPr>
              <w:t>Lifelong supplementation required</w:t>
            </w:r>
          </w:p>
        </w:tc>
      </w:tr>
    </w:tbl>
    <w:p w14:paraId="16DA26F9" w14:textId="77777777" w:rsidR="00CC2D4D" w:rsidRPr="00F83499" w:rsidRDefault="00CC2D4D" w:rsidP="00CC2D4D">
      <w:pPr>
        <w:rPr>
          <w:rFonts w:eastAsia="Times New Roman" w:cs="Arial"/>
          <w:b/>
          <w:bCs/>
          <w:sz w:val="20"/>
        </w:rPr>
      </w:pPr>
      <w:r w:rsidRPr="00F83499">
        <w:rPr>
          <w:rFonts w:eastAsia="Times New Roman" w:cs="Arial"/>
          <w:b/>
          <w:bCs/>
          <w:sz w:val="20"/>
        </w:rPr>
        <w:t>Outcomes</w:t>
      </w:r>
    </w:p>
    <w:tbl>
      <w:tblPr>
        <w:tblStyle w:val="SLROption1"/>
        <w:tblW w:w="5000" w:type="pct"/>
        <w:tblLook w:val="0000" w:firstRow="0" w:lastRow="0" w:firstColumn="0" w:lastColumn="0" w:noHBand="0" w:noVBand="0"/>
      </w:tblPr>
      <w:tblGrid>
        <w:gridCol w:w="3628"/>
        <w:gridCol w:w="10316"/>
      </w:tblGrid>
      <w:tr w:rsidR="00CC2D4D" w:rsidRPr="00F83499" w14:paraId="33BABAE1" w14:textId="77777777" w:rsidTr="00F83499">
        <w:tc>
          <w:tcPr>
            <w:tcW w:w="1301" w:type="pct"/>
            <w:shd w:val="clear" w:color="auto" w:fill="3C533C"/>
          </w:tcPr>
          <w:p w14:paraId="4A15E0C5" w14:textId="77777777" w:rsidR="00CC2D4D" w:rsidRPr="00F83499" w:rsidRDefault="00CC2D4D" w:rsidP="00983C71">
            <w:pPr>
              <w:spacing w:after="0"/>
              <w:rPr>
                <w:rFonts w:cs="Arial"/>
                <w:sz w:val="20"/>
              </w:rPr>
            </w:pPr>
            <w:r w:rsidRPr="00F83499">
              <w:rPr>
                <w:rFonts w:eastAsia="Calibri" w:cs="Arial"/>
                <w:b/>
                <w:bCs/>
                <w:color w:val="FFFFFF"/>
                <w:sz w:val="20"/>
              </w:rPr>
              <w:t>Field</w:t>
            </w:r>
          </w:p>
        </w:tc>
        <w:tc>
          <w:tcPr>
            <w:tcW w:w="3699" w:type="pct"/>
            <w:shd w:val="clear" w:color="auto" w:fill="3C533C"/>
          </w:tcPr>
          <w:p w14:paraId="445CB5E4" w14:textId="77777777" w:rsidR="00CC2D4D" w:rsidRPr="00F83499" w:rsidRDefault="00CC2D4D" w:rsidP="00983C71">
            <w:pPr>
              <w:spacing w:after="0"/>
              <w:rPr>
                <w:rFonts w:cs="Arial"/>
                <w:sz w:val="20"/>
              </w:rPr>
            </w:pPr>
            <w:r w:rsidRPr="00F83499">
              <w:rPr>
                <w:rFonts w:eastAsia="Calibri" w:cs="Arial"/>
                <w:b/>
                <w:bCs/>
                <w:color w:val="FFFFFF"/>
                <w:sz w:val="20"/>
              </w:rPr>
              <w:t>Extracted information</w:t>
            </w:r>
          </w:p>
        </w:tc>
      </w:tr>
      <w:tr w:rsidR="00F83499" w:rsidRPr="00F83499" w14:paraId="584492BE" w14:textId="77777777" w:rsidTr="00F83499">
        <w:tc>
          <w:tcPr>
            <w:tcW w:w="1301" w:type="pct"/>
            <w:shd w:val="clear" w:color="auto" w:fill="F6FDE9"/>
          </w:tcPr>
          <w:p w14:paraId="1DA0156B" w14:textId="77777777" w:rsidR="00F83499" w:rsidRPr="00F83499" w:rsidRDefault="00F83499" w:rsidP="00F83499">
            <w:pPr>
              <w:spacing w:after="0"/>
              <w:rPr>
                <w:rFonts w:cs="Arial"/>
                <w:sz w:val="20"/>
              </w:rPr>
            </w:pPr>
            <w:r w:rsidRPr="00F83499">
              <w:rPr>
                <w:rFonts w:eastAsia="Calibri" w:cs="Arial"/>
                <w:b/>
                <w:bCs/>
                <w:sz w:val="20"/>
              </w:rPr>
              <w:t>Primary outcome</w:t>
            </w:r>
          </w:p>
        </w:tc>
        <w:tc>
          <w:tcPr>
            <w:tcW w:w="3699" w:type="pct"/>
            <w:vAlign w:val="center"/>
          </w:tcPr>
          <w:p w14:paraId="21626EE2" w14:textId="59F16737" w:rsidR="00F83499" w:rsidRPr="00F83499" w:rsidRDefault="00F83499" w:rsidP="00F83499">
            <w:pPr>
              <w:pStyle w:val="TableText"/>
              <w:rPr>
                <w:rFonts w:cs="Arial"/>
              </w:rPr>
            </w:pPr>
            <w:r w:rsidRPr="00F83499">
              <w:rPr>
                <w:rFonts w:cs="Arial"/>
                <w:lang w:eastAsia="en-AU"/>
              </w:rPr>
              <w:t>Seizure control in pyridoxine-dependent epilepsy</w:t>
            </w:r>
          </w:p>
        </w:tc>
      </w:tr>
      <w:tr w:rsidR="00F83499" w:rsidRPr="00F83499" w14:paraId="33D62FB4" w14:textId="77777777" w:rsidTr="00F83499">
        <w:tc>
          <w:tcPr>
            <w:tcW w:w="1301" w:type="pct"/>
            <w:shd w:val="clear" w:color="auto" w:fill="F6FDE9"/>
          </w:tcPr>
          <w:p w14:paraId="59BE572B" w14:textId="77777777" w:rsidR="00F83499" w:rsidRPr="00F83499" w:rsidRDefault="00F83499" w:rsidP="00F83499">
            <w:pPr>
              <w:spacing w:after="0"/>
              <w:rPr>
                <w:rFonts w:cs="Arial"/>
                <w:sz w:val="20"/>
              </w:rPr>
            </w:pPr>
            <w:r w:rsidRPr="00F83499">
              <w:rPr>
                <w:rFonts w:eastAsia="Calibri" w:cs="Arial"/>
                <w:b/>
                <w:bCs/>
                <w:sz w:val="20"/>
              </w:rPr>
              <w:t>Outcome assessment – clinical examination</w:t>
            </w:r>
          </w:p>
        </w:tc>
        <w:tc>
          <w:tcPr>
            <w:tcW w:w="3699" w:type="pct"/>
            <w:vAlign w:val="center"/>
          </w:tcPr>
          <w:p w14:paraId="7622E5C8" w14:textId="44A37AA6" w:rsidR="00F83499" w:rsidRPr="00F83499" w:rsidRDefault="00F83499" w:rsidP="00F83499">
            <w:pPr>
              <w:pStyle w:val="TableText"/>
              <w:rPr>
                <w:rFonts w:cs="Arial"/>
              </w:rPr>
            </w:pPr>
            <w:r w:rsidRPr="00F83499">
              <w:rPr>
                <w:rFonts w:cs="Arial"/>
                <w:lang w:eastAsia="en-AU"/>
              </w:rPr>
              <w:t>Neurological assessment including seizure response, developmental progress, signs of encephalopathy</w:t>
            </w:r>
          </w:p>
        </w:tc>
      </w:tr>
      <w:tr w:rsidR="00F83499" w:rsidRPr="00F83499" w14:paraId="69EAC69A" w14:textId="77777777" w:rsidTr="00F83499">
        <w:tc>
          <w:tcPr>
            <w:tcW w:w="1301" w:type="pct"/>
            <w:shd w:val="clear" w:color="auto" w:fill="F6FDE9"/>
          </w:tcPr>
          <w:p w14:paraId="3AF0E495" w14:textId="77777777" w:rsidR="00F83499" w:rsidRPr="00F83499" w:rsidRDefault="00F83499" w:rsidP="00F83499">
            <w:pPr>
              <w:spacing w:after="0"/>
              <w:rPr>
                <w:rFonts w:cs="Arial"/>
                <w:sz w:val="20"/>
              </w:rPr>
            </w:pPr>
            <w:r w:rsidRPr="00F83499">
              <w:rPr>
                <w:rFonts w:eastAsia="Calibri" w:cs="Arial"/>
                <w:b/>
                <w:bCs/>
                <w:sz w:val="20"/>
              </w:rPr>
              <w:t>Outcome assessment – objective testing</w:t>
            </w:r>
          </w:p>
        </w:tc>
        <w:tc>
          <w:tcPr>
            <w:tcW w:w="3699" w:type="pct"/>
            <w:vAlign w:val="center"/>
          </w:tcPr>
          <w:p w14:paraId="467DF9F3" w14:textId="2E45684D" w:rsidR="00F83499" w:rsidRPr="00F83499" w:rsidRDefault="00F83499" w:rsidP="00F83499">
            <w:pPr>
              <w:pStyle w:val="TableText"/>
              <w:rPr>
                <w:rFonts w:cs="Arial"/>
              </w:rPr>
            </w:pPr>
            <w:r w:rsidRPr="00F83499">
              <w:rPr>
                <w:rFonts w:cs="Arial"/>
                <w:lang w:eastAsia="en-AU"/>
              </w:rPr>
              <w:t>EEG monitoring, biochemical markers (α-AASA, neurotransmitter profiles), genetic testing</w:t>
            </w:r>
          </w:p>
        </w:tc>
      </w:tr>
      <w:tr w:rsidR="00F83499" w:rsidRPr="00F83499" w14:paraId="15C4ADC3" w14:textId="77777777" w:rsidTr="00F83499">
        <w:tc>
          <w:tcPr>
            <w:tcW w:w="1301" w:type="pct"/>
            <w:shd w:val="clear" w:color="auto" w:fill="F6FDE9"/>
          </w:tcPr>
          <w:p w14:paraId="6ED1EE4A" w14:textId="77777777" w:rsidR="00F83499" w:rsidRPr="00F83499" w:rsidRDefault="00F83499" w:rsidP="00F83499">
            <w:pPr>
              <w:spacing w:after="0"/>
              <w:rPr>
                <w:rFonts w:cs="Arial"/>
                <w:sz w:val="20"/>
              </w:rPr>
            </w:pPr>
            <w:r w:rsidRPr="00F83499">
              <w:rPr>
                <w:rFonts w:eastAsia="Calibri" w:cs="Arial"/>
                <w:b/>
                <w:bCs/>
                <w:sz w:val="20"/>
              </w:rPr>
              <w:t>Outcome assessment – tools used</w:t>
            </w:r>
          </w:p>
        </w:tc>
        <w:tc>
          <w:tcPr>
            <w:tcW w:w="3699" w:type="pct"/>
            <w:vAlign w:val="center"/>
          </w:tcPr>
          <w:p w14:paraId="06AF7FC0" w14:textId="3C231AAF" w:rsidR="00F83499" w:rsidRPr="00F83499" w:rsidRDefault="00F83499" w:rsidP="00F83499">
            <w:pPr>
              <w:pStyle w:val="TableText"/>
              <w:rPr>
                <w:rFonts w:cs="Arial"/>
              </w:rPr>
            </w:pPr>
            <w:r w:rsidRPr="00F83499">
              <w:rPr>
                <w:rFonts w:cs="Arial"/>
                <w:lang w:eastAsia="en-AU"/>
              </w:rPr>
              <w:t>Clinical neurological exam, EEG, laboratory biochemical assays, molecular genetic testing</w:t>
            </w:r>
          </w:p>
        </w:tc>
      </w:tr>
      <w:tr w:rsidR="00F83499" w:rsidRPr="00F83499" w14:paraId="5CA0E82E" w14:textId="77777777" w:rsidTr="00F83499">
        <w:tc>
          <w:tcPr>
            <w:tcW w:w="1301" w:type="pct"/>
            <w:shd w:val="clear" w:color="auto" w:fill="F6FDE9"/>
          </w:tcPr>
          <w:p w14:paraId="354AD07B" w14:textId="77777777" w:rsidR="00F83499" w:rsidRPr="00F83499" w:rsidRDefault="00F83499" w:rsidP="00F83499">
            <w:pPr>
              <w:spacing w:after="0"/>
              <w:rPr>
                <w:rFonts w:cs="Arial"/>
                <w:sz w:val="20"/>
              </w:rPr>
            </w:pPr>
            <w:r w:rsidRPr="00F83499">
              <w:rPr>
                <w:rFonts w:eastAsia="Calibri" w:cs="Arial"/>
                <w:b/>
                <w:bCs/>
                <w:sz w:val="20"/>
              </w:rPr>
              <w:t>Response to withdrawal</w:t>
            </w:r>
          </w:p>
        </w:tc>
        <w:tc>
          <w:tcPr>
            <w:tcW w:w="3699" w:type="pct"/>
            <w:vAlign w:val="center"/>
          </w:tcPr>
          <w:p w14:paraId="122CD2D5" w14:textId="4B275918" w:rsidR="00F83499" w:rsidRPr="00F83499" w:rsidRDefault="00F83499" w:rsidP="00F83499">
            <w:pPr>
              <w:pStyle w:val="TableText"/>
              <w:rPr>
                <w:rFonts w:cs="Arial"/>
              </w:rPr>
            </w:pPr>
            <w:r w:rsidRPr="00F83499">
              <w:rPr>
                <w:rFonts w:cs="Arial"/>
                <w:lang w:eastAsia="en-AU"/>
              </w:rPr>
              <w:t>Discontinuation of pyridoxine leads to recurrence of seizures and risk of status epilepticus</w:t>
            </w:r>
          </w:p>
        </w:tc>
      </w:tr>
    </w:tbl>
    <w:p w14:paraId="23F80C65" w14:textId="77777777" w:rsidR="00CC2D4D" w:rsidRPr="00F83499" w:rsidRDefault="00CC2D4D" w:rsidP="00CC2D4D">
      <w:pPr>
        <w:rPr>
          <w:rFonts w:eastAsia="Times New Roman" w:cs="Arial"/>
          <w:b/>
          <w:bCs/>
          <w:sz w:val="20"/>
        </w:rPr>
      </w:pPr>
      <w:r w:rsidRPr="00F83499">
        <w:rPr>
          <w:rFonts w:eastAsia="Times New Roman" w:cs="Arial"/>
          <w:b/>
          <w:bCs/>
          <w:sz w:val="20"/>
        </w:rPr>
        <w:t>Results and Conclusions</w:t>
      </w:r>
    </w:p>
    <w:tbl>
      <w:tblPr>
        <w:tblStyle w:val="SLROption1"/>
        <w:tblW w:w="5000" w:type="pct"/>
        <w:tblLook w:val="0000" w:firstRow="0" w:lastRow="0" w:firstColumn="0" w:lastColumn="0" w:noHBand="0" w:noVBand="0"/>
      </w:tblPr>
      <w:tblGrid>
        <w:gridCol w:w="3628"/>
        <w:gridCol w:w="10316"/>
      </w:tblGrid>
      <w:tr w:rsidR="00CC2D4D" w:rsidRPr="00F83499" w14:paraId="529AF43E" w14:textId="77777777" w:rsidTr="00F83499">
        <w:trPr>
          <w:cantSplit/>
          <w:tblHeader/>
        </w:trPr>
        <w:tc>
          <w:tcPr>
            <w:tcW w:w="1301" w:type="pct"/>
            <w:shd w:val="clear" w:color="auto" w:fill="3C533C"/>
          </w:tcPr>
          <w:p w14:paraId="7E0056CE" w14:textId="77777777" w:rsidR="00CC2D4D" w:rsidRPr="00F83499" w:rsidRDefault="00CC2D4D" w:rsidP="00983C71">
            <w:pPr>
              <w:spacing w:after="0"/>
              <w:rPr>
                <w:rFonts w:cs="Arial"/>
                <w:sz w:val="20"/>
              </w:rPr>
            </w:pPr>
            <w:r w:rsidRPr="00F83499">
              <w:rPr>
                <w:rFonts w:eastAsia="Calibri" w:cs="Arial"/>
                <w:b/>
                <w:bCs/>
                <w:color w:val="FFFFFF"/>
                <w:sz w:val="20"/>
              </w:rPr>
              <w:t>Field</w:t>
            </w:r>
          </w:p>
        </w:tc>
        <w:tc>
          <w:tcPr>
            <w:tcW w:w="3699" w:type="pct"/>
            <w:shd w:val="clear" w:color="auto" w:fill="3C533C"/>
          </w:tcPr>
          <w:p w14:paraId="6E0F0E0D" w14:textId="77777777" w:rsidR="00CC2D4D" w:rsidRPr="00F83499" w:rsidRDefault="00CC2D4D" w:rsidP="00983C71">
            <w:pPr>
              <w:spacing w:after="0"/>
              <w:rPr>
                <w:rFonts w:cs="Arial"/>
                <w:sz w:val="20"/>
              </w:rPr>
            </w:pPr>
            <w:r w:rsidRPr="00F83499">
              <w:rPr>
                <w:rFonts w:eastAsia="Calibri" w:cs="Arial"/>
                <w:b/>
                <w:bCs/>
                <w:color w:val="FFFFFF"/>
                <w:sz w:val="20"/>
              </w:rPr>
              <w:t>Extracted information</w:t>
            </w:r>
          </w:p>
        </w:tc>
      </w:tr>
      <w:tr w:rsidR="00F83499" w:rsidRPr="00F83499" w14:paraId="69848227" w14:textId="77777777" w:rsidTr="00F83499">
        <w:trPr>
          <w:cantSplit/>
        </w:trPr>
        <w:tc>
          <w:tcPr>
            <w:tcW w:w="1301" w:type="pct"/>
            <w:shd w:val="clear" w:color="auto" w:fill="F6FDE9"/>
          </w:tcPr>
          <w:p w14:paraId="1D98E18A" w14:textId="77777777" w:rsidR="00F83499" w:rsidRPr="00F83499" w:rsidRDefault="00F83499" w:rsidP="00F83499">
            <w:pPr>
              <w:spacing w:after="0"/>
              <w:rPr>
                <w:rFonts w:cs="Arial"/>
                <w:sz w:val="20"/>
              </w:rPr>
            </w:pPr>
            <w:r w:rsidRPr="00F83499">
              <w:rPr>
                <w:rFonts w:eastAsia="Calibri" w:cs="Arial"/>
                <w:b/>
                <w:bCs/>
                <w:sz w:val="20"/>
              </w:rPr>
              <w:t>Main results</w:t>
            </w:r>
          </w:p>
        </w:tc>
        <w:tc>
          <w:tcPr>
            <w:tcW w:w="3699" w:type="pct"/>
            <w:vAlign w:val="center"/>
          </w:tcPr>
          <w:p w14:paraId="0D113E02" w14:textId="1049D89F" w:rsidR="00F83499" w:rsidRPr="00F83499" w:rsidRDefault="00F83499" w:rsidP="00F83499">
            <w:pPr>
              <w:pStyle w:val="TableText"/>
              <w:rPr>
                <w:rFonts w:cs="Arial"/>
              </w:rPr>
            </w:pPr>
            <w:r w:rsidRPr="00F83499">
              <w:rPr>
                <w:rFonts w:cs="Arial"/>
                <w:lang w:eastAsia="en-AU"/>
              </w:rPr>
              <w:t>Lifelong pyridoxine supplementation effectively controls seizures in affected individuals; however, excessive doses (particularly &gt;500 mg/day or megavitamin use) can cause reversible sensory neuropathy</w:t>
            </w:r>
          </w:p>
        </w:tc>
      </w:tr>
      <w:tr w:rsidR="00F83499" w:rsidRPr="00F83499" w14:paraId="495F8FAB" w14:textId="77777777" w:rsidTr="00F83499">
        <w:trPr>
          <w:cantSplit/>
        </w:trPr>
        <w:tc>
          <w:tcPr>
            <w:tcW w:w="1301" w:type="pct"/>
            <w:shd w:val="clear" w:color="auto" w:fill="F6FDE9"/>
          </w:tcPr>
          <w:p w14:paraId="1B82118C" w14:textId="77777777" w:rsidR="00F83499" w:rsidRPr="00F83499" w:rsidRDefault="00F83499" w:rsidP="00F83499">
            <w:pPr>
              <w:spacing w:after="0"/>
              <w:rPr>
                <w:rFonts w:eastAsia="Calibri" w:cs="Arial"/>
                <w:b/>
                <w:bCs/>
                <w:sz w:val="20"/>
              </w:rPr>
            </w:pPr>
            <w:r w:rsidRPr="00F83499">
              <w:rPr>
                <w:rFonts w:eastAsia="Calibri" w:cs="Arial"/>
                <w:b/>
                <w:bCs/>
                <w:sz w:val="20"/>
              </w:rPr>
              <w:t>Authors' conclusions</w:t>
            </w:r>
          </w:p>
        </w:tc>
        <w:tc>
          <w:tcPr>
            <w:tcW w:w="3699" w:type="pct"/>
            <w:vAlign w:val="center"/>
          </w:tcPr>
          <w:p w14:paraId="67E7F99B" w14:textId="5A92706D" w:rsidR="00F83499" w:rsidRPr="00F83499" w:rsidRDefault="00F83499" w:rsidP="00F83499">
            <w:pPr>
              <w:pStyle w:val="TableText"/>
              <w:rPr>
                <w:rFonts w:cs="Arial"/>
              </w:rPr>
            </w:pPr>
            <w:r w:rsidRPr="00F83499">
              <w:rPr>
                <w:rFonts w:cs="Arial"/>
                <w:lang w:eastAsia="en-AU"/>
              </w:rPr>
              <w:t>Pyridoxine is essential and life-saving therapy in this population; careful dosing and monitoring are required to avoid neurotoxicity</w:t>
            </w:r>
          </w:p>
        </w:tc>
      </w:tr>
      <w:tr w:rsidR="00F83499" w:rsidRPr="00F83499" w14:paraId="5971DAFB" w14:textId="77777777" w:rsidTr="00F83499">
        <w:trPr>
          <w:cantSplit/>
        </w:trPr>
        <w:tc>
          <w:tcPr>
            <w:tcW w:w="1301" w:type="pct"/>
            <w:shd w:val="clear" w:color="auto" w:fill="F6FDE9" w:themeFill="accent5" w:themeFillTint="33"/>
            <w:vAlign w:val="center"/>
          </w:tcPr>
          <w:p w14:paraId="72175D39" w14:textId="77777777" w:rsidR="00F83499" w:rsidRPr="00F83499" w:rsidRDefault="00F83499" w:rsidP="00F83499">
            <w:pPr>
              <w:spacing w:after="0"/>
              <w:rPr>
                <w:rFonts w:eastAsia="Calibri" w:cs="Arial"/>
                <w:b/>
                <w:bCs/>
                <w:sz w:val="20"/>
              </w:rPr>
            </w:pPr>
            <w:r w:rsidRPr="00F83499">
              <w:rPr>
                <w:rFonts w:cs="Arial"/>
                <w:b/>
                <w:bCs/>
                <w:sz w:val="20"/>
                <w:lang w:eastAsia="en-AU"/>
              </w:rPr>
              <w:t>Authors' acknowledged limitations</w:t>
            </w:r>
          </w:p>
        </w:tc>
        <w:tc>
          <w:tcPr>
            <w:tcW w:w="3699" w:type="pct"/>
            <w:vAlign w:val="center"/>
          </w:tcPr>
          <w:p w14:paraId="05604634" w14:textId="13671CD8" w:rsidR="00F83499" w:rsidRPr="00F83499" w:rsidRDefault="00F83499" w:rsidP="00F83499">
            <w:pPr>
              <w:pStyle w:val="TableText"/>
              <w:rPr>
                <w:rFonts w:cs="Arial"/>
              </w:rPr>
            </w:pPr>
            <w:r w:rsidRPr="00F83499">
              <w:rPr>
                <w:rFonts w:cs="Arial"/>
                <w:lang w:eastAsia="en-AU"/>
              </w:rPr>
              <w:t>Not a primary study; evidence based on case series, registries, and expert consensus rather than controlled trials</w:t>
            </w:r>
          </w:p>
        </w:tc>
      </w:tr>
    </w:tbl>
    <w:p w14:paraId="7FEAC1D2" w14:textId="77777777" w:rsidR="00CC2D4D" w:rsidRPr="00F83499" w:rsidRDefault="00CC2D4D" w:rsidP="00CC2D4D">
      <w:pPr>
        <w:rPr>
          <w:rFonts w:eastAsia="Times New Roman" w:cs="Arial"/>
          <w:b/>
          <w:bCs/>
          <w:sz w:val="20"/>
        </w:rPr>
      </w:pPr>
      <w:r w:rsidRPr="00F83499">
        <w:rPr>
          <w:rFonts w:eastAsia="Times New Roman" w:cs="Arial"/>
          <w:b/>
          <w:bCs/>
          <w:sz w:val="20"/>
        </w:rPr>
        <w:t>Contextual information for the AU/NZ UL review</w:t>
      </w:r>
    </w:p>
    <w:tbl>
      <w:tblPr>
        <w:tblStyle w:val="SLROption1"/>
        <w:tblW w:w="5000" w:type="pct"/>
        <w:tblLook w:val="0000" w:firstRow="0" w:lastRow="0" w:firstColumn="0" w:lastColumn="0" w:noHBand="0" w:noVBand="0"/>
      </w:tblPr>
      <w:tblGrid>
        <w:gridCol w:w="3628"/>
        <w:gridCol w:w="10316"/>
      </w:tblGrid>
      <w:tr w:rsidR="00CC2D4D" w:rsidRPr="00F83499" w14:paraId="056FCBC8" w14:textId="77777777" w:rsidTr="00983C71">
        <w:tc>
          <w:tcPr>
            <w:tcW w:w="1301" w:type="pct"/>
            <w:shd w:val="clear" w:color="auto" w:fill="F6FDE9"/>
          </w:tcPr>
          <w:p w14:paraId="6C1A920B" w14:textId="77777777" w:rsidR="00CC2D4D" w:rsidRPr="00F83499" w:rsidRDefault="00CC2D4D" w:rsidP="00983C71">
            <w:pPr>
              <w:spacing w:after="0"/>
              <w:rPr>
                <w:rFonts w:cs="Arial"/>
                <w:sz w:val="20"/>
              </w:rPr>
            </w:pPr>
            <w:r w:rsidRPr="00F83499">
              <w:rPr>
                <w:rFonts w:eastAsia="Calibri" w:cs="Arial"/>
                <w:b/>
                <w:bCs/>
                <w:sz w:val="20"/>
              </w:rPr>
              <w:t>Generalisability to AU/NZ</w:t>
            </w:r>
          </w:p>
        </w:tc>
        <w:tc>
          <w:tcPr>
            <w:tcW w:w="3699" w:type="pct"/>
          </w:tcPr>
          <w:p w14:paraId="52619A78" w14:textId="4895B92D" w:rsidR="00CC2D4D" w:rsidRPr="00F83499" w:rsidRDefault="00F83499" w:rsidP="00983C71">
            <w:pPr>
              <w:spacing w:after="0"/>
              <w:rPr>
                <w:rFonts w:cs="Arial"/>
                <w:sz w:val="20"/>
              </w:rPr>
            </w:pPr>
            <w:r w:rsidRPr="00F83499">
              <w:rPr>
                <w:rFonts w:eastAsia="Calibri" w:cs="Arial"/>
                <w:sz w:val="20"/>
              </w:rPr>
              <w:t xml:space="preserve">Limited for general population UL setting; represents a rare clinical population receiving very high therapeutic doses; </w:t>
            </w:r>
            <w:r w:rsidR="000850F8">
              <w:rPr>
                <w:rFonts w:eastAsia="Calibri" w:cs="Arial"/>
                <w:sz w:val="20"/>
              </w:rPr>
              <w:t xml:space="preserve">Outside of the scope for general population. </w:t>
            </w:r>
          </w:p>
        </w:tc>
      </w:tr>
    </w:tbl>
    <w:p w14:paraId="2CE9777F" w14:textId="77777777" w:rsidR="00CC2D4D" w:rsidRDefault="00CC2D4D" w:rsidP="00CC2D4D">
      <w:pPr>
        <w:rPr>
          <w:rFonts w:eastAsia="Times New Roman" w:cs="Arial"/>
        </w:rPr>
        <w:sectPr w:rsidR="00CC2D4D" w:rsidSect="00CC2D4D">
          <w:pgSz w:w="16834" w:h="11909" w:orient="landscape" w:code="9"/>
          <w:pgMar w:top="1440" w:right="1440" w:bottom="1440" w:left="1440" w:header="576" w:footer="576" w:gutter="0"/>
          <w:cols w:space="720"/>
          <w:docGrid w:linePitch="360"/>
        </w:sectPr>
      </w:pPr>
    </w:p>
    <w:p w14:paraId="17B601C0" w14:textId="05977BA0" w:rsidR="00C51B33" w:rsidRDefault="00C51B33" w:rsidP="00C51B33">
      <w:pPr>
        <w:pStyle w:val="Heading9"/>
      </w:pPr>
      <w:bookmarkStart w:id="80" w:name="_Toc233022897"/>
      <w:r>
        <w:lastRenderedPageBreak/>
        <w:t>He et al., 2025</w:t>
      </w:r>
      <w:bookmarkEnd w:id="80"/>
    </w:p>
    <w:p w14:paraId="3C6DF3E6" w14:textId="77777777" w:rsidR="00C51B33" w:rsidRPr="00C51B33" w:rsidRDefault="00C51B33" w:rsidP="00C51B33">
      <w:pPr>
        <w:keepNext/>
        <w:spacing w:before="240"/>
        <w:ind w:left="1080" w:hanging="1080"/>
        <w:rPr>
          <w:rFonts w:eastAsia="Calibri" w:cs="Arial"/>
          <w:b/>
          <w:bCs/>
          <w:sz w:val="20"/>
        </w:rPr>
      </w:pPr>
      <w:r w:rsidRPr="00C51B33">
        <w:rPr>
          <w:rFonts w:eastAsia="Calibri" w:cs="Arial"/>
          <w:b/>
          <w:bCs/>
          <w:sz w:val="20"/>
        </w:rPr>
        <w:t>Study identification and design</w:t>
      </w:r>
    </w:p>
    <w:tbl>
      <w:tblPr>
        <w:tblStyle w:val="SLROption1"/>
        <w:tblW w:w="5000" w:type="pct"/>
        <w:tblLook w:val="0000" w:firstRow="0" w:lastRow="0" w:firstColumn="0" w:lastColumn="0" w:noHBand="0" w:noVBand="0"/>
      </w:tblPr>
      <w:tblGrid>
        <w:gridCol w:w="3628"/>
        <w:gridCol w:w="10316"/>
      </w:tblGrid>
      <w:tr w:rsidR="00C51B33" w:rsidRPr="00C51B33" w14:paraId="3789CB07" w14:textId="77777777" w:rsidTr="00983C71">
        <w:tc>
          <w:tcPr>
            <w:tcW w:w="1301" w:type="pct"/>
            <w:shd w:val="clear" w:color="auto" w:fill="3C533C"/>
          </w:tcPr>
          <w:p w14:paraId="61328D87" w14:textId="77777777" w:rsidR="00C51B33" w:rsidRPr="00C51B33" w:rsidRDefault="00C51B33" w:rsidP="00983C71">
            <w:pPr>
              <w:pStyle w:val="TableText"/>
              <w:rPr>
                <w:rFonts w:cs="Arial"/>
                <w:b/>
                <w:bCs/>
                <w:color w:val="FFFFFF" w:themeColor="background1"/>
              </w:rPr>
            </w:pPr>
            <w:r w:rsidRPr="00C51B33">
              <w:rPr>
                <w:rFonts w:cs="Arial"/>
                <w:b/>
                <w:bCs/>
                <w:color w:val="FFFFFF" w:themeColor="background1"/>
              </w:rPr>
              <w:t>Field</w:t>
            </w:r>
          </w:p>
        </w:tc>
        <w:tc>
          <w:tcPr>
            <w:tcW w:w="3699" w:type="pct"/>
            <w:shd w:val="clear" w:color="auto" w:fill="3C533C"/>
          </w:tcPr>
          <w:p w14:paraId="6B6C5F1D" w14:textId="77777777" w:rsidR="00C51B33" w:rsidRPr="00C51B33" w:rsidRDefault="00C51B33" w:rsidP="00983C71">
            <w:pPr>
              <w:pStyle w:val="TableText"/>
              <w:rPr>
                <w:rFonts w:cs="Arial"/>
                <w:b/>
                <w:bCs/>
                <w:color w:val="FFFFFF" w:themeColor="background1"/>
              </w:rPr>
            </w:pPr>
            <w:r w:rsidRPr="00C51B33">
              <w:rPr>
                <w:rFonts w:cs="Arial"/>
                <w:b/>
                <w:bCs/>
                <w:color w:val="FFFFFF" w:themeColor="background1"/>
              </w:rPr>
              <w:t>Extracted information</w:t>
            </w:r>
          </w:p>
        </w:tc>
      </w:tr>
      <w:tr w:rsidR="00C51B33" w:rsidRPr="00C51B33" w14:paraId="38D75113" w14:textId="77777777" w:rsidTr="00C51B33">
        <w:tc>
          <w:tcPr>
            <w:tcW w:w="1301" w:type="pct"/>
            <w:shd w:val="clear" w:color="auto" w:fill="F6FDE9"/>
          </w:tcPr>
          <w:p w14:paraId="3C3EB02C" w14:textId="77777777" w:rsidR="00C51B33" w:rsidRPr="00C51B33" w:rsidRDefault="00C51B33" w:rsidP="00C51B33">
            <w:pPr>
              <w:pStyle w:val="TableText"/>
              <w:rPr>
                <w:rFonts w:cs="Arial"/>
                <w:b/>
                <w:bCs/>
              </w:rPr>
            </w:pPr>
            <w:r w:rsidRPr="00C51B33">
              <w:rPr>
                <w:rFonts w:cs="Arial"/>
                <w:b/>
                <w:bCs/>
              </w:rPr>
              <w:t>Citation</w:t>
            </w:r>
          </w:p>
        </w:tc>
        <w:tc>
          <w:tcPr>
            <w:tcW w:w="3699" w:type="pct"/>
            <w:vAlign w:val="center"/>
          </w:tcPr>
          <w:p w14:paraId="4BF95FA6" w14:textId="3A9DA1DD" w:rsidR="00C51B33" w:rsidRPr="00C51B33" w:rsidRDefault="00C51B33" w:rsidP="00C51B33">
            <w:pPr>
              <w:pStyle w:val="TableText"/>
              <w:rPr>
                <w:rFonts w:cs="Arial"/>
              </w:rPr>
            </w:pPr>
            <w:r w:rsidRPr="00C51B33">
              <w:rPr>
                <w:rFonts w:cs="Arial"/>
                <w:lang w:eastAsia="en-AU"/>
              </w:rPr>
              <w:t xml:space="preserve">He, L., Fan, Y., Hu, Y., Tian, C., Tian, Y., Zhang, J., Ren, Y., &amp; Tan, J. (2025). The potential hazards of high doses of vitamin B6 in treating nausea and vomiting in pregnancy: A systematic review. </w:t>
            </w:r>
            <w:r w:rsidRPr="00C51B33">
              <w:rPr>
                <w:rFonts w:cs="Arial"/>
                <w:i/>
                <w:iCs/>
                <w:lang w:eastAsia="en-AU"/>
              </w:rPr>
              <w:t>International Journal of Gynecology &amp; Obstetrics, 169</w:t>
            </w:r>
            <w:r w:rsidRPr="00C51B33">
              <w:rPr>
                <w:rFonts w:cs="Arial"/>
                <w:lang w:eastAsia="en-AU"/>
              </w:rPr>
              <w:t>, 38–50.</w:t>
            </w:r>
          </w:p>
        </w:tc>
      </w:tr>
      <w:tr w:rsidR="00C51B33" w:rsidRPr="00C51B33" w14:paraId="28F0AB43" w14:textId="77777777" w:rsidTr="00C51B33">
        <w:tc>
          <w:tcPr>
            <w:tcW w:w="1301" w:type="pct"/>
            <w:shd w:val="clear" w:color="auto" w:fill="F6FDE9"/>
          </w:tcPr>
          <w:p w14:paraId="374E23B7" w14:textId="77777777" w:rsidR="00C51B33" w:rsidRPr="00C51B33" w:rsidRDefault="00C51B33" w:rsidP="00C51B33">
            <w:pPr>
              <w:pStyle w:val="TableText"/>
              <w:rPr>
                <w:rFonts w:cs="Arial"/>
                <w:b/>
                <w:bCs/>
              </w:rPr>
            </w:pPr>
            <w:r w:rsidRPr="00C51B33">
              <w:rPr>
                <w:rFonts w:cs="Arial"/>
                <w:b/>
                <w:bCs/>
              </w:rPr>
              <w:t>Publication status</w:t>
            </w:r>
          </w:p>
        </w:tc>
        <w:tc>
          <w:tcPr>
            <w:tcW w:w="3699" w:type="pct"/>
            <w:vAlign w:val="center"/>
          </w:tcPr>
          <w:p w14:paraId="4BBCE6D7" w14:textId="3734EA07" w:rsidR="00C51B33" w:rsidRPr="00C51B33" w:rsidRDefault="00C51B33" w:rsidP="00C51B33">
            <w:pPr>
              <w:pStyle w:val="TableText"/>
              <w:rPr>
                <w:rFonts w:cs="Arial"/>
              </w:rPr>
            </w:pPr>
            <w:r w:rsidRPr="00C51B33">
              <w:rPr>
                <w:rFonts w:cs="Arial"/>
                <w:lang w:eastAsia="en-AU"/>
              </w:rPr>
              <w:t xml:space="preserve">Published, peer-reviewed journal article (International Journal of Gynecology &amp; Obstetrics); published online November 2024, issue 2025 </w:t>
            </w:r>
            <w:hyperlink r:id="rId139" w:history="1"/>
          </w:p>
        </w:tc>
      </w:tr>
      <w:tr w:rsidR="00C51B33" w:rsidRPr="00C51B33" w14:paraId="3E4EB9F2" w14:textId="77777777" w:rsidTr="00C51B33">
        <w:tc>
          <w:tcPr>
            <w:tcW w:w="1301" w:type="pct"/>
            <w:shd w:val="clear" w:color="auto" w:fill="F6FDE9"/>
          </w:tcPr>
          <w:p w14:paraId="33E6E50F" w14:textId="77777777" w:rsidR="00C51B33" w:rsidRPr="00C51B33" w:rsidRDefault="00C51B33" w:rsidP="00C51B33">
            <w:pPr>
              <w:pStyle w:val="TableText"/>
              <w:rPr>
                <w:rFonts w:cs="Arial"/>
                <w:b/>
                <w:bCs/>
              </w:rPr>
            </w:pPr>
            <w:r w:rsidRPr="00C51B33">
              <w:rPr>
                <w:rFonts w:cs="Arial"/>
                <w:b/>
                <w:bCs/>
              </w:rPr>
              <w:t>Country / setting</w:t>
            </w:r>
          </w:p>
        </w:tc>
        <w:tc>
          <w:tcPr>
            <w:tcW w:w="3699" w:type="pct"/>
            <w:vAlign w:val="center"/>
          </w:tcPr>
          <w:p w14:paraId="3BEE415F" w14:textId="7B8410B7" w:rsidR="00C51B33" w:rsidRPr="00C51B33" w:rsidRDefault="00C51B33" w:rsidP="00C51B33">
            <w:pPr>
              <w:pStyle w:val="TableText"/>
              <w:rPr>
                <w:rFonts w:cs="Arial"/>
              </w:rPr>
            </w:pPr>
            <w:r w:rsidRPr="00C51B33">
              <w:rPr>
                <w:rFonts w:cs="Arial"/>
                <w:lang w:eastAsia="en-AU"/>
              </w:rPr>
              <w:t xml:space="preserve">China; academic research institutions (Zunyi Medical University) </w:t>
            </w:r>
            <w:hyperlink r:id="rId140" w:history="1"/>
          </w:p>
        </w:tc>
      </w:tr>
      <w:tr w:rsidR="00C51B33" w:rsidRPr="00C51B33" w14:paraId="373E9E47" w14:textId="77777777" w:rsidTr="00C51B33">
        <w:tc>
          <w:tcPr>
            <w:tcW w:w="1301" w:type="pct"/>
            <w:shd w:val="clear" w:color="auto" w:fill="F6FDE9"/>
          </w:tcPr>
          <w:p w14:paraId="6D4049FC" w14:textId="77777777" w:rsidR="00C51B33" w:rsidRPr="00C51B33" w:rsidRDefault="00C51B33" w:rsidP="00C51B33">
            <w:pPr>
              <w:pStyle w:val="TableText"/>
              <w:rPr>
                <w:rFonts w:cs="Arial"/>
                <w:b/>
                <w:bCs/>
              </w:rPr>
            </w:pPr>
            <w:r w:rsidRPr="00C51B33">
              <w:rPr>
                <w:rFonts w:cs="Arial"/>
                <w:b/>
                <w:bCs/>
              </w:rPr>
              <w:t>Study design</w:t>
            </w:r>
          </w:p>
        </w:tc>
        <w:tc>
          <w:tcPr>
            <w:tcW w:w="3699" w:type="pct"/>
            <w:vAlign w:val="center"/>
          </w:tcPr>
          <w:p w14:paraId="566336EA" w14:textId="148242FB" w:rsidR="00C51B33" w:rsidRPr="002F3314" w:rsidRDefault="00C51B33" w:rsidP="00C51B33">
            <w:pPr>
              <w:pStyle w:val="TableText"/>
              <w:rPr>
                <w:rFonts w:cs="Arial"/>
                <w:b/>
                <w:bCs/>
              </w:rPr>
            </w:pPr>
            <w:r w:rsidRPr="002F3314">
              <w:rPr>
                <w:rFonts w:cs="Arial"/>
                <w:b/>
                <w:bCs/>
                <w:lang w:eastAsia="en-AU"/>
              </w:rPr>
              <w:t xml:space="preserve">Systematic review of literature (including case reports, RCTs, observational studies) </w:t>
            </w:r>
            <w:hyperlink r:id="rId141" w:history="1"/>
          </w:p>
        </w:tc>
      </w:tr>
      <w:tr w:rsidR="00C51B33" w:rsidRPr="00C51B33" w14:paraId="6B6C09E7" w14:textId="77777777" w:rsidTr="00C51B33">
        <w:tc>
          <w:tcPr>
            <w:tcW w:w="1301" w:type="pct"/>
            <w:shd w:val="clear" w:color="auto" w:fill="F6FDE9"/>
          </w:tcPr>
          <w:p w14:paraId="784AD983" w14:textId="77777777" w:rsidR="00C51B33" w:rsidRPr="00C51B33" w:rsidRDefault="00C51B33" w:rsidP="00C51B33">
            <w:pPr>
              <w:pStyle w:val="TableText"/>
              <w:rPr>
                <w:rFonts w:cs="Arial"/>
                <w:b/>
                <w:bCs/>
              </w:rPr>
            </w:pPr>
            <w:r w:rsidRPr="00C51B33">
              <w:rPr>
                <w:rFonts w:cs="Arial"/>
                <w:b/>
                <w:bCs/>
              </w:rPr>
              <w:t>Funding / conflicts of interest</w:t>
            </w:r>
          </w:p>
        </w:tc>
        <w:tc>
          <w:tcPr>
            <w:tcW w:w="3699" w:type="pct"/>
            <w:vAlign w:val="center"/>
          </w:tcPr>
          <w:p w14:paraId="6A8780FB" w14:textId="64504C75" w:rsidR="00C51B33" w:rsidRPr="00C51B33" w:rsidRDefault="00C51B33" w:rsidP="00C51B33">
            <w:pPr>
              <w:pStyle w:val="TableText"/>
              <w:rPr>
                <w:rFonts w:cs="Arial"/>
              </w:rPr>
            </w:pPr>
            <w:r w:rsidRPr="00C51B33">
              <w:rPr>
                <w:rFonts w:cs="Arial"/>
                <w:lang w:eastAsia="en-AU"/>
              </w:rPr>
              <w:t xml:space="preserve">Funded by Science and Technology Program of Guizhou Province and related grants; no conflicts of interest declared </w:t>
            </w:r>
            <w:hyperlink r:id="rId142" w:history="1"/>
          </w:p>
        </w:tc>
      </w:tr>
    </w:tbl>
    <w:p w14:paraId="2AC4D243" w14:textId="77777777" w:rsidR="00C51B33" w:rsidRPr="00C51B33" w:rsidRDefault="00C51B33" w:rsidP="00C51B33">
      <w:pPr>
        <w:rPr>
          <w:rFonts w:eastAsia="Times New Roman" w:cs="Arial"/>
          <w:sz w:val="20"/>
        </w:rPr>
      </w:pPr>
      <w:r w:rsidRPr="00C51B33">
        <w:rPr>
          <w:rFonts w:eastAsia="Calibri" w:cs="Arial"/>
          <w:b/>
          <w:bCs/>
          <w:sz w:val="20"/>
        </w:rPr>
        <w:t>Population</w:t>
      </w:r>
    </w:p>
    <w:tbl>
      <w:tblPr>
        <w:tblStyle w:val="SLROption1"/>
        <w:tblW w:w="5000" w:type="pct"/>
        <w:tblLook w:val="0000" w:firstRow="0" w:lastRow="0" w:firstColumn="0" w:lastColumn="0" w:noHBand="0" w:noVBand="0"/>
      </w:tblPr>
      <w:tblGrid>
        <w:gridCol w:w="3628"/>
        <w:gridCol w:w="10316"/>
      </w:tblGrid>
      <w:tr w:rsidR="00C51B33" w:rsidRPr="00C51B33" w14:paraId="1A7D395E" w14:textId="77777777" w:rsidTr="00983C71">
        <w:tc>
          <w:tcPr>
            <w:tcW w:w="1301" w:type="pct"/>
            <w:shd w:val="clear" w:color="auto" w:fill="3C533C"/>
          </w:tcPr>
          <w:p w14:paraId="5BC32B2E" w14:textId="77777777" w:rsidR="00C51B33" w:rsidRPr="00C51B33" w:rsidRDefault="00C51B33" w:rsidP="00983C71">
            <w:pPr>
              <w:spacing w:after="0"/>
              <w:rPr>
                <w:rFonts w:cs="Arial"/>
                <w:sz w:val="20"/>
              </w:rPr>
            </w:pPr>
            <w:r w:rsidRPr="00C51B33">
              <w:rPr>
                <w:rFonts w:eastAsia="Calibri" w:cs="Arial"/>
                <w:b/>
                <w:bCs/>
                <w:color w:val="FFFFFF"/>
                <w:sz w:val="20"/>
              </w:rPr>
              <w:t>Field</w:t>
            </w:r>
          </w:p>
        </w:tc>
        <w:tc>
          <w:tcPr>
            <w:tcW w:w="3699" w:type="pct"/>
            <w:shd w:val="clear" w:color="auto" w:fill="3C533C"/>
          </w:tcPr>
          <w:p w14:paraId="695C718E" w14:textId="77777777" w:rsidR="00C51B33" w:rsidRPr="00C51B33" w:rsidRDefault="00C51B33" w:rsidP="00983C71">
            <w:pPr>
              <w:spacing w:after="0"/>
              <w:rPr>
                <w:rFonts w:cs="Arial"/>
                <w:sz w:val="20"/>
              </w:rPr>
            </w:pPr>
            <w:r w:rsidRPr="00C51B33">
              <w:rPr>
                <w:rFonts w:eastAsia="Calibri" w:cs="Arial"/>
                <w:b/>
                <w:bCs/>
                <w:color w:val="FFFFFF"/>
                <w:sz w:val="20"/>
              </w:rPr>
              <w:t>Extracted information</w:t>
            </w:r>
          </w:p>
        </w:tc>
      </w:tr>
      <w:tr w:rsidR="00C51B33" w:rsidRPr="00C51B33" w14:paraId="68410955" w14:textId="77777777" w:rsidTr="00C51B33">
        <w:tc>
          <w:tcPr>
            <w:tcW w:w="1301" w:type="pct"/>
            <w:shd w:val="clear" w:color="auto" w:fill="F6FDE9"/>
          </w:tcPr>
          <w:p w14:paraId="510E8A63" w14:textId="77777777" w:rsidR="00C51B33" w:rsidRPr="00C51B33" w:rsidRDefault="00C51B33" w:rsidP="00C51B33">
            <w:pPr>
              <w:spacing w:after="0"/>
              <w:rPr>
                <w:rFonts w:cs="Arial"/>
                <w:sz w:val="20"/>
              </w:rPr>
            </w:pPr>
            <w:r w:rsidRPr="00C51B33">
              <w:rPr>
                <w:rFonts w:eastAsia="Calibri" w:cs="Arial"/>
                <w:b/>
                <w:bCs/>
                <w:sz w:val="20"/>
              </w:rPr>
              <w:t>Sample size</w:t>
            </w:r>
          </w:p>
        </w:tc>
        <w:tc>
          <w:tcPr>
            <w:tcW w:w="3699" w:type="pct"/>
            <w:vAlign w:val="center"/>
          </w:tcPr>
          <w:p w14:paraId="35DFDD7E" w14:textId="779203F6" w:rsidR="00C51B33" w:rsidRPr="00C51B33" w:rsidRDefault="00C51B33" w:rsidP="00C51B33">
            <w:pPr>
              <w:pStyle w:val="TableText"/>
              <w:rPr>
                <w:rFonts w:cs="Arial"/>
              </w:rPr>
            </w:pPr>
            <w:r w:rsidRPr="00C51B33">
              <w:rPr>
                <w:rFonts w:cs="Arial"/>
                <w:lang w:eastAsia="en-AU"/>
              </w:rPr>
              <w:t xml:space="preserve">19 included studies (from 136 identified articles); includes data from multiple populations (e.g. 1226 individuals for neurological outcomes) </w:t>
            </w:r>
            <w:hyperlink r:id="rId143" w:history="1"/>
          </w:p>
        </w:tc>
      </w:tr>
      <w:tr w:rsidR="00C51B33" w:rsidRPr="00C51B33" w14:paraId="243BB771" w14:textId="77777777" w:rsidTr="00C51B33">
        <w:tc>
          <w:tcPr>
            <w:tcW w:w="1301" w:type="pct"/>
            <w:shd w:val="clear" w:color="auto" w:fill="F6FDE9"/>
          </w:tcPr>
          <w:p w14:paraId="220FE490" w14:textId="77777777" w:rsidR="00C51B33" w:rsidRPr="00C51B33" w:rsidRDefault="00C51B33" w:rsidP="00C51B33">
            <w:pPr>
              <w:spacing w:after="0"/>
              <w:rPr>
                <w:rFonts w:cs="Arial"/>
                <w:sz w:val="20"/>
              </w:rPr>
            </w:pPr>
            <w:r w:rsidRPr="00C51B33">
              <w:rPr>
                <w:rFonts w:eastAsia="Calibri" w:cs="Arial"/>
                <w:b/>
                <w:bCs/>
                <w:sz w:val="20"/>
              </w:rPr>
              <w:t>Patient characteristics</w:t>
            </w:r>
          </w:p>
        </w:tc>
        <w:tc>
          <w:tcPr>
            <w:tcW w:w="3699" w:type="pct"/>
            <w:vAlign w:val="center"/>
          </w:tcPr>
          <w:p w14:paraId="56C02441" w14:textId="521549D2" w:rsidR="00C51B33" w:rsidRPr="00C51B33" w:rsidRDefault="00C51B33" w:rsidP="00C51B33">
            <w:pPr>
              <w:pStyle w:val="TableText"/>
              <w:rPr>
                <w:rFonts w:cs="Arial"/>
              </w:rPr>
            </w:pPr>
            <w:r w:rsidRPr="00C51B33">
              <w:rPr>
                <w:rFonts w:cs="Arial"/>
                <w:lang w:eastAsia="en-AU"/>
              </w:rPr>
              <w:t>Pregnant women with nausea and vomiting of pregnancy (NVP) or hyperemesis gravidarum (HG); includes varied study populations from underlying included literature</w:t>
            </w:r>
          </w:p>
        </w:tc>
      </w:tr>
      <w:tr w:rsidR="00C51B33" w:rsidRPr="00C51B33" w14:paraId="7998554E" w14:textId="77777777" w:rsidTr="00C51B33">
        <w:tc>
          <w:tcPr>
            <w:tcW w:w="1301" w:type="pct"/>
            <w:shd w:val="clear" w:color="auto" w:fill="F6FDE9"/>
          </w:tcPr>
          <w:p w14:paraId="21F93E1F" w14:textId="77777777" w:rsidR="00C51B33" w:rsidRPr="00C51B33" w:rsidRDefault="00C51B33" w:rsidP="00C51B33">
            <w:pPr>
              <w:spacing w:after="0"/>
              <w:rPr>
                <w:rFonts w:cs="Arial"/>
                <w:sz w:val="20"/>
              </w:rPr>
            </w:pPr>
            <w:r w:rsidRPr="00C51B33">
              <w:rPr>
                <w:rFonts w:eastAsia="Calibri" w:cs="Arial"/>
                <w:b/>
                <w:bCs/>
                <w:sz w:val="20"/>
              </w:rPr>
              <w:t>Inclusion/exclusion of alternative causes</w:t>
            </w:r>
          </w:p>
        </w:tc>
        <w:tc>
          <w:tcPr>
            <w:tcW w:w="3699" w:type="pct"/>
            <w:vAlign w:val="center"/>
          </w:tcPr>
          <w:p w14:paraId="71D0FD75" w14:textId="31C17E54" w:rsidR="00C51B33" w:rsidRPr="00C51B33" w:rsidRDefault="00C51B33" w:rsidP="00C51B33">
            <w:pPr>
              <w:pStyle w:val="TableText"/>
              <w:rPr>
                <w:rFonts w:cs="Arial"/>
              </w:rPr>
            </w:pPr>
            <w:r w:rsidRPr="00C51B33">
              <w:rPr>
                <w:rFonts w:cs="Arial"/>
                <w:lang w:eastAsia="en-AU"/>
              </w:rPr>
              <w:t>Review includes a range of study designs; underlying studies vary in control of confounding factors; not consistently standardised across included evidence</w:t>
            </w:r>
          </w:p>
        </w:tc>
      </w:tr>
    </w:tbl>
    <w:p w14:paraId="640D8F70" w14:textId="77777777" w:rsidR="00C51B33" w:rsidRPr="00C51B33" w:rsidRDefault="00C51B33" w:rsidP="00C51B33">
      <w:pPr>
        <w:rPr>
          <w:rFonts w:eastAsia="Times New Roman" w:cs="Arial"/>
          <w:b/>
          <w:bCs/>
          <w:sz w:val="20"/>
        </w:rPr>
      </w:pPr>
      <w:r w:rsidRPr="00C51B33">
        <w:rPr>
          <w:rFonts w:eastAsia="Times New Roman" w:cs="Arial"/>
          <w:b/>
          <w:bCs/>
          <w:sz w:val="20"/>
        </w:rPr>
        <w:t>Exposure</w:t>
      </w:r>
    </w:p>
    <w:tbl>
      <w:tblPr>
        <w:tblStyle w:val="SLROption1"/>
        <w:tblW w:w="5000" w:type="pct"/>
        <w:tblLook w:val="0000" w:firstRow="0" w:lastRow="0" w:firstColumn="0" w:lastColumn="0" w:noHBand="0" w:noVBand="0"/>
      </w:tblPr>
      <w:tblGrid>
        <w:gridCol w:w="3628"/>
        <w:gridCol w:w="10316"/>
      </w:tblGrid>
      <w:tr w:rsidR="00C51B33" w:rsidRPr="00C51B33" w14:paraId="62D087A8" w14:textId="77777777" w:rsidTr="00983C71">
        <w:trPr>
          <w:cantSplit/>
          <w:tblHeader/>
        </w:trPr>
        <w:tc>
          <w:tcPr>
            <w:tcW w:w="1301" w:type="pct"/>
            <w:shd w:val="clear" w:color="auto" w:fill="3C533C"/>
          </w:tcPr>
          <w:p w14:paraId="7744B07F" w14:textId="77777777" w:rsidR="00C51B33" w:rsidRPr="00C51B33" w:rsidRDefault="00C51B33" w:rsidP="00983C71">
            <w:pPr>
              <w:spacing w:after="0"/>
              <w:rPr>
                <w:rFonts w:cs="Arial"/>
                <w:sz w:val="20"/>
              </w:rPr>
            </w:pPr>
            <w:r w:rsidRPr="00C51B33">
              <w:rPr>
                <w:rFonts w:eastAsia="Calibri" w:cs="Arial"/>
                <w:b/>
                <w:bCs/>
                <w:color w:val="FFFFFF"/>
                <w:sz w:val="20"/>
              </w:rPr>
              <w:t>Field</w:t>
            </w:r>
          </w:p>
        </w:tc>
        <w:tc>
          <w:tcPr>
            <w:tcW w:w="3699" w:type="pct"/>
            <w:shd w:val="clear" w:color="auto" w:fill="3C533C"/>
          </w:tcPr>
          <w:p w14:paraId="2133FF29" w14:textId="77777777" w:rsidR="00C51B33" w:rsidRPr="00C51B33" w:rsidRDefault="00C51B33" w:rsidP="00983C71">
            <w:pPr>
              <w:spacing w:after="0"/>
              <w:rPr>
                <w:rFonts w:cs="Arial"/>
                <w:sz w:val="20"/>
              </w:rPr>
            </w:pPr>
            <w:r w:rsidRPr="00C51B33">
              <w:rPr>
                <w:rFonts w:eastAsia="Calibri" w:cs="Arial"/>
                <w:b/>
                <w:bCs/>
                <w:color w:val="FFFFFF"/>
                <w:sz w:val="20"/>
              </w:rPr>
              <w:t>Extracted information</w:t>
            </w:r>
          </w:p>
        </w:tc>
      </w:tr>
      <w:tr w:rsidR="00C51B33" w:rsidRPr="00C51B33" w14:paraId="64D23DC8" w14:textId="77777777" w:rsidTr="00C51B33">
        <w:tc>
          <w:tcPr>
            <w:tcW w:w="1301" w:type="pct"/>
            <w:shd w:val="clear" w:color="auto" w:fill="F6FDE9"/>
          </w:tcPr>
          <w:p w14:paraId="74F127F9" w14:textId="77777777" w:rsidR="00C51B33" w:rsidRPr="00C51B33" w:rsidRDefault="00C51B33" w:rsidP="00C51B33">
            <w:pPr>
              <w:spacing w:after="0"/>
              <w:rPr>
                <w:rFonts w:cs="Arial"/>
                <w:sz w:val="20"/>
              </w:rPr>
            </w:pPr>
            <w:r w:rsidRPr="00C51B33">
              <w:rPr>
                <w:rFonts w:eastAsia="Calibri" w:cs="Arial"/>
                <w:b/>
                <w:bCs/>
                <w:sz w:val="20"/>
              </w:rPr>
              <w:t>Exposure characterisation – source</w:t>
            </w:r>
          </w:p>
        </w:tc>
        <w:tc>
          <w:tcPr>
            <w:tcW w:w="3699" w:type="pct"/>
            <w:vAlign w:val="center"/>
          </w:tcPr>
          <w:p w14:paraId="62976388" w14:textId="3C4A3484" w:rsidR="00C51B33" w:rsidRPr="00C51B33" w:rsidRDefault="00C51B33" w:rsidP="00C51B33">
            <w:pPr>
              <w:pStyle w:val="TableText"/>
              <w:rPr>
                <w:rFonts w:cs="Arial"/>
              </w:rPr>
            </w:pPr>
            <w:r w:rsidRPr="00C51B33">
              <w:rPr>
                <w:rFonts w:cs="Arial"/>
                <w:lang w:eastAsia="en-AU"/>
              </w:rPr>
              <w:t>Vitamin B6 (pyridoxine) supplementation for treatment of NVP/HG</w:t>
            </w:r>
          </w:p>
        </w:tc>
      </w:tr>
      <w:tr w:rsidR="00C51B33" w:rsidRPr="00C51B33" w14:paraId="5F5EAE21" w14:textId="77777777" w:rsidTr="00C51B33">
        <w:tc>
          <w:tcPr>
            <w:tcW w:w="1301" w:type="pct"/>
            <w:shd w:val="clear" w:color="auto" w:fill="F6FDE9"/>
          </w:tcPr>
          <w:p w14:paraId="709918A4" w14:textId="77777777" w:rsidR="00C51B33" w:rsidRPr="00C51B33" w:rsidRDefault="00C51B33" w:rsidP="00C51B33">
            <w:pPr>
              <w:spacing w:after="0"/>
              <w:rPr>
                <w:rFonts w:cs="Arial"/>
                <w:sz w:val="20"/>
              </w:rPr>
            </w:pPr>
            <w:r w:rsidRPr="00C51B33">
              <w:rPr>
                <w:rFonts w:eastAsia="Calibri" w:cs="Arial"/>
                <w:b/>
                <w:bCs/>
                <w:sz w:val="20"/>
              </w:rPr>
              <w:t>Exposure characterisation – dose</w:t>
            </w:r>
          </w:p>
        </w:tc>
        <w:tc>
          <w:tcPr>
            <w:tcW w:w="3699" w:type="pct"/>
            <w:vAlign w:val="center"/>
          </w:tcPr>
          <w:p w14:paraId="3C533680" w14:textId="37AEDDF1" w:rsidR="00C51B33" w:rsidRPr="00C51B33" w:rsidRDefault="00C51B33" w:rsidP="00C51B33">
            <w:pPr>
              <w:pStyle w:val="TableText"/>
              <w:rPr>
                <w:rFonts w:cs="Arial"/>
              </w:rPr>
            </w:pPr>
            <w:r w:rsidRPr="00C51B33">
              <w:rPr>
                <w:rFonts w:cs="Arial"/>
                <w:lang w:eastAsia="en-AU"/>
              </w:rPr>
              <w:t xml:space="preserve">Therapeutic doses typically 10–30 mg up to ~200 mg/day; adverse effects reported across a wide range including ≥30 mg/day and high-dose exposures (100–6000 mg/day in case reports) </w:t>
            </w:r>
            <w:hyperlink r:id="rId144" w:history="1"/>
          </w:p>
        </w:tc>
      </w:tr>
      <w:tr w:rsidR="00C51B33" w:rsidRPr="00C51B33" w14:paraId="29B00864" w14:textId="77777777" w:rsidTr="00C51B33">
        <w:tc>
          <w:tcPr>
            <w:tcW w:w="1301" w:type="pct"/>
            <w:shd w:val="clear" w:color="auto" w:fill="F6FDE9"/>
          </w:tcPr>
          <w:p w14:paraId="4E4B1BD4" w14:textId="77777777" w:rsidR="00C51B33" w:rsidRPr="00C51B33" w:rsidRDefault="00C51B33" w:rsidP="00C51B33">
            <w:pPr>
              <w:spacing w:after="0"/>
              <w:rPr>
                <w:rFonts w:cs="Arial"/>
                <w:sz w:val="20"/>
              </w:rPr>
            </w:pPr>
            <w:r w:rsidRPr="00C51B33">
              <w:rPr>
                <w:rFonts w:eastAsia="Calibri" w:cs="Arial"/>
                <w:b/>
                <w:bCs/>
                <w:sz w:val="20"/>
              </w:rPr>
              <w:lastRenderedPageBreak/>
              <w:t>Biomarker of exposure</w:t>
            </w:r>
          </w:p>
        </w:tc>
        <w:tc>
          <w:tcPr>
            <w:tcW w:w="3699" w:type="pct"/>
            <w:vAlign w:val="center"/>
          </w:tcPr>
          <w:p w14:paraId="327766D0" w14:textId="7AF46396" w:rsidR="00C51B33" w:rsidRPr="00C51B33" w:rsidRDefault="00C51B33" w:rsidP="00C51B33">
            <w:pPr>
              <w:pStyle w:val="TableText"/>
              <w:rPr>
                <w:rFonts w:cs="Arial"/>
              </w:rPr>
            </w:pPr>
            <w:r w:rsidRPr="00C51B33">
              <w:rPr>
                <w:rFonts w:cs="Arial"/>
                <w:lang w:eastAsia="en-AU"/>
              </w:rPr>
              <w:t>Plasma PLP (pyridoxal-5′-phosphate) used as biomarker of vitamin B6 status</w:t>
            </w:r>
          </w:p>
        </w:tc>
      </w:tr>
      <w:tr w:rsidR="00C51B33" w:rsidRPr="00C51B33" w14:paraId="22D906CF" w14:textId="77777777" w:rsidTr="00C51B33">
        <w:tc>
          <w:tcPr>
            <w:tcW w:w="1301" w:type="pct"/>
            <w:shd w:val="clear" w:color="auto" w:fill="F6FDE9"/>
          </w:tcPr>
          <w:p w14:paraId="613E9B19" w14:textId="77777777" w:rsidR="00C51B33" w:rsidRPr="00C51B33" w:rsidRDefault="00C51B33" w:rsidP="00C51B33">
            <w:pPr>
              <w:spacing w:after="0"/>
              <w:rPr>
                <w:rFonts w:cs="Arial"/>
                <w:sz w:val="20"/>
              </w:rPr>
            </w:pPr>
            <w:r w:rsidRPr="00C51B33">
              <w:rPr>
                <w:rFonts w:eastAsia="Calibri" w:cs="Arial"/>
                <w:b/>
                <w:bCs/>
                <w:sz w:val="20"/>
              </w:rPr>
              <w:t>Duration of exposure</w:t>
            </w:r>
          </w:p>
        </w:tc>
        <w:tc>
          <w:tcPr>
            <w:tcW w:w="3699" w:type="pct"/>
            <w:vAlign w:val="center"/>
          </w:tcPr>
          <w:p w14:paraId="39D105D1" w14:textId="0C4B2C01" w:rsidR="00C51B33" w:rsidRPr="00C51B33" w:rsidRDefault="00C51B33" w:rsidP="00C51B33">
            <w:pPr>
              <w:pStyle w:val="TableText"/>
              <w:rPr>
                <w:rFonts w:cs="Arial"/>
              </w:rPr>
            </w:pPr>
            <w:r w:rsidRPr="00C51B33">
              <w:rPr>
                <w:rFonts w:cs="Arial"/>
                <w:lang w:eastAsia="en-AU"/>
              </w:rPr>
              <w:t>Variable; includes short-term treatment in pregnancy and long-term/high-dose exposures in case reports</w:t>
            </w:r>
          </w:p>
        </w:tc>
      </w:tr>
    </w:tbl>
    <w:p w14:paraId="7AE6EB8B" w14:textId="77777777" w:rsidR="00C51B33" w:rsidRPr="00C51B33" w:rsidRDefault="00C51B33" w:rsidP="00C51B33">
      <w:pPr>
        <w:rPr>
          <w:rFonts w:eastAsia="Times New Roman" w:cs="Arial"/>
          <w:b/>
          <w:bCs/>
          <w:sz w:val="20"/>
        </w:rPr>
      </w:pPr>
      <w:r w:rsidRPr="00C51B33">
        <w:rPr>
          <w:rFonts w:eastAsia="Times New Roman" w:cs="Arial"/>
          <w:b/>
          <w:bCs/>
          <w:sz w:val="20"/>
        </w:rPr>
        <w:t>Outcomes</w:t>
      </w:r>
    </w:p>
    <w:tbl>
      <w:tblPr>
        <w:tblStyle w:val="SLROption1"/>
        <w:tblW w:w="5000" w:type="pct"/>
        <w:tblLook w:val="0000" w:firstRow="0" w:lastRow="0" w:firstColumn="0" w:lastColumn="0" w:noHBand="0" w:noVBand="0"/>
      </w:tblPr>
      <w:tblGrid>
        <w:gridCol w:w="3628"/>
        <w:gridCol w:w="10316"/>
      </w:tblGrid>
      <w:tr w:rsidR="00C51B33" w:rsidRPr="00C51B33" w14:paraId="33E12208" w14:textId="77777777" w:rsidTr="00983C71">
        <w:tc>
          <w:tcPr>
            <w:tcW w:w="1301" w:type="pct"/>
            <w:shd w:val="clear" w:color="auto" w:fill="3C533C"/>
          </w:tcPr>
          <w:p w14:paraId="07E7241E" w14:textId="77777777" w:rsidR="00C51B33" w:rsidRPr="00C51B33" w:rsidRDefault="00C51B33" w:rsidP="00983C71">
            <w:pPr>
              <w:spacing w:after="0"/>
              <w:rPr>
                <w:rFonts w:cs="Arial"/>
                <w:sz w:val="20"/>
              </w:rPr>
            </w:pPr>
            <w:r w:rsidRPr="00C51B33">
              <w:rPr>
                <w:rFonts w:eastAsia="Calibri" w:cs="Arial"/>
                <w:b/>
                <w:bCs/>
                <w:color w:val="FFFFFF"/>
                <w:sz w:val="20"/>
              </w:rPr>
              <w:t>Field</w:t>
            </w:r>
          </w:p>
        </w:tc>
        <w:tc>
          <w:tcPr>
            <w:tcW w:w="3699" w:type="pct"/>
            <w:shd w:val="clear" w:color="auto" w:fill="3C533C"/>
          </w:tcPr>
          <w:p w14:paraId="496146AC" w14:textId="77777777" w:rsidR="00C51B33" w:rsidRPr="00C51B33" w:rsidRDefault="00C51B33" w:rsidP="00983C71">
            <w:pPr>
              <w:spacing w:after="0"/>
              <w:rPr>
                <w:rFonts w:cs="Arial"/>
                <w:sz w:val="20"/>
              </w:rPr>
            </w:pPr>
            <w:r w:rsidRPr="00C51B33">
              <w:rPr>
                <w:rFonts w:eastAsia="Calibri" w:cs="Arial"/>
                <w:b/>
                <w:bCs/>
                <w:color w:val="FFFFFF"/>
                <w:sz w:val="20"/>
              </w:rPr>
              <w:t>Extracted information</w:t>
            </w:r>
          </w:p>
        </w:tc>
      </w:tr>
      <w:tr w:rsidR="00C51B33" w:rsidRPr="00C51B33" w14:paraId="4292C08D" w14:textId="77777777" w:rsidTr="00E44401">
        <w:tc>
          <w:tcPr>
            <w:tcW w:w="1301" w:type="pct"/>
            <w:shd w:val="clear" w:color="auto" w:fill="F6FDE9"/>
          </w:tcPr>
          <w:p w14:paraId="5EE355CF" w14:textId="77777777" w:rsidR="00C51B33" w:rsidRPr="00C51B33" w:rsidRDefault="00C51B33" w:rsidP="00C51B33">
            <w:pPr>
              <w:spacing w:after="0"/>
              <w:rPr>
                <w:rFonts w:cs="Arial"/>
                <w:sz w:val="20"/>
              </w:rPr>
            </w:pPr>
            <w:r w:rsidRPr="00C51B33">
              <w:rPr>
                <w:rFonts w:eastAsia="Calibri" w:cs="Arial"/>
                <w:b/>
                <w:bCs/>
                <w:sz w:val="20"/>
              </w:rPr>
              <w:t>Primary outcome</w:t>
            </w:r>
          </w:p>
        </w:tc>
        <w:tc>
          <w:tcPr>
            <w:tcW w:w="3699" w:type="pct"/>
            <w:vAlign w:val="center"/>
          </w:tcPr>
          <w:p w14:paraId="525FDC49" w14:textId="607B8DB8" w:rsidR="00C51B33" w:rsidRPr="00C51B33" w:rsidRDefault="00C51B33" w:rsidP="00C51B33">
            <w:pPr>
              <w:pStyle w:val="TableText"/>
              <w:rPr>
                <w:rFonts w:cs="Arial"/>
              </w:rPr>
            </w:pPr>
            <w:r w:rsidRPr="00C51B33">
              <w:rPr>
                <w:rFonts w:cs="Arial"/>
                <w:lang w:eastAsia="en-AU"/>
              </w:rPr>
              <w:t>Adverse effects of high-dose vitamin B6, including neurological toxicity and pregnancy outcomes</w:t>
            </w:r>
          </w:p>
        </w:tc>
      </w:tr>
      <w:tr w:rsidR="00C51B33" w:rsidRPr="00C51B33" w14:paraId="1FE146FA" w14:textId="77777777" w:rsidTr="00E44401">
        <w:tc>
          <w:tcPr>
            <w:tcW w:w="1301" w:type="pct"/>
            <w:shd w:val="clear" w:color="auto" w:fill="F6FDE9"/>
          </w:tcPr>
          <w:p w14:paraId="12F1A782" w14:textId="77777777" w:rsidR="00C51B33" w:rsidRPr="00C51B33" w:rsidRDefault="00C51B33" w:rsidP="00C51B33">
            <w:pPr>
              <w:spacing w:after="0"/>
              <w:rPr>
                <w:rFonts w:cs="Arial"/>
                <w:sz w:val="20"/>
              </w:rPr>
            </w:pPr>
            <w:r w:rsidRPr="00C51B33">
              <w:rPr>
                <w:rFonts w:eastAsia="Calibri" w:cs="Arial"/>
                <w:b/>
                <w:bCs/>
                <w:sz w:val="20"/>
              </w:rPr>
              <w:t>Outcome assessment – clinical examination</w:t>
            </w:r>
          </w:p>
        </w:tc>
        <w:tc>
          <w:tcPr>
            <w:tcW w:w="3699" w:type="pct"/>
            <w:vAlign w:val="center"/>
          </w:tcPr>
          <w:p w14:paraId="5BB3E83D" w14:textId="25FE64F8" w:rsidR="00C51B33" w:rsidRPr="00C51B33" w:rsidRDefault="00C51B33" w:rsidP="00C51B33">
            <w:pPr>
              <w:pStyle w:val="TableText"/>
              <w:rPr>
                <w:rFonts w:cs="Arial"/>
              </w:rPr>
            </w:pPr>
            <w:r w:rsidRPr="00C51B33">
              <w:rPr>
                <w:rFonts w:cs="Arial"/>
                <w:lang w:eastAsia="en-AU"/>
              </w:rPr>
              <w:t>Neurological symptoms (e.g. paresthesia, ataxia), pregnancy outcomes (miscarriage, fetal outcomes)</w:t>
            </w:r>
          </w:p>
        </w:tc>
      </w:tr>
      <w:tr w:rsidR="00C51B33" w:rsidRPr="00C51B33" w14:paraId="5123AC3C" w14:textId="77777777" w:rsidTr="00E44401">
        <w:tc>
          <w:tcPr>
            <w:tcW w:w="1301" w:type="pct"/>
            <w:shd w:val="clear" w:color="auto" w:fill="F6FDE9"/>
          </w:tcPr>
          <w:p w14:paraId="206C9DFE" w14:textId="77777777" w:rsidR="00C51B33" w:rsidRPr="00C51B33" w:rsidRDefault="00C51B33" w:rsidP="00C51B33">
            <w:pPr>
              <w:spacing w:after="0"/>
              <w:rPr>
                <w:rFonts w:cs="Arial"/>
                <w:sz w:val="20"/>
              </w:rPr>
            </w:pPr>
            <w:r w:rsidRPr="00C51B33">
              <w:rPr>
                <w:rFonts w:eastAsia="Calibri" w:cs="Arial"/>
                <w:b/>
                <w:bCs/>
                <w:sz w:val="20"/>
              </w:rPr>
              <w:t>Outcome assessment – objective testing</w:t>
            </w:r>
          </w:p>
        </w:tc>
        <w:tc>
          <w:tcPr>
            <w:tcW w:w="3699" w:type="pct"/>
            <w:vAlign w:val="center"/>
          </w:tcPr>
          <w:p w14:paraId="01F5E375" w14:textId="27645442" w:rsidR="00C51B33" w:rsidRPr="00C51B33" w:rsidRDefault="00C51B33" w:rsidP="00C51B33">
            <w:pPr>
              <w:pStyle w:val="TableText"/>
              <w:rPr>
                <w:rFonts w:cs="Arial"/>
              </w:rPr>
            </w:pPr>
            <w:r w:rsidRPr="00C51B33">
              <w:rPr>
                <w:rFonts w:cs="Arial"/>
                <w:lang w:eastAsia="en-AU"/>
              </w:rPr>
              <w:t>Reported outcomes include biochemical markers, clinical diagnosis, and study-reported endpoints across included studies</w:t>
            </w:r>
          </w:p>
        </w:tc>
      </w:tr>
      <w:tr w:rsidR="00C51B33" w:rsidRPr="00C51B33" w14:paraId="7333188C" w14:textId="77777777" w:rsidTr="00E44401">
        <w:tc>
          <w:tcPr>
            <w:tcW w:w="1301" w:type="pct"/>
            <w:shd w:val="clear" w:color="auto" w:fill="F6FDE9"/>
          </w:tcPr>
          <w:p w14:paraId="6093647F" w14:textId="77777777" w:rsidR="00C51B33" w:rsidRPr="00C51B33" w:rsidRDefault="00C51B33" w:rsidP="00C51B33">
            <w:pPr>
              <w:spacing w:after="0"/>
              <w:rPr>
                <w:rFonts w:cs="Arial"/>
                <w:sz w:val="20"/>
              </w:rPr>
            </w:pPr>
            <w:r w:rsidRPr="00C51B33">
              <w:rPr>
                <w:rFonts w:eastAsia="Calibri" w:cs="Arial"/>
                <w:b/>
                <w:bCs/>
                <w:sz w:val="20"/>
              </w:rPr>
              <w:t>Outcome assessment – tools used</w:t>
            </w:r>
          </w:p>
        </w:tc>
        <w:tc>
          <w:tcPr>
            <w:tcW w:w="3699" w:type="pct"/>
            <w:vAlign w:val="center"/>
          </w:tcPr>
          <w:p w14:paraId="11833FCB" w14:textId="7DAB8794" w:rsidR="00C51B33" w:rsidRPr="00C51B33" w:rsidRDefault="00C51B33" w:rsidP="00C51B33">
            <w:pPr>
              <w:pStyle w:val="TableText"/>
              <w:rPr>
                <w:rFonts w:cs="Arial"/>
              </w:rPr>
            </w:pPr>
            <w:r w:rsidRPr="00C51B33">
              <w:rPr>
                <w:rFonts w:cs="Arial"/>
                <w:lang w:eastAsia="en-AU"/>
              </w:rPr>
              <w:t>Not standardised; varies across included studies (clinical assessment, observational reporting, RCT outcomes)</w:t>
            </w:r>
          </w:p>
        </w:tc>
      </w:tr>
      <w:tr w:rsidR="00C51B33" w:rsidRPr="00C51B33" w14:paraId="47B92B23" w14:textId="77777777" w:rsidTr="00E44401">
        <w:tc>
          <w:tcPr>
            <w:tcW w:w="1301" w:type="pct"/>
            <w:shd w:val="clear" w:color="auto" w:fill="F6FDE9"/>
          </w:tcPr>
          <w:p w14:paraId="0A41AFD8" w14:textId="77777777" w:rsidR="00C51B33" w:rsidRPr="00C51B33" w:rsidRDefault="00C51B33" w:rsidP="00C51B33">
            <w:pPr>
              <w:spacing w:after="0"/>
              <w:rPr>
                <w:rFonts w:cs="Arial"/>
                <w:sz w:val="20"/>
              </w:rPr>
            </w:pPr>
            <w:r w:rsidRPr="00C51B33">
              <w:rPr>
                <w:rFonts w:eastAsia="Calibri" w:cs="Arial"/>
                <w:b/>
                <w:bCs/>
                <w:sz w:val="20"/>
              </w:rPr>
              <w:t>Response to withdrawal</w:t>
            </w:r>
          </w:p>
        </w:tc>
        <w:tc>
          <w:tcPr>
            <w:tcW w:w="3699" w:type="pct"/>
            <w:vAlign w:val="center"/>
          </w:tcPr>
          <w:p w14:paraId="1503A40C" w14:textId="35C8E1CF" w:rsidR="00C51B33" w:rsidRPr="00C51B33" w:rsidRDefault="00C51B33" w:rsidP="00C51B33">
            <w:pPr>
              <w:pStyle w:val="TableText"/>
              <w:rPr>
                <w:rFonts w:cs="Arial"/>
              </w:rPr>
            </w:pPr>
            <w:r w:rsidRPr="00C51B33">
              <w:rPr>
                <w:rFonts w:cs="Arial"/>
                <w:lang w:eastAsia="en-AU"/>
              </w:rPr>
              <w:t>Some included case reports indicate improvement in neurological symptoms following discontinuation of vitamin B6</w:t>
            </w:r>
          </w:p>
        </w:tc>
      </w:tr>
    </w:tbl>
    <w:p w14:paraId="25B8C232" w14:textId="77777777" w:rsidR="00C51B33" w:rsidRPr="00C51B33" w:rsidRDefault="00C51B33" w:rsidP="00C51B33">
      <w:pPr>
        <w:rPr>
          <w:rFonts w:eastAsia="Times New Roman" w:cs="Arial"/>
          <w:b/>
          <w:bCs/>
          <w:sz w:val="20"/>
        </w:rPr>
      </w:pPr>
      <w:r w:rsidRPr="00C51B33">
        <w:rPr>
          <w:rFonts w:eastAsia="Times New Roman" w:cs="Arial"/>
          <w:b/>
          <w:bCs/>
          <w:sz w:val="20"/>
        </w:rPr>
        <w:t>Results and Conclusions</w:t>
      </w:r>
    </w:p>
    <w:tbl>
      <w:tblPr>
        <w:tblStyle w:val="SLROption1"/>
        <w:tblW w:w="5000" w:type="pct"/>
        <w:tblLook w:val="0000" w:firstRow="0" w:lastRow="0" w:firstColumn="0" w:lastColumn="0" w:noHBand="0" w:noVBand="0"/>
      </w:tblPr>
      <w:tblGrid>
        <w:gridCol w:w="3628"/>
        <w:gridCol w:w="10316"/>
      </w:tblGrid>
      <w:tr w:rsidR="00C51B33" w:rsidRPr="00C51B33" w14:paraId="288E3E2B" w14:textId="77777777" w:rsidTr="00983C71">
        <w:trPr>
          <w:cantSplit/>
          <w:tblHeader/>
        </w:trPr>
        <w:tc>
          <w:tcPr>
            <w:tcW w:w="1301" w:type="pct"/>
            <w:shd w:val="clear" w:color="auto" w:fill="3C533C"/>
          </w:tcPr>
          <w:p w14:paraId="3BFEC1E5" w14:textId="77777777" w:rsidR="00C51B33" w:rsidRPr="00C51B33" w:rsidRDefault="00C51B33" w:rsidP="00983C71">
            <w:pPr>
              <w:spacing w:after="0"/>
              <w:rPr>
                <w:rFonts w:cs="Arial"/>
                <w:sz w:val="20"/>
              </w:rPr>
            </w:pPr>
            <w:r w:rsidRPr="00C51B33">
              <w:rPr>
                <w:rFonts w:eastAsia="Calibri" w:cs="Arial"/>
                <w:b/>
                <w:bCs/>
                <w:color w:val="FFFFFF"/>
                <w:sz w:val="20"/>
              </w:rPr>
              <w:t>Field</w:t>
            </w:r>
          </w:p>
        </w:tc>
        <w:tc>
          <w:tcPr>
            <w:tcW w:w="3699" w:type="pct"/>
            <w:shd w:val="clear" w:color="auto" w:fill="3C533C"/>
          </w:tcPr>
          <w:p w14:paraId="37613DD7" w14:textId="77777777" w:rsidR="00C51B33" w:rsidRPr="00C51B33" w:rsidRDefault="00C51B33" w:rsidP="00983C71">
            <w:pPr>
              <w:spacing w:after="0"/>
              <w:rPr>
                <w:rFonts w:cs="Arial"/>
                <w:sz w:val="20"/>
              </w:rPr>
            </w:pPr>
            <w:r w:rsidRPr="00C51B33">
              <w:rPr>
                <w:rFonts w:eastAsia="Calibri" w:cs="Arial"/>
                <w:b/>
                <w:bCs/>
                <w:color w:val="FFFFFF"/>
                <w:sz w:val="20"/>
              </w:rPr>
              <w:t>Extracted information</w:t>
            </w:r>
          </w:p>
        </w:tc>
      </w:tr>
      <w:tr w:rsidR="00C51B33" w:rsidRPr="00C51B33" w14:paraId="3A48EB0C" w14:textId="77777777" w:rsidTr="00E44401">
        <w:trPr>
          <w:cantSplit/>
        </w:trPr>
        <w:tc>
          <w:tcPr>
            <w:tcW w:w="1301" w:type="pct"/>
            <w:shd w:val="clear" w:color="auto" w:fill="F6FDE9"/>
          </w:tcPr>
          <w:p w14:paraId="73F3C206" w14:textId="77777777" w:rsidR="00C51B33" w:rsidRPr="00C51B33" w:rsidRDefault="00C51B33" w:rsidP="00C51B33">
            <w:pPr>
              <w:spacing w:after="0"/>
              <w:rPr>
                <w:rFonts w:cs="Arial"/>
                <w:sz w:val="20"/>
              </w:rPr>
            </w:pPr>
            <w:r w:rsidRPr="00C51B33">
              <w:rPr>
                <w:rFonts w:eastAsia="Calibri" w:cs="Arial"/>
                <w:b/>
                <w:bCs/>
                <w:sz w:val="20"/>
              </w:rPr>
              <w:t>Main results</w:t>
            </w:r>
          </w:p>
        </w:tc>
        <w:tc>
          <w:tcPr>
            <w:tcW w:w="3699" w:type="pct"/>
            <w:vAlign w:val="center"/>
          </w:tcPr>
          <w:p w14:paraId="6967482E" w14:textId="4A853DD8" w:rsidR="00C51B33" w:rsidRPr="00C51B33" w:rsidRDefault="00C51B33" w:rsidP="00C51B33">
            <w:pPr>
              <w:pStyle w:val="TableText"/>
              <w:rPr>
                <w:rFonts w:cs="Arial"/>
              </w:rPr>
            </w:pPr>
            <w:r w:rsidRPr="00C51B33">
              <w:rPr>
                <w:rFonts w:cs="Arial"/>
                <w:lang w:eastAsia="en-AU"/>
              </w:rPr>
              <w:t xml:space="preserve">Neurological symptoms reported in 164/1226 individuals (e.g. paresthesia, ataxia); evidence suggests association between high-dose vitamin B6 and neuropathy; some reports of miscarriage (4/245) and intrauterine death; evidence of possible congenital abnormalities but inconsistent findings </w:t>
            </w:r>
            <w:hyperlink r:id="rId145" w:history="1"/>
          </w:p>
        </w:tc>
      </w:tr>
      <w:tr w:rsidR="00C51B33" w:rsidRPr="00C51B33" w14:paraId="55D1B085" w14:textId="77777777" w:rsidTr="00E44401">
        <w:trPr>
          <w:cantSplit/>
        </w:trPr>
        <w:tc>
          <w:tcPr>
            <w:tcW w:w="1301" w:type="pct"/>
            <w:shd w:val="clear" w:color="auto" w:fill="F6FDE9"/>
          </w:tcPr>
          <w:p w14:paraId="1A6DF923" w14:textId="77777777" w:rsidR="00C51B33" w:rsidRPr="00C51B33" w:rsidRDefault="00C51B33" w:rsidP="00C51B33">
            <w:pPr>
              <w:spacing w:after="0"/>
              <w:rPr>
                <w:rFonts w:eastAsia="Calibri" w:cs="Arial"/>
                <w:b/>
                <w:bCs/>
                <w:sz w:val="20"/>
              </w:rPr>
            </w:pPr>
            <w:r w:rsidRPr="00C51B33">
              <w:rPr>
                <w:rFonts w:eastAsia="Calibri" w:cs="Arial"/>
                <w:b/>
                <w:bCs/>
                <w:sz w:val="20"/>
              </w:rPr>
              <w:t>Authors' conclusions</w:t>
            </w:r>
          </w:p>
        </w:tc>
        <w:tc>
          <w:tcPr>
            <w:tcW w:w="3699" w:type="pct"/>
            <w:vAlign w:val="center"/>
          </w:tcPr>
          <w:p w14:paraId="07FB7C06" w14:textId="74A25265" w:rsidR="00C51B33" w:rsidRPr="00C51B33" w:rsidRDefault="00C51B33" w:rsidP="00C51B33">
            <w:pPr>
              <w:pStyle w:val="TableText"/>
              <w:rPr>
                <w:rFonts w:cs="Arial"/>
              </w:rPr>
            </w:pPr>
            <w:r w:rsidRPr="00C51B33">
              <w:rPr>
                <w:rFonts w:cs="Arial"/>
                <w:lang w:eastAsia="en-AU"/>
              </w:rPr>
              <w:t xml:space="preserve">High doses of vitamin B6 may pose risks including neurotoxicity and potential adverse pregnancy outcomes; caution is warranted when exceeding recommended intake levels, particularly in early pregnancy </w:t>
            </w:r>
            <w:hyperlink r:id="rId146" w:history="1"/>
          </w:p>
        </w:tc>
      </w:tr>
      <w:tr w:rsidR="00C51B33" w:rsidRPr="00C51B33" w14:paraId="14622549" w14:textId="77777777" w:rsidTr="00E44401">
        <w:trPr>
          <w:cantSplit/>
        </w:trPr>
        <w:tc>
          <w:tcPr>
            <w:tcW w:w="1301" w:type="pct"/>
            <w:shd w:val="clear" w:color="auto" w:fill="F6FDE9" w:themeFill="accent5" w:themeFillTint="33"/>
            <w:vAlign w:val="center"/>
          </w:tcPr>
          <w:p w14:paraId="686DBCF3" w14:textId="77777777" w:rsidR="00C51B33" w:rsidRPr="00C51B33" w:rsidRDefault="00C51B33" w:rsidP="00C51B33">
            <w:pPr>
              <w:spacing w:after="0"/>
              <w:rPr>
                <w:rFonts w:eastAsia="Calibri" w:cs="Arial"/>
                <w:b/>
                <w:bCs/>
                <w:sz w:val="20"/>
              </w:rPr>
            </w:pPr>
            <w:r w:rsidRPr="00C51B33">
              <w:rPr>
                <w:rFonts w:cs="Arial"/>
                <w:b/>
                <w:bCs/>
                <w:sz w:val="20"/>
                <w:lang w:eastAsia="en-AU"/>
              </w:rPr>
              <w:t>Authors' acknowledged limitations</w:t>
            </w:r>
          </w:p>
        </w:tc>
        <w:tc>
          <w:tcPr>
            <w:tcW w:w="3699" w:type="pct"/>
            <w:vAlign w:val="center"/>
          </w:tcPr>
          <w:p w14:paraId="54F69FED" w14:textId="0D3A8108" w:rsidR="00C51B33" w:rsidRPr="00C51B33" w:rsidRDefault="00C51B33" w:rsidP="00C51B33">
            <w:pPr>
              <w:pStyle w:val="TableText"/>
              <w:rPr>
                <w:rFonts w:cs="Arial"/>
              </w:rPr>
            </w:pPr>
            <w:r w:rsidRPr="00C51B33">
              <w:rPr>
                <w:rFonts w:cs="Arial"/>
                <w:lang w:eastAsia="en-AU"/>
              </w:rPr>
              <w:t>Limited high-quality evidence; reliance on case reports and heterogeneous studies; small sample sizes; lack of consistent follow-up and standardisation</w:t>
            </w:r>
          </w:p>
        </w:tc>
      </w:tr>
    </w:tbl>
    <w:p w14:paraId="143D215D" w14:textId="77777777" w:rsidR="00C51B33" w:rsidRPr="00C51B33" w:rsidRDefault="00C51B33" w:rsidP="00C51B33">
      <w:pPr>
        <w:rPr>
          <w:rFonts w:eastAsia="Times New Roman" w:cs="Arial"/>
          <w:b/>
          <w:bCs/>
          <w:sz w:val="20"/>
        </w:rPr>
      </w:pPr>
      <w:r w:rsidRPr="00C51B33">
        <w:rPr>
          <w:rFonts w:eastAsia="Times New Roman" w:cs="Arial"/>
          <w:b/>
          <w:bCs/>
          <w:sz w:val="20"/>
        </w:rPr>
        <w:t>Contextual information for the AU/NZ UL review</w:t>
      </w:r>
    </w:p>
    <w:tbl>
      <w:tblPr>
        <w:tblStyle w:val="SLROption1"/>
        <w:tblW w:w="5000" w:type="pct"/>
        <w:tblLook w:val="0000" w:firstRow="0" w:lastRow="0" w:firstColumn="0" w:lastColumn="0" w:noHBand="0" w:noVBand="0"/>
      </w:tblPr>
      <w:tblGrid>
        <w:gridCol w:w="3628"/>
        <w:gridCol w:w="10316"/>
      </w:tblGrid>
      <w:tr w:rsidR="00C51B33" w:rsidRPr="00C51B33" w14:paraId="56228E09" w14:textId="77777777" w:rsidTr="00983C71">
        <w:tc>
          <w:tcPr>
            <w:tcW w:w="1301" w:type="pct"/>
            <w:shd w:val="clear" w:color="auto" w:fill="F6FDE9"/>
          </w:tcPr>
          <w:p w14:paraId="083596F9" w14:textId="77777777" w:rsidR="00C51B33" w:rsidRPr="00C51B33" w:rsidRDefault="00C51B33" w:rsidP="00983C71">
            <w:pPr>
              <w:spacing w:after="0"/>
              <w:rPr>
                <w:rFonts w:cs="Arial"/>
                <w:sz w:val="20"/>
              </w:rPr>
            </w:pPr>
            <w:r w:rsidRPr="00C51B33">
              <w:rPr>
                <w:rFonts w:eastAsia="Calibri" w:cs="Arial"/>
                <w:b/>
                <w:bCs/>
                <w:sz w:val="20"/>
              </w:rPr>
              <w:t>Generalisability to AU/NZ</w:t>
            </w:r>
          </w:p>
        </w:tc>
        <w:tc>
          <w:tcPr>
            <w:tcW w:w="3699" w:type="pct"/>
          </w:tcPr>
          <w:p w14:paraId="0AED8C0D" w14:textId="2D0A6F98" w:rsidR="00C51B33" w:rsidRPr="00C51B33" w:rsidRDefault="00C51B33" w:rsidP="00983C71">
            <w:pPr>
              <w:spacing w:after="0"/>
              <w:rPr>
                <w:rFonts w:cs="Arial"/>
                <w:sz w:val="20"/>
              </w:rPr>
            </w:pPr>
            <w:r w:rsidRPr="00C51B33">
              <w:rPr>
                <w:rFonts w:eastAsia="Calibri" w:cs="Arial"/>
                <w:sz w:val="20"/>
              </w:rPr>
              <w:t>Moderate; reflects clinical and supplement use contexts relevant to pregnancy; however, evidence is heterogeneous and based largely on secondary data rather than controlled trials</w:t>
            </w:r>
          </w:p>
        </w:tc>
      </w:tr>
    </w:tbl>
    <w:p w14:paraId="286207FC" w14:textId="77777777" w:rsidR="00C51B33" w:rsidRDefault="00C51B33" w:rsidP="00CC2D4D">
      <w:pPr>
        <w:tabs>
          <w:tab w:val="left" w:pos="1172"/>
        </w:tabs>
        <w:rPr>
          <w:rFonts w:eastAsia="Times New Roman" w:cs="Arial"/>
        </w:rPr>
        <w:sectPr w:rsidR="00C51B33" w:rsidSect="00B8180E">
          <w:pgSz w:w="16834" w:h="11909" w:orient="landscape" w:code="9"/>
          <w:pgMar w:top="1440" w:right="1440" w:bottom="1440" w:left="1440" w:header="576" w:footer="576" w:gutter="0"/>
          <w:cols w:space="720"/>
          <w:docGrid w:linePitch="360"/>
        </w:sectPr>
      </w:pPr>
    </w:p>
    <w:p w14:paraId="767FAD4C" w14:textId="1A8C3603" w:rsidR="00C51B33" w:rsidRDefault="00E44401" w:rsidP="00C51B33">
      <w:pPr>
        <w:pStyle w:val="Heading9"/>
      </w:pPr>
      <w:bookmarkStart w:id="81" w:name="_Toc233022898"/>
      <w:r w:rsidRPr="00E44401">
        <w:rPr>
          <w:rFonts w:eastAsia="Times New Roman" w:cs="Arial"/>
          <w:szCs w:val="24"/>
          <w:lang w:eastAsia="en-AU"/>
        </w:rPr>
        <w:lastRenderedPageBreak/>
        <w:t>Kościńska</w:t>
      </w:r>
      <w:r w:rsidRPr="00E44401">
        <w:rPr>
          <w:rFonts w:eastAsia="Times New Roman" w:cs="Arial"/>
          <w:szCs w:val="24"/>
          <w:lang w:eastAsia="en-AU"/>
        </w:rPr>
        <w:noBreakHyphen/>
        <w:t>Shukla</w:t>
      </w:r>
      <w:r>
        <w:rPr>
          <w:rFonts w:eastAsia="Times New Roman" w:cs="Arial"/>
          <w:szCs w:val="24"/>
          <w:lang w:eastAsia="en-AU"/>
        </w:rPr>
        <w:t xml:space="preserve"> et al.</w:t>
      </w:r>
      <w:r w:rsidR="00C51B33" w:rsidRPr="00E44401">
        <w:rPr>
          <w:rFonts w:cs="Arial"/>
        </w:rPr>
        <w:t>,</w:t>
      </w:r>
      <w:r w:rsidR="00C51B33">
        <w:t xml:space="preserve"> 202</w:t>
      </w:r>
      <w:r>
        <w:t>5</w:t>
      </w:r>
      <w:bookmarkEnd w:id="81"/>
    </w:p>
    <w:p w14:paraId="1B2830D3" w14:textId="77777777" w:rsidR="00C51B33" w:rsidRPr="00E44401" w:rsidRDefault="00C51B33" w:rsidP="00C51B33">
      <w:pPr>
        <w:keepNext/>
        <w:spacing w:before="240"/>
        <w:ind w:left="1080" w:hanging="1080"/>
        <w:rPr>
          <w:rFonts w:asciiTheme="minorHAnsi" w:eastAsia="Calibri" w:hAnsiTheme="minorHAnsi" w:cstheme="minorHAnsi"/>
          <w:b/>
          <w:bCs/>
          <w:sz w:val="20"/>
        </w:rPr>
      </w:pPr>
      <w:r w:rsidRPr="00E44401">
        <w:rPr>
          <w:rFonts w:asciiTheme="minorHAnsi" w:eastAsia="Calibri" w:hAnsiTheme="minorHAnsi" w:cstheme="minorHAnsi"/>
          <w:b/>
          <w:bCs/>
          <w:sz w:val="20"/>
        </w:rPr>
        <w:t>Study identification and design</w:t>
      </w:r>
    </w:p>
    <w:tbl>
      <w:tblPr>
        <w:tblStyle w:val="SLROption1"/>
        <w:tblW w:w="5000" w:type="pct"/>
        <w:tblLook w:val="0000" w:firstRow="0" w:lastRow="0" w:firstColumn="0" w:lastColumn="0" w:noHBand="0" w:noVBand="0"/>
      </w:tblPr>
      <w:tblGrid>
        <w:gridCol w:w="3628"/>
        <w:gridCol w:w="10316"/>
      </w:tblGrid>
      <w:tr w:rsidR="00C51B33" w:rsidRPr="00E44401" w14:paraId="0B7D3544" w14:textId="77777777" w:rsidTr="00983C71">
        <w:tc>
          <w:tcPr>
            <w:tcW w:w="1301" w:type="pct"/>
            <w:shd w:val="clear" w:color="auto" w:fill="3C533C"/>
          </w:tcPr>
          <w:p w14:paraId="6FE5DE00" w14:textId="77777777" w:rsidR="00C51B33" w:rsidRPr="00E44401" w:rsidRDefault="00C51B33" w:rsidP="00983C71">
            <w:pPr>
              <w:pStyle w:val="TableText"/>
              <w:rPr>
                <w:rFonts w:asciiTheme="minorHAnsi" w:hAnsiTheme="minorHAnsi" w:cstheme="minorHAnsi"/>
                <w:b/>
                <w:bCs/>
                <w:color w:val="FFFFFF" w:themeColor="background1"/>
              </w:rPr>
            </w:pPr>
            <w:r w:rsidRPr="00E44401">
              <w:rPr>
                <w:rFonts w:asciiTheme="minorHAnsi" w:hAnsiTheme="minorHAnsi" w:cstheme="minorHAnsi"/>
                <w:b/>
                <w:bCs/>
                <w:color w:val="FFFFFF" w:themeColor="background1"/>
              </w:rPr>
              <w:t>Field</w:t>
            </w:r>
          </w:p>
        </w:tc>
        <w:tc>
          <w:tcPr>
            <w:tcW w:w="3699" w:type="pct"/>
            <w:shd w:val="clear" w:color="auto" w:fill="3C533C"/>
          </w:tcPr>
          <w:p w14:paraId="60828D8D" w14:textId="77777777" w:rsidR="00C51B33" w:rsidRPr="00E44401" w:rsidRDefault="00C51B33" w:rsidP="00983C71">
            <w:pPr>
              <w:pStyle w:val="TableText"/>
              <w:rPr>
                <w:rFonts w:asciiTheme="minorHAnsi" w:hAnsiTheme="minorHAnsi" w:cstheme="minorHAnsi"/>
                <w:b/>
                <w:bCs/>
                <w:color w:val="FFFFFF" w:themeColor="background1"/>
              </w:rPr>
            </w:pPr>
            <w:r w:rsidRPr="00E44401">
              <w:rPr>
                <w:rFonts w:asciiTheme="minorHAnsi" w:hAnsiTheme="minorHAnsi" w:cstheme="minorHAnsi"/>
                <w:b/>
                <w:bCs/>
                <w:color w:val="FFFFFF" w:themeColor="background1"/>
              </w:rPr>
              <w:t>Extracted information</w:t>
            </w:r>
          </w:p>
        </w:tc>
      </w:tr>
      <w:tr w:rsidR="00E44401" w:rsidRPr="00E44401" w14:paraId="3E40C328" w14:textId="77777777" w:rsidTr="00E44401">
        <w:tc>
          <w:tcPr>
            <w:tcW w:w="1301" w:type="pct"/>
            <w:shd w:val="clear" w:color="auto" w:fill="F6FDE9"/>
          </w:tcPr>
          <w:p w14:paraId="5D71196A" w14:textId="77777777" w:rsidR="00E44401" w:rsidRPr="00E44401" w:rsidRDefault="00E44401" w:rsidP="00E44401">
            <w:pPr>
              <w:pStyle w:val="TableText"/>
              <w:rPr>
                <w:rFonts w:asciiTheme="minorHAnsi" w:hAnsiTheme="minorHAnsi" w:cstheme="minorHAnsi"/>
                <w:b/>
                <w:bCs/>
              </w:rPr>
            </w:pPr>
            <w:r w:rsidRPr="00E44401">
              <w:rPr>
                <w:rFonts w:asciiTheme="minorHAnsi" w:hAnsiTheme="minorHAnsi" w:cstheme="minorHAnsi"/>
                <w:b/>
                <w:bCs/>
              </w:rPr>
              <w:t>Citation</w:t>
            </w:r>
          </w:p>
        </w:tc>
        <w:tc>
          <w:tcPr>
            <w:tcW w:w="3699" w:type="pct"/>
            <w:vAlign w:val="center"/>
          </w:tcPr>
          <w:p w14:paraId="56E8DBB0" w14:textId="7D88111E" w:rsidR="00E44401" w:rsidRPr="00E44401" w:rsidRDefault="00E44401" w:rsidP="00E44401">
            <w:pPr>
              <w:pStyle w:val="TableText"/>
              <w:rPr>
                <w:rFonts w:asciiTheme="minorHAnsi" w:hAnsiTheme="minorHAnsi" w:cstheme="minorHAnsi"/>
              </w:rPr>
            </w:pPr>
            <w:r w:rsidRPr="00E44401">
              <w:rPr>
                <w:rFonts w:asciiTheme="minorHAnsi" w:hAnsiTheme="minorHAnsi" w:cstheme="minorHAnsi"/>
                <w:lang w:eastAsia="en-AU"/>
              </w:rPr>
              <w:t>Kościńska</w:t>
            </w:r>
            <w:r w:rsidRPr="00E44401">
              <w:rPr>
                <w:rFonts w:asciiTheme="minorHAnsi" w:hAnsiTheme="minorHAnsi" w:cstheme="minorHAnsi"/>
                <w:lang w:eastAsia="en-AU"/>
              </w:rPr>
              <w:noBreakHyphen/>
              <w:t>Shukla, I., Jaskólska, M., Grochowalska, K., Okrój, M., &amp; Chmielewski, M. (2025). Underestimated pyridoxine consumption and neurotoxicity: A novel manifestation with rheumatologic relevance – a case</w:t>
            </w:r>
            <w:r w:rsidRPr="00E44401">
              <w:rPr>
                <w:rFonts w:asciiTheme="minorHAnsi" w:hAnsiTheme="minorHAnsi" w:cstheme="minorHAnsi"/>
                <w:lang w:eastAsia="en-AU"/>
              </w:rPr>
              <w:noBreakHyphen/>
              <w:t xml:space="preserve">based review. </w:t>
            </w:r>
            <w:r w:rsidRPr="00E44401">
              <w:rPr>
                <w:rFonts w:asciiTheme="minorHAnsi" w:hAnsiTheme="minorHAnsi" w:cstheme="minorHAnsi"/>
                <w:i/>
                <w:iCs/>
                <w:lang w:eastAsia="en-AU"/>
              </w:rPr>
              <w:t>Rheumatology International, 45</w:t>
            </w:r>
            <w:r w:rsidRPr="00E44401">
              <w:rPr>
                <w:rFonts w:asciiTheme="minorHAnsi" w:hAnsiTheme="minorHAnsi" w:cstheme="minorHAnsi"/>
                <w:lang w:eastAsia="en-AU"/>
              </w:rPr>
              <w:t>, 144.</w:t>
            </w:r>
          </w:p>
        </w:tc>
      </w:tr>
      <w:tr w:rsidR="00E44401" w:rsidRPr="00E44401" w14:paraId="02F62049" w14:textId="77777777" w:rsidTr="00E44401">
        <w:tc>
          <w:tcPr>
            <w:tcW w:w="1301" w:type="pct"/>
            <w:shd w:val="clear" w:color="auto" w:fill="F6FDE9"/>
          </w:tcPr>
          <w:p w14:paraId="558BB5AA" w14:textId="77777777" w:rsidR="00E44401" w:rsidRPr="00E44401" w:rsidRDefault="00E44401" w:rsidP="00E44401">
            <w:pPr>
              <w:pStyle w:val="TableText"/>
              <w:rPr>
                <w:rFonts w:asciiTheme="minorHAnsi" w:hAnsiTheme="minorHAnsi" w:cstheme="minorHAnsi"/>
                <w:b/>
                <w:bCs/>
              </w:rPr>
            </w:pPr>
            <w:r w:rsidRPr="00E44401">
              <w:rPr>
                <w:rFonts w:asciiTheme="minorHAnsi" w:hAnsiTheme="minorHAnsi" w:cstheme="minorHAnsi"/>
                <w:b/>
                <w:bCs/>
              </w:rPr>
              <w:t>Publication status</w:t>
            </w:r>
          </w:p>
        </w:tc>
        <w:tc>
          <w:tcPr>
            <w:tcW w:w="3699" w:type="pct"/>
            <w:vAlign w:val="center"/>
          </w:tcPr>
          <w:p w14:paraId="6BC51651" w14:textId="77B5A63E" w:rsidR="00E44401" w:rsidRPr="00E44401" w:rsidRDefault="00E44401" w:rsidP="00E44401">
            <w:pPr>
              <w:pStyle w:val="TableText"/>
              <w:rPr>
                <w:rFonts w:asciiTheme="minorHAnsi" w:hAnsiTheme="minorHAnsi" w:cstheme="minorHAnsi"/>
              </w:rPr>
            </w:pPr>
            <w:r w:rsidRPr="00E44401">
              <w:rPr>
                <w:rFonts w:asciiTheme="minorHAnsi" w:hAnsiTheme="minorHAnsi" w:cstheme="minorHAnsi"/>
                <w:lang w:eastAsia="en-AU"/>
              </w:rPr>
              <w:t xml:space="preserve">Published, peer-reviewed journal article (Rheumatology International); published online May 26, 2025 </w:t>
            </w:r>
            <w:hyperlink r:id="rId147" w:history="1"/>
          </w:p>
        </w:tc>
      </w:tr>
      <w:tr w:rsidR="00E44401" w:rsidRPr="00E44401" w14:paraId="25DD88FE" w14:textId="77777777" w:rsidTr="00E44401">
        <w:tc>
          <w:tcPr>
            <w:tcW w:w="1301" w:type="pct"/>
            <w:shd w:val="clear" w:color="auto" w:fill="F6FDE9"/>
          </w:tcPr>
          <w:p w14:paraId="37413190" w14:textId="77777777" w:rsidR="00E44401" w:rsidRPr="00E44401" w:rsidRDefault="00E44401" w:rsidP="00E44401">
            <w:pPr>
              <w:pStyle w:val="TableText"/>
              <w:rPr>
                <w:rFonts w:asciiTheme="minorHAnsi" w:hAnsiTheme="minorHAnsi" w:cstheme="minorHAnsi"/>
                <w:b/>
                <w:bCs/>
              </w:rPr>
            </w:pPr>
            <w:r w:rsidRPr="00E44401">
              <w:rPr>
                <w:rFonts w:asciiTheme="minorHAnsi" w:hAnsiTheme="minorHAnsi" w:cstheme="minorHAnsi"/>
                <w:b/>
                <w:bCs/>
              </w:rPr>
              <w:t>Country / setting</w:t>
            </w:r>
          </w:p>
        </w:tc>
        <w:tc>
          <w:tcPr>
            <w:tcW w:w="3699" w:type="pct"/>
            <w:vAlign w:val="center"/>
          </w:tcPr>
          <w:p w14:paraId="5B173F20" w14:textId="5B76C35A" w:rsidR="00E44401" w:rsidRPr="00E44401" w:rsidRDefault="00E44401" w:rsidP="00E44401">
            <w:pPr>
              <w:pStyle w:val="TableText"/>
              <w:rPr>
                <w:rFonts w:asciiTheme="minorHAnsi" w:hAnsiTheme="minorHAnsi" w:cstheme="minorHAnsi"/>
              </w:rPr>
            </w:pPr>
            <w:r w:rsidRPr="00E44401">
              <w:rPr>
                <w:rFonts w:asciiTheme="minorHAnsi" w:hAnsiTheme="minorHAnsi" w:cstheme="minorHAnsi"/>
                <w:lang w:eastAsia="en-AU"/>
              </w:rPr>
              <w:t xml:space="preserve">Poland; Medical University of Gdańsk (clinical rheumatology setting) </w:t>
            </w:r>
            <w:hyperlink r:id="rId148" w:history="1"/>
          </w:p>
        </w:tc>
      </w:tr>
      <w:tr w:rsidR="00E44401" w:rsidRPr="00E44401" w14:paraId="4B490F58" w14:textId="77777777" w:rsidTr="00E44401">
        <w:tc>
          <w:tcPr>
            <w:tcW w:w="1301" w:type="pct"/>
            <w:shd w:val="clear" w:color="auto" w:fill="F6FDE9"/>
          </w:tcPr>
          <w:p w14:paraId="3EDD2DFF" w14:textId="77777777" w:rsidR="00E44401" w:rsidRPr="00E44401" w:rsidRDefault="00E44401" w:rsidP="00E44401">
            <w:pPr>
              <w:pStyle w:val="TableText"/>
              <w:rPr>
                <w:rFonts w:asciiTheme="minorHAnsi" w:hAnsiTheme="minorHAnsi" w:cstheme="minorHAnsi"/>
                <w:b/>
                <w:bCs/>
              </w:rPr>
            </w:pPr>
            <w:r w:rsidRPr="00E44401">
              <w:rPr>
                <w:rFonts w:asciiTheme="minorHAnsi" w:hAnsiTheme="minorHAnsi" w:cstheme="minorHAnsi"/>
                <w:b/>
                <w:bCs/>
              </w:rPr>
              <w:t>Study design</w:t>
            </w:r>
          </w:p>
        </w:tc>
        <w:tc>
          <w:tcPr>
            <w:tcW w:w="3699" w:type="pct"/>
            <w:vAlign w:val="center"/>
          </w:tcPr>
          <w:p w14:paraId="463A728B" w14:textId="76312B5C" w:rsidR="00E44401" w:rsidRPr="002F3314" w:rsidRDefault="00E44401" w:rsidP="00E44401">
            <w:pPr>
              <w:pStyle w:val="TableText"/>
              <w:rPr>
                <w:rFonts w:asciiTheme="minorHAnsi" w:hAnsiTheme="minorHAnsi" w:cstheme="minorHAnsi"/>
                <w:b/>
                <w:bCs/>
              </w:rPr>
            </w:pPr>
            <w:r w:rsidRPr="002F3314">
              <w:rPr>
                <w:rFonts w:asciiTheme="minorHAnsi" w:hAnsiTheme="minorHAnsi" w:cstheme="minorHAnsi"/>
                <w:b/>
                <w:bCs/>
                <w:lang w:eastAsia="en-AU"/>
              </w:rPr>
              <w:t xml:space="preserve">Case-based review (3 clinical cases + narrative literature review component) </w:t>
            </w:r>
            <w:hyperlink r:id="rId149" w:history="1"/>
          </w:p>
        </w:tc>
      </w:tr>
      <w:tr w:rsidR="00E44401" w:rsidRPr="00E44401" w14:paraId="74BA4CF2" w14:textId="77777777" w:rsidTr="00E44401">
        <w:tc>
          <w:tcPr>
            <w:tcW w:w="1301" w:type="pct"/>
            <w:shd w:val="clear" w:color="auto" w:fill="F6FDE9"/>
          </w:tcPr>
          <w:p w14:paraId="4CDE7C6F" w14:textId="77777777" w:rsidR="00E44401" w:rsidRPr="00E44401" w:rsidRDefault="00E44401" w:rsidP="00E44401">
            <w:pPr>
              <w:pStyle w:val="TableText"/>
              <w:rPr>
                <w:rFonts w:asciiTheme="minorHAnsi" w:hAnsiTheme="minorHAnsi" w:cstheme="minorHAnsi"/>
                <w:b/>
                <w:bCs/>
              </w:rPr>
            </w:pPr>
            <w:r w:rsidRPr="00E44401">
              <w:rPr>
                <w:rFonts w:asciiTheme="minorHAnsi" w:hAnsiTheme="minorHAnsi" w:cstheme="minorHAnsi"/>
                <w:b/>
                <w:bCs/>
              </w:rPr>
              <w:t>Funding / conflicts of interest</w:t>
            </w:r>
          </w:p>
        </w:tc>
        <w:tc>
          <w:tcPr>
            <w:tcW w:w="3699" w:type="pct"/>
            <w:vAlign w:val="center"/>
          </w:tcPr>
          <w:p w14:paraId="0E588385" w14:textId="57595631" w:rsidR="00E44401" w:rsidRPr="00E44401" w:rsidRDefault="00E44401" w:rsidP="00E44401">
            <w:pPr>
              <w:pStyle w:val="TableText"/>
              <w:rPr>
                <w:rFonts w:asciiTheme="minorHAnsi" w:hAnsiTheme="minorHAnsi" w:cstheme="minorHAnsi"/>
              </w:rPr>
            </w:pPr>
            <w:r w:rsidRPr="00E44401">
              <w:rPr>
                <w:rFonts w:asciiTheme="minorHAnsi" w:hAnsiTheme="minorHAnsi" w:cstheme="minorHAnsi"/>
                <w:lang w:eastAsia="en-AU"/>
              </w:rPr>
              <w:t xml:space="preserve">No major conflicts reported (one author reported lecture sponsorship unrelated to results); no significant funding affecting interpretation </w:t>
            </w:r>
            <w:hyperlink r:id="rId150" w:history="1"/>
          </w:p>
        </w:tc>
      </w:tr>
    </w:tbl>
    <w:p w14:paraId="2A26D2A2" w14:textId="77777777" w:rsidR="00C51B33" w:rsidRPr="00E44401" w:rsidRDefault="00C51B33" w:rsidP="00C51B33">
      <w:pPr>
        <w:rPr>
          <w:rFonts w:asciiTheme="minorHAnsi" w:eastAsia="Times New Roman" w:hAnsiTheme="minorHAnsi" w:cstheme="minorHAnsi"/>
          <w:sz w:val="20"/>
        </w:rPr>
      </w:pPr>
      <w:r w:rsidRPr="00E44401">
        <w:rPr>
          <w:rFonts w:asciiTheme="minorHAnsi" w:eastAsia="Calibri" w:hAnsiTheme="minorHAnsi" w:cstheme="minorHAnsi"/>
          <w:b/>
          <w:bCs/>
          <w:sz w:val="20"/>
        </w:rPr>
        <w:t>Population</w:t>
      </w:r>
    </w:p>
    <w:tbl>
      <w:tblPr>
        <w:tblStyle w:val="SLROption1"/>
        <w:tblW w:w="5000" w:type="pct"/>
        <w:tblLook w:val="0000" w:firstRow="0" w:lastRow="0" w:firstColumn="0" w:lastColumn="0" w:noHBand="0" w:noVBand="0"/>
      </w:tblPr>
      <w:tblGrid>
        <w:gridCol w:w="3628"/>
        <w:gridCol w:w="10316"/>
      </w:tblGrid>
      <w:tr w:rsidR="00C51B33" w:rsidRPr="00E44401" w14:paraId="455F1194" w14:textId="77777777" w:rsidTr="00983C71">
        <w:tc>
          <w:tcPr>
            <w:tcW w:w="1301" w:type="pct"/>
            <w:shd w:val="clear" w:color="auto" w:fill="3C533C"/>
          </w:tcPr>
          <w:p w14:paraId="2E6B47ED" w14:textId="77777777" w:rsidR="00C51B33" w:rsidRPr="00E44401" w:rsidRDefault="00C51B33" w:rsidP="00983C71">
            <w:pPr>
              <w:spacing w:after="0"/>
              <w:rPr>
                <w:rFonts w:asciiTheme="minorHAnsi" w:hAnsiTheme="minorHAnsi" w:cstheme="minorHAnsi"/>
                <w:sz w:val="20"/>
              </w:rPr>
            </w:pPr>
            <w:r w:rsidRPr="00E44401">
              <w:rPr>
                <w:rFonts w:asciiTheme="minorHAnsi" w:eastAsia="Calibri" w:hAnsiTheme="minorHAnsi" w:cstheme="minorHAnsi"/>
                <w:b/>
                <w:bCs/>
                <w:color w:val="FFFFFF"/>
                <w:sz w:val="20"/>
              </w:rPr>
              <w:t>Field</w:t>
            </w:r>
          </w:p>
        </w:tc>
        <w:tc>
          <w:tcPr>
            <w:tcW w:w="3699" w:type="pct"/>
            <w:shd w:val="clear" w:color="auto" w:fill="3C533C"/>
          </w:tcPr>
          <w:p w14:paraId="64B315FA" w14:textId="77777777" w:rsidR="00C51B33" w:rsidRPr="00E44401" w:rsidRDefault="00C51B33" w:rsidP="00983C71">
            <w:pPr>
              <w:spacing w:after="0"/>
              <w:rPr>
                <w:rFonts w:asciiTheme="minorHAnsi" w:hAnsiTheme="minorHAnsi" w:cstheme="minorHAnsi"/>
                <w:sz w:val="20"/>
              </w:rPr>
            </w:pPr>
            <w:r w:rsidRPr="00E44401">
              <w:rPr>
                <w:rFonts w:asciiTheme="minorHAnsi" w:eastAsia="Calibri" w:hAnsiTheme="minorHAnsi" w:cstheme="minorHAnsi"/>
                <w:b/>
                <w:bCs/>
                <w:color w:val="FFFFFF"/>
                <w:sz w:val="20"/>
              </w:rPr>
              <w:t>Extracted information</w:t>
            </w:r>
          </w:p>
        </w:tc>
      </w:tr>
      <w:tr w:rsidR="00E44401" w:rsidRPr="00E44401" w14:paraId="751C725A" w14:textId="77777777" w:rsidTr="00E44401">
        <w:tc>
          <w:tcPr>
            <w:tcW w:w="1301" w:type="pct"/>
            <w:shd w:val="clear" w:color="auto" w:fill="F6FDE9"/>
          </w:tcPr>
          <w:p w14:paraId="6B323AF9" w14:textId="77777777" w:rsidR="00E44401" w:rsidRPr="00E44401" w:rsidRDefault="00E44401" w:rsidP="00E44401">
            <w:pPr>
              <w:spacing w:after="0"/>
              <w:rPr>
                <w:rFonts w:asciiTheme="minorHAnsi" w:hAnsiTheme="minorHAnsi" w:cstheme="minorHAnsi"/>
                <w:sz w:val="20"/>
              </w:rPr>
            </w:pPr>
            <w:r w:rsidRPr="00E44401">
              <w:rPr>
                <w:rFonts w:asciiTheme="minorHAnsi" w:eastAsia="Calibri" w:hAnsiTheme="minorHAnsi" w:cstheme="minorHAnsi"/>
                <w:b/>
                <w:bCs/>
                <w:sz w:val="20"/>
              </w:rPr>
              <w:t>Sample size</w:t>
            </w:r>
          </w:p>
        </w:tc>
        <w:tc>
          <w:tcPr>
            <w:tcW w:w="3699" w:type="pct"/>
            <w:vAlign w:val="center"/>
          </w:tcPr>
          <w:p w14:paraId="010D44FE" w14:textId="194C73B0" w:rsidR="00E44401" w:rsidRPr="00E44401" w:rsidRDefault="00E44401" w:rsidP="00E44401">
            <w:pPr>
              <w:pStyle w:val="TableText"/>
              <w:rPr>
                <w:rFonts w:asciiTheme="minorHAnsi" w:hAnsiTheme="minorHAnsi" w:cstheme="minorHAnsi"/>
              </w:rPr>
            </w:pPr>
            <w:r w:rsidRPr="00E44401">
              <w:rPr>
                <w:rFonts w:asciiTheme="minorHAnsi" w:hAnsiTheme="minorHAnsi" w:cstheme="minorHAnsi"/>
                <w:lang w:eastAsia="en-AU"/>
              </w:rPr>
              <w:t xml:space="preserve">3 clinical cases (plus ~50 studies included in literature component) </w:t>
            </w:r>
            <w:hyperlink r:id="rId151" w:history="1"/>
          </w:p>
        </w:tc>
      </w:tr>
      <w:tr w:rsidR="00E44401" w:rsidRPr="00E44401" w14:paraId="24CDAFD6" w14:textId="77777777" w:rsidTr="00E44401">
        <w:tc>
          <w:tcPr>
            <w:tcW w:w="1301" w:type="pct"/>
            <w:shd w:val="clear" w:color="auto" w:fill="F6FDE9"/>
          </w:tcPr>
          <w:p w14:paraId="5F5BDBBC" w14:textId="77777777" w:rsidR="00E44401" w:rsidRPr="00E44401" w:rsidRDefault="00E44401" w:rsidP="00E44401">
            <w:pPr>
              <w:spacing w:after="0"/>
              <w:rPr>
                <w:rFonts w:asciiTheme="minorHAnsi" w:hAnsiTheme="minorHAnsi" w:cstheme="minorHAnsi"/>
                <w:sz w:val="20"/>
              </w:rPr>
            </w:pPr>
            <w:r w:rsidRPr="00E44401">
              <w:rPr>
                <w:rFonts w:asciiTheme="minorHAnsi" w:eastAsia="Calibri" w:hAnsiTheme="minorHAnsi" w:cstheme="minorHAnsi"/>
                <w:b/>
                <w:bCs/>
                <w:sz w:val="20"/>
              </w:rPr>
              <w:t>Patient characteristics</w:t>
            </w:r>
          </w:p>
        </w:tc>
        <w:tc>
          <w:tcPr>
            <w:tcW w:w="3699" w:type="pct"/>
            <w:vAlign w:val="center"/>
          </w:tcPr>
          <w:p w14:paraId="62099609" w14:textId="4BFCF08D" w:rsidR="00E44401" w:rsidRPr="00E44401" w:rsidRDefault="00E44401" w:rsidP="00E44401">
            <w:pPr>
              <w:pStyle w:val="TableText"/>
              <w:rPr>
                <w:rFonts w:asciiTheme="minorHAnsi" w:hAnsiTheme="minorHAnsi" w:cstheme="minorHAnsi"/>
              </w:rPr>
            </w:pPr>
            <w:r w:rsidRPr="00E44401">
              <w:rPr>
                <w:rFonts w:asciiTheme="minorHAnsi" w:hAnsiTheme="minorHAnsi" w:cstheme="minorHAnsi"/>
                <w:lang w:eastAsia="en-AU"/>
              </w:rPr>
              <w:t>Adults (36</w:t>
            </w:r>
            <w:r w:rsidRPr="00E44401">
              <w:rPr>
                <w:rFonts w:asciiTheme="minorHAnsi" w:hAnsiTheme="minorHAnsi" w:cstheme="minorHAnsi"/>
                <w:lang w:eastAsia="en-AU"/>
              </w:rPr>
              <w:noBreakHyphen/>
              <w:t>year-old female, 46</w:t>
            </w:r>
            <w:r w:rsidRPr="00E44401">
              <w:rPr>
                <w:rFonts w:asciiTheme="minorHAnsi" w:hAnsiTheme="minorHAnsi" w:cstheme="minorHAnsi"/>
                <w:lang w:eastAsia="en-AU"/>
              </w:rPr>
              <w:noBreakHyphen/>
              <w:t>year-old male, 65</w:t>
            </w:r>
            <w:r w:rsidRPr="00E44401">
              <w:rPr>
                <w:rFonts w:asciiTheme="minorHAnsi" w:hAnsiTheme="minorHAnsi" w:cstheme="minorHAnsi"/>
                <w:lang w:eastAsia="en-AU"/>
              </w:rPr>
              <w:noBreakHyphen/>
              <w:t>year-old female) presenting with neurological symptoms (peripheral neuropathy, cognitive symptoms), some with suspected or existing rheumatologic conditions</w:t>
            </w:r>
          </w:p>
        </w:tc>
      </w:tr>
      <w:tr w:rsidR="00E44401" w:rsidRPr="00E44401" w14:paraId="52923DB4" w14:textId="77777777" w:rsidTr="00E44401">
        <w:tc>
          <w:tcPr>
            <w:tcW w:w="1301" w:type="pct"/>
            <w:shd w:val="clear" w:color="auto" w:fill="F6FDE9"/>
          </w:tcPr>
          <w:p w14:paraId="01DF730C" w14:textId="77777777" w:rsidR="00E44401" w:rsidRPr="00E44401" w:rsidRDefault="00E44401" w:rsidP="00E44401">
            <w:pPr>
              <w:spacing w:after="0"/>
              <w:rPr>
                <w:rFonts w:asciiTheme="minorHAnsi" w:hAnsiTheme="minorHAnsi" w:cstheme="minorHAnsi"/>
                <w:sz w:val="20"/>
              </w:rPr>
            </w:pPr>
            <w:r w:rsidRPr="00E44401">
              <w:rPr>
                <w:rFonts w:asciiTheme="minorHAnsi" w:eastAsia="Calibri" w:hAnsiTheme="minorHAnsi" w:cstheme="minorHAnsi"/>
                <w:b/>
                <w:bCs/>
                <w:sz w:val="20"/>
              </w:rPr>
              <w:t>Inclusion/exclusion of alternative causes</w:t>
            </w:r>
          </w:p>
        </w:tc>
        <w:tc>
          <w:tcPr>
            <w:tcW w:w="3699" w:type="pct"/>
            <w:vAlign w:val="center"/>
          </w:tcPr>
          <w:p w14:paraId="744D3FB7" w14:textId="7B2F36ED" w:rsidR="00E44401" w:rsidRPr="00E44401" w:rsidRDefault="00E44401" w:rsidP="00E44401">
            <w:pPr>
              <w:pStyle w:val="TableText"/>
              <w:rPr>
                <w:rFonts w:asciiTheme="minorHAnsi" w:hAnsiTheme="minorHAnsi" w:cstheme="minorHAnsi"/>
              </w:rPr>
            </w:pPr>
            <w:r w:rsidRPr="00E44401">
              <w:rPr>
                <w:rFonts w:asciiTheme="minorHAnsi" w:hAnsiTheme="minorHAnsi" w:cstheme="minorHAnsi"/>
                <w:lang w:eastAsia="en-AU"/>
              </w:rPr>
              <w:t>Extensive diagnostic work-up performed (rheumatologic, neurological, imaging, biochemical); alternative causes largely excluded before attributing symptoms to vitamin B6 toxicity</w:t>
            </w:r>
          </w:p>
        </w:tc>
      </w:tr>
    </w:tbl>
    <w:p w14:paraId="4F55F449" w14:textId="77777777" w:rsidR="00C51B33" w:rsidRPr="00E44401" w:rsidRDefault="00C51B33" w:rsidP="00C51B33">
      <w:pPr>
        <w:rPr>
          <w:rFonts w:asciiTheme="minorHAnsi" w:eastAsia="Times New Roman" w:hAnsiTheme="minorHAnsi" w:cstheme="minorHAnsi"/>
          <w:b/>
          <w:bCs/>
          <w:sz w:val="20"/>
        </w:rPr>
      </w:pPr>
      <w:r w:rsidRPr="00E44401">
        <w:rPr>
          <w:rFonts w:asciiTheme="minorHAnsi" w:eastAsia="Times New Roman" w:hAnsiTheme="minorHAnsi" w:cstheme="minorHAnsi"/>
          <w:b/>
          <w:bCs/>
          <w:sz w:val="20"/>
        </w:rPr>
        <w:t>Exposure</w:t>
      </w:r>
    </w:p>
    <w:tbl>
      <w:tblPr>
        <w:tblStyle w:val="SLROption1"/>
        <w:tblW w:w="5000" w:type="pct"/>
        <w:tblLook w:val="0000" w:firstRow="0" w:lastRow="0" w:firstColumn="0" w:lastColumn="0" w:noHBand="0" w:noVBand="0"/>
      </w:tblPr>
      <w:tblGrid>
        <w:gridCol w:w="3628"/>
        <w:gridCol w:w="10316"/>
      </w:tblGrid>
      <w:tr w:rsidR="00C51B33" w:rsidRPr="00E44401" w14:paraId="5AF10B42" w14:textId="77777777" w:rsidTr="00983C71">
        <w:trPr>
          <w:cantSplit/>
          <w:tblHeader/>
        </w:trPr>
        <w:tc>
          <w:tcPr>
            <w:tcW w:w="1301" w:type="pct"/>
            <w:shd w:val="clear" w:color="auto" w:fill="3C533C"/>
          </w:tcPr>
          <w:p w14:paraId="2F8982D1" w14:textId="77777777" w:rsidR="00C51B33" w:rsidRPr="00E44401" w:rsidRDefault="00C51B33" w:rsidP="00983C71">
            <w:pPr>
              <w:spacing w:after="0"/>
              <w:rPr>
                <w:rFonts w:asciiTheme="minorHAnsi" w:hAnsiTheme="minorHAnsi" w:cstheme="minorHAnsi"/>
                <w:sz w:val="20"/>
              </w:rPr>
            </w:pPr>
            <w:r w:rsidRPr="00E44401">
              <w:rPr>
                <w:rFonts w:asciiTheme="minorHAnsi" w:eastAsia="Calibri" w:hAnsiTheme="minorHAnsi" w:cstheme="minorHAnsi"/>
                <w:b/>
                <w:bCs/>
                <w:color w:val="FFFFFF"/>
                <w:sz w:val="20"/>
              </w:rPr>
              <w:t>Field</w:t>
            </w:r>
          </w:p>
        </w:tc>
        <w:tc>
          <w:tcPr>
            <w:tcW w:w="3699" w:type="pct"/>
            <w:shd w:val="clear" w:color="auto" w:fill="3C533C"/>
          </w:tcPr>
          <w:p w14:paraId="496C4DCA" w14:textId="77777777" w:rsidR="00C51B33" w:rsidRPr="00E44401" w:rsidRDefault="00C51B33" w:rsidP="00983C71">
            <w:pPr>
              <w:spacing w:after="0"/>
              <w:rPr>
                <w:rFonts w:asciiTheme="minorHAnsi" w:hAnsiTheme="minorHAnsi" w:cstheme="minorHAnsi"/>
                <w:sz w:val="20"/>
              </w:rPr>
            </w:pPr>
            <w:r w:rsidRPr="00E44401">
              <w:rPr>
                <w:rFonts w:asciiTheme="minorHAnsi" w:eastAsia="Calibri" w:hAnsiTheme="minorHAnsi" w:cstheme="minorHAnsi"/>
                <w:b/>
                <w:bCs/>
                <w:color w:val="FFFFFF"/>
                <w:sz w:val="20"/>
              </w:rPr>
              <w:t>Extracted information</w:t>
            </w:r>
          </w:p>
        </w:tc>
      </w:tr>
      <w:tr w:rsidR="00E44401" w:rsidRPr="00E44401" w14:paraId="603809A2" w14:textId="77777777" w:rsidTr="00E44401">
        <w:tc>
          <w:tcPr>
            <w:tcW w:w="1301" w:type="pct"/>
            <w:shd w:val="clear" w:color="auto" w:fill="F6FDE9"/>
          </w:tcPr>
          <w:p w14:paraId="6C49CAC0" w14:textId="77777777" w:rsidR="00E44401" w:rsidRPr="00E44401" w:rsidRDefault="00E44401" w:rsidP="00E44401">
            <w:pPr>
              <w:spacing w:after="0"/>
              <w:rPr>
                <w:rFonts w:asciiTheme="minorHAnsi" w:hAnsiTheme="minorHAnsi" w:cstheme="minorHAnsi"/>
                <w:sz w:val="20"/>
              </w:rPr>
            </w:pPr>
            <w:r w:rsidRPr="00E44401">
              <w:rPr>
                <w:rFonts w:asciiTheme="minorHAnsi" w:eastAsia="Calibri" w:hAnsiTheme="minorHAnsi" w:cstheme="minorHAnsi"/>
                <w:b/>
                <w:bCs/>
                <w:sz w:val="20"/>
              </w:rPr>
              <w:t>Exposure characterisation – source</w:t>
            </w:r>
          </w:p>
        </w:tc>
        <w:tc>
          <w:tcPr>
            <w:tcW w:w="3699" w:type="pct"/>
            <w:vAlign w:val="center"/>
          </w:tcPr>
          <w:p w14:paraId="65F4178B" w14:textId="3022D22A" w:rsidR="00E44401" w:rsidRPr="00E44401" w:rsidRDefault="00E44401" w:rsidP="00E44401">
            <w:pPr>
              <w:pStyle w:val="TableText"/>
              <w:rPr>
                <w:rFonts w:asciiTheme="minorHAnsi" w:hAnsiTheme="minorHAnsi" w:cstheme="minorHAnsi"/>
              </w:rPr>
            </w:pPr>
            <w:r w:rsidRPr="00E44401">
              <w:rPr>
                <w:rFonts w:asciiTheme="minorHAnsi" w:hAnsiTheme="minorHAnsi" w:cstheme="minorHAnsi"/>
                <w:lang w:eastAsia="en-AU"/>
              </w:rPr>
              <w:t>Excess vitamin B6 (pyridoxine) intake from supplements, diet (e.g. nuts), and/or prescribed formulations</w:t>
            </w:r>
          </w:p>
        </w:tc>
      </w:tr>
      <w:tr w:rsidR="00E44401" w:rsidRPr="00E44401" w14:paraId="45A3DB17" w14:textId="77777777" w:rsidTr="00E44401">
        <w:tc>
          <w:tcPr>
            <w:tcW w:w="1301" w:type="pct"/>
            <w:shd w:val="clear" w:color="auto" w:fill="F6FDE9"/>
          </w:tcPr>
          <w:p w14:paraId="60D67965" w14:textId="77777777" w:rsidR="00E44401" w:rsidRPr="00E44401" w:rsidRDefault="00E44401" w:rsidP="00E44401">
            <w:pPr>
              <w:spacing w:after="0"/>
              <w:rPr>
                <w:rFonts w:asciiTheme="minorHAnsi" w:hAnsiTheme="minorHAnsi" w:cstheme="minorHAnsi"/>
                <w:sz w:val="20"/>
              </w:rPr>
            </w:pPr>
            <w:r w:rsidRPr="00E44401">
              <w:rPr>
                <w:rFonts w:asciiTheme="minorHAnsi" w:eastAsia="Calibri" w:hAnsiTheme="minorHAnsi" w:cstheme="minorHAnsi"/>
                <w:b/>
                <w:bCs/>
                <w:sz w:val="20"/>
              </w:rPr>
              <w:t>Exposure characterisation – dose</w:t>
            </w:r>
          </w:p>
        </w:tc>
        <w:tc>
          <w:tcPr>
            <w:tcW w:w="3699" w:type="pct"/>
            <w:vAlign w:val="center"/>
          </w:tcPr>
          <w:p w14:paraId="1EFC06F6" w14:textId="24FEF145" w:rsidR="00E44401" w:rsidRPr="00E44401" w:rsidRDefault="00E44401" w:rsidP="00E44401">
            <w:pPr>
              <w:pStyle w:val="TableText"/>
              <w:rPr>
                <w:rFonts w:asciiTheme="minorHAnsi" w:hAnsiTheme="minorHAnsi" w:cstheme="minorHAnsi"/>
              </w:rPr>
            </w:pPr>
            <w:r w:rsidRPr="00E44401">
              <w:rPr>
                <w:rFonts w:asciiTheme="minorHAnsi" w:hAnsiTheme="minorHAnsi" w:cstheme="minorHAnsi"/>
                <w:lang w:eastAsia="en-AU"/>
              </w:rPr>
              <w:t xml:space="preserve">Variable and often unquantified; includes high-dose supplementation (e.g. ≥200 mg/day prescribed product) and cumulative intake from diet + OTC sources </w:t>
            </w:r>
            <w:hyperlink r:id="rId152" w:history="1"/>
          </w:p>
        </w:tc>
      </w:tr>
      <w:tr w:rsidR="00E44401" w:rsidRPr="00E44401" w14:paraId="66E2D243" w14:textId="77777777" w:rsidTr="00E44401">
        <w:tc>
          <w:tcPr>
            <w:tcW w:w="1301" w:type="pct"/>
            <w:shd w:val="clear" w:color="auto" w:fill="F6FDE9"/>
          </w:tcPr>
          <w:p w14:paraId="3A18E563" w14:textId="77777777" w:rsidR="00E44401" w:rsidRPr="00E44401" w:rsidRDefault="00E44401" w:rsidP="00E44401">
            <w:pPr>
              <w:spacing w:after="0"/>
              <w:rPr>
                <w:rFonts w:asciiTheme="minorHAnsi" w:hAnsiTheme="minorHAnsi" w:cstheme="minorHAnsi"/>
                <w:sz w:val="20"/>
              </w:rPr>
            </w:pPr>
            <w:r w:rsidRPr="00E44401">
              <w:rPr>
                <w:rFonts w:asciiTheme="minorHAnsi" w:eastAsia="Calibri" w:hAnsiTheme="minorHAnsi" w:cstheme="minorHAnsi"/>
                <w:b/>
                <w:bCs/>
                <w:sz w:val="20"/>
              </w:rPr>
              <w:lastRenderedPageBreak/>
              <w:t>Biomarker of exposure</w:t>
            </w:r>
          </w:p>
        </w:tc>
        <w:tc>
          <w:tcPr>
            <w:tcW w:w="3699" w:type="pct"/>
            <w:vAlign w:val="center"/>
          </w:tcPr>
          <w:p w14:paraId="6824CD3F" w14:textId="637A9EBC" w:rsidR="00E44401" w:rsidRPr="00E44401" w:rsidRDefault="00E44401" w:rsidP="00E44401">
            <w:pPr>
              <w:pStyle w:val="TableText"/>
              <w:rPr>
                <w:rFonts w:asciiTheme="minorHAnsi" w:hAnsiTheme="minorHAnsi" w:cstheme="minorHAnsi"/>
              </w:rPr>
            </w:pPr>
            <w:r w:rsidRPr="00E44401">
              <w:rPr>
                <w:rFonts w:asciiTheme="minorHAnsi" w:hAnsiTheme="minorHAnsi" w:cstheme="minorHAnsi"/>
                <w:lang w:eastAsia="en-AU"/>
              </w:rPr>
              <w:t xml:space="preserve">Serum vitamin B6 concentrations markedly elevated (e.g. 117 µg/L, 226.6 µg/L, 254.8 µg/L; reference range 5–30 µg/L) </w:t>
            </w:r>
            <w:hyperlink r:id="rId153" w:history="1"/>
          </w:p>
        </w:tc>
      </w:tr>
      <w:tr w:rsidR="00E44401" w:rsidRPr="00E44401" w14:paraId="0BA72593" w14:textId="77777777" w:rsidTr="00E44401">
        <w:tc>
          <w:tcPr>
            <w:tcW w:w="1301" w:type="pct"/>
            <w:shd w:val="clear" w:color="auto" w:fill="F6FDE9"/>
          </w:tcPr>
          <w:p w14:paraId="26A92F28" w14:textId="77777777" w:rsidR="00E44401" w:rsidRPr="00E44401" w:rsidRDefault="00E44401" w:rsidP="00E44401">
            <w:pPr>
              <w:spacing w:after="0"/>
              <w:rPr>
                <w:rFonts w:asciiTheme="minorHAnsi" w:hAnsiTheme="minorHAnsi" w:cstheme="minorHAnsi"/>
                <w:sz w:val="20"/>
              </w:rPr>
            </w:pPr>
            <w:r w:rsidRPr="00E44401">
              <w:rPr>
                <w:rFonts w:asciiTheme="minorHAnsi" w:eastAsia="Calibri" w:hAnsiTheme="minorHAnsi" w:cstheme="minorHAnsi"/>
                <w:b/>
                <w:bCs/>
                <w:sz w:val="20"/>
              </w:rPr>
              <w:t>Duration of exposure</w:t>
            </w:r>
          </w:p>
        </w:tc>
        <w:tc>
          <w:tcPr>
            <w:tcW w:w="3699" w:type="pct"/>
            <w:vAlign w:val="center"/>
          </w:tcPr>
          <w:p w14:paraId="4382CAB4" w14:textId="13E187BF" w:rsidR="00E44401" w:rsidRPr="00E44401" w:rsidRDefault="00E44401" w:rsidP="00E44401">
            <w:pPr>
              <w:pStyle w:val="TableText"/>
              <w:rPr>
                <w:rFonts w:asciiTheme="minorHAnsi" w:hAnsiTheme="minorHAnsi" w:cstheme="minorHAnsi"/>
              </w:rPr>
            </w:pPr>
            <w:r w:rsidRPr="00E44401">
              <w:rPr>
                <w:rFonts w:asciiTheme="minorHAnsi" w:hAnsiTheme="minorHAnsi" w:cstheme="minorHAnsi"/>
                <w:lang w:eastAsia="en-AU"/>
              </w:rPr>
              <w:t>Chronic exposure (months to ~1 year of supplementation or dietary excess)</w:t>
            </w:r>
          </w:p>
        </w:tc>
      </w:tr>
    </w:tbl>
    <w:p w14:paraId="26592523" w14:textId="77777777" w:rsidR="00C51B33" w:rsidRPr="00E44401" w:rsidRDefault="00C51B33" w:rsidP="00C51B33">
      <w:pPr>
        <w:rPr>
          <w:rFonts w:asciiTheme="minorHAnsi" w:eastAsia="Times New Roman" w:hAnsiTheme="minorHAnsi" w:cstheme="minorHAnsi"/>
          <w:b/>
          <w:bCs/>
          <w:sz w:val="20"/>
        </w:rPr>
      </w:pPr>
      <w:r w:rsidRPr="00E44401">
        <w:rPr>
          <w:rFonts w:asciiTheme="minorHAnsi" w:eastAsia="Times New Roman" w:hAnsiTheme="minorHAnsi" w:cstheme="minorHAnsi"/>
          <w:b/>
          <w:bCs/>
          <w:sz w:val="20"/>
        </w:rPr>
        <w:t>Outcomes</w:t>
      </w:r>
    </w:p>
    <w:tbl>
      <w:tblPr>
        <w:tblStyle w:val="SLROption1"/>
        <w:tblW w:w="5000" w:type="pct"/>
        <w:tblLook w:val="0000" w:firstRow="0" w:lastRow="0" w:firstColumn="0" w:lastColumn="0" w:noHBand="0" w:noVBand="0"/>
      </w:tblPr>
      <w:tblGrid>
        <w:gridCol w:w="3628"/>
        <w:gridCol w:w="10316"/>
      </w:tblGrid>
      <w:tr w:rsidR="00C51B33" w:rsidRPr="00E44401" w14:paraId="4DD1ACBF" w14:textId="77777777" w:rsidTr="00983C71">
        <w:tc>
          <w:tcPr>
            <w:tcW w:w="1301" w:type="pct"/>
            <w:shd w:val="clear" w:color="auto" w:fill="3C533C"/>
          </w:tcPr>
          <w:p w14:paraId="44F2740D" w14:textId="77777777" w:rsidR="00C51B33" w:rsidRPr="00E44401" w:rsidRDefault="00C51B33" w:rsidP="00983C71">
            <w:pPr>
              <w:spacing w:after="0"/>
              <w:rPr>
                <w:rFonts w:asciiTheme="minorHAnsi" w:hAnsiTheme="minorHAnsi" w:cstheme="minorHAnsi"/>
                <w:sz w:val="20"/>
              </w:rPr>
            </w:pPr>
            <w:r w:rsidRPr="00E44401">
              <w:rPr>
                <w:rFonts w:asciiTheme="minorHAnsi" w:eastAsia="Calibri" w:hAnsiTheme="minorHAnsi" w:cstheme="minorHAnsi"/>
                <w:b/>
                <w:bCs/>
                <w:color w:val="FFFFFF"/>
                <w:sz w:val="20"/>
              </w:rPr>
              <w:t>Field</w:t>
            </w:r>
          </w:p>
        </w:tc>
        <w:tc>
          <w:tcPr>
            <w:tcW w:w="3699" w:type="pct"/>
            <w:shd w:val="clear" w:color="auto" w:fill="3C533C"/>
          </w:tcPr>
          <w:p w14:paraId="245AE360" w14:textId="77777777" w:rsidR="00C51B33" w:rsidRPr="00E44401" w:rsidRDefault="00C51B33" w:rsidP="00983C71">
            <w:pPr>
              <w:spacing w:after="0"/>
              <w:rPr>
                <w:rFonts w:asciiTheme="minorHAnsi" w:hAnsiTheme="minorHAnsi" w:cstheme="minorHAnsi"/>
                <w:sz w:val="20"/>
              </w:rPr>
            </w:pPr>
            <w:r w:rsidRPr="00E44401">
              <w:rPr>
                <w:rFonts w:asciiTheme="minorHAnsi" w:eastAsia="Calibri" w:hAnsiTheme="minorHAnsi" w:cstheme="minorHAnsi"/>
                <w:b/>
                <w:bCs/>
                <w:color w:val="FFFFFF"/>
                <w:sz w:val="20"/>
              </w:rPr>
              <w:t>Extracted information</w:t>
            </w:r>
          </w:p>
        </w:tc>
      </w:tr>
      <w:tr w:rsidR="00E44401" w:rsidRPr="00E44401" w14:paraId="30C89351" w14:textId="77777777" w:rsidTr="00E44401">
        <w:tc>
          <w:tcPr>
            <w:tcW w:w="1301" w:type="pct"/>
            <w:shd w:val="clear" w:color="auto" w:fill="F6FDE9"/>
          </w:tcPr>
          <w:p w14:paraId="7FDCF12D" w14:textId="77777777" w:rsidR="00E44401" w:rsidRPr="00E44401" w:rsidRDefault="00E44401" w:rsidP="00E44401">
            <w:pPr>
              <w:spacing w:after="0"/>
              <w:rPr>
                <w:rFonts w:asciiTheme="minorHAnsi" w:hAnsiTheme="minorHAnsi" w:cstheme="minorHAnsi"/>
                <w:sz w:val="20"/>
              </w:rPr>
            </w:pPr>
            <w:r w:rsidRPr="00E44401">
              <w:rPr>
                <w:rFonts w:asciiTheme="minorHAnsi" w:eastAsia="Calibri" w:hAnsiTheme="minorHAnsi" w:cstheme="minorHAnsi"/>
                <w:b/>
                <w:bCs/>
                <w:sz w:val="20"/>
              </w:rPr>
              <w:t>Primary outcome</w:t>
            </w:r>
          </w:p>
        </w:tc>
        <w:tc>
          <w:tcPr>
            <w:tcW w:w="3699" w:type="pct"/>
            <w:vAlign w:val="center"/>
          </w:tcPr>
          <w:p w14:paraId="5A1D4AB9" w14:textId="46CE94A5" w:rsidR="00E44401" w:rsidRPr="00E44401" w:rsidRDefault="00E44401" w:rsidP="00E44401">
            <w:pPr>
              <w:pStyle w:val="TableText"/>
              <w:rPr>
                <w:rFonts w:asciiTheme="minorHAnsi" w:hAnsiTheme="minorHAnsi" w:cstheme="minorHAnsi"/>
              </w:rPr>
            </w:pPr>
            <w:r w:rsidRPr="00E44401">
              <w:rPr>
                <w:rFonts w:asciiTheme="minorHAnsi" w:hAnsiTheme="minorHAnsi" w:cstheme="minorHAnsi"/>
                <w:lang w:eastAsia="en-AU"/>
              </w:rPr>
              <w:t>Neurological toxicity (primarily peripheral neuropathy; also cognitive/CNS symptoms)</w:t>
            </w:r>
          </w:p>
        </w:tc>
      </w:tr>
      <w:tr w:rsidR="00E44401" w:rsidRPr="00E44401" w14:paraId="22DB76C1" w14:textId="77777777" w:rsidTr="00E44401">
        <w:tc>
          <w:tcPr>
            <w:tcW w:w="1301" w:type="pct"/>
            <w:shd w:val="clear" w:color="auto" w:fill="F6FDE9"/>
          </w:tcPr>
          <w:p w14:paraId="19C86AC9" w14:textId="77777777" w:rsidR="00E44401" w:rsidRPr="00E44401" w:rsidRDefault="00E44401" w:rsidP="00E44401">
            <w:pPr>
              <w:spacing w:after="0"/>
              <w:rPr>
                <w:rFonts w:asciiTheme="minorHAnsi" w:hAnsiTheme="minorHAnsi" w:cstheme="minorHAnsi"/>
                <w:sz w:val="20"/>
              </w:rPr>
            </w:pPr>
            <w:r w:rsidRPr="00E44401">
              <w:rPr>
                <w:rFonts w:asciiTheme="minorHAnsi" w:eastAsia="Calibri" w:hAnsiTheme="minorHAnsi" w:cstheme="minorHAnsi"/>
                <w:b/>
                <w:bCs/>
                <w:sz w:val="20"/>
              </w:rPr>
              <w:t>Outcome assessment – clinical examination</w:t>
            </w:r>
          </w:p>
        </w:tc>
        <w:tc>
          <w:tcPr>
            <w:tcW w:w="3699" w:type="pct"/>
            <w:vAlign w:val="center"/>
          </w:tcPr>
          <w:p w14:paraId="38B56B20" w14:textId="1067845F" w:rsidR="00E44401" w:rsidRPr="00E44401" w:rsidRDefault="00E44401" w:rsidP="00E44401">
            <w:pPr>
              <w:pStyle w:val="TableText"/>
              <w:rPr>
                <w:rFonts w:asciiTheme="minorHAnsi" w:hAnsiTheme="minorHAnsi" w:cstheme="minorHAnsi"/>
              </w:rPr>
            </w:pPr>
            <w:r w:rsidRPr="00E44401">
              <w:rPr>
                <w:rFonts w:asciiTheme="minorHAnsi" w:hAnsiTheme="minorHAnsi" w:cstheme="minorHAnsi"/>
                <w:lang w:eastAsia="en-AU"/>
              </w:rPr>
              <w:t>Symptoms included paresthesia, neuropathic pain, cognitive impairment, memory deficits, and functional symptoms</w:t>
            </w:r>
          </w:p>
        </w:tc>
      </w:tr>
      <w:tr w:rsidR="00E44401" w:rsidRPr="00E44401" w14:paraId="6A7B74D1" w14:textId="77777777" w:rsidTr="00E44401">
        <w:tc>
          <w:tcPr>
            <w:tcW w:w="1301" w:type="pct"/>
            <w:shd w:val="clear" w:color="auto" w:fill="F6FDE9"/>
          </w:tcPr>
          <w:p w14:paraId="58679291" w14:textId="77777777" w:rsidR="00E44401" w:rsidRPr="00E44401" w:rsidRDefault="00E44401" w:rsidP="00E44401">
            <w:pPr>
              <w:spacing w:after="0"/>
              <w:rPr>
                <w:rFonts w:asciiTheme="minorHAnsi" w:hAnsiTheme="minorHAnsi" w:cstheme="minorHAnsi"/>
                <w:sz w:val="20"/>
              </w:rPr>
            </w:pPr>
            <w:r w:rsidRPr="00E44401">
              <w:rPr>
                <w:rFonts w:asciiTheme="minorHAnsi" w:eastAsia="Calibri" w:hAnsiTheme="minorHAnsi" w:cstheme="minorHAnsi"/>
                <w:b/>
                <w:bCs/>
                <w:sz w:val="20"/>
              </w:rPr>
              <w:t>Outcome assessment – objective testing</w:t>
            </w:r>
          </w:p>
        </w:tc>
        <w:tc>
          <w:tcPr>
            <w:tcW w:w="3699" w:type="pct"/>
            <w:vAlign w:val="center"/>
          </w:tcPr>
          <w:p w14:paraId="186EB752" w14:textId="3BE2C196" w:rsidR="00E44401" w:rsidRPr="00E44401" w:rsidRDefault="00E44401" w:rsidP="00E44401">
            <w:pPr>
              <w:pStyle w:val="TableText"/>
              <w:rPr>
                <w:rFonts w:asciiTheme="minorHAnsi" w:hAnsiTheme="minorHAnsi" w:cstheme="minorHAnsi"/>
              </w:rPr>
            </w:pPr>
            <w:r w:rsidRPr="00E44401">
              <w:rPr>
                <w:rFonts w:asciiTheme="minorHAnsi" w:hAnsiTheme="minorHAnsi" w:cstheme="minorHAnsi"/>
                <w:lang w:eastAsia="en-AU"/>
              </w:rPr>
              <w:t>Neurophysiology, imaging (MRI), immunological tests, biochemical assays (vitamin levels, complement system)</w:t>
            </w:r>
          </w:p>
        </w:tc>
      </w:tr>
      <w:tr w:rsidR="00E44401" w:rsidRPr="00E44401" w14:paraId="18E14B9B" w14:textId="77777777" w:rsidTr="00E44401">
        <w:tc>
          <w:tcPr>
            <w:tcW w:w="1301" w:type="pct"/>
            <w:shd w:val="clear" w:color="auto" w:fill="F6FDE9"/>
          </w:tcPr>
          <w:p w14:paraId="1D3D6054" w14:textId="77777777" w:rsidR="00E44401" w:rsidRPr="00E44401" w:rsidRDefault="00E44401" w:rsidP="00E44401">
            <w:pPr>
              <w:spacing w:after="0"/>
              <w:rPr>
                <w:rFonts w:asciiTheme="minorHAnsi" w:hAnsiTheme="minorHAnsi" w:cstheme="minorHAnsi"/>
                <w:sz w:val="20"/>
              </w:rPr>
            </w:pPr>
            <w:r w:rsidRPr="00E44401">
              <w:rPr>
                <w:rFonts w:asciiTheme="minorHAnsi" w:eastAsia="Calibri" w:hAnsiTheme="minorHAnsi" w:cstheme="minorHAnsi"/>
                <w:b/>
                <w:bCs/>
                <w:sz w:val="20"/>
              </w:rPr>
              <w:t>Outcome assessment – tools used</w:t>
            </w:r>
          </w:p>
        </w:tc>
        <w:tc>
          <w:tcPr>
            <w:tcW w:w="3699" w:type="pct"/>
            <w:vAlign w:val="center"/>
          </w:tcPr>
          <w:p w14:paraId="56A5274B" w14:textId="1EC8BFC4" w:rsidR="00E44401" w:rsidRPr="00E44401" w:rsidRDefault="00E44401" w:rsidP="00E44401">
            <w:pPr>
              <w:pStyle w:val="TableText"/>
              <w:rPr>
                <w:rFonts w:asciiTheme="minorHAnsi" w:hAnsiTheme="minorHAnsi" w:cstheme="minorHAnsi"/>
              </w:rPr>
            </w:pPr>
            <w:r w:rsidRPr="00E44401">
              <w:rPr>
                <w:rFonts w:asciiTheme="minorHAnsi" w:hAnsiTheme="minorHAnsi" w:cstheme="minorHAnsi"/>
                <w:lang w:eastAsia="en-AU"/>
              </w:rPr>
              <w:t>Clinical neurological exam, neuropsychological assessment, laboratory biomarkers, imaging</w:t>
            </w:r>
          </w:p>
        </w:tc>
      </w:tr>
      <w:tr w:rsidR="00E44401" w:rsidRPr="00E44401" w14:paraId="71327FC7" w14:textId="77777777" w:rsidTr="00E44401">
        <w:tc>
          <w:tcPr>
            <w:tcW w:w="1301" w:type="pct"/>
            <w:shd w:val="clear" w:color="auto" w:fill="F6FDE9"/>
          </w:tcPr>
          <w:p w14:paraId="161E273E" w14:textId="77777777" w:rsidR="00E44401" w:rsidRPr="00E44401" w:rsidRDefault="00E44401" w:rsidP="00E44401">
            <w:pPr>
              <w:spacing w:after="0"/>
              <w:rPr>
                <w:rFonts w:asciiTheme="minorHAnsi" w:hAnsiTheme="minorHAnsi" w:cstheme="minorHAnsi"/>
                <w:sz w:val="20"/>
              </w:rPr>
            </w:pPr>
            <w:r w:rsidRPr="00E44401">
              <w:rPr>
                <w:rFonts w:asciiTheme="minorHAnsi" w:eastAsia="Calibri" w:hAnsiTheme="minorHAnsi" w:cstheme="minorHAnsi"/>
                <w:b/>
                <w:bCs/>
                <w:sz w:val="20"/>
              </w:rPr>
              <w:t>Response to withdrawal</w:t>
            </w:r>
          </w:p>
        </w:tc>
        <w:tc>
          <w:tcPr>
            <w:tcW w:w="3699" w:type="pct"/>
            <w:vAlign w:val="center"/>
          </w:tcPr>
          <w:p w14:paraId="1DD43644" w14:textId="44939877" w:rsidR="00E44401" w:rsidRPr="00E44401" w:rsidRDefault="00E44401" w:rsidP="00E44401">
            <w:pPr>
              <w:pStyle w:val="TableText"/>
              <w:rPr>
                <w:rFonts w:asciiTheme="minorHAnsi" w:hAnsiTheme="minorHAnsi" w:cstheme="minorHAnsi"/>
              </w:rPr>
            </w:pPr>
            <w:r w:rsidRPr="00E44401">
              <w:rPr>
                <w:rFonts w:asciiTheme="minorHAnsi" w:hAnsiTheme="minorHAnsi" w:cstheme="minorHAnsi"/>
                <w:lang w:eastAsia="en-AU"/>
              </w:rPr>
              <w:t>Strong: discontinuation of vitamin B6 led to normali</w:t>
            </w:r>
            <w:r w:rsidR="000B13BD">
              <w:rPr>
                <w:rFonts w:asciiTheme="minorHAnsi" w:hAnsiTheme="minorHAnsi" w:cstheme="minorHAnsi"/>
                <w:lang w:eastAsia="en-AU"/>
              </w:rPr>
              <w:t>s</w:t>
            </w:r>
            <w:r w:rsidRPr="00E44401">
              <w:rPr>
                <w:rFonts w:asciiTheme="minorHAnsi" w:hAnsiTheme="minorHAnsi" w:cstheme="minorHAnsi"/>
                <w:lang w:eastAsia="en-AU"/>
              </w:rPr>
              <w:t xml:space="preserve">ation of serum levels and resolution or marked improvement of symptoms in all cases </w:t>
            </w:r>
            <w:hyperlink r:id="rId154" w:history="1"/>
          </w:p>
        </w:tc>
      </w:tr>
    </w:tbl>
    <w:p w14:paraId="395CF486" w14:textId="77777777" w:rsidR="00C51B33" w:rsidRPr="00E44401" w:rsidRDefault="00C51B33" w:rsidP="00C51B33">
      <w:pPr>
        <w:rPr>
          <w:rFonts w:asciiTheme="minorHAnsi" w:eastAsia="Times New Roman" w:hAnsiTheme="minorHAnsi" w:cstheme="minorHAnsi"/>
          <w:b/>
          <w:bCs/>
          <w:sz w:val="20"/>
        </w:rPr>
      </w:pPr>
      <w:r w:rsidRPr="00E44401">
        <w:rPr>
          <w:rFonts w:asciiTheme="minorHAnsi" w:eastAsia="Times New Roman" w:hAnsiTheme="minorHAnsi" w:cstheme="minorHAnsi"/>
          <w:b/>
          <w:bCs/>
          <w:sz w:val="20"/>
        </w:rPr>
        <w:t>Results and Conclusions</w:t>
      </w:r>
    </w:p>
    <w:tbl>
      <w:tblPr>
        <w:tblStyle w:val="SLROption1"/>
        <w:tblW w:w="5000" w:type="pct"/>
        <w:tblLook w:val="0000" w:firstRow="0" w:lastRow="0" w:firstColumn="0" w:lastColumn="0" w:noHBand="0" w:noVBand="0"/>
      </w:tblPr>
      <w:tblGrid>
        <w:gridCol w:w="3628"/>
        <w:gridCol w:w="10316"/>
      </w:tblGrid>
      <w:tr w:rsidR="00C51B33" w:rsidRPr="00E44401" w14:paraId="1223003B" w14:textId="77777777" w:rsidTr="00983C71">
        <w:trPr>
          <w:cantSplit/>
          <w:tblHeader/>
        </w:trPr>
        <w:tc>
          <w:tcPr>
            <w:tcW w:w="1301" w:type="pct"/>
            <w:shd w:val="clear" w:color="auto" w:fill="3C533C"/>
          </w:tcPr>
          <w:p w14:paraId="3E1D7CA4" w14:textId="77777777" w:rsidR="00C51B33" w:rsidRPr="00E44401" w:rsidRDefault="00C51B33" w:rsidP="00983C71">
            <w:pPr>
              <w:spacing w:after="0"/>
              <w:rPr>
                <w:rFonts w:asciiTheme="minorHAnsi" w:hAnsiTheme="minorHAnsi" w:cstheme="minorHAnsi"/>
                <w:sz w:val="20"/>
              </w:rPr>
            </w:pPr>
            <w:r w:rsidRPr="00E44401">
              <w:rPr>
                <w:rFonts w:asciiTheme="minorHAnsi" w:eastAsia="Calibri" w:hAnsiTheme="minorHAnsi" w:cstheme="minorHAnsi"/>
                <w:b/>
                <w:bCs/>
                <w:color w:val="FFFFFF"/>
                <w:sz w:val="20"/>
              </w:rPr>
              <w:t>Field</w:t>
            </w:r>
          </w:p>
        </w:tc>
        <w:tc>
          <w:tcPr>
            <w:tcW w:w="3699" w:type="pct"/>
            <w:shd w:val="clear" w:color="auto" w:fill="3C533C"/>
          </w:tcPr>
          <w:p w14:paraId="0C436FC1" w14:textId="77777777" w:rsidR="00C51B33" w:rsidRPr="00E44401" w:rsidRDefault="00C51B33" w:rsidP="00983C71">
            <w:pPr>
              <w:spacing w:after="0"/>
              <w:rPr>
                <w:rFonts w:asciiTheme="minorHAnsi" w:hAnsiTheme="minorHAnsi" w:cstheme="minorHAnsi"/>
                <w:sz w:val="20"/>
              </w:rPr>
            </w:pPr>
            <w:r w:rsidRPr="00E44401">
              <w:rPr>
                <w:rFonts w:asciiTheme="minorHAnsi" w:eastAsia="Calibri" w:hAnsiTheme="minorHAnsi" w:cstheme="minorHAnsi"/>
                <w:b/>
                <w:bCs/>
                <w:color w:val="FFFFFF"/>
                <w:sz w:val="20"/>
              </w:rPr>
              <w:t>Extracted information</w:t>
            </w:r>
          </w:p>
        </w:tc>
      </w:tr>
      <w:tr w:rsidR="00E44401" w:rsidRPr="00E44401" w14:paraId="5D17F574" w14:textId="77777777" w:rsidTr="00E44401">
        <w:trPr>
          <w:cantSplit/>
        </w:trPr>
        <w:tc>
          <w:tcPr>
            <w:tcW w:w="1301" w:type="pct"/>
            <w:shd w:val="clear" w:color="auto" w:fill="F6FDE9"/>
          </w:tcPr>
          <w:p w14:paraId="63CC84FD" w14:textId="77777777" w:rsidR="00E44401" w:rsidRPr="00E44401" w:rsidRDefault="00E44401" w:rsidP="00E44401">
            <w:pPr>
              <w:spacing w:after="0"/>
              <w:rPr>
                <w:rFonts w:asciiTheme="minorHAnsi" w:hAnsiTheme="minorHAnsi" w:cstheme="minorHAnsi"/>
                <w:sz w:val="20"/>
              </w:rPr>
            </w:pPr>
            <w:r w:rsidRPr="00E44401">
              <w:rPr>
                <w:rFonts w:asciiTheme="minorHAnsi" w:eastAsia="Calibri" w:hAnsiTheme="minorHAnsi" w:cstheme="minorHAnsi"/>
                <w:b/>
                <w:bCs/>
                <w:sz w:val="20"/>
              </w:rPr>
              <w:t>Main results</w:t>
            </w:r>
          </w:p>
        </w:tc>
        <w:tc>
          <w:tcPr>
            <w:tcW w:w="3699" w:type="pct"/>
            <w:vAlign w:val="center"/>
          </w:tcPr>
          <w:p w14:paraId="3816C889" w14:textId="5F9A231B" w:rsidR="00E44401" w:rsidRPr="00E44401" w:rsidRDefault="00E44401" w:rsidP="00E44401">
            <w:pPr>
              <w:pStyle w:val="TableText"/>
              <w:rPr>
                <w:rFonts w:asciiTheme="minorHAnsi" w:hAnsiTheme="minorHAnsi" w:cstheme="minorHAnsi"/>
              </w:rPr>
            </w:pPr>
            <w:r w:rsidRPr="00E44401">
              <w:rPr>
                <w:rFonts w:asciiTheme="minorHAnsi" w:hAnsiTheme="minorHAnsi" w:cstheme="minorHAnsi"/>
                <w:lang w:eastAsia="en-AU"/>
              </w:rPr>
              <w:t>Excess vitamin B6 intake associated with peripheral neuropathy and possible CNS manifestations; symptoms improved after cessation; suggests both peripheral and potential central neurotoxicity</w:t>
            </w:r>
          </w:p>
        </w:tc>
      </w:tr>
      <w:tr w:rsidR="00E44401" w:rsidRPr="00E44401" w14:paraId="338B051B" w14:textId="77777777" w:rsidTr="00E44401">
        <w:trPr>
          <w:cantSplit/>
        </w:trPr>
        <w:tc>
          <w:tcPr>
            <w:tcW w:w="1301" w:type="pct"/>
            <w:shd w:val="clear" w:color="auto" w:fill="F6FDE9"/>
          </w:tcPr>
          <w:p w14:paraId="7B303A21" w14:textId="77777777" w:rsidR="00E44401" w:rsidRPr="00E44401" w:rsidRDefault="00E44401" w:rsidP="00E44401">
            <w:pPr>
              <w:spacing w:after="0"/>
              <w:rPr>
                <w:rFonts w:asciiTheme="minorHAnsi" w:eastAsia="Calibri" w:hAnsiTheme="minorHAnsi" w:cstheme="minorHAnsi"/>
                <w:b/>
                <w:bCs/>
                <w:sz w:val="20"/>
              </w:rPr>
            </w:pPr>
            <w:r w:rsidRPr="00E44401">
              <w:rPr>
                <w:rFonts w:asciiTheme="minorHAnsi" w:eastAsia="Calibri" w:hAnsiTheme="minorHAnsi" w:cstheme="minorHAnsi"/>
                <w:b/>
                <w:bCs/>
                <w:sz w:val="20"/>
              </w:rPr>
              <w:t>Authors' conclusions</w:t>
            </w:r>
          </w:p>
        </w:tc>
        <w:tc>
          <w:tcPr>
            <w:tcW w:w="3699" w:type="pct"/>
            <w:vAlign w:val="center"/>
          </w:tcPr>
          <w:p w14:paraId="0432FFC6" w14:textId="1513DD84" w:rsidR="00E44401" w:rsidRPr="00E44401" w:rsidRDefault="00E44401" w:rsidP="00E44401">
            <w:pPr>
              <w:pStyle w:val="TableText"/>
              <w:rPr>
                <w:rFonts w:asciiTheme="minorHAnsi" w:hAnsiTheme="minorHAnsi" w:cstheme="minorHAnsi"/>
              </w:rPr>
            </w:pPr>
            <w:r w:rsidRPr="00E44401">
              <w:rPr>
                <w:rFonts w:asciiTheme="minorHAnsi" w:hAnsiTheme="minorHAnsi" w:cstheme="minorHAnsi"/>
                <w:lang w:eastAsia="en-AU"/>
              </w:rPr>
              <w:t xml:space="preserve">Pyridoxine overdose can cause clinically significant neurotoxicity; clinicians should consider vitamin B6 toxicity in patients with unexplained neurological symptoms and routinely assess supplementation history </w:t>
            </w:r>
            <w:hyperlink r:id="rId155" w:history="1"/>
          </w:p>
        </w:tc>
      </w:tr>
      <w:tr w:rsidR="00E44401" w:rsidRPr="00E44401" w14:paraId="4438CF02" w14:textId="77777777" w:rsidTr="00E44401">
        <w:trPr>
          <w:cantSplit/>
        </w:trPr>
        <w:tc>
          <w:tcPr>
            <w:tcW w:w="1301" w:type="pct"/>
            <w:shd w:val="clear" w:color="auto" w:fill="F6FDE9" w:themeFill="accent5" w:themeFillTint="33"/>
            <w:vAlign w:val="center"/>
          </w:tcPr>
          <w:p w14:paraId="774F9CCB" w14:textId="77777777" w:rsidR="00E44401" w:rsidRPr="00E44401" w:rsidRDefault="00E44401" w:rsidP="00E44401">
            <w:pPr>
              <w:spacing w:after="0"/>
              <w:rPr>
                <w:rFonts w:asciiTheme="minorHAnsi" w:eastAsia="Calibri" w:hAnsiTheme="minorHAnsi" w:cstheme="minorHAnsi"/>
                <w:b/>
                <w:bCs/>
                <w:sz w:val="20"/>
              </w:rPr>
            </w:pPr>
            <w:r w:rsidRPr="00E44401">
              <w:rPr>
                <w:rFonts w:asciiTheme="minorHAnsi" w:hAnsiTheme="minorHAnsi" w:cstheme="minorHAnsi"/>
                <w:b/>
                <w:bCs/>
                <w:sz w:val="20"/>
                <w:lang w:eastAsia="en-AU"/>
              </w:rPr>
              <w:t>Authors' acknowledged limitations</w:t>
            </w:r>
          </w:p>
        </w:tc>
        <w:tc>
          <w:tcPr>
            <w:tcW w:w="3699" w:type="pct"/>
            <w:vAlign w:val="center"/>
          </w:tcPr>
          <w:p w14:paraId="443F1C98" w14:textId="3625DCDB" w:rsidR="00E44401" w:rsidRPr="00E44401" w:rsidRDefault="00E44401" w:rsidP="00E44401">
            <w:pPr>
              <w:pStyle w:val="TableText"/>
              <w:rPr>
                <w:rFonts w:asciiTheme="minorHAnsi" w:hAnsiTheme="minorHAnsi" w:cstheme="minorHAnsi"/>
              </w:rPr>
            </w:pPr>
            <w:r w:rsidRPr="00E44401">
              <w:rPr>
                <w:rFonts w:asciiTheme="minorHAnsi" w:hAnsiTheme="minorHAnsi" w:cstheme="minorHAnsi"/>
                <w:lang w:eastAsia="en-AU"/>
              </w:rPr>
              <w:t xml:space="preserve">Small sample size (case-based evidence); reliance on observational and case report data; lack of clear dose–response thresholds; heterogeneity in literature </w:t>
            </w:r>
            <w:hyperlink r:id="rId156" w:history="1"/>
          </w:p>
        </w:tc>
      </w:tr>
    </w:tbl>
    <w:p w14:paraId="526A46C2" w14:textId="77777777" w:rsidR="00C51B33" w:rsidRPr="00E44401" w:rsidRDefault="00C51B33" w:rsidP="00C51B33">
      <w:pPr>
        <w:rPr>
          <w:rFonts w:asciiTheme="minorHAnsi" w:eastAsia="Times New Roman" w:hAnsiTheme="minorHAnsi" w:cstheme="minorHAnsi"/>
          <w:b/>
          <w:bCs/>
          <w:sz w:val="20"/>
        </w:rPr>
      </w:pPr>
      <w:r w:rsidRPr="00E44401">
        <w:rPr>
          <w:rFonts w:asciiTheme="minorHAnsi" w:eastAsia="Times New Roman" w:hAnsiTheme="minorHAnsi" w:cstheme="minorHAnsi"/>
          <w:b/>
          <w:bCs/>
          <w:sz w:val="20"/>
        </w:rPr>
        <w:t>Contextual information for the AU/NZ UL review</w:t>
      </w:r>
    </w:p>
    <w:tbl>
      <w:tblPr>
        <w:tblStyle w:val="SLROption1"/>
        <w:tblW w:w="5000" w:type="pct"/>
        <w:tblLook w:val="0000" w:firstRow="0" w:lastRow="0" w:firstColumn="0" w:lastColumn="0" w:noHBand="0" w:noVBand="0"/>
      </w:tblPr>
      <w:tblGrid>
        <w:gridCol w:w="3628"/>
        <w:gridCol w:w="10316"/>
      </w:tblGrid>
      <w:tr w:rsidR="00C51B33" w:rsidRPr="00E44401" w14:paraId="6AEAA089" w14:textId="77777777" w:rsidTr="00983C71">
        <w:tc>
          <w:tcPr>
            <w:tcW w:w="1301" w:type="pct"/>
            <w:shd w:val="clear" w:color="auto" w:fill="F6FDE9"/>
          </w:tcPr>
          <w:p w14:paraId="522961CF" w14:textId="77777777" w:rsidR="00C51B33" w:rsidRPr="00E44401" w:rsidRDefault="00C51B33" w:rsidP="00983C71">
            <w:pPr>
              <w:spacing w:after="0"/>
              <w:rPr>
                <w:rFonts w:asciiTheme="minorHAnsi" w:hAnsiTheme="minorHAnsi" w:cstheme="minorHAnsi"/>
                <w:sz w:val="20"/>
              </w:rPr>
            </w:pPr>
            <w:r w:rsidRPr="00E44401">
              <w:rPr>
                <w:rFonts w:asciiTheme="minorHAnsi" w:eastAsia="Calibri" w:hAnsiTheme="minorHAnsi" w:cstheme="minorHAnsi"/>
                <w:b/>
                <w:bCs/>
                <w:sz w:val="20"/>
              </w:rPr>
              <w:t>Generalisability to AU/NZ</w:t>
            </w:r>
          </w:p>
        </w:tc>
        <w:tc>
          <w:tcPr>
            <w:tcW w:w="3699" w:type="pct"/>
          </w:tcPr>
          <w:p w14:paraId="189A1A2B" w14:textId="78ED53ED" w:rsidR="00C51B33" w:rsidRPr="00E44401" w:rsidRDefault="00E44401" w:rsidP="00983C71">
            <w:pPr>
              <w:spacing w:after="0"/>
              <w:rPr>
                <w:rFonts w:asciiTheme="minorHAnsi" w:hAnsiTheme="minorHAnsi" w:cstheme="minorHAnsi"/>
                <w:sz w:val="20"/>
              </w:rPr>
            </w:pPr>
            <w:r w:rsidRPr="00E44401">
              <w:rPr>
                <w:rFonts w:asciiTheme="minorHAnsi" w:eastAsia="Calibri" w:hAnsiTheme="minorHAnsi" w:cstheme="minorHAnsi"/>
                <w:sz w:val="20"/>
              </w:rPr>
              <w:t>Moderate; reflects real-world supplement use (including OTC products and fortified foods); supports evidence of neurotoxicity from excess intake, but limited by small sample size and case-report nature</w:t>
            </w:r>
          </w:p>
        </w:tc>
      </w:tr>
    </w:tbl>
    <w:p w14:paraId="7428B297" w14:textId="415D439F" w:rsidR="000B13BD" w:rsidRPr="000B13BD" w:rsidRDefault="000B13BD" w:rsidP="0072289E">
      <w:pPr>
        <w:tabs>
          <w:tab w:val="left" w:pos="1478"/>
        </w:tabs>
        <w:rPr>
          <w:rFonts w:eastAsia="Times New Roman" w:cs="Arial"/>
        </w:rPr>
        <w:sectPr w:rsidR="000B13BD" w:rsidRPr="000B13BD" w:rsidSect="00B8180E">
          <w:pgSz w:w="16834" w:h="11909" w:orient="landscape" w:code="9"/>
          <w:pgMar w:top="1440" w:right="1440" w:bottom="1440" w:left="1440" w:header="576" w:footer="576" w:gutter="0"/>
          <w:cols w:space="720"/>
          <w:docGrid w:linePitch="360"/>
        </w:sectPr>
      </w:pPr>
    </w:p>
    <w:p w14:paraId="3990CA6E" w14:textId="7FA5C720" w:rsidR="00C51B33" w:rsidRDefault="006D0B54" w:rsidP="00C51B33">
      <w:pPr>
        <w:pStyle w:val="Heading9"/>
      </w:pPr>
      <w:bookmarkStart w:id="82" w:name="_Toc233022899"/>
      <w:r>
        <w:lastRenderedPageBreak/>
        <w:t>Lee et al.</w:t>
      </w:r>
      <w:r w:rsidR="00C51B33">
        <w:t>, 202</w:t>
      </w:r>
      <w:r w:rsidR="00F47498">
        <w:t>5</w:t>
      </w:r>
      <w:bookmarkEnd w:id="82"/>
    </w:p>
    <w:p w14:paraId="02B2B15C" w14:textId="77777777" w:rsidR="00C51B33" w:rsidRPr="006D0B54" w:rsidRDefault="00C51B33" w:rsidP="00C51B33">
      <w:pPr>
        <w:keepNext/>
        <w:spacing w:before="240"/>
        <w:ind w:left="1080" w:hanging="1080"/>
        <w:rPr>
          <w:rFonts w:eastAsia="Calibri" w:cs="Arial"/>
          <w:b/>
          <w:bCs/>
          <w:sz w:val="20"/>
        </w:rPr>
      </w:pPr>
      <w:r w:rsidRPr="006D0B54">
        <w:rPr>
          <w:rFonts w:eastAsia="Calibri" w:cs="Arial"/>
          <w:b/>
          <w:bCs/>
          <w:sz w:val="20"/>
        </w:rPr>
        <w:t>Study identification and design</w:t>
      </w:r>
    </w:p>
    <w:tbl>
      <w:tblPr>
        <w:tblStyle w:val="SLROption1"/>
        <w:tblW w:w="5000" w:type="pct"/>
        <w:tblLook w:val="0000" w:firstRow="0" w:lastRow="0" w:firstColumn="0" w:lastColumn="0" w:noHBand="0" w:noVBand="0"/>
      </w:tblPr>
      <w:tblGrid>
        <w:gridCol w:w="3628"/>
        <w:gridCol w:w="10316"/>
      </w:tblGrid>
      <w:tr w:rsidR="00C51B33" w:rsidRPr="006D0B54" w14:paraId="0197202C" w14:textId="77777777" w:rsidTr="00983C71">
        <w:tc>
          <w:tcPr>
            <w:tcW w:w="1301" w:type="pct"/>
            <w:shd w:val="clear" w:color="auto" w:fill="3C533C"/>
          </w:tcPr>
          <w:p w14:paraId="1C4AD045" w14:textId="77777777" w:rsidR="00C51B33" w:rsidRPr="006D0B54" w:rsidRDefault="00C51B33" w:rsidP="00983C71">
            <w:pPr>
              <w:pStyle w:val="TableText"/>
              <w:rPr>
                <w:rFonts w:cs="Arial"/>
                <w:b/>
                <w:bCs/>
                <w:color w:val="FFFFFF" w:themeColor="background1"/>
              </w:rPr>
            </w:pPr>
            <w:r w:rsidRPr="006D0B54">
              <w:rPr>
                <w:rFonts w:cs="Arial"/>
                <w:b/>
                <w:bCs/>
                <w:color w:val="FFFFFF" w:themeColor="background1"/>
              </w:rPr>
              <w:t>Field</w:t>
            </w:r>
          </w:p>
        </w:tc>
        <w:tc>
          <w:tcPr>
            <w:tcW w:w="3699" w:type="pct"/>
            <w:shd w:val="clear" w:color="auto" w:fill="3C533C"/>
          </w:tcPr>
          <w:p w14:paraId="7D24A33C" w14:textId="77777777" w:rsidR="00C51B33" w:rsidRPr="006D0B54" w:rsidRDefault="00C51B33" w:rsidP="00983C71">
            <w:pPr>
              <w:pStyle w:val="TableText"/>
              <w:rPr>
                <w:rFonts w:cs="Arial"/>
                <w:b/>
                <w:bCs/>
                <w:color w:val="FFFFFF" w:themeColor="background1"/>
              </w:rPr>
            </w:pPr>
            <w:r w:rsidRPr="006D0B54">
              <w:rPr>
                <w:rFonts w:cs="Arial"/>
                <w:b/>
                <w:bCs/>
                <w:color w:val="FFFFFF" w:themeColor="background1"/>
              </w:rPr>
              <w:t>Extracted information</w:t>
            </w:r>
          </w:p>
        </w:tc>
      </w:tr>
      <w:tr w:rsidR="006D0B54" w:rsidRPr="006D0B54" w14:paraId="07F0A1A1" w14:textId="77777777" w:rsidTr="006D0B54">
        <w:tc>
          <w:tcPr>
            <w:tcW w:w="1301" w:type="pct"/>
            <w:shd w:val="clear" w:color="auto" w:fill="F6FDE9"/>
          </w:tcPr>
          <w:p w14:paraId="1DB9F6B4" w14:textId="77777777" w:rsidR="006D0B54" w:rsidRPr="006D0B54" w:rsidRDefault="006D0B54" w:rsidP="006D0B54">
            <w:pPr>
              <w:pStyle w:val="TableText"/>
              <w:rPr>
                <w:rFonts w:cs="Arial"/>
                <w:b/>
                <w:bCs/>
              </w:rPr>
            </w:pPr>
            <w:r w:rsidRPr="006D0B54">
              <w:rPr>
                <w:rFonts w:cs="Arial"/>
                <w:b/>
                <w:bCs/>
              </w:rPr>
              <w:t>Citation</w:t>
            </w:r>
          </w:p>
        </w:tc>
        <w:tc>
          <w:tcPr>
            <w:tcW w:w="3699" w:type="pct"/>
            <w:vAlign w:val="center"/>
          </w:tcPr>
          <w:p w14:paraId="023A0C25" w14:textId="5E0DE06C" w:rsidR="006D0B54" w:rsidRPr="006D0B54" w:rsidRDefault="006D0B54" w:rsidP="006D0B54">
            <w:pPr>
              <w:pStyle w:val="TableText"/>
              <w:rPr>
                <w:rFonts w:cs="Arial"/>
              </w:rPr>
            </w:pPr>
            <w:r w:rsidRPr="006D0B54">
              <w:rPr>
                <w:rFonts w:cs="Arial"/>
                <w:lang w:eastAsia="en-AU"/>
              </w:rPr>
              <w:t>Lee, J. Z. C., Chow, C. K., Fung, C.</w:t>
            </w:r>
            <w:r w:rsidRPr="006D0B54">
              <w:rPr>
                <w:rFonts w:cs="Arial"/>
                <w:lang w:eastAsia="en-AU"/>
              </w:rPr>
              <w:noBreakHyphen/>
              <w:t>W., Lui, S. T. Y., &amp; Wong, S.</w:t>
            </w:r>
            <w:r w:rsidRPr="006D0B54">
              <w:rPr>
                <w:rFonts w:cs="Arial"/>
                <w:lang w:eastAsia="en-AU"/>
              </w:rPr>
              <w:noBreakHyphen/>
              <w:t>N. S. (2025). Hepatocellular carcinoma in a patient with pyridoxamine 5</w:t>
            </w:r>
            <w:r w:rsidRPr="006D0B54">
              <w:rPr>
                <w:rFonts w:cs="Arial"/>
                <w:lang w:eastAsia="en-AU"/>
              </w:rPr>
              <w:noBreakHyphen/>
              <w:t>phosphate oxidase (PNPO) deficiency undergoing pyridoxal 5</w:t>
            </w:r>
            <w:r w:rsidRPr="006D0B54">
              <w:rPr>
                <w:rFonts w:cs="Arial"/>
                <w:lang w:eastAsia="en-AU"/>
              </w:rPr>
              <w:noBreakHyphen/>
              <w:t xml:space="preserve">phosphate treatment. </w:t>
            </w:r>
            <w:r w:rsidRPr="006D0B54">
              <w:rPr>
                <w:rFonts w:cs="Arial"/>
                <w:i/>
                <w:iCs/>
                <w:lang w:eastAsia="en-AU"/>
              </w:rPr>
              <w:t>Molecular Genetics and Metabolism Reports, 43</w:t>
            </w:r>
            <w:r w:rsidRPr="006D0B54">
              <w:rPr>
                <w:rFonts w:cs="Arial"/>
                <w:lang w:eastAsia="en-AU"/>
              </w:rPr>
              <w:t>, 101224.</w:t>
            </w:r>
          </w:p>
        </w:tc>
      </w:tr>
      <w:tr w:rsidR="006D0B54" w:rsidRPr="006D0B54" w14:paraId="153900AA" w14:textId="77777777" w:rsidTr="006D0B54">
        <w:tc>
          <w:tcPr>
            <w:tcW w:w="1301" w:type="pct"/>
            <w:shd w:val="clear" w:color="auto" w:fill="F6FDE9"/>
          </w:tcPr>
          <w:p w14:paraId="35753F79" w14:textId="77777777" w:rsidR="006D0B54" w:rsidRPr="006D0B54" w:rsidRDefault="006D0B54" w:rsidP="006D0B54">
            <w:pPr>
              <w:pStyle w:val="TableText"/>
              <w:rPr>
                <w:rFonts w:cs="Arial"/>
                <w:b/>
                <w:bCs/>
              </w:rPr>
            </w:pPr>
            <w:r w:rsidRPr="006D0B54">
              <w:rPr>
                <w:rFonts w:cs="Arial"/>
                <w:b/>
                <w:bCs/>
              </w:rPr>
              <w:t>Publication status</w:t>
            </w:r>
          </w:p>
        </w:tc>
        <w:tc>
          <w:tcPr>
            <w:tcW w:w="3699" w:type="pct"/>
            <w:vAlign w:val="center"/>
          </w:tcPr>
          <w:p w14:paraId="6E10CA97" w14:textId="0F112C10" w:rsidR="006D0B54" w:rsidRPr="006D0B54" w:rsidRDefault="006D0B54" w:rsidP="006D0B54">
            <w:pPr>
              <w:pStyle w:val="TableText"/>
              <w:rPr>
                <w:rFonts w:cs="Arial"/>
              </w:rPr>
            </w:pPr>
            <w:r w:rsidRPr="006D0B54">
              <w:rPr>
                <w:rFonts w:cs="Arial"/>
                <w:lang w:eastAsia="en-AU"/>
              </w:rPr>
              <w:t xml:space="preserve">Published, peer-reviewed journal article (Molecular Genetics and Metabolism Reports); published online May 9, 2025 </w:t>
            </w:r>
            <w:hyperlink r:id="rId157" w:history="1"/>
          </w:p>
        </w:tc>
      </w:tr>
      <w:tr w:rsidR="006D0B54" w:rsidRPr="006D0B54" w14:paraId="08C7664D" w14:textId="77777777" w:rsidTr="006D0B54">
        <w:tc>
          <w:tcPr>
            <w:tcW w:w="1301" w:type="pct"/>
            <w:shd w:val="clear" w:color="auto" w:fill="F6FDE9"/>
          </w:tcPr>
          <w:p w14:paraId="46DB2C56" w14:textId="77777777" w:rsidR="006D0B54" w:rsidRPr="006D0B54" w:rsidRDefault="006D0B54" w:rsidP="006D0B54">
            <w:pPr>
              <w:pStyle w:val="TableText"/>
              <w:rPr>
                <w:rFonts w:cs="Arial"/>
                <w:b/>
                <w:bCs/>
              </w:rPr>
            </w:pPr>
            <w:r w:rsidRPr="006D0B54">
              <w:rPr>
                <w:rFonts w:cs="Arial"/>
                <w:b/>
                <w:bCs/>
              </w:rPr>
              <w:t>Country / setting</w:t>
            </w:r>
          </w:p>
        </w:tc>
        <w:tc>
          <w:tcPr>
            <w:tcW w:w="3699" w:type="pct"/>
            <w:vAlign w:val="center"/>
          </w:tcPr>
          <w:p w14:paraId="6140AA05" w14:textId="74C84013" w:rsidR="006D0B54" w:rsidRPr="006D0B54" w:rsidRDefault="006D0B54" w:rsidP="006D0B54">
            <w:pPr>
              <w:pStyle w:val="TableText"/>
              <w:rPr>
                <w:rFonts w:cs="Arial"/>
              </w:rPr>
            </w:pPr>
            <w:r w:rsidRPr="006D0B54">
              <w:rPr>
                <w:rFonts w:cs="Arial"/>
                <w:lang w:eastAsia="en-AU"/>
              </w:rPr>
              <w:t xml:space="preserve">Hong Kong; hospital-based clinical setting (United Christian Hospital / Hong Kong Children’s Hospital) </w:t>
            </w:r>
            <w:hyperlink r:id="rId158" w:history="1"/>
          </w:p>
        </w:tc>
      </w:tr>
      <w:tr w:rsidR="006D0B54" w:rsidRPr="006D0B54" w14:paraId="0179C2AE" w14:textId="77777777" w:rsidTr="006D0B54">
        <w:tc>
          <w:tcPr>
            <w:tcW w:w="1301" w:type="pct"/>
            <w:shd w:val="clear" w:color="auto" w:fill="F6FDE9"/>
          </w:tcPr>
          <w:p w14:paraId="64AC3B56" w14:textId="77777777" w:rsidR="006D0B54" w:rsidRPr="006D0B54" w:rsidRDefault="006D0B54" w:rsidP="006D0B54">
            <w:pPr>
              <w:pStyle w:val="TableText"/>
              <w:rPr>
                <w:rFonts w:cs="Arial"/>
                <w:b/>
                <w:bCs/>
              </w:rPr>
            </w:pPr>
            <w:r w:rsidRPr="006D0B54">
              <w:rPr>
                <w:rFonts w:cs="Arial"/>
                <w:b/>
                <w:bCs/>
              </w:rPr>
              <w:t>Study design</w:t>
            </w:r>
          </w:p>
        </w:tc>
        <w:tc>
          <w:tcPr>
            <w:tcW w:w="3699" w:type="pct"/>
            <w:vAlign w:val="center"/>
          </w:tcPr>
          <w:p w14:paraId="3E6D4841" w14:textId="414F100A" w:rsidR="006D0B54" w:rsidRPr="006D0B54" w:rsidRDefault="006D0B54" w:rsidP="006D0B54">
            <w:pPr>
              <w:pStyle w:val="TableText"/>
              <w:rPr>
                <w:rFonts w:cs="Arial"/>
              </w:rPr>
            </w:pPr>
            <w:r w:rsidRPr="006D0B54">
              <w:rPr>
                <w:rFonts w:cs="Arial"/>
                <w:lang w:eastAsia="en-AU"/>
              </w:rPr>
              <w:t xml:space="preserve">Single case report </w:t>
            </w:r>
            <w:hyperlink r:id="rId159" w:history="1"/>
          </w:p>
        </w:tc>
      </w:tr>
      <w:tr w:rsidR="006D0B54" w:rsidRPr="006D0B54" w14:paraId="458E1D0C" w14:textId="77777777" w:rsidTr="006D0B54">
        <w:tc>
          <w:tcPr>
            <w:tcW w:w="1301" w:type="pct"/>
            <w:shd w:val="clear" w:color="auto" w:fill="F6FDE9"/>
          </w:tcPr>
          <w:p w14:paraId="372E3141" w14:textId="77777777" w:rsidR="006D0B54" w:rsidRPr="006D0B54" w:rsidRDefault="006D0B54" w:rsidP="006D0B54">
            <w:pPr>
              <w:pStyle w:val="TableText"/>
              <w:rPr>
                <w:rFonts w:cs="Arial"/>
                <w:b/>
                <w:bCs/>
              </w:rPr>
            </w:pPr>
            <w:r w:rsidRPr="006D0B54">
              <w:rPr>
                <w:rFonts w:cs="Arial"/>
                <w:b/>
                <w:bCs/>
              </w:rPr>
              <w:t>Funding / conflicts of interest</w:t>
            </w:r>
          </w:p>
        </w:tc>
        <w:tc>
          <w:tcPr>
            <w:tcW w:w="3699" w:type="pct"/>
            <w:vAlign w:val="center"/>
          </w:tcPr>
          <w:p w14:paraId="02244C41" w14:textId="11272248" w:rsidR="006D0B54" w:rsidRPr="006D0B54" w:rsidRDefault="006D0B54" w:rsidP="006D0B54">
            <w:pPr>
              <w:pStyle w:val="TableText"/>
              <w:rPr>
                <w:rFonts w:cs="Arial"/>
              </w:rPr>
            </w:pPr>
            <w:r w:rsidRPr="006D0B54">
              <w:rPr>
                <w:rFonts w:cs="Arial"/>
                <w:lang w:eastAsia="en-AU"/>
              </w:rPr>
              <w:t xml:space="preserve">No competing financial interests reported </w:t>
            </w:r>
            <w:hyperlink r:id="rId160" w:history="1"/>
          </w:p>
        </w:tc>
      </w:tr>
    </w:tbl>
    <w:p w14:paraId="77FD417B" w14:textId="77777777" w:rsidR="00C51B33" w:rsidRPr="006D0B54" w:rsidRDefault="00C51B33" w:rsidP="00C51B33">
      <w:pPr>
        <w:rPr>
          <w:rFonts w:eastAsia="Times New Roman" w:cs="Arial"/>
          <w:sz w:val="20"/>
        </w:rPr>
      </w:pPr>
      <w:r w:rsidRPr="006D0B54">
        <w:rPr>
          <w:rFonts w:eastAsia="Calibri" w:cs="Arial"/>
          <w:b/>
          <w:bCs/>
          <w:sz w:val="20"/>
        </w:rPr>
        <w:t>Population</w:t>
      </w:r>
    </w:p>
    <w:tbl>
      <w:tblPr>
        <w:tblStyle w:val="SLROption1"/>
        <w:tblW w:w="5000" w:type="pct"/>
        <w:tblLook w:val="0000" w:firstRow="0" w:lastRow="0" w:firstColumn="0" w:lastColumn="0" w:noHBand="0" w:noVBand="0"/>
      </w:tblPr>
      <w:tblGrid>
        <w:gridCol w:w="3628"/>
        <w:gridCol w:w="10316"/>
      </w:tblGrid>
      <w:tr w:rsidR="00C51B33" w:rsidRPr="006D0B54" w14:paraId="29384D61" w14:textId="77777777" w:rsidTr="00983C71">
        <w:tc>
          <w:tcPr>
            <w:tcW w:w="1301" w:type="pct"/>
            <w:shd w:val="clear" w:color="auto" w:fill="3C533C"/>
          </w:tcPr>
          <w:p w14:paraId="49C600A5" w14:textId="77777777" w:rsidR="00C51B33" w:rsidRPr="006D0B54" w:rsidRDefault="00C51B33" w:rsidP="00983C71">
            <w:pPr>
              <w:spacing w:after="0"/>
              <w:rPr>
                <w:rFonts w:cs="Arial"/>
                <w:sz w:val="20"/>
              </w:rPr>
            </w:pPr>
            <w:r w:rsidRPr="006D0B54">
              <w:rPr>
                <w:rFonts w:eastAsia="Calibri" w:cs="Arial"/>
                <w:b/>
                <w:bCs/>
                <w:color w:val="FFFFFF"/>
                <w:sz w:val="20"/>
              </w:rPr>
              <w:t>Field</w:t>
            </w:r>
          </w:p>
        </w:tc>
        <w:tc>
          <w:tcPr>
            <w:tcW w:w="3699" w:type="pct"/>
            <w:shd w:val="clear" w:color="auto" w:fill="3C533C"/>
          </w:tcPr>
          <w:p w14:paraId="4C13A89C" w14:textId="77777777" w:rsidR="00C51B33" w:rsidRPr="006D0B54" w:rsidRDefault="00C51B33" w:rsidP="00983C71">
            <w:pPr>
              <w:spacing w:after="0"/>
              <w:rPr>
                <w:rFonts w:cs="Arial"/>
                <w:sz w:val="20"/>
              </w:rPr>
            </w:pPr>
            <w:r w:rsidRPr="006D0B54">
              <w:rPr>
                <w:rFonts w:eastAsia="Calibri" w:cs="Arial"/>
                <w:b/>
                <w:bCs/>
                <w:color w:val="FFFFFF"/>
                <w:sz w:val="20"/>
              </w:rPr>
              <w:t>Extracted information</w:t>
            </w:r>
          </w:p>
        </w:tc>
      </w:tr>
      <w:tr w:rsidR="006D0B54" w:rsidRPr="006D0B54" w14:paraId="6C6F4DB5" w14:textId="77777777" w:rsidTr="006D0B54">
        <w:tc>
          <w:tcPr>
            <w:tcW w:w="1301" w:type="pct"/>
            <w:shd w:val="clear" w:color="auto" w:fill="F6FDE9"/>
          </w:tcPr>
          <w:p w14:paraId="6FFD3A82" w14:textId="77777777" w:rsidR="006D0B54" w:rsidRPr="006D0B54" w:rsidRDefault="006D0B54" w:rsidP="006D0B54">
            <w:pPr>
              <w:spacing w:after="0"/>
              <w:rPr>
                <w:rFonts w:cs="Arial"/>
                <w:sz w:val="20"/>
              </w:rPr>
            </w:pPr>
            <w:r w:rsidRPr="006D0B54">
              <w:rPr>
                <w:rFonts w:eastAsia="Calibri" w:cs="Arial"/>
                <w:b/>
                <w:bCs/>
                <w:sz w:val="20"/>
              </w:rPr>
              <w:t>Sample size</w:t>
            </w:r>
          </w:p>
        </w:tc>
        <w:tc>
          <w:tcPr>
            <w:tcW w:w="3699" w:type="pct"/>
            <w:vAlign w:val="center"/>
          </w:tcPr>
          <w:p w14:paraId="60BA76E0" w14:textId="247C1484" w:rsidR="006D0B54" w:rsidRPr="006D0B54" w:rsidRDefault="006D0B54" w:rsidP="006D0B54">
            <w:pPr>
              <w:pStyle w:val="TableText"/>
              <w:rPr>
                <w:rFonts w:cs="Arial"/>
              </w:rPr>
            </w:pPr>
            <w:r w:rsidRPr="006D0B54">
              <w:rPr>
                <w:rFonts w:cs="Arial"/>
                <w:lang w:eastAsia="en-AU"/>
              </w:rPr>
              <w:t>1 patient</w:t>
            </w:r>
          </w:p>
        </w:tc>
      </w:tr>
      <w:tr w:rsidR="006D0B54" w:rsidRPr="006D0B54" w14:paraId="17CA2D96" w14:textId="77777777" w:rsidTr="006D0B54">
        <w:tc>
          <w:tcPr>
            <w:tcW w:w="1301" w:type="pct"/>
            <w:shd w:val="clear" w:color="auto" w:fill="F6FDE9"/>
          </w:tcPr>
          <w:p w14:paraId="05050CE6" w14:textId="77777777" w:rsidR="006D0B54" w:rsidRPr="006D0B54" w:rsidRDefault="006D0B54" w:rsidP="006D0B54">
            <w:pPr>
              <w:spacing w:after="0"/>
              <w:rPr>
                <w:rFonts w:cs="Arial"/>
                <w:sz w:val="20"/>
              </w:rPr>
            </w:pPr>
            <w:r w:rsidRPr="006D0B54">
              <w:rPr>
                <w:rFonts w:eastAsia="Calibri" w:cs="Arial"/>
                <w:b/>
                <w:bCs/>
                <w:sz w:val="20"/>
              </w:rPr>
              <w:t>Patient characteristics</w:t>
            </w:r>
          </w:p>
        </w:tc>
        <w:tc>
          <w:tcPr>
            <w:tcW w:w="3699" w:type="pct"/>
            <w:vAlign w:val="center"/>
          </w:tcPr>
          <w:p w14:paraId="2DCC75A6" w14:textId="771C07F3" w:rsidR="006D0B54" w:rsidRPr="006D0B54" w:rsidRDefault="006D0B54" w:rsidP="006D0B54">
            <w:pPr>
              <w:pStyle w:val="TableText"/>
              <w:rPr>
                <w:rFonts w:cs="Arial"/>
              </w:rPr>
            </w:pPr>
            <w:r w:rsidRPr="006D0B54">
              <w:rPr>
                <w:rFonts w:cs="Arial"/>
                <w:lang w:eastAsia="en-AU"/>
              </w:rPr>
              <w:t>Male infant with pyridoxamine 5</w:t>
            </w:r>
            <w:r w:rsidRPr="006D0B54">
              <w:rPr>
                <w:rFonts w:cs="Arial"/>
                <w:lang w:eastAsia="en-AU"/>
              </w:rPr>
              <w:noBreakHyphen/>
              <w:t>phosphate oxidase (PNPO) deficiency (inborn error of metabolism); neonatal onset seizures resistant to standard anticonvulsants</w:t>
            </w:r>
          </w:p>
        </w:tc>
      </w:tr>
      <w:tr w:rsidR="006D0B54" w:rsidRPr="006D0B54" w14:paraId="71DF969F" w14:textId="77777777" w:rsidTr="006D0B54">
        <w:tc>
          <w:tcPr>
            <w:tcW w:w="1301" w:type="pct"/>
            <w:shd w:val="clear" w:color="auto" w:fill="F6FDE9"/>
          </w:tcPr>
          <w:p w14:paraId="42438385" w14:textId="77777777" w:rsidR="006D0B54" w:rsidRPr="006D0B54" w:rsidRDefault="006D0B54" w:rsidP="006D0B54">
            <w:pPr>
              <w:spacing w:after="0"/>
              <w:rPr>
                <w:rFonts w:cs="Arial"/>
                <w:sz w:val="20"/>
              </w:rPr>
            </w:pPr>
            <w:r w:rsidRPr="006D0B54">
              <w:rPr>
                <w:rFonts w:eastAsia="Calibri" w:cs="Arial"/>
                <w:b/>
                <w:bCs/>
                <w:sz w:val="20"/>
              </w:rPr>
              <w:t>Inclusion/exclusion of alternative causes</w:t>
            </w:r>
          </w:p>
        </w:tc>
        <w:tc>
          <w:tcPr>
            <w:tcW w:w="3699" w:type="pct"/>
            <w:vAlign w:val="center"/>
          </w:tcPr>
          <w:p w14:paraId="33196FB7" w14:textId="255AE50C" w:rsidR="006D0B54" w:rsidRPr="006D0B54" w:rsidRDefault="006D0B54" w:rsidP="006D0B54">
            <w:pPr>
              <w:pStyle w:val="TableText"/>
              <w:rPr>
                <w:rFonts w:cs="Arial"/>
              </w:rPr>
            </w:pPr>
            <w:r w:rsidRPr="006D0B54">
              <w:rPr>
                <w:rFonts w:cs="Arial"/>
                <w:lang w:eastAsia="en-AU"/>
              </w:rPr>
              <w:t xml:space="preserve">Extensive metabolic, imaging, infectious and immunological investigations performed; PNPO deficiency confirmed via genetic testing; other causes of liver disease (e.g. viral hepatitis) excluded </w:t>
            </w:r>
            <w:hyperlink r:id="rId161" w:history="1"/>
          </w:p>
        </w:tc>
      </w:tr>
    </w:tbl>
    <w:p w14:paraId="29A2351E" w14:textId="77777777" w:rsidR="00C51B33" w:rsidRPr="006D0B54" w:rsidRDefault="00C51B33" w:rsidP="00C51B33">
      <w:pPr>
        <w:rPr>
          <w:rFonts w:eastAsia="Times New Roman" w:cs="Arial"/>
          <w:b/>
          <w:bCs/>
          <w:sz w:val="20"/>
        </w:rPr>
      </w:pPr>
      <w:r w:rsidRPr="006D0B54">
        <w:rPr>
          <w:rFonts w:eastAsia="Times New Roman" w:cs="Arial"/>
          <w:b/>
          <w:bCs/>
          <w:sz w:val="20"/>
        </w:rPr>
        <w:t>Exposure</w:t>
      </w:r>
    </w:p>
    <w:tbl>
      <w:tblPr>
        <w:tblStyle w:val="SLROption1"/>
        <w:tblW w:w="5000" w:type="pct"/>
        <w:tblLook w:val="0000" w:firstRow="0" w:lastRow="0" w:firstColumn="0" w:lastColumn="0" w:noHBand="0" w:noVBand="0"/>
      </w:tblPr>
      <w:tblGrid>
        <w:gridCol w:w="3628"/>
        <w:gridCol w:w="10316"/>
      </w:tblGrid>
      <w:tr w:rsidR="00C51B33" w:rsidRPr="006D0B54" w14:paraId="7FBF0323" w14:textId="77777777" w:rsidTr="00983C71">
        <w:trPr>
          <w:cantSplit/>
          <w:tblHeader/>
        </w:trPr>
        <w:tc>
          <w:tcPr>
            <w:tcW w:w="1301" w:type="pct"/>
            <w:shd w:val="clear" w:color="auto" w:fill="3C533C"/>
          </w:tcPr>
          <w:p w14:paraId="4EDC9458" w14:textId="77777777" w:rsidR="00C51B33" w:rsidRPr="006D0B54" w:rsidRDefault="00C51B33" w:rsidP="00983C71">
            <w:pPr>
              <w:spacing w:after="0"/>
              <w:rPr>
                <w:rFonts w:cs="Arial"/>
                <w:sz w:val="20"/>
              </w:rPr>
            </w:pPr>
            <w:r w:rsidRPr="006D0B54">
              <w:rPr>
                <w:rFonts w:eastAsia="Calibri" w:cs="Arial"/>
                <w:b/>
                <w:bCs/>
                <w:color w:val="FFFFFF"/>
                <w:sz w:val="20"/>
              </w:rPr>
              <w:t>Field</w:t>
            </w:r>
          </w:p>
        </w:tc>
        <w:tc>
          <w:tcPr>
            <w:tcW w:w="3699" w:type="pct"/>
            <w:shd w:val="clear" w:color="auto" w:fill="3C533C"/>
          </w:tcPr>
          <w:p w14:paraId="7F33C2A4" w14:textId="77777777" w:rsidR="00C51B33" w:rsidRPr="006D0B54" w:rsidRDefault="00C51B33" w:rsidP="00983C71">
            <w:pPr>
              <w:spacing w:after="0"/>
              <w:rPr>
                <w:rFonts w:cs="Arial"/>
                <w:sz w:val="20"/>
              </w:rPr>
            </w:pPr>
            <w:r w:rsidRPr="006D0B54">
              <w:rPr>
                <w:rFonts w:eastAsia="Calibri" w:cs="Arial"/>
                <w:b/>
                <w:bCs/>
                <w:color w:val="FFFFFF"/>
                <w:sz w:val="20"/>
              </w:rPr>
              <w:t>Extracted information</w:t>
            </w:r>
          </w:p>
        </w:tc>
      </w:tr>
      <w:tr w:rsidR="006D0B54" w:rsidRPr="006D0B54" w14:paraId="6D798D79" w14:textId="77777777" w:rsidTr="006D0B54">
        <w:tc>
          <w:tcPr>
            <w:tcW w:w="1301" w:type="pct"/>
            <w:shd w:val="clear" w:color="auto" w:fill="F6FDE9"/>
          </w:tcPr>
          <w:p w14:paraId="5DE855C4" w14:textId="77777777" w:rsidR="006D0B54" w:rsidRPr="006D0B54" w:rsidRDefault="006D0B54" w:rsidP="006D0B54">
            <w:pPr>
              <w:spacing w:after="0"/>
              <w:rPr>
                <w:rFonts w:cs="Arial"/>
                <w:sz w:val="20"/>
              </w:rPr>
            </w:pPr>
            <w:r w:rsidRPr="006D0B54">
              <w:rPr>
                <w:rFonts w:eastAsia="Calibri" w:cs="Arial"/>
                <w:b/>
                <w:bCs/>
                <w:sz w:val="20"/>
              </w:rPr>
              <w:t>Exposure characterisation – source</w:t>
            </w:r>
          </w:p>
        </w:tc>
        <w:tc>
          <w:tcPr>
            <w:tcW w:w="3699" w:type="pct"/>
            <w:vAlign w:val="center"/>
          </w:tcPr>
          <w:p w14:paraId="352F2A61" w14:textId="177AFE58" w:rsidR="006D0B54" w:rsidRPr="006D0B54" w:rsidRDefault="006D0B54" w:rsidP="006D0B54">
            <w:pPr>
              <w:pStyle w:val="TableText"/>
              <w:rPr>
                <w:rFonts w:cs="Arial"/>
              </w:rPr>
            </w:pPr>
            <w:r w:rsidRPr="006D0B54">
              <w:rPr>
                <w:rFonts w:cs="Arial"/>
                <w:lang w:eastAsia="en-AU"/>
              </w:rPr>
              <w:t>Pyridoxal 5</w:t>
            </w:r>
            <w:r w:rsidRPr="006D0B54">
              <w:rPr>
                <w:rFonts w:cs="Arial"/>
                <w:lang w:eastAsia="en-AU"/>
              </w:rPr>
              <w:noBreakHyphen/>
              <w:t>phosphate (PLP) therapy (active form of vitamin B6)</w:t>
            </w:r>
          </w:p>
        </w:tc>
      </w:tr>
      <w:tr w:rsidR="006D0B54" w:rsidRPr="006D0B54" w14:paraId="731D4510" w14:textId="77777777" w:rsidTr="006D0B54">
        <w:tc>
          <w:tcPr>
            <w:tcW w:w="1301" w:type="pct"/>
            <w:shd w:val="clear" w:color="auto" w:fill="F6FDE9"/>
          </w:tcPr>
          <w:p w14:paraId="6B354AAC" w14:textId="77777777" w:rsidR="006D0B54" w:rsidRPr="006D0B54" w:rsidRDefault="006D0B54" w:rsidP="006D0B54">
            <w:pPr>
              <w:spacing w:after="0"/>
              <w:rPr>
                <w:rFonts w:cs="Arial"/>
                <w:sz w:val="20"/>
              </w:rPr>
            </w:pPr>
            <w:r w:rsidRPr="006D0B54">
              <w:rPr>
                <w:rFonts w:eastAsia="Calibri" w:cs="Arial"/>
                <w:b/>
                <w:bCs/>
                <w:sz w:val="20"/>
              </w:rPr>
              <w:t>Exposure characterisation – dose</w:t>
            </w:r>
          </w:p>
        </w:tc>
        <w:tc>
          <w:tcPr>
            <w:tcW w:w="3699" w:type="pct"/>
            <w:vAlign w:val="center"/>
          </w:tcPr>
          <w:p w14:paraId="767EA217" w14:textId="2B11BC60" w:rsidR="006D0B54" w:rsidRPr="006D0B54" w:rsidRDefault="006D0B54" w:rsidP="006D0B54">
            <w:pPr>
              <w:pStyle w:val="TableText"/>
              <w:rPr>
                <w:rFonts w:cs="Arial"/>
              </w:rPr>
            </w:pPr>
            <w:r w:rsidRPr="006D0B54">
              <w:rPr>
                <w:rFonts w:cs="Arial"/>
                <w:lang w:eastAsia="en-AU"/>
              </w:rPr>
              <w:t xml:space="preserve">Approximately 40 mg/kg/day (range used in literature 10–85 mg/kg/day) </w:t>
            </w:r>
            <w:hyperlink r:id="rId162" w:history="1"/>
          </w:p>
        </w:tc>
      </w:tr>
      <w:tr w:rsidR="006D0B54" w:rsidRPr="006D0B54" w14:paraId="6BE667E0" w14:textId="77777777" w:rsidTr="006D0B54">
        <w:tc>
          <w:tcPr>
            <w:tcW w:w="1301" w:type="pct"/>
            <w:shd w:val="clear" w:color="auto" w:fill="F6FDE9"/>
          </w:tcPr>
          <w:p w14:paraId="44EF68A1" w14:textId="77777777" w:rsidR="006D0B54" w:rsidRPr="006D0B54" w:rsidRDefault="006D0B54" w:rsidP="006D0B54">
            <w:pPr>
              <w:spacing w:after="0"/>
              <w:rPr>
                <w:rFonts w:cs="Arial"/>
                <w:sz w:val="20"/>
              </w:rPr>
            </w:pPr>
            <w:r w:rsidRPr="006D0B54">
              <w:rPr>
                <w:rFonts w:eastAsia="Calibri" w:cs="Arial"/>
                <w:b/>
                <w:bCs/>
                <w:sz w:val="20"/>
              </w:rPr>
              <w:t>Biomarker of exposure</w:t>
            </w:r>
          </w:p>
        </w:tc>
        <w:tc>
          <w:tcPr>
            <w:tcW w:w="3699" w:type="pct"/>
            <w:vAlign w:val="center"/>
          </w:tcPr>
          <w:p w14:paraId="2F8DBF08" w14:textId="420049D5" w:rsidR="006D0B54" w:rsidRPr="006D0B54" w:rsidRDefault="006D0B54" w:rsidP="006D0B54">
            <w:pPr>
              <w:pStyle w:val="TableText"/>
              <w:rPr>
                <w:rFonts w:cs="Arial"/>
              </w:rPr>
            </w:pPr>
            <w:r w:rsidRPr="006D0B54">
              <w:rPr>
                <w:rFonts w:cs="Arial"/>
                <w:lang w:eastAsia="en-AU"/>
              </w:rPr>
              <w:t>Indirect: liver function tests (ALT, AST, GGT), alpha</w:t>
            </w:r>
            <w:r w:rsidRPr="006D0B54">
              <w:rPr>
                <w:rFonts w:cs="Arial"/>
                <w:lang w:eastAsia="en-AU"/>
              </w:rPr>
              <w:noBreakHyphen/>
              <w:t>fetoprotein (AFP) as tumour marker</w:t>
            </w:r>
          </w:p>
        </w:tc>
      </w:tr>
      <w:tr w:rsidR="006D0B54" w:rsidRPr="006D0B54" w14:paraId="2D1D9CEA" w14:textId="77777777" w:rsidTr="006D0B54">
        <w:tc>
          <w:tcPr>
            <w:tcW w:w="1301" w:type="pct"/>
            <w:shd w:val="clear" w:color="auto" w:fill="F6FDE9"/>
          </w:tcPr>
          <w:p w14:paraId="012BF1A4" w14:textId="77777777" w:rsidR="006D0B54" w:rsidRPr="006D0B54" w:rsidRDefault="006D0B54" w:rsidP="006D0B54">
            <w:pPr>
              <w:spacing w:after="0"/>
              <w:rPr>
                <w:rFonts w:cs="Arial"/>
                <w:sz w:val="20"/>
              </w:rPr>
            </w:pPr>
            <w:r w:rsidRPr="006D0B54">
              <w:rPr>
                <w:rFonts w:eastAsia="Calibri" w:cs="Arial"/>
                <w:b/>
                <w:bCs/>
                <w:sz w:val="20"/>
              </w:rPr>
              <w:t>Duration of exposure</w:t>
            </w:r>
          </w:p>
        </w:tc>
        <w:tc>
          <w:tcPr>
            <w:tcW w:w="3699" w:type="pct"/>
            <w:vAlign w:val="center"/>
          </w:tcPr>
          <w:p w14:paraId="0DE1DE66" w14:textId="1DCF225D" w:rsidR="006D0B54" w:rsidRPr="006D0B54" w:rsidRDefault="006D0B54" w:rsidP="006D0B54">
            <w:pPr>
              <w:pStyle w:val="TableText"/>
              <w:rPr>
                <w:rFonts w:cs="Arial"/>
              </w:rPr>
            </w:pPr>
            <w:r w:rsidRPr="006D0B54">
              <w:rPr>
                <w:rFonts w:cs="Arial"/>
                <w:lang w:eastAsia="en-AU"/>
              </w:rPr>
              <w:t>Long-term treatment from early infancy through childhood</w:t>
            </w:r>
          </w:p>
        </w:tc>
      </w:tr>
    </w:tbl>
    <w:p w14:paraId="64198247" w14:textId="77777777" w:rsidR="00C51B33" w:rsidRPr="006D0B54" w:rsidRDefault="00C51B33" w:rsidP="00C51B33">
      <w:pPr>
        <w:rPr>
          <w:rFonts w:eastAsia="Times New Roman" w:cs="Arial"/>
          <w:b/>
          <w:bCs/>
          <w:sz w:val="20"/>
        </w:rPr>
      </w:pPr>
      <w:r w:rsidRPr="006D0B54">
        <w:rPr>
          <w:rFonts w:eastAsia="Times New Roman" w:cs="Arial"/>
          <w:b/>
          <w:bCs/>
          <w:sz w:val="20"/>
        </w:rPr>
        <w:lastRenderedPageBreak/>
        <w:t>Outcomes</w:t>
      </w:r>
    </w:p>
    <w:tbl>
      <w:tblPr>
        <w:tblStyle w:val="SLROption1"/>
        <w:tblW w:w="5000" w:type="pct"/>
        <w:tblLook w:val="0000" w:firstRow="0" w:lastRow="0" w:firstColumn="0" w:lastColumn="0" w:noHBand="0" w:noVBand="0"/>
      </w:tblPr>
      <w:tblGrid>
        <w:gridCol w:w="3628"/>
        <w:gridCol w:w="10316"/>
      </w:tblGrid>
      <w:tr w:rsidR="00C51B33" w:rsidRPr="006D0B54" w14:paraId="000C463F" w14:textId="77777777" w:rsidTr="00983C71">
        <w:tc>
          <w:tcPr>
            <w:tcW w:w="1301" w:type="pct"/>
            <w:shd w:val="clear" w:color="auto" w:fill="3C533C"/>
          </w:tcPr>
          <w:p w14:paraId="41A7C801" w14:textId="77777777" w:rsidR="00C51B33" w:rsidRPr="006D0B54" w:rsidRDefault="00C51B33" w:rsidP="00983C71">
            <w:pPr>
              <w:spacing w:after="0"/>
              <w:rPr>
                <w:rFonts w:cs="Arial"/>
                <w:sz w:val="20"/>
              </w:rPr>
            </w:pPr>
            <w:r w:rsidRPr="006D0B54">
              <w:rPr>
                <w:rFonts w:eastAsia="Calibri" w:cs="Arial"/>
                <w:b/>
                <w:bCs/>
                <w:color w:val="FFFFFF"/>
                <w:sz w:val="20"/>
              </w:rPr>
              <w:t>Field</w:t>
            </w:r>
          </w:p>
        </w:tc>
        <w:tc>
          <w:tcPr>
            <w:tcW w:w="3699" w:type="pct"/>
            <w:shd w:val="clear" w:color="auto" w:fill="3C533C"/>
          </w:tcPr>
          <w:p w14:paraId="5CB0A73A" w14:textId="77777777" w:rsidR="00C51B33" w:rsidRPr="006D0B54" w:rsidRDefault="00C51B33" w:rsidP="00983C71">
            <w:pPr>
              <w:spacing w:after="0"/>
              <w:rPr>
                <w:rFonts w:cs="Arial"/>
                <w:sz w:val="20"/>
              </w:rPr>
            </w:pPr>
            <w:r w:rsidRPr="006D0B54">
              <w:rPr>
                <w:rFonts w:eastAsia="Calibri" w:cs="Arial"/>
                <w:b/>
                <w:bCs/>
                <w:color w:val="FFFFFF"/>
                <w:sz w:val="20"/>
              </w:rPr>
              <w:t>Extracted information</w:t>
            </w:r>
          </w:p>
        </w:tc>
      </w:tr>
      <w:tr w:rsidR="006D0B54" w:rsidRPr="006D0B54" w14:paraId="0A8FAB12" w14:textId="77777777" w:rsidTr="006D0B54">
        <w:tc>
          <w:tcPr>
            <w:tcW w:w="1301" w:type="pct"/>
            <w:shd w:val="clear" w:color="auto" w:fill="F6FDE9"/>
          </w:tcPr>
          <w:p w14:paraId="71EFA11F" w14:textId="77777777" w:rsidR="006D0B54" w:rsidRPr="006D0B54" w:rsidRDefault="006D0B54" w:rsidP="006D0B54">
            <w:pPr>
              <w:spacing w:after="0"/>
              <w:rPr>
                <w:rFonts w:cs="Arial"/>
                <w:sz w:val="20"/>
              </w:rPr>
            </w:pPr>
            <w:r w:rsidRPr="006D0B54">
              <w:rPr>
                <w:rFonts w:eastAsia="Calibri" w:cs="Arial"/>
                <w:b/>
                <w:bCs/>
                <w:sz w:val="20"/>
              </w:rPr>
              <w:t>Primary outcome</w:t>
            </w:r>
          </w:p>
        </w:tc>
        <w:tc>
          <w:tcPr>
            <w:tcW w:w="3699" w:type="pct"/>
            <w:vAlign w:val="center"/>
          </w:tcPr>
          <w:p w14:paraId="110511FC" w14:textId="0C299521" w:rsidR="006D0B54" w:rsidRPr="006D0B54" w:rsidRDefault="006D0B54" w:rsidP="006D0B54">
            <w:pPr>
              <w:pStyle w:val="TableText"/>
              <w:rPr>
                <w:rFonts w:cs="Arial"/>
              </w:rPr>
            </w:pPr>
            <w:r w:rsidRPr="006D0B54">
              <w:rPr>
                <w:rFonts w:cs="Arial"/>
                <w:lang w:eastAsia="en-AU"/>
              </w:rPr>
              <w:t>Liver toxicity and development of hepatocellular carcinoma (HCC)</w:t>
            </w:r>
          </w:p>
        </w:tc>
      </w:tr>
      <w:tr w:rsidR="006D0B54" w:rsidRPr="006D0B54" w14:paraId="721792C6" w14:textId="77777777" w:rsidTr="006D0B54">
        <w:tc>
          <w:tcPr>
            <w:tcW w:w="1301" w:type="pct"/>
            <w:shd w:val="clear" w:color="auto" w:fill="F6FDE9"/>
          </w:tcPr>
          <w:p w14:paraId="44A27FB2" w14:textId="77777777" w:rsidR="006D0B54" w:rsidRPr="006D0B54" w:rsidRDefault="006D0B54" w:rsidP="006D0B54">
            <w:pPr>
              <w:spacing w:after="0"/>
              <w:rPr>
                <w:rFonts w:cs="Arial"/>
                <w:sz w:val="20"/>
              </w:rPr>
            </w:pPr>
            <w:r w:rsidRPr="006D0B54">
              <w:rPr>
                <w:rFonts w:eastAsia="Calibri" w:cs="Arial"/>
                <w:b/>
                <w:bCs/>
                <w:sz w:val="20"/>
              </w:rPr>
              <w:t>Outcome assessment – clinical examination</w:t>
            </w:r>
          </w:p>
        </w:tc>
        <w:tc>
          <w:tcPr>
            <w:tcW w:w="3699" w:type="pct"/>
            <w:vAlign w:val="center"/>
          </w:tcPr>
          <w:p w14:paraId="2909A54F" w14:textId="7C671579" w:rsidR="006D0B54" w:rsidRPr="006D0B54" w:rsidRDefault="006D0B54" w:rsidP="006D0B54">
            <w:pPr>
              <w:pStyle w:val="TableText"/>
              <w:rPr>
                <w:rFonts w:cs="Arial"/>
              </w:rPr>
            </w:pPr>
            <w:r w:rsidRPr="006D0B54">
              <w:rPr>
                <w:rFonts w:cs="Arial"/>
                <w:lang w:eastAsia="en-AU"/>
              </w:rPr>
              <w:t>Neurological status (seizure control), clinical deterioration with hepatic complications (encephalopathy, liver failure)</w:t>
            </w:r>
          </w:p>
        </w:tc>
      </w:tr>
      <w:tr w:rsidR="006D0B54" w:rsidRPr="006D0B54" w14:paraId="19DE5B39" w14:textId="77777777" w:rsidTr="006D0B54">
        <w:tc>
          <w:tcPr>
            <w:tcW w:w="1301" w:type="pct"/>
            <w:shd w:val="clear" w:color="auto" w:fill="F6FDE9"/>
          </w:tcPr>
          <w:p w14:paraId="0D66B649" w14:textId="77777777" w:rsidR="006D0B54" w:rsidRPr="006D0B54" w:rsidRDefault="006D0B54" w:rsidP="006D0B54">
            <w:pPr>
              <w:spacing w:after="0"/>
              <w:rPr>
                <w:rFonts w:cs="Arial"/>
                <w:sz w:val="20"/>
              </w:rPr>
            </w:pPr>
            <w:r w:rsidRPr="006D0B54">
              <w:rPr>
                <w:rFonts w:eastAsia="Calibri" w:cs="Arial"/>
                <w:b/>
                <w:bCs/>
                <w:sz w:val="20"/>
              </w:rPr>
              <w:t>Outcome assessment – objective testing</w:t>
            </w:r>
          </w:p>
        </w:tc>
        <w:tc>
          <w:tcPr>
            <w:tcW w:w="3699" w:type="pct"/>
            <w:vAlign w:val="center"/>
          </w:tcPr>
          <w:p w14:paraId="386BC7D7" w14:textId="06353533" w:rsidR="006D0B54" w:rsidRPr="006D0B54" w:rsidRDefault="006D0B54" w:rsidP="006D0B54">
            <w:pPr>
              <w:pStyle w:val="TableText"/>
              <w:rPr>
                <w:rFonts w:cs="Arial"/>
              </w:rPr>
            </w:pPr>
            <w:r w:rsidRPr="006D0B54">
              <w:rPr>
                <w:rFonts w:cs="Arial"/>
                <w:lang w:eastAsia="en-AU"/>
              </w:rPr>
              <w:t>Serial liver function tests, AFP levels, ultrasound, CT, MRI, PET imaging, liver biopsy</w:t>
            </w:r>
          </w:p>
        </w:tc>
      </w:tr>
      <w:tr w:rsidR="006D0B54" w:rsidRPr="006D0B54" w14:paraId="37BCE7AB" w14:textId="77777777" w:rsidTr="006D0B54">
        <w:tc>
          <w:tcPr>
            <w:tcW w:w="1301" w:type="pct"/>
            <w:shd w:val="clear" w:color="auto" w:fill="F6FDE9"/>
          </w:tcPr>
          <w:p w14:paraId="025E6491" w14:textId="77777777" w:rsidR="006D0B54" w:rsidRPr="006D0B54" w:rsidRDefault="006D0B54" w:rsidP="006D0B54">
            <w:pPr>
              <w:spacing w:after="0"/>
              <w:rPr>
                <w:rFonts w:cs="Arial"/>
                <w:sz w:val="20"/>
              </w:rPr>
            </w:pPr>
            <w:r w:rsidRPr="006D0B54">
              <w:rPr>
                <w:rFonts w:eastAsia="Calibri" w:cs="Arial"/>
                <w:b/>
                <w:bCs/>
                <w:sz w:val="20"/>
              </w:rPr>
              <w:t>Outcome assessment – tools used</w:t>
            </w:r>
          </w:p>
        </w:tc>
        <w:tc>
          <w:tcPr>
            <w:tcW w:w="3699" w:type="pct"/>
            <w:vAlign w:val="center"/>
          </w:tcPr>
          <w:p w14:paraId="7A44AD65" w14:textId="2B489770" w:rsidR="006D0B54" w:rsidRPr="006D0B54" w:rsidRDefault="006D0B54" w:rsidP="006D0B54">
            <w:pPr>
              <w:pStyle w:val="TableText"/>
              <w:rPr>
                <w:rFonts w:cs="Arial"/>
              </w:rPr>
            </w:pPr>
            <w:r w:rsidRPr="006D0B54">
              <w:rPr>
                <w:rFonts w:cs="Arial"/>
                <w:lang w:eastAsia="en-AU"/>
              </w:rPr>
              <w:t>Biochemical assays, imaging modalities (ultrasound, CT, MRI, PET), histopathology (biopsy)</w:t>
            </w:r>
          </w:p>
        </w:tc>
      </w:tr>
      <w:tr w:rsidR="006D0B54" w:rsidRPr="006D0B54" w14:paraId="2F5C74C3" w14:textId="77777777" w:rsidTr="006D0B54">
        <w:tc>
          <w:tcPr>
            <w:tcW w:w="1301" w:type="pct"/>
            <w:shd w:val="clear" w:color="auto" w:fill="F6FDE9"/>
          </w:tcPr>
          <w:p w14:paraId="65104BC8" w14:textId="77777777" w:rsidR="006D0B54" w:rsidRPr="006D0B54" w:rsidRDefault="006D0B54" w:rsidP="006D0B54">
            <w:pPr>
              <w:spacing w:after="0"/>
              <w:rPr>
                <w:rFonts w:cs="Arial"/>
                <w:sz w:val="20"/>
              </w:rPr>
            </w:pPr>
            <w:r w:rsidRPr="006D0B54">
              <w:rPr>
                <w:rFonts w:eastAsia="Calibri" w:cs="Arial"/>
                <w:b/>
                <w:bCs/>
                <w:sz w:val="20"/>
              </w:rPr>
              <w:t>Response to withdrawal</w:t>
            </w:r>
          </w:p>
        </w:tc>
        <w:tc>
          <w:tcPr>
            <w:tcW w:w="3699" w:type="pct"/>
            <w:vAlign w:val="center"/>
          </w:tcPr>
          <w:p w14:paraId="3D382E7E" w14:textId="62747F7F" w:rsidR="006D0B54" w:rsidRPr="006D0B54" w:rsidRDefault="006D0B54" w:rsidP="006D0B54">
            <w:pPr>
              <w:pStyle w:val="TableText"/>
              <w:rPr>
                <w:rFonts w:cs="Arial"/>
              </w:rPr>
            </w:pPr>
            <w:r w:rsidRPr="006D0B54">
              <w:rPr>
                <w:rFonts w:cs="Arial"/>
                <w:lang w:eastAsia="en-AU"/>
              </w:rPr>
              <w:t xml:space="preserve">Not fully assessable (treatment continued due to seizure control necessity); literature cited indicates liver dysfunction may improve with dose reduction </w:t>
            </w:r>
            <w:hyperlink r:id="rId163" w:history="1"/>
          </w:p>
        </w:tc>
      </w:tr>
    </w:tbl>
    <w:p w14:paraId="08F82047" w14:textId="77777777" w:rsidR="00C51B33" w:rsidRPr="006D0B54" w:rsidRDefault="00C51B33" w:rsidP="00C51B33">
      <w:pPr>
        <w:rPr>
          <w:rFonts w:eastAsia="Times New Roman" w:cs="Arial"/>
          <w:b/>
          <w:bCs/>
          <w:sz w:val="20"/>
        </w:rPr>
      </w:pPr>
      <w:r w:rsidRPr="006D0B54">
        <w:rPr>
          <w:rFonts w:eastAsia="Times New Roman" w:cs="Arial"/>
          <w:b/>
          <w:bCs/>
          <w:sz w:val="20"/>
        </w:rPr>
        <w:t>Results and Conclusions</w:t>
      </w:r>
    </w:p>
    <w:tbl>
      <w:tblPr>
        <w:tblStyle w:val="SLROption1"/>
        <w:tblW w:w="5000" w:type="pct"/>
        <w:tblLook w:val="0000" w:firstRow="0" w:lastRow="0" w:firstColumn="0" w:lastColumn="0" w:noHBand="0" w:noVBand="0"/>
      </w:tblPr>
      <w:tblGrid>
        <w:gridCol w:w="3628"/>
        <w:gridCol w:w="10316"/>
      </w:tblGrid>
      <w:tr w:rsidR="00C51B33" w:rsidRPr="006D0B54" w14:paraId="4D06905F" w14:textId="77777777" w:rsidTr="00983C71">
        <w:trPr>
          <w:cantSplit/>
          <w:tblHeader/>
        </w:trPr>
        <w:tc>
          <w:tcPr>
            <w:tcW w:w="1301" w:type="pct"/>
            <w:shd w:val="clear" w:color="auto" w:fill="3C533C"/>
          </w:tcPr>
          <w:p w14:paraId="31FB098D" w14:textId="77777777" w:rsidR="00C51B33" w:rsidRPr="006D0B54" w:rsidRDefault="00C51B33" w:rsidP="00983C71">
            <w:pPr>
              <w:spacing w:after="0"/>
              <w:rPr>
                <w:rFonts w:cs="Arial"/>
                <w:sz w:val="20"/>
              </w:rPr>
            </w:pPr>
            <w:r w:rsidRPr="006D0B54">
              <w:rPr>
                <w:rFonts w:eastAsia="Calibri" w:cs="Arial"/>
                <w:b/>
                <w:bCs/>
                <w:color w:val="FFFFFF"/>
                <w:sz w:val="20"/>
              </w:rPr>
              <w:t>Field</w:t>
            </w:r>
          </w:p>
        </w:tc>
        <w:tc>
          <w:tcPr>
            <w:tcW w:w="3699" w:type="pct"/>
            <w:shd w:val="clear" w:color="auto" w:fill="3C533C"/>
          </w:tcPr>
          <w:p w14:paraId="06AA4430" w14:textId="77777777" w:rsidR="00C51B33" w:rsidRPr="006D0B54" w:rsidRDefault="00C51B33" w:rsidP="00983C71">
            <w:pPr>
              <w:spacing w:after="0"/>
              <w:rPr>
                <w:rFonts w:cs="Arial"/>
                <w:sz w:val="20"/>
              </w:rPr>
            </w:pPr>
            <w:r w:rsidRPr="006D0B54">
              <w:rPr>
                <w:rFonts w:eastAsia="Calibri" w:cs="Arial"/>
                <w:b/>
                <w:bCs/>
                <w:color w:val="FFFFFF"/>
                <w:sz w:val="20"/>
              </w:rPr>
              <w:t>Extracted information</w:t>
            </w:r>
          </w:p>
        </w:tc>
      </w:tr>
      <w:tr w:rsidR="006D0B54" w:rsidRPr="006D0B54" w14:paraId="07A7510F" w14:textId="77777777" w:rsidTr="006D0B54">
        <w:trPr>
          <w:cantSplit/>
        </w:trPr>
        <w:tc>
          <w:tcPr>
            <w:tcW w:w="1301" w:type="pct"/>
            <w:shd w:val="clear" w:color="auto" w:fill="F6FDE9"/>
          </w:tcPr>
          <w:p w14:paraId="0FDD696D" w14:textId="77777777" w:rsidR="006D0B54" w:rsidRPr="006D0B54" w:rsidRDefault="006D0B54" w:rsidP="006D0B54">
            <w:pPr>
              <w:spacing w:after="0"/>
              <w:rPr>
                <w:rFonts w:cs="Arial"/>
                <w:sz w:val="20"/>
              </w:rPr>
            </w:pPr>
            <w:r w:rsidRPr="006D0B54">
              <w:rPr>
                <w:rFonts w:eastAsia="Calibri" w:cs="Arial"/>
                <w:b/>
                <w:bCs/>
                <w:sz w:val="20"/>
              </w:rPr>
              <w:t>Main results</w:t>
            </w:r>
          </w:p>
        </w:tc>
        <w:tc>
          <w:tcPr>
            <w:tcW w:w="3699" w:type="pct"/>
            <w:vAlign w:val="center"/>
          </w:tcPr>
          <w:p w14:paraId="3C223711" w14:textId="2A4C1610" w:rsidR="006D0B54" w:rsidRPr="006D0B54" w:rsidRDefault="006D0B54" w:rsidP="006D0B54">
            <w:pPr>
              <w:pStyle w:val="TableText"/>
              <w:rPr>
                <w:rFonts w:cs="Arial"/>
              </w:rPr>
            </w:pPr>
            <w:r w:rsidRPr="006D0B54">
              <w:rPr>
                <w:rFonts w:cs="Arial"/>
                <w:lang w:eastAsia="en-AU"/>
              </w:rPr>
              <w:t xml:space="preserve">Progressive liver abnormalities observed (fatty liver → cirrhosis → hepatocellular carcinoma); marked rise in AFP over time (peaking &gt;100,000 μg/L); confirmed HCC and eventual death due to liver failure </w:t>
            </w:r>
            <w:hyperlink r:id="rId164" w:history="1"/>
          </w:p>
        </w:tc>
      </w:tr>
      <w:tr w:rsidR="006D0B54" w:rsidRPr="006D0B54" w14:paraId="280A857E" w14:textId="77777777" w:rsidTr="006D0B54">
        <w:trPr>
          <w:cantSplit/>
        </w:trPr>
        <w:tc>
          <w:tcPr>
            <w:tcW w:w="1301" w:type="pct"/>
            <w:shd w:val="clear" w:color="auto" w:fill="F6FDE9"/>
          </w:tcPr>
          <w:p w14:paraId="38DD63AC" w14:textId="77777777" w:rsidR="006D0B54" w:rsidRPr="006D0B54" w:rsidRDefault="006D0B54" w:rsidP="006D0B54">
            <w:pPr>
              <w:spacing w:after="0"/>
              <w:rPr>
                <w:rFonts w:eastAsia="Calibri" w:cs="Arial"/>
                <w:b/>
                <w:bCs/>
                <w:sz w:val="20"/>
              </w:rPr>
            </w:pPr>
            <w:r w:rsidRPr="006D0B54">
              <w:rPr>
                <w:rFonts w:eastAsia="Calibri" w:cs="Arial"/>
                <w:b/>
                <w:bCs/>
                <w:sz w:val="20"/>
              </w:rPr>
              <w:t>Authors' conclusions</w:t>
            </w:r>
          </w:p>
        </w:tc>
        <w:tc>
          <w:tcPr>
            <w:tcW w:w="3699" w:type="pct"/>
            <w:vAlign w:val="center"/>
          </w:tcPr>
          <w:p w14:paraId="2045924E" w14:textId="43F71F02" w:rsidR="006D0B54" w:rsidRPr="006D0B54" w:rsidRDefault="006D0B54" w:rsidP="006D0B54">
            <w:pPr>
              <w:pStyle w:val="TableText"/>
              <w:rPr>
                <w:rFonts w:cs="Arial"/>
              </w:rPr>
            </w:pPr>
            <w:r w:rsidRPr="006D0B54">
              <w:rPr>
                <w:rFonts w:cs="Arial"/>
                <w:lang w:eastAsia="en-AU"/>
              </w:rPr>
              <w:t xml:space="preserve">Long-term PLP therapy may be associated with liver toxicity and potential development of HCC; recommends cautious dosing and regular liver monitoring in patients receiving PLP </w:t>
            </w:r>
            <w:hyperlink r:id="rId165" w:history="1"/>
          </w:p>
        </w:tc>
      </w:tr>
      <w:tr w:rsidR="006D0B54" w:rsidRPr="006D0B54" w14:paraId="18CEE0BD" w14:textId="77777777" w:rsidTr="006D0B54">
        <w:trPr>
          <w:cantSplit/>
        </w:trPr>
        <w:tc>
          <w:tcPr>
            <w:tcW w:w="1301" w:type="pct"/>
            <w:shd w:val="clear" w:color="auto" w:fill="F6FDE9" w:themeFill="accent5" w:themeFillTint="33"/>
            <w:vAlign w:val="center"/>
          </w:tcPr>
          <w:p w14:paraId="36AFED5E" w14:textId="77777777" w:rsidR="006D0B54" w:rsidRPr="006D0B54" w:rsidRDefault="006D0B54" w:rsidP="006D0B54">
            <w:pPr>
              <w:spacing w:after="0"/>
              <w:rPr>
                <w:rFonts w:eastAsia="Calibri" w:cs="Arial"/>
                <w:b/>
                <w:bCs/>
                <w:sz w:val="20"/>
              </w:rPr>
            </w:pPr>
            <w:r w:rsidRPr="006D0B54">
              <w:rPr>
                <w:rFonts w:cs="Arial"/>
                <w:b/>
                <w:bCs/>
                <w:sz w:val="20"/>
                <w:lang w:eastAsia="en-AU"/>
              </w:rPr>
              <w:t>Authors' acknowledged limitations</w:t>
            </w:r>
          </w:p>
        </w:tc>
        <w:tc>
          <w:tcPr>
            <w:tcW w:w="3699" w:type="pct"/>
            <w:vAlign w:val="center"/>
          </w:tcPr>
          <w:p w14:paraId="16320AA4" w14:textId="29E34E6B" w:rsidR="006D0B54" w:rsidRPr="006D0B54" w:rsidRDefault="006D0B54" w:rsidP="006D0B54">
            <w:pPr>
              <w:pStyle w:val="TableText"/>
              <w:rPr>
                <w:rFonts w:cs="Arial"/>
              </w:rPr>
            </w:pPr>
            <w:r w:rsidRPr="006D0B54">
              <w:rPr>
                <w:rFonts w:cs="Arial"/>
                <w:lang w:eastAsia="en-AU"/>
              </w:rPr>
              <w:t>Single case report; association between PLP and HCC is hypothesis-generating and cannot establish causality</w:t>
            </w:r>
          </w:p>
        </w:tc>
      </w:tr>
    </w:tbl>
    <w:p w14:paraId="53907E1D" w14:textId="77777777" w:rsidR="00C51B33" w:rsidRPr="006D0B54" w:rsidRDefault="00C51B33" w:rsidP="00C51B33">
      <w:pPr>
        <w:rPr>
          <w:rFonts w:eastAsia="Times New Roman" w:cs="Arial"/>
          <w:b/>
          <w:bCs/>
          <w:sz w:val="20"/>
        </w:rPr>
      </w:pPr>
      <w:r w:rsidRPr="006D0B54">
        <w:rPr>
          <w:rFonts w:eastAsia="Times New Roman" w:cs="Arial"/>
          <w:b/>
          <w:bCs/>
          <w:sz w:val="20"/>
        </w:rPr>
        <w:t>Contextual information for the AU/NZ UL review</w:t>
      </w:r>
    </w:p>
    <w:tbl>
      <w:tblPr>
        <w:tblStyle w:val="SLROption1"/>
        <w:tblW w:w="5000" w:type="pct"/>
        <w:tblLook w:val="0000" w:firstRow="0" w:lastRow="0" w:firstColumn="0" w:lastColumn="0" w:noHBand="0" w:noVBand="0"/>
      </w:tblPr>
      <w:tblGrid>
        <w:gridCol w:w="3628"/>
        <w:gridCol w:w="10316"/>
      </w:tblGrid>
      <w:tr w:rsidR="00C51B33" w:rsidRPr="006D0B54" w14:paraId="3A07D32B" w14:textId="77777777" w:rsidTr="00983C71">
        <w:tc>
          <w:tcPr>
            <w:tcW w:w="1301" w:type="pct"/>
            <w:shd w:val="clear" w:color="auto" w:fill="F6FDE9"/>
          </w:tcPr>
          <w:p w14:paraId="6942F500" w14:textId="77777777" w:rsidR="00C51B33" w:rsidRPr="006D0B54" w:rsidRDefault="00C51B33" w:rsidP="00983C71">
            <w:pPr>
              <w:spacing w:after="0"/>
              <w:rPr>
                <w:rFonts w:cs="Arial"/>
                <w:sz w:val="20"/>
              </w:rPr>
            </w:pPr>
            <w:r w:rsidRPr="006D0B54">
              <w:rPr>
                <w:rFonts w:eastAsia="Calibri" w:cs="Arial"/>
                <w:b/>
                <w:bCs/>
                <w:sz w:val="20"/>
              </w:rPr>
              <w:t>Generalisability to AU/NZ</w:t>
            </w:r>
          </w:p>
        </w:tc>
        <w:tc>
          <w:tcPr>
            <w:tcW w:w="3699" w:type="pct"/>
          </w:tcPr>
          <w:p w14:paraId="48BDF25E" w14:textId="7B8B5183" w:rsidR="00C51B33" w:rsidRPr="006D0B54" w:rsidRDefault="006D0B54" w:rsidP="00983C71">
            <w:pPr>
              <w:spacing w:after="0"/>
              <w:rPr>
                <w:rFonts w:cs="Arial"/>
                <w:sz w:val="20"/>
              </w:rPr>
            </w:pPr>
            <w:r w:rsidRPr="006D0B54">
              <w:rPr>
                <w:rFonts w:eastAsia="Calibri" w:cs="Arial"/>
                <w:sz w:val="20"/>
              </w:rPr>
              <w:t>Very limited; represents a rare genetic disorder requiring extremely high therapeutic doses; however, provides evidence of potential hepatic toxicity of high-dose vitamin B6 (PLP) relevant for hazard identification</w:t>
            </w:r>
          </w:p>
        </w:tc>
      </w:tr>
    </w:tbl>
    <w:p w14:paraId="29D43108" w14:textId="48CC0C9D" w:rsidR="006D0B54" w:rsidRPr="006D0B54" w:rsidRDefault="006D0B54" w:rsidP="006D0B54">
      <w:pPr>
        <w:pStyle w:val="Heading9"/>
        <w:numPr>
          <w:ilvl w:val="0"/>
          <w:numId w:val="0"/>
        </w:numPr>
        <w:ind w:left="864"/>
        <w:rPr>
          <w:rFonts w:eastAsia="Times New Roman" w:cs="Arial"/>
          <w:sz w:val="20"/>
        </w:rPr>
        <w:sectPr w:rsidR="006D0B54" w:rsidRPr="006D0B54" w:rsidSect="00B8180E">
          <w:pgSz w:w="16834" w:h="11909" w:orient="landscape" w:code="9"/>
          <w:pgMar w:top="1440" w:right="1440" w:bottom="1440" w:left="1440" w:header="576" w:footer="576" w:gutter="0"/>
          <w:cols w:space="720"/>
          <w:docGrid w:linePitch="360"/>
        </w:sectPr>
      </w:pPr>
    </w:p>
    <w:p w14:paraId="02403445" w14:textId="2ADC523E" w:rsidR="00E44401" w:rsidRDefault="006D0B54" w:rsidP="00E44401">
      <w:pPr>
        <w:pStyle w:val="Heading9"/>
      </w:pPr>
      <w:bookmarkStart w:id="83" w:name="_Toc233022900"/>
      <w:r>
        <w:lastRenderedPageBreak/>
        <w:t>Modica et al.</w:t>
      </w:r>
      <w:r w:rsidR="00E44401">
        <w:t>, 202</w:t>
      </w:r>
      <w:r>
        <w:t>3</w:t>
      </w:r>
      <w:bookmarkEnd w:id="83"/>
    </w:p>
    <w:p w14:paraId="7421FA61" w14:textId="77777777" w:rsidR="00E44401" w:rsidRPr="00DE36DC" w:rsidRDefault="00E44401" w:rsidP="00E44401">
      <w:pPr>
        <w:keepNext/>
        <w:spacing w:before="240"/>
        <w:ind w:left="1080" w:hanging="1080"/>
        <w:rPr>
          <w:rFonts w:eastAsia="Calibri" w:cs="Arial"/>
          <w:b/>
          <w:bCs/>
          <w:sz w:val="20"/>
        </w:rPr>
      </w:pPr>
      <w:r w:rsidRPr="00DE36DC">
        <w:rPr>
          <w:rFonts w:eastAsia="Calibri" w:cs="Arial"/>
          <w:b/>
          <w:bCs/>
          <w:sz w:val="20"/>
        </w:rPr>
        <w:t>Study identification and design</w:t>
      </w:r>
    </w:p>
    <w:tbl>
      <w:tblPr>
        <w:tblStyle w:val="SLROption1"/>
        <w:tblW w:w="5000" w:type="pct"/>
        <w:tblLook w:val="0000" w:firstRow="0" w:lastRow="0" w:firstColumn="0" w:lastColumn="0" w:noHBand="0" w:noVBand="0"/>
      </w:tblPr>
      <w:tblGrid>
        <w:gridCol w:w="3628"/>
        <w:gridCol w:w="10316"/>
      </w:tblGrid>
      <w:tr w:rsidR="00E44401" w:rsidRPr="00DE36DC" w14:paraId="4A535485" w14:textId="77777777" w:rsidTr="00983C71">
        <w:tc>
          <w:tcPr>
            <w:tcW w:w="1301" w:type="pct"/>
            <w:shd w:val="clear" w:color="auto" w:fill="3C533C"/>
          </w:tcPr>
          <w:p w14:paraId="568F47BC" w14:textId="77777777" w:rsidR="00E44401" w:rsidRPr="00DE36DC" w:rsidRDefault="00E44401" w:rsidP="00983C71">
            <w:pPr>
              <w:pStyle w:val="TableText"/>
              <w:rPr>
                <w:rFonts w:cs="Arial"/>
                <w:b/>
                <w:bCs/>
                <w:color w:val="FFFFFF" w:themeColor="background1"/>
              </w:rPr>
            </w:pPr>
            <w:r w:rsidRPr="00DE36DC">
              <w:rPr>
                <w:rFonts w:cs="Arial"/>
                <w:b/>
                <w:bCs/>
                <w:color w:val="FFFFFF" w:themeColor="background1"/>
              </w:rPr>
              <w:t>Field</w:t>
            </w:r>
          </w:p>
        </w:tc>
        <w:tc>
          <w:tcPr>
            <w:tcW w:w="3699" w:type="pct"/>
            <w:shd w:val="clear" w:color="auto" w:fill="3C533C"/>
          </w:tcPr>
          <w:p w14:paraId="51BFE8D0" w14:textId="77777777" w:rsidR="00E44401" w:rsidRPr="00DE36DC" w:rsidRDefault="00E44401" w:rsidP="00983C71">
            <w:pPr>
              <w:pStyle w:val="TableText"/>
              <w:rPr>
                <w:rFonts w:cs="Arial"/>
                <w:b/>
                <w:bCs/>
                <w:color w:val="FFFFFF" w:themeColor="background1"/>
              </w:rPr>
            </w:pPr>
            <w:r w:rsidRPr="00DE36DC">
              <w:rPr>
                <w:rFonts w:cs="Arial"/>
                <w:b/>
                <w:bCs/>
                <w:color w:val="FFFFFF" w:themeColor="background1"/>
              </w:rPr>
              <w:t>Extracted information</w:t>
            </w:r>
          </w:p>
        </w:tc>
      </w:tr>
      <w:tr w:rsidR="006D0B54" w:rsidRPr="00DE36DC" w14:paraId="377CF9E0" w14:textId="77777777" w:rsidTr="00DE36DC">
        <w:tc>
          <w:tcPr>
            <w:tcW w:w="1301" w:type="pct"/>
            <w:shd w:val="clear" w:color="auto" w:fill="F6FDE9"/>
          </w:tcPr>
          <w:p w14:paraId="79DE4DCD" w14:textId="77777777" w:rsidR="006D0B54" w:rsidRPr="00DE36DC" w:rsidRDefault="006D0B54" w:rsidP="006D0B54">
            <w:pPr>
              <w:pStyle w:val="TableText"/>
              <w:rPr>
                <w:rFonts w:cs="Arial"/>
                <w:b/>
                <w:bCs/>
              </w:rPr>
            </w:pPr>
            <w:r w:rsidRPr="00DE36DC">
              <w:rPr>
                <w:rFonts w:cs="Arial"/>
                <w:b/>
                <w:bCs/>
              </w:rPr>
              <w:t>Citation</w:t>
            </w:r>
          </w:p>
        </w:tc>
        <w:tc>
          <w:tcPr>
            <w:tcW w:w="3699" w:type="pct"/>
            <w:vAlign w:val="center"/>
          </w:tcPr>
          <w:p w14:paraId="605BA95B" w14:textId="0FBD8A0F" w:rsidR="006D0B54" w:rsidRPr="00DE36DC" w:rsidRDefault="006D0B54" w:rsidP="006D0B54">
            <w:pPr>
              <w:pStyle w:val="TableText"/>
              <w:rPr>
                <w:rFonts w:cs="Arial"/>
              </w:rPr>
            </w:pPr>
            <w:r w:rsidRPr="00DE36DC">
              <w:rPr>
                <w:rFonts w:cs="Arial"/>
                <w:lang w:eastAsia="en-AU"/>
              </w:rPr>
              <w:t xml:space="preserve">Modica, J. S., Dér​y, C., Canissario, R., Logigian, E., Bonno, D., Stanton, M., Dupré, N., McDermott, M. P., Bouchard, M., Lang, A. E., &amp; Lizarraga, K. J. (2023). A systematic review of the potential consequences of abnormal serum levels of vitamin B6 in people living with Parkinson’s disease. </w:t>
            </w:r>
            <w:r w:rsidRPr="00DE36DC">
              <w:rPr>
                <w:rFonts w:cs="Arial"/>
                <w:i/>
                <w:iCs/>
                <w:lang w:eastAsia="en-AU"/>
              </w:rPr>
              <w:t>Journal of the Neurological Sciences, 450</w:t>
            </w:r>
            <w:r w:rsidRPr="00DE36DC">
              <w:rPr>
                <w:rFonts w:cs="Arial"/>
                <w:lang w:eastAsia="en-AU"/>
              </w:rPr>
              <w:t>, 120690.</w:t>
            </w:r>
          </w:p>
        </w:tc>
      </w:tr>
      <w:tr w:rsidR="006D0B54" w:rsidRPr="00DE36DC" w14:paraId="140F95FB" w14:textId="77777777" w:rsidTr="00DE36DC">
        <w:tc>
          <w:tcPr>
            <w:tcW w:w="1301" w:type="pct"/>
            <w:shd w:val="clear" w:color="auto" w:fill="F6FDE9"/>
          </w:tcPr>
          <w:p w14:paraId="508ADCD7" w14:textId="77777777" w:rsidR="006D0B54" w:rsidRPr="00DE36DC" w:rsidRDefault="006D0B54" w:rsidP="006D0B54">
            <w:pPr>
              <w:pStyle w:val="TableText"/>
              <w:rPr>
                <w:rFonts w:cs="Arial"/>
                <w:b/>
                <w:bCs/>
              </w:rPr>
            </w:pPr>
            <w:r w:rsidRPr="00DE36DC">
              <w:rPr>
                <w:rFonts w:cs="Arial"/>
                <w:b/>
                <w:bCs/>
              </w:rPr>
              <w:t>Publication status</w:t>
            </w:r>
          </w:p>
        </w:tc>
        <w:tc>
          <w:tcPr>
            <w:tcW w:w="3699" w:type="pct"/>
            <w:vAlign w:val="center"/>
          </w:tcPr>
          <w:p w14:paraId="7A471578" w14:textId="455389F5" w:rsidR="006D0B54" w:rsidRPr="00DE36DC" w:rsidRDefault="006D0B54" w:rsidP="006D0B54">
            <w:pPr>
              <w:pStyle w:val="TableText"/>
              <w:rPr>
                <w:rFonts w:cs="Arial"/>
              </w:rPr>
            </w:pPr>
            <w:r w:rsidRPr="00DE36DC">
              <w:rPr>
                <w:rFonts w:cs="Arial"/>
                <w:lang w:eastAsia="en-AU"/>
              </w:rPr>
              <w:t xml:space="preserve">Published, peer-reviewed systematic review (Elsevier); published May 18, 2023 </w:t>
            </w:r>
            <w:hyperlink r:id="rId166" w:history="1"/>
          </w:p>
        </w:tc>
      </w:tr>
      <w:tr w:rsidR="006D0B54" w:rsidRPr="00DE36DC" w14:paraId="0CFE2923" w14:textId="77777777" w:rsidTr="00DE36DC">
        <w:tc>
          <w:tcPr>
            <w:tcW w:w="1301" w:type="pct"/>
            <w:shd w:val="clear" w:color="auto" w:fill="F6FDE9"/>
          </w:tcPr>
          <w:p w14:paraId="34F97B8D" w14:textId="77777777" w:rsidR="006D0B54" w:rsidRPr="00DE36DC" w:rsidRDefault="006D0B54" w:rsidP="006D0B54">
            <w:pPr>
              <w:pStyle w:val="TableText"/>
              <w:rPr>
                <w:rFonts w:cs="Arial"/>
                <w:b/>
                <w:bCs/>
              </w:rPr>
            </w:pPr>
            <w:r w:rsidRPr="00DE36DC">
              <w:rPr>
                <w:rFonts w:cs="Arial"/>
                <w:b/>
                <w:bCs/>
              </w:rPr>
              <w:t>Country / setting</w:t>
            </w:r>
          </w:p>
        </w:tc>
        <w:tc>
          <w:tcPr>
            <w:tcW w:w="3699" w:type="pct"/>
            <w:vAlign w:val="center"/>
          </w:tcPr>
          <w:p w14:paraId="6205A0FE" w14:textId="1D26D9C3" w:rsidR="006D0B54" w:rsidRPr="00DE36DC" w:rsidRDefault="006D0B54" w:rsidP="006D0B54">
            <w:pPr>
              <w:pStyle w:val="TableText"/>
              <w:rPr>
                <w:rFonts w:cs="Arial"/>
              </w:rPr>
            </w:pPr>
            <w:r w:rsidRPr="00DE36DC">
              <w:rPr>
                <w:rFonts w:cs="Arial"/>
                <w:lang w:eastAsia="en-AU"/>
              </w:rPr>
              <w:t>International (USA, Canada, multiple centres); literature-based review</w:t>
            </w:r>
          </w:p>
        </w:tc>
      </w:tr>
      <w:tr w:rsidR="006D0B54" w:rsidRPr="00DE36DC" w14:paraId="165ACA1D" w14:textId="77777777" w:rsidTr="00DE36DC">
        <w:tc>
          <w:tcPr>
            <w:tcW w:w="1301" w:type="pct"/>
            <w:shd w:val="clear" w:color="auto" w:fill="F6FDE9"/>
          </w:tcPr>
          <w:p w14:paraId="0D7CD6AB" w14:textId="77777777" w:rsidR="006D0B54" w:rsidRPr="00DE36DC" w:rsidRDefault="006D0B54" w:rsidP="006D0B54">
            <w:pPr>
              <w:pStyle w:val="TableText"/>
              <w:rPr>
                <w:rFonts w:cs="Arial"/>
                <w:b/>
                <w:bCs/>
              </w:rPr>
            </w:pPr>
            <w:r w:rsidRPr="00DE36DC">
              <w:rPr>
                <w:rFonts w:cs="Arial"/>
                <w:b/>
                <w:bCs/>
              </w:rPr>
              <w:t>Study design</w:t>
            </w:r>
          </w:p>
        </w:tc>
        <w:tc>
          <w:tcPr>
            <w:tcW w:w="3699" w:type="pct"/>
            <w:vAlign w:val="center"/>
          </w:tcPr>
          <w:p w14:paraId="09442562" w14:textId="260AB2DD" w:rsidR="006D0B54" w:rsidRPr="002F3314" w:rsidRDefault="006D0B54" w:rsidP="006D0B54">
            <w:pPr>
              <w:pStyle w:val="TableText"/>
              <w:rPr>
                <w:rFonts w:cs="Arial"/>
                <w:b/>
                <w:bCs/>
              </w:rPr>
            </w:pPr>
            <w:r w:rsidRPr="002F3314">
              <w:rPr>
                <w:rFonts w:cs="Arial"/>
                <w:b/>
                <w:bCs/>
                <w:lang w:eastAsia="en-AU"/>
              </w:rPr>
              <w:t xml:space="preserve">Systematic review (PRISMA-compliant) including cohort, cross-sectional, case series, and case reports </w:t>
            </w:r>
            <w:hyperlink r:id="rId167" w:history="1"/>
          </w:p>
        </w:tc>
      </w:tr>
      <w:tr w:rsidR="006D0B54" w:rsidRPr="00DE36DC" w14:paraId="41795506" w14:textId="77777777" w:rsidTr="00DE36DC">
        <w:tc>
          <w:tcPr>
            <w:tcW w:w="1301" w:type="pct"/>
            <w:shd w:val="clear" w:color="auto" w:fill="F6FDE9"/>
          </w:tcPr>
          <w:p w14:paraId="34088624" w14:textId="77777777" w:rsidR="006D0B54" w:rsidRPr="00DE36DC" w:rsidRDefault="006D0B54" w:rsidP="006D0B54">
            <w:pPr>
              <w:pStyle w:val="TableText"/>
              <w:rPr>
                <w:rFonts w:cs="Arial"/>
                <w:b/>
                <w:bCs/>
              </w:rPr>
            </w:pPr>
            <w:r w:rsidRPr="00DE36DC">
              <w:rPr>
                <w:rFonts w:cs="Arial"/>
                <w:b/>
                <w:bCs/>
              </w:rPr>
              <w:t>Funding / conflicts of interest</w:t>
            </w:r>
          </w:p>
        </w:tc>
        <w:tc>
          <w:tcPr>
            <w:tcW w:w="3699" w:type="pct"/>
            <w:vAlign w:val="center"/>
          </w:tcPr>
          <w:p w14:paraId="460ED11E" w14:textId="037C81FC" w:rsidR="006D0B54" w:rsidRPr="00DE36DC" w:rsidRDefault="006D0B54" w:rsidP="006D0B54">
            <w:pPr>
              <w:pStyle w:val="TableText"/>
              <w:rPr>
                <w:rFonts w:cs="Arial"/>
              </w:rPr>
            </w:pPr>
            <w:r w:rsidRPr="00DE36DC">
              <w:rPr>
                <w:rFonts w:cs="Arial"/>
                <w:lang w:eastAsia="en-AU"/>
              </w:rPr>
              <w:t xml:space="preserve">No major competing interests declared </w:t>
            </w:r>
            <w:hyperlink r:id="rId168" w:history="1"/>
          </w:p>
        </w:tc>
      </w:tr>
    </w:tbl>
    <w:p w14:paraId="66BF9AF3" w14:textId="77777777" w:rsidR="00E44401" w:rsidRPr="00DE36DC" w:rsidRDefault="00E44401" w:rsidP="00E44401">
      <w:pPr>
        <w:rPr>
          <w:rFonts w:eastAsia="Times New Roman" w:cs="Arial"/>
          <w:sz w:val="20"/>
        </w:rPr>
      </w:pPr>
      <w:r w:rsidRPr="00DE36DC">
        <w:rPr>
          <w:rFonts w:eastAsia="Calibri" w:cs="Arial"/>
          <w:b/>
          <w:bCs/>
          <w:sz w:val="20"/>
        </w:rPr>
        <w:t>Population</w:t>
      </w:r>
    </w:p>
    <w:tbl>
      <w:tblPr>
        <w:tblStyle w:val="SLROption1"/>
        <w:tblW w:w="5000" w:type="pct"/>
        <w:tblLook w:val="0000" w:firstRow="0" w:lastRow="0" w:firstColumn="0" w:lastColumn="0" w:noHBand="0" w:noVBand="0"/>
      </w:tblPr>
      <w:tblGrid>
        <w:gridCol w:w="3628"/>
        <w:gridCol w:w="10316"/>
      </w:tblGrid>
      <w:tr w:rsidR="00E44401" w:rsidRPr="00DE36DC" w14:paraId="75B0E845" w14:textId="77777777" w:rsidTr="00983C71">
        <w:tc>
          <w:tcPr>
            <w:tcW w:w="1301" w:type="pct"/>
            <w:shd w:val="clear" w:color="auto" w:fill="3C533C"/>
          </w:tcPr>
          <w:p w14:paraId="5FA838F6" w14:textId="77777777" w:rsidR="00E44401" w:rsidRPr="00DE36DC" w:rsidRDefault="00E44401" w:rsidP="00983C71">
            <w:pPr>
              <w:spacing w:after="0"/>
              <w:rPr>
                <w:rFonts w:cs="Arial"/>
                <w:sz w:val="20"/>
              </w:rPr>
            </w:pPr>
            <w:r w:rsidRPr="00DE36DC">
              <w:rPr>
                <w:rFonts w:eastAsia="Calibri" w:cs="Arial"/>
                <w:b/>
                <w:bCs/>
                <w:color w:val="FFFFFF"/>
                <w:sz w:val="20"/>
              </w:rPr>
              <w:t>Field</w:t>
            </w:r>
          </w:p>
        </w:tc>
        <w:tc>
          <w:tcPr>
            <w:tcW w:w="3699" w:type="pct"/>
            <w:shd w:val="clear" w:color="auto" w:fill="3C533C"/>
          </w:tcPr>
          <w:p w14:paraId="539E29A8" w14:textId="77777777" w:rsidR="00E44401" w:rsidRPr="00DE36DC" w:rsidRDefault="00E44401" w:rsidP="00983C71">
            <w:pPr>
              <w:spacing w:after="0"/>
              <w:rPr>
                <w:rFonts w:cs="Arial"/>
                <w:sz w:val="20"/>
              </w:rPr>
            </w:pPr>
            <w:r w:rsidRPr="00DE36DC">
              <w:rPr>
                <w:rFonts w:eastAsia="Calibri" w:cs="Arial"/>
                <w:b/>
                <w:bCs/>
                <w:color w:val="FFFFFF"/>
                <w:sz w:val="20"/>
              </w:rPr>
              <w:t>Extracted information</w:t>
            </w:r>
          </w:p>
        </w:tc>
      </w:tr>
      <w:tr w:rsidR="006D0B54" w:rsidRPr="00DE36DC" w14:paraId="196BC4F8" w14:textId="77777777" w:rsidTr="00DE36DC">
        <w:tc>
          <w:tcPr>
            <w:tcW w:w="1301" w:type="pct"/>
            <w:shd w:val="clear" w:color="auto" w:fill="F6FDE9"/>
          </w:tcPr>
          <w:p w14:paraId="1ECBA1E5" w14:textId="77777777" w:rsidR="006D0B54" w:rsidRPr="00DE36DC" w:rsidRDefault="006D0B54" w:rsidP="006D0B54">
            <w:pPr>
              <w:spacing w:after="0"/>
              <w:rPr>
                <w:rFonts w:cs="Arial"/>
                <w:sz w:val="20"/>
              </w:rPr>
            </w:pPr>
            <w:r w:rsidRPr="00DE36DC">
              <w:rPr>
                <w:rFonts w:eastAsia="Calibri" w:cs="Arial"/>
                <w:b/>
                <w:bCs/>
                <w:sz w:val="20"/>
              </w:rPr>
              <w:t>Sample size</w:t>
            </w:r>
          </w:p>
        </w:tc>
        <w:tc>
          <w:tcPr>
            <w:tcW w:w="3699" w:type="pct"/>
            <w:vAlign w:val="center"/>
          </w:tcPr>
          <w:p w14:paraId="050E875E" w14:textId="5A934EC7" w:rsidR="006D0B54" w:rsidRPr="00DE36DC" w:rsidRDefault="006D0B54" w:rsidP="006D0B54">
            <w:pPr>
              <w:pStyle w:val="TableText"/>
              <w:rPr>
                <w:rFonts w:cs="Arial"/>
              </w:rPr>
            </w:pPr>
            <w:r w:rsidRPr="00DE36DC">
              <w:rPr>
                <w:rFonts w:cs="Arial"/>
                <w:lang w:eastAsia="en-AU"/>
              </w:rPr>
              <w:t xml:space="preserve">25 included studies; 145 patients with Parkinson’s disease (PwPD) with serum B6 data for quantitative summary </w:t>
            </w:r>
            <w:hyperlink r:id="rId169" w:history="1"/>
          </w:p>
        </w:tc>
      </w:tr>
      <w:tr w:rsidR="006D0B54" w:rsidRPr="00DE36DC" w14:paraId="21F7E859" w14:textId="77777777" w:rsidTr="00DE36DC">
        <w:tc>
          <w:tcPr>
            <w:tcW w:w="1301" w:type="pct"/>
            <w:shd w:val="clear" w:color="auto" w:fill="F6FDE9"/>
          </w:tcPr>
          <w:p w14:paraId="56700AD3" w14:textId="77777777" w:rsidR="006D0B54" w:rsidRPr="00DE36DC" w:rsidRDefault="006D0B54" w:rsidP="006D0B54">
            <w:pPr>
              <w:spacing w:after="0"/>
              <w:rPr>
                <w:rFonts w:cs="Arial"/>
                <w:sz w:val="20"/>
              </w:rPr>
            </w:pPr>
            <w:r w:rsidRPr="00DE36DC">
              <w:rPr>
                <w:rFonts w:eastAsia="Calibri" w:cs="Arial"/>
                <w:b/>
                <w:bCs/>
                <w:sz w:val="20"/>
              </w:rPr>
              <w:t>Patient characteristics</w:t>
            </w:r>
          </w:p>
        </w:tc>
        <w:tc>
          <w:tcPr>
            <w:tcW w:w="3699" w:type="pct"/>
            <w:vAlign w:val="center"/>
          </w:tcPr>
          <w:p w14:paraId="235C2B5A" w14:textId="311DFCA5" w:rsidR="006D0B54" w:rsidRPr="00DE36DC" w:rsidRDefault="006D0B54" w:rsidP="006D0B54">
            <w:pPr>
              <w:pStyle w:val="TableText"/>
              <w:rPr>
                <w:rFonts w:cs="Arial"/>
              </w:rPr>
            </w:pPr>
            <w:r w:rsidRPr="00DE36DC">
              <w:rPr>
                <w:rFonts w:cs="Arial"/>
                <w:lang w:eastAsia="en-AU"/>
              </w:rPr>
              <w:t>Adults with Parkinson’s disease; often receiving levodopa therapy (oral or intestinal gel)</w:t>
            </w:r>
          </w:p>
        </w:tc>
      </w:tr>
      <w:tr w:rsidR="006D0B54" w:rsidRPr="00DE36DC" w14:paraId="3F4BEB97" w14:textId="77777777" w:rsidTr="00DE36DC">
        <w:tc>
          <w:tcPr>
            <w:tcW w:w="1301" w:type="pct"/>
            <w:shd w:val="clear" w:color="auto" w:fill="F6FDE9"/>
          </w:tcPr>
          <w:p w14:paraId="3E997134" w14:textId="77777777" w:rsidR="006D0B54" w:rsidRPr="00DE36DC" w:rsidRDefault="006D0B54" w:rsidP="006D0B54">
            <w:pPr>
              <w:spacing w:after="0"/>
              <w:rPr>
                <w:rFonts w:cs="Arial"/>
                <w:sz w:val="20"/>
              </w:rPr>
            </w:pPr>
            <w:r w:rsidRPr="00DE36DC">
              <w:rPr>
                <w:rFonts w:eastAsia="Calibri" w:cs="Arial"/>
                <w:b/>
                <w:bCs/>
                <w:sz w:val="20"/>
              </w:rPr>
              <w:t>Inclusion/exclusion of alternative causes</w:t>
            </w:r>
          </w:p>
        </w:tc>
        <w:tc>
          <w:tcPr>
            <w:tcW w:w="3699" w:type="pct"/>
            <w:vAlign w:val="center"/>
          </w:tcPr>
          <w:p w14:paraId="1F98ADB0" w14:textId="604204E7" w:rsidR="006D0B54" w:rsidRPr="00DE36DC" w:rsidRDefault="006D0B54" w:rsidP="006D0B54">
            <w:pPr>
              <w:pStyle w:val="TableText"/>
              <w:rPr>
                <w:rFonts w:cs="Arial"/>
              </w:rPr>
            </w:pPr>
            <w:r w:rsidRPr="00DE36DC">
              <w:rPr>
                <w:rFonts w:cs="Arial"/>
                <w:lang w:eastAsia="en-AU"/>
              </w:rPr>
              <w:t xml:space="preserve">Excluded individuals with other causes of abnormal B6 (e.g. alcoholism, cancer, unrelated medications) and unrelated neuropathy/epilepsy </w:t>
            </w:r>
            <w:hyperlink r:id="rId170" w:history="1"/>
          </w:p>
        </w:tc>
      </w:tr>
    </w:tbl>
    <w:p w14:paraId="5E99D19A" w14:textId="77777777" w:rsidR="00E44401" w:rsidRPr="00DE36DC" w:rsidRDefault="00E44401" w:rsidP="00E44401">
      <w:pPr>
        <w:rPr>
          <w:rFonts w:eastAsia="Times New Roman" w:cs="Arial"/>
          <w:b/>
          <w:bCs/>
          <w:sz w:val="20"/>
        </w:rPr>
      </w:pPr>
      <w:r w:rsidRPr="00DE36DC">
        <w:rPr>
          <w:rFonts w:eastAsia="Times New Roman" w:cs="Arial"/>
          <w:b/>
          <w:bCs/>
          <w:sz w:val="20"/>
        </w:rPr>
        <w:t>Exposure</w:t>
      </w:r>
    </w:p>
    <w:tbl>
      <w:tblPr>
        <w:tblStyle w:val="SLROption1"/>
        <w:tblW w:w="5000" w:type="pct"/>
        <w:tblLook w:val="0000" w:firstRow="0" w:lastRow="0" w:firstColumn="0" w:lastColumn="0" w:noHBand="0" w:noVBand="0"/>
      </w:tblPr>
      <w:tblGrid>
        <w:gridCol w:w="3628"/>
        <w:gridCol w:w="10316"/>
      </w:tblGrid>
      <w:tr w:rsidR="00E44401" w:rsidRPr="00DE36DC" w14:paraId="42C5B62E" w14:textId="77777777" w:rsidTr="00983C71">
        <w:trPr>
          <w:cantSplit/>
          <w:tblHeader/>
        </w:trPr>
        <w:tc>
          <w:tcPr>
            <w:tcW w:w="1301" w:type="pct"/>
            <w:shd w:val="clear" w:color="auto" w:fill="3C533C"/>
          </w:tcPr>
          <w:p w14:paraId="4E0AE14D" w14:textId="77777777" w:rsidR="00E44401" w:rsidRPr="00DE36DC" w:rsidRDefault="00E44401" w:rsidP="00983C71">
            <w:pPr>
              <w:spacing w:after="0"/>
              <w:rPr>
                <w:rFonts w:cs="Arial"/>
                <w:sz w:val="20"/>
              </w:rPr>
            </w:pPr>
            <w:r w:rsidRPr="00DE36DC">
              <w:rPr>
                <w:rFonts w:eastAsia="Calibri" w:cs="Arial"/>
                <w:b/>
                <w:bCs/>
                <w:color w:val="FFFFFF"/>
                <w:sz w:val="20"/>
              </w:rPr>
              <w:t>Field</w:t>
            </w:r>
          </w:p>
        </w:tc>
        <w:tc>
          <w:tcPr>
            <w:tcW w:w="3699" w:type="pct"/>
            <w:shd w:val="clear" w:color="auto" w:fill="3C533C"/>
          </w:tcPr>
          <w:p w14:paraId="12723771" w14:textId="77777777" w:rsidR="00E44401" w:rsidRPr="00DE36DC" w:rsidRDefault="00E44401" w:rsidP="00983C71">
            <w:pPr>
              <w:spacing w:after="0"/>
              <w:rPr>
                <w:rFonts w:cs="Arial"/>
                <w:sz w:val="20"/>
              </w:rPr>
            </w:pPr>
            <w:r w:rsidRPr="00DE36DC">
              <w:rPr>
                <w:rFonts w:eastAsia="Calibri" w:cs="Arial"/>
                <w:b/>
                <w:bCs/>
                <w:color w:val="FFFFFF"/>
                <w:sz w:val="20"/>
              </w:rPr>
              <w:t>Extracted information</w:t>
            </w:r>
          </w:p>
        </w:tc>
      </w:tr>
      <w:tr w:rsidR="006D0B54" w:rsidRPr="00DE36DC" w14:paraId="6E72D9F2" w14:textId="77777777" w:rsidTr="00DE36DC">
        <w:tc>
          <w:tcPr>
            <w:tcW w:w="1301" w:type="pct"/>
            <w:shd w:val="clear" w:color="auto" w:fill="F6FDE9"/>
          </w:tcPr>
          <w:p w14:paraId="35EACB2B" w14:textId="77777777" w:rsidR="006D0B54" w:rsidRPr="00DE36DC" w:rsidRDefault="006D0B54" w:rsidP="006D0B54">
            <w:pPr>
              <w:spacing w:after="0"/>
              <w:rPr>
                <w:rFonts w:cs="Arial"/>
                <w:sz w:val="20"/>
              </w:rPr>
            </w:pPr>
            <w:r w:rsidRPr="00DE36DC">
              <w:rPr>
                <w:rFonts w:eastAsia="Calibri" w:cs="Arial"/>
                <w:b/>
                <w:bCs/>
                <w:sz w:val="20"/>
              </w:rPr>
              <w:t>Exposure characterisation – source</w:t>
            </w:r>
          </w:p>
        </w:tc>
        <w:tc>
          <w:tcPr>
            <w:tcW w:w="3699" w:type="pct"/>
            <w:vAlign w:val="center"/>
          </w:tcPr>
          <w:p w14:paraId="0B80FCE7" w14:textId="3E0BC8CD" w:rsidR="006D0B54" w:rsidRPr="00DE36DC" w:rsidRDefault="006D0B54" w:rsidP="006D0B54">
            <w:pPr>
              <w:pStyle w:val="TableText"/>
              <w:rPr>
                <w:rFonts w:cs="Arial"/>
              </w:rPr>
            </w:pPr>
            <w:r w:rsidRPr="00DE36DC">
              <w:rPr>
                <w:rFonts w:cs="Arial"/>
                <w:lang w:eastAsia="en-AU"/>
              </w:rPr>
              <w:t>Abnormal serum vitamin B6 levels (both low and high); influenced by levodopa therapy, supplementation, diet, and metabolism</w:t>
            </w:r>
          </w:p>
        </w:tc>
      </w:tr>
      <w:tr w:rsidR="006D0B54" w:rsidRPr="00DE36DC" w14:paraId="59EB0D3F" w14:textId="77777777" w:rsidTr="00DE36DC">
        <w:tc>
          <w:tcPr>
            <w:tcW w:w="1301" w:type="pct"/>
            <w:shd w:val="clear" w:color="auto" w:fill="F6FDE9"/>
          </w:tcPr>
          <w:p w14:paraId="47200350" w14:textId="77777777" w:rsidR="006D0B54" w:rsidRPr="00DE36DC" w:rsidRDefault="006D0B54" w:rsidP="006D0B54">
            <w:pPr>
              <w:spacing w:after="0"/>
              <w:rPr>
                <w:rFonts w:cs="Arial"/>
                <w:sz w:val="20"/>
              </w:rPr>
            </w:pPr>
            <w:r w:rsidRPr="00DE36DC">
              <w:rPr>
                <w:rFonts w:eastAsia="Calibri" w:cs="Arial"/>
                <w:b/>
                <w:bCs/>
                <w:sz w:val="20"/>
              </w:rPr>
              <w:t>Exposure characterisation – dose</w:t>
            </w:r>
          </w:p>
        </w:tc>
        <w:tc>
          <w:tcPr>
            <w:tcW w:w="3699" w:type="pct"/>
            <w:vAlign w:val="center"/>
          </w:tcPr>
          <w:p w14:paraId="322BEB35" w14:textId="5FC2FF3D" w:rsidR="006D0B54" w:rsidRPr="00DE36DC" w:rsidRDefault="006D0B54" w:rsidP="006D0B54">
            <w:pPr>
              <w:pStyle w:val="TableText"/>
              <w:rPr>
                <w:rFonts w:cs="Arial"/>
              </w:rPr>
            </w:pPr>
            <w:r w:rsidRPr="00DE36DC">
              <w:rPr>
                <w:rFonts w:cs="Arial"/>
                <w:lang w:eastAsia="en-AU"/>
              </w:rPr>
              <w:t xml:space="preserve">Low: &lt;20 nmol/L; Normal: 20–125 nmol/L; High: &gt;125 nmol/L </w:t>
            </w:r>
            <w:hyperlink r:id="rId171" w:history="1"/>
          </w:p>
        </w:tc>
      </w:tr>
      <w:tr w:rsidR="006D0B54" w:rsidRPr="00DE36DC" w14:paraId="2CAB3001" w14:textId="77777777" w:rsidTr="00DE36DC">
        <w:tc>
          <w:tcPr>
            <w:tcW w:w="1301" w:type="pct"/>
            <w:shd w:val="clear" w:color="auto" w:fill="F6FDE9"/>
          </w:tcPr>
          <w:p w14:paraId="2967FE2F" w14:textId="77777777" w:rsidR="006D0B54" w:rsidRPr="00DE36DC" w:rsidRDefault="006D0B54" w:rsidP="006D0B54">
            <w:pPr>
              <w:spacing w:after="0"/>
              <w:rPr>
                <w:rFonts w:cs="Arial"/>
                <w:sz w:val="20"/>
              </w:rPr>
            </w:pPr>
            <w:r w:rsidRPr="00DE36DC">
              <w:rPr>
                <w:rFonts w:eastAsia="Calibri" w:cs="Arial"/>
                <w:b/>
                <w:bCs/>
                <w:sz w:val="20"/>
              </w:rPr>
              <w:t>Biomarker of exposure</w:t>
            </w:r>
          </w:p>
        </w:tc>
        <w:tc>
          <w:tcPr>
            <w:tcW w:w="3699" w:type="pct"/>
            <w:vAlign w:val="center"/>
          </w:tcPr>
          <w:p w14:paraId="158F11D1" w14:textId="4089D15B" w:rsidR="006D0B54" w:rsidRPr="00DE36DC" w:rsidRDefault="006D0B54" w:rsidP="006D0B54">
            <w:pPr>
              <w:pStyle w:val="TableText"/>
              <w:rPr>
                <w:rFonts w:cs="Arial"/>
              </w:rPr>
            </w:pPr>
            <w:r w:rsidRPr="00DE36DC">
              <w:rPr>
                <w:rFonts w:cs="Arial"/>
                <w:lang w:eastAsia="en-AU"/>
              </w:rPr>
              <w:t>Serum vitamin B6 (pyridoxal 5’-phosphate levels)</w:t>
            </w:r>
          </w:p>
        </w:tc>
      </w:tr>
      <w:tr w:rsidR="006D0B54" w:rsidRPr="00DE36DC" w14:paraId="6A40A91F" w14:textId="77777777" w:rsidTr="00DE36DC">
        <w:tc>
          <w:tcPr>
            <w:tcW w:w="1301" w:type="pct"/>
            <w:shd w:val="clear" w:color="auto" w:fill="F6FDE9"/>
          </w:tcPr>
          <w:p w14:paraId="3E5D6F3B" w14:textId="1FAE09F8" w:rsidR="006D0B54" w:rsidRPr="00DE36DC" w:rsidRDefault="006D0B54" w:rsidP="006D0B54">
            <w:pPr>
              <w:spacing w:after="0"/>
              <w:rPr>
                <w:rFonts w:cs="Arial"/>
                <w:sz w:val="20"/>
              </w:rPr>
            </w:pPr>
            <w:r w:rsidRPr="00DE36DC">
              <w:rPr>
                <w:rFonts w:eastAsia="Calibri" w:cs="Arial"/>
                <w:b/>
                <w:bCs/>
                <w:sz w:val="20"/>
              </w:rPr>
              <w:t>Prevelance of Exposure</w:t>
            </w:r>
          </w:p>
        </w:tc>
        <w:tc>
          <w:tcPr>
            <w:tcW w:w="3699" w:type="pct"/>
            <w:vAlign w:val="center"/>
          </w:tcPr>
          <w:p w14:paraId="2180EE3F" w14:textId="56C6A186" w:rsidR="006D0B54" w:rsidRPr="00DE36DC" w:rsidRDefault="006D0B54" w:rsidP="006D0B54">
            <w:pPr>
              <w:pStyle w:val="TableText"/>
              <w:rPr>
                <w:rFonts w:cs="Arial"/>
              </w:rPr>
            </w:pPr>
            <w:r w:rsidRPr="00DE36DC">
              <w:rPr>
                <w:rFonts w:cs="Arial"/>
                <w:lang w:eastAsia="en-AU"/>
              </w:rPr>
              <w:t xml:space="preserve">41.4% abnormal B6 levels overall (35.9% low; 5.5% high) </w:t>
            </w:r>
            <w:hyperlink r:id="rId172" w:history="1"/>
          </w:p>
        </w:tc>
      </w:tr>
      <w:tr w:rsidR="006D0B54" w:rsidRPr="00DE36DC" w14:paraId="41A520FE" w14:textId="77777777" w:rsidTr="00DE36DC">
        <w:tc>
          <w:tcPr>
            <w:tcW w:w="1301" w:type="pct"/>
            <w:shd w:val="clear" w:color="auto" w:fill="F6FDE9"/>
          </w:tcPr>
          <w:p w14:paraId="3ED8AB87" w14:textId="1924AC8C" w:rsidR="006D0B54" w:rsidRPr="00DE36DC" w:rsidRDefault="006D0B54" w:rsidP="006D0B54">
            <w:pPr>
              <w:spacing w:after="0"/>
              <w:rPr>
                <w:rFonts w:eastAsia="Calibri" w:cs="Arial"/>
                <w:b/>
                <w:bCs/>
                <w:sz w:val="20"/>
              </w:rPr>
            </w:pPr>
            <w:r w:rsidRPr="00DE36DC">
              <w:rPr>
                <w:rFonts w:eastAsia="Calibri" w:cs="Arial"/>
                <w:b/>
                <w:bCs/>
                <w:sz w:val="20"/>
              </w:rPr>
              <w:lastRenderedPageBreak/>
              <w:t>Exposure Modifiers</w:t>
            </w:r>
          </w:p>
        </w:tc>
        <w:tc>
          <w:tcPr>
            <w:tcW w:w="3699" w:type="pct"/>
            <w:vAlign w:val="center"/>
          </w:tcPr>
          <w:p w14:paraId="19392DF7" w14:textId="1D2F6DC5" w:rsidR="006D0B54" w:rsidRPr="00DE36DC" w:rsidRDefault="006D0B54" w:rsidP="006D0B54">
            <w:pPr>
              <w:pStyle w:val="TableText"/>
              <w:rPr>
                <w:rFonts w:cs="Arial"/>
                <w:lang w:eastAsia="en-AU"/>
              </w:rPr>
            </w:pPr>
            <w:r w:rsidRPr="00DE36DC">
              <w:rPr>
                <w:rFonts w:cs="Arial"/>
                <w:lang w:eastAsia="en-AU"/>
              </w:rPr>
              <w:t xml:space="preserve">High levodopa doses (≥1000 mg/day), intestinal gel formulations (LCIG), diet, supplement use, age, gastrointestinal dysfunction </w:t>
            </w:r>
            <w:hyperlink r:id="rId173" w:history="1"/>
          </w:p>
        </w:tc>
      </w:tr>
    </w:tbl>
    <w:p w14:paraId="4DA4F9FB" w14:textId="77777777" w:rsidR="00E44401" w:rsidRPr="00DE36DC" w:rsidRDefault="00E44401" w:rsidP="00E44401">
      <w:pPr>
        <w:rPr>
          <w:rFonts w:eastAsia="Times New Roman" w:cs="Arial"/>
          <w:b/>
          <w:bCs/>
          <w:sz w:val="20"/>
        </w:rPr>
      </w:pPr>
      <w:r w:rsidRPr="00DE36DC">
        <w:rPr>
          <w:rFonts w:eastAsia="Times New Roman" w:cs="Arial"/>
          <w:b/>
          <w:bCs/>
          <w:sz w:val="20"/>
        </w:rPr>
        <w:t>Outcomes</w:t>
      </w:r>
    </w:p>
    <w:tbl>
      <w:tblPr>
        <w:tblStyle w:val="SLROption1"/>
        <w:tblW w:w="5000" w:type="pct"/>
        <w:tblLook w:val="0000" w:firstRow="0" w:lastRow="0" w:firstColumn="0" w:lastColumn="0" w:noHBand="0" w:noVBand="0"/>
      </w:tblPr>
      <w:tblGrid>
        <w:gridCol w:w="3628"/>
        <w:gridCol w:w="10316"/>
      </w:tblGrid>
      <w:tr w:rsidR="00E44401" w:rsidRPr="00DE36DC" w14:paraId="29137B51" w14:textId="77777777" w:rsidTr="00983C71">
        <w:tc>
          <w:tcPr>
            <w:tcW w:w="1301" w:type="pct"/>
            <w:shd w:val="clear" w:color="auto" w:fill="3C533C"/>
          </w:tcPr>
          <w:p w14:paraId="4D16E55B" w14:textId="77777777" w:rsidR="00E44401" w:rsidRPr="00DE36DC" w:rsidRDefault="00E44401" w:rsidP="00983C71">
            <w:pPr>
              <w:spacing w:after="0"/>
              <w:rPr>
                <w:rFonts w:cs="Arial"/>
                <w:sz w:val="20"/>
              </w:rPr>
            </w:pPr>
            <w:r w:rsidRPr="00DE36DC">
              <w:rPr>
                <w:rFonts w:eastAsia="Calibri" w:cs="Arial"/>
                <w:b/>
                <w:bCs/>
                <w:color w:val="FFFFFF"/>
                <w:sz w:val="20"/>
              </w:rPr>
              <w:t>Field</w:t>
            </w:r>
          </w:p>
        </w:tc>
        <w:tc>
          <w:tcPr>
            <w:tcW w:w="3699" w:type="pct"/>
            <w:shd w:val="clear" w:color="auto" w:fill="3C533C"/>
          </w:tcPr>
          <w:p w14:paraId="02699F5E" w14:textId="77777777" w:rsidR="00E44401" w:rsidRPr="00DE36DC" w:rsidRDefault="00E44401" w:rsidP="00983C71">
            <w:pPr>
              <w:spacing w:after="0"/>
              <w:rPr>
                <w:rFonts w:cs="Arial"/>
                <w:sz w:val="20"/>
              </w:rPr>
            </w:pPr>
            <w:r w:rsidRPr="00DE36DC">
              <w:rPr>
                <w:rFonts w:eastAsia="Calibri" w:cs="Arial"/>
                <w:b/>
                <w:bCs/>
                <w:color w:val="FFFFFF"/>
                <w:sz w:val="20"/>
              </w:rPr>
              <w:t>Extracted information</w:t>
            </w:r>
          </w:p>
        </w:tc>
      </w:tr>
      <w:tr w:rsidR="006D0B54" w:rsidRPr="00DE36DC" w14:paraId="5AE21442" w14:textId="77777777" w:rsidTr="00DE36DC">
        <w:tc>
          <w:tcPr>
            <w:tcW w:w="1301" w:type="pct"/>
            <w:shd w:val="clear" w:color="auto" w:fill="F6FDE9"/>
          </w:tcPr>
          <w:p w14:paraId="6B6EA5AC" w14:textId="77777777" w:rsidR="006D0B54" w:rsidRPr="00DE36DC" w:rsidRDefault="006D0B54" w:rsidP="006D0B54">
            <w:pPr>
              <w:spacing w:after="0"/>
              <w:rPr>
                <w:rFonts w:cs="Arial"/>
                <w:sz w:val="20"/>
              </w:rPr>
            </w:pPr>
            <w:r w:rsidRPr="00DE36DC">
              <w:rPr>
                <w:rFonts w:eastAsia="Calibri" w:cs="Arial"/>
                <w:b/>
                <w:bCs/>
                <w:sz w:val="20"/>
              </w:rPr>
              <w:t>Primary outcome</w:t>
            </w:r>
          </w:p>
        </w:tc>
        <w:tc>
          <w:tcPr>
            <w:tcW w:w="3699" w:type="pct"/>
            <w:vAlign w:val="center"/>
          </w:tcPr>
          <w:p w14:paraId="15A3C250" w14:textId="77777777" w:rsidR="006D0B54" w:rsidRDefault="006D0B54" w:rsidP="006D0B54">
            <w:pPr>
              <w:pStyle w:val="TableText"/>
              <w:rPr>
                <w:rFonts w:cs="Arial"/>
                <w:lang w:eastAsia="en-AU"/>
              </w:rPr>
            </w:pPr>
            <w:r w:rsidRPr="00DE36DC">
              <w:rPr>
                <w:rFonts w:cs="Arial"/>
                <w:lang w:eastAsia="en-AU"/>
              </w:rPr>
              <w:t>Polyneuropathy and epilepsy</w:t>
            </w:r>
          </w:p>
          <w:p w14:paraId="057E568C" w14:textId="77777777" w:rsidR="00777764" w:rsidRPr="00777764" w:rsidRDefault="00777764" w:rsidP="00777764">
            <w:pPr>
              <w:pStyle w:val="TableText"/>
              <w:rPr>
                <w:rFonts w:cs="Arial"/>
              </w:rPr>
            </w:pPr>
            <w:r w:rsidRPr="00777764">
              <w:rPr>
                <w:rFonts w:cs="Arial"/>
              </w:rPr>
              <w:t>Associations reported</w:t>
            </w:r>
          </w:p>
          <w:p w14:paraId="5ACADA93" w14:textId="66A8E5E4" w:rsidR="00777764" w:rsidRPr="00777764" w:rsidRDefault="008F27B6" w:rsidP="00777764">
            <w:pPr>
              <w:pStyle w:val="TableText"/>
              <w:rPr>
                <w:rFonts w:cs="Arial"/>
              </w:rPr>
            </w:pPr>
            <w:r>
              <w:rPr>
                <w:rFonts w:cs="Arial"/>
              </w:rPr>
              <w:t>-</w:t>
            </w:r>
            <w:r w:rsidR="00777764" w:rsidRPr="00777764">
              <w:rPr>
                <w:rFonts w:cs="Arial"/>
              </w:rPr>
              <w:t xml:space="preserve"> Polyneuropathy </w:t>
            </w:r>
            <w:r>
              <w:rPr>
                <w:rFonts w:cs="Arial"/>
              </w:rPr>
              <w:t>(</w:t>
            </w:r>
            <w:r w:rsidR="00777764" w:rsidRPr="00777764">
              <w:rPr>
                <w:rFonts w:cs="Arial"/>
              </w:rPr>
              <w:t>low B6</w:t>
            </w:r>
            <w:r>
              <w:rPr>
                <w:rFonts w:cs="Arial"/>
              </w:rPr>
              <w:t xml:space="preserve">) in </w:t>
            </w:r>
            <w:r w:rsidR="00777764" w:rsidRPr="00777764">
              <w:rPr>
                <w:rFonts w:cs="Arial"/>
              </w:rPr>
              <w:t>14 cases</w:t>
            </w:r>
          </w:p>
          <w:p w14:paraId="1A9E86B0" w14:textId="09DAFDAF" w:rsidR="008F27B6" w:rsidRDefault="008F27B6" w:rsidP="00777764">
            <w:pPr>
              <w:pStyle w:val="TableText"/>
              <w:rPr>
                <w:rFonts w:cs="Arial"/>
              </w:rPr>
            </w:pPr>
            <w:r>
              <w:rPr>
                <w:rFonts w:cs="Arial"/>
              </w:rPr>
              <w:t xml:space="preserve">- </w:t>
            </w:r>
            <w:r w:rsidR="00777764" w:rsidRPr="00777764">
              <w:rPr>
                <w:rFonts w:cs="Arial"/>
              </w:rPr>
              <w:t xml:space="preserve">Polyneuropathy </w:t>
            </w:r>
            <w:r>
              <w:rPr>
                <w:rFonts w:cs="Arial"/>
              </w:rPr>
              <w:t>(</w:t>
            </w:r>
            <w:r w:rsidR="00777764" w:rsidRPr="00777764">
              <w:rPr>
                <w:rFonts w:cs="Arial"/>
              </w:rPr>
              <w:t>high B6</w:t>
            </w:r>
            <w:r>
              <w:rPr>
                <w:rFonts w:cs="Arial"/>
              </w:rPr>
              <w:t xml:space="preserve">) in </w:t>
            </w:r>
            <w:r w:rsidR="00777764" w:rsidRPr="00777764">
              <w:rPr>
                <w:rFonts w:cs="Arial"/>
              </w:rPr>
              <w:t>4 cases</w:t>
            </w:r>
          </w:p>
          <w:p w14:paraId="0ED6A0C3" w14:textId="23614158" w:rsidR="00777764" w:rsidRPr="00DE36DC" w:rsidRDefault="008F27B6" w:rsidP="00777764">
            <w:pPr>
              <w:pStyle w:val="TableText"/>
              <w:rPr>
                <w:rFonts w:cs="Arial"/>
              </w:rPr>
            </w:pPr>
            <w:r>
              <w:rPr>
                <w:rFonts w:cs="Arial"/>
              </w:rPr>
              <w:t xml:space="preserve">- </w:t>
            </w:r>
            <w:r w:rsidR="00777764" w:rsidRPr="00777764">
              <w:rPr>
                <w:rFonts w:cs="Arial"/>
              </w:rPr>
              <w:t xml:space="preserve">Epilepsy </w:t>
            </w:r>
            <w:r>
              <w:rPr>
                <w:rFonts w:cs="Arial"/>
              </w:rPr>
              <w:t>(</w:t>
            </w:r>
            <w:r w:rsidR="00777764" w:rsidRPr="00777764">
              <w:rPr>
                <w:rFonts w:cs="Arial"/>
              </w:rPr>
              <w:t>low B6</w:t>
            </w:r>
            <w:r>
              <w:rPr>
                <w:rFonts w:cs="Arial"/>
              </w:rPr>
              <w:t>)</w:t>
            </w:r>
            <w:r w:rsidR="00777764">
              <w:rPr>
                <w:rFonts w:cs="Arial"/>
              </w:rPr>
              <w:t xml:space="preserve"> </w:t>
            </w:r>
            <w:r>
              <w:rPr>
                <w:rFonts w:cs="Arial"/>
              </w:rPr>
              <w:t xml:space="preserve">in </w:t>
            </w:r>
            <w:r w:rsidR="00777764" w:rsidRPr="00777764">
              <w:rPr>
                <w:rFonts w:cs="Arial"/>
              </w:rPr>
              <w:t>4 cases</w:t>
            </w:r>
          </w:p>
        </w:tc>
      </w:tr>
      <w:tr w:rsidR="006D0B54" w:rsidRPr="00DE36DC" w14:paraId="0692F6AE" w14:textId="77777777" w:rsidTr="00DE36DC">
        <w:tc>
          <w:tcPr>
            <w:tcW w:w="1301" w:type="pct"/>
            <w:shd w:val="clear" w:color="auto" w:fill="F6FDE9"/>
          </w:tcPr>
          <w:p w14:paraId="2E300364" w14:textId="77777777" w:rsidR="006D0B54" w:rsidRPr="00DE36DC" w:rsidRDefault="006D0B54" w:rsidP="006D0B54">
            <w:pPr>
              <w:spacing w:after="0"/>
              <w:rPr>
                <w:rFonts w:cs="Arial"/>
                <w:sz w:val="20"/>
              </w:rPr>
            </w:pPr>
            <w:r w:rsidRPr="00DE36DC">
              <w:rPr>
                <w:rFonts w:eastAsia="Calibri" w:cs="Arial"/>
                <w:b/>
                <w:bCs/>
                <w:sz w:val="20"/>
              </w:rPr>
              <w:t>Outcome assessment – clinical examination</w:t>
            </w:r>
          </w:p>
        </w:tc>
        <w:tc>
          <w:tcPr>
            <w:tcW w:w="3699" w:type="pct"/>
            <w:vAlign w:val="center"/>
          </w:tcPr>
          <w:p w14:paraId="02FEDDE3" w14:textId="264AF724" w:rsidR="006D0B54" w:rsidRPr="00DE36DC" w:rsidRDefault="006D0B54" w:rsidP="006D0B54">
            <w:pPr>
              <w:pStyle w:val="TableText"/>
              <w:rPr>
                <w:rFonts w:cs="Arial"/>
              </w:rPr>
            </w:pPr>
            <w:r w:rsidRPr="00DE36DC">
              <w:rPr>
                <w:rFonts w:cs="Arial"/>
                <w:lang w:eastAsia="en-AU"/>
              </w:rPr>
              <w:t>Neurological symptoms (sensory neuropathy, motor dysfunction, seizures, cognitive symptoms)</w:t>
            </w:r>
          </w:p>
        </w:tc>
      </w:tr>
      <w:tr w:rsidR="006D0B54" w:rsidRPr="00DE36DC" w14:paraId="2206B8D1" w14:textId="77777777" w:rsidTr="00DE36DC">
        <w:tc>
          <w:tcPr>
            <w:tcW w:w="1301" w:type="pct"/>
            <w:shd w:val="clear" w:color="auto" w:fill="F6FDE9"/>
          </w:tcPr>
          <w:p w14:paraId="4F0E20F1" w14:textId="77777777" w:rsidR="006D0B54" w:rsidRPr="00DE36DC" w:rsidRDefault="006D0B54" w:rsidP="006D0B54">
            <w:pPr>
              <w:spacing w:after="0"/>
              <w:rPr>
                <w:rFonts w:cs="Arial"/>
                <w:sz w:val="20"/>
              </w:rPr>
            </w:pPr>
            <w:r w:rsidRPr="00DE36DC">
              <w:rPr>
                <w:rFonts w:eastAsia="Calibri" w:cs="Arial"/>
                <w:b/>
                <w:bCs/>
                <w:sz w:val="20"/>
              </w:rPr>
              <w:t>Outcome assessment – objective testing</w:t>
            </w:r>
          </w:p>
        </w:tc>
        <w:tc>
          <w:tcPr>
            <w:tcW w:w="3699" w:type="pct"/>
            <w:vAlign w:val="center"/>
          </w:tcPr>
          <w:p w14:paraId="6C12A311" w14:textId="54FCC36B" w:rsidR="006D0B54" w:rsidRPr="00DE36DC" w:rsidRDefault="006D0B54" w:rsidP="006D0B54">
            <w:pPr>
              <w:pStyle w:val="TableText"/>
              <w:rPr>
                <w:rFonts w:cs="Arial"/>
              </w:rPr>
            </w:pPr>
            <w:r w:rsidRPr="00DE36DC">
              <w:rPr>
                <w:rFonts w:cs="Arial"/>
                <w:lang w:eastAsia="en-AU"/>
              </w:rPr>
              <w:t>Neurophysiology (NCS/EMG), EEG, laboratory biomarkers, clinical diagnosis</w:t>
            </w:r>
          </w:p>
        </w:tc>
      </w:tr>
      <w:tr w:rsidR="006D0B54" w:rsidRPr="00DE36DC" w14:paraId="696A7BD5" w14:textId="77777777" w:rsidTr="00DE36DC">
        <w:tc>
          <w:tcPr>
            <w:tcW w:w="1301" w:type="pct"/>
            <w:shd w:val="clear" w:color="auto" w:fill="F6FDE9"/>
          </w:tcPr>
          <w:p w14:paraId="76ECE44B" w14:textId="77777777" w:rsidR="006D0B54" w:rsidRPr="00DE36DC" w:rsidRDefault="006D0B54" w:rsidP="006D0B54">
            <w:pPr>
              <w:spacing w:after="0"/>
              <w:rPr>
                <w:rFonts w:cs="Arial"/>
                <w:sz w:val="20"/>
              </w:rPr>
            </w:pPr>
            <w:r w:rsidRPr="00DE36DC">
              <w:rPr>
                <w:rFonts w:eastAsia="Calibri" w:cs="Arial"/>
                <w:b/>
                <w:bCs/>
                <w:sz w:val="20"/>
              </w:rPr>
              <w:t>Outcome assessment – tools used</w:t>
            </w:r>
          </w:p>
        </w:tc>
        <w:tc>
          <w:tcPr>
            <w:tcW w:w="3699" w:type="pct"/>
            <w:vAlign w:val="center"/>
          </w:tcPr>
          <w:p w14:paraId="78FEFE30" w14:textId="11CF2A98" w:rsidR="006D0B54" w:rsidRPr="00DE36DC" w:rsidRDefault="006D0B54" w:rsidP="006D0B54">
            <w:pPr>
              <w:pStyle w:val="TableText"/>
              <w:rPr>
                <w:rFonts w:cs="Arial"/>
              </w:rPr>
            </w:pPr>
            <w:r w:rsidRPr="00DE36DC">
              <w:rPr>
                <w:rFonts w:cs="Arial"/>
                <w:lang w:eastAsia="en-AU"/>
              </w:rPr>
              <w:t>Mixed methods across studies (observational + clinical measures)</w:t>
            </w:r>
          </w:p>
        </w:tc>
      </w:tr>
      <w:tr w:rsidR="006D0B54" w:rsidRPr="00DE36DC" w14:paraId="05DDA70D" w14:textId="77777777" w:rsidTr="00DE36DC">
        <w:tc>
          <w:tcPr>
            <w:tcW w:w="1301" w:type="pct"/>
            <w:shd w:val="clear" w:color="auto" w:fill="F6FDE9"/>
          </w:tcPr>
          <w:p w14:paraId="351D9915" w14:textId="77777777" w:rsidR="006D0B54" w:rsidRPr="00DE36DC" w:rsidRDefault="006D0B54" w:rsidP="006D0B54">
            <w:pPr>
              <w:spacing w:after="0"/>
              <w:rPr>
                <w:rFonts w:cs="Arial"/>
                <w:sz w:val="20"/>
              </w:rPr>
            </w:pPr>
            <w:r w:rsidRPr="00DE36DC">
              <w:rPr>
                <w:rFonts w:eastAsia="Calibri" w:cs="Arial"/>
                <w:b/>
                <w:bCs/>
                <w:sz w:val="20"/>
              </w:rPr>
              <w:t>Response to withdrawal</w:t>
            </w:r>
          </w:p>
        </w:tc>
        <w:tc>
          <w:tcPr>
            <w:tcW w:w="3699" w:type="pct"/>
            <w:vAlign w:val="center"/>
          </w:tcPr>
          <w:p w14:paraId="4B869A63" w14:textId="575112A5" w:rsidR="006D0B54" w:rsidRPr="00DE36DC" w:rsidRDefault="006D0B54" w:rsidP="006D0B54">
            <w:pPr>
              <w:pStyle w:val="TableText"/>
              <w:rPr>
                <w:rFonts w:cs="Arial"/>
              </w:rPr>
            </w:pPr>
            <w:r w:rsidRPr="00DE36DC">
              <w:rPr>
                <w:rFonts w:cs="Arial"/>
                <w:lang w:eastAsia="en-AU"/>
              </w:rPr>
              <w:t>NA</w:t>
            </w:r>
          </w:p>
        </w:tc>
      </w:tr>
    </w:tbl>
    <w:p w14:paraId="235E6475" w14:textId="77777777" w:rsidR="00E44401" w:rsidRPr="00DE36DC" w:rsidRDefault="00E44401" w:rsidP="00E44401">
      <w:pPr>
        <w:rPr>
          <w:rFonts w:eastAsia="Times New Roman" w:cs="Arial"/>
          <w:b/>
          <w:bCs/>
          <w:sz w:val="20"/>
        </w:rPr>
      </w:pPr>
      <w:r w:rsidRPr="00DE36DC">
        <w:rPr>
          <w:rFonts w:eastAsia="Times New Roman" w:cs="Arial"/>
          <w:b/>
          <w:bCs/>
          <w:sz w:val="20"/>
        </w:rPr>
        <w:t>Results and Conclusions</w:t>
      </w:r>
    </w:p>
    <w:tbl>
      <w:tblPr>
        <w:tblStyle w:val="SLROption1"/>
        <w:tblW w:w="5000" w:type="pct"/>
        <w:tblLook w:val="0000" w:firstRow="0" w:lastRow="0" w:firstColumn="0" w:lastColumn="0" w:noHBand="0" w:noVBand="0"/>
      </w:tblPr>
      <w:tblGrid>
        <w:gridCol w:w="3628"/>
        <w:gridCol w:w="10316"/>
      </w:tblGrid>
      <w:tr w:rsidR="00E44401" w:rsidRPr="00DE36DC" w14:paraId="571A2DDB" w14:textId="77777777" w:rsidTr="00983C71">
        <w:trPr>
          <w:cantSplit/>
          <w:tblHeader/>
        </w:trPr>
        <w:tc>
          <w:tcPr>
            <w:tcW w:w="1301" w:type="pct"/>
            <w:shd w:val="clear" w:color="auto" w:fill="3C533C"/>
          </w:tcPr>
          <w:p w14:paraId="7740A1F6" w14:textId="77777777" w:rsidR="00E44401" w:rsidRPr="00DE36DC" w:rsidRDefault="00E44401" w:rsidP="00983C71">
            <w:pPr>
              <w:spacing w:after="0"/>
              <w:rPr>
                <w:rFonts w:cs="Arial"/>
                <w:sz w:val="20"/>
              </w:rPr>
            </w:pPr>
            <w:r w:rsidRPr="00DE36DC">
              <w:rPr>
                <w:rFonts w:eastAsia="Calibri" w:cs="Arial"/>
                <w:b/>
                <w:bCs/>
                <w:color w:val="FFFFFF"/>
                <w:sz w:val="20"/>
              </w:rPr>
              <w:t>Field</w:t>
            </w:r>
          </w:p>
        </w:tc>
        <w:tc>
          <w:tcPr>
            <w:tcW w:w="3699" w:type="pct"/>
            <w:shd w:val="clear" w:color="auto" w:fill="3C533C"/>
          </w:tcPr>
          <w:p w14:paraId="059242D2" w14:textId="77777777" w:rsidR="00E44401" w:rsidRPr="00DE36DC" w:rsidRDefault="00E44401" w:rsidP="00983C71">
            <w:pPr>
              <w:spacing w:after="0"/>
              <w:rPr>
                <w:rFonts w:cs="Arial"/>
                <w:sz w:val="20"/>
              </w:rPr>
            </w:pPr>
            <w:r w:rsidRPr="00DE36DC">
              <w:rPr>
                <w:rFonts w:eastAsia="Calibri" w:cs="Arial"/>
                <w:b/>
                <w:bCs/>
                <w:color w:val="FFFFFF"/>
                <w:sz w:val="20"/>
              </w:rPr>
              <w:t>Extracted information</w:t>
            </w:r>
          </w:p>
        </w:tc>
      </w:tr>
      <w:tr w:rsidR="00DE36DC" w:rsidRPr="00DE36DC" w14:paraId="2BEEEE54" w14:textId="77777777" w:rsidTr="00DE36DC">
        <w:trPr>
          <w:cantSplit/>
        </w:trPr>
        <w:tc>
          <w:tcPr>
            <w:tcW w:w="1301" w:type="pct"/>
            <w:shd w:val="clear" w:color="auto" w:fill="F6FDE9"/>
          </w:tcPr>
          <w:p w14:paraId="225E13E9" w14:textId="77777777" w:rsidR="00DE36DC" w:rsidRPr="00DE36DC" w:rsidRDefault="00DE36DC" w:rsidP="00DE36DC">
            <w:pPr>
              <w:spacing w:after="0"/>
              <w:rPr>
                <w:rFonts w:cs="Arial"/>
                <w:sz w:val="20"/>
              </w:rPr>
            </w:pPr>
            <w:r w:rsidRPr="00DE36DC">
              <w:rPr>
                <w:rFonts w:eastAsia="Calibri" w:cs="Arial"/>
                <w:b/>
                <w:bCs/>
                <w:sz w:val="20"/>
              </w:rPr>
              <w:t>Main results</w:t>
            </w:r>
          </w:p>
        </w:tc>
        <w:tc>
          <w:tcPr>
            <w:tcW w:w="3699" w:type="pct"/>
            <w:vAlign w:val="center"/>
          </w:tcPr>
          <w:p w14:paraId="0E2E93F6" w14:textId="6B1432E3" w:rsidR="00DE36DC" w:rsidRPr="00DE36DC" w:rsidRDefault="00DE36DC" w:rsidP="00DE36DC">
            <w:pPr>
              <w:pStyle w:val="TableText"/>
              <w:rPr>
                <w:rFonts w:cs="Arial"/>
              </w:rPr>
            </w:pPr>
            <w:r w:rsidRPr="00DE36DC">
              <w:rPr>
                <w:rFonts w:cs="Arial"/>
                <w:lang w:eastAsia="en-AU"/>
              </w:rPr>
              <w:t>Abnormal vitamin B6 levels (both deficiency and excess) are associated with neurological outcomes; low B6 more common than high; possible dose–response relationship with levodopa exposure</w:t>
            </w:r>
          </w:p>
        </w:tc>
      </w:tr>
      <w:tr w:rsidR="00DE36DC" w:rsidRPr="00DE36DC" w14:paraId="7B61D353" w14:textId="77777777" w:rsidTr="00DE36DC">
        <w:trPr>
          <w:cantSplit/>
        </w:trPr>
        <w:tc>
          <w:tcPr>
            <w:tcW w:w="1301" w:type="pct"/>
            <w:shd w:val="clear" w:color="auto" w:fill="F6FDE9"/>
          </w:tcPr>
          <w:p w14:paraId="6BE4EB30" w14:textId="5AD7D86C" w:rsidR="00DE36DC" w:rsidRPr="00DE36DC" w:rsidRDefault="00DE36DC" w:rsidP="00DE36DC">
            <w:pPr>
              <w:spacing w:after="0"/>
              <w:rPr>
                <w:rFonts w:eastAsia="Calibri" w:cs="Arial"/>
                <w:b/>
                <w:bCs/>
                <w:sz w:val="20"/>
              </w:rPr>
            </w:pPr>
            <w:r w:rsidRPr="00DE36DC">
              <w:rPr>
                <w:rFonts w:eastAsia="Calibri" w:cs="Arial"/>
                <w:b/>
                <w:bCs/>
                <w:sz w:val="20"/>
              </w:rPr>
              <w:t>Mechanistic Insights</w:t>
            </w:r>
          </w:p>
        </w:tc>
        <w:tc>
          <w:tcPr>
            <w:tcW w:w="3699" w:type="pct"/>
            <w:vAlign w:val="center"/>
          </w:tcPr>
          <w:p w14:paraId="481F7F42" w14:textId="3F92DB1C" w:rsidR="00DE36DC" w:rsidRPr="00DE36DC" w:rsidRDefault="00DE36DC" w:rsidP="00DE36DC">
            <w:pPr>
              <w:pStyle w:val="TableText"/>
              <w:rPr>
                <w:rFonts w:cs="Arial"/>
                <w:lang w:eastAsia="en-AU"/>
              </w:rPr>
            </w:pPr>
            <w:r w:rsidRPr="00DE36DC">
              <w:rPr>
                <w:rFonts w:cs="Arial"/>
                <w:lang w:eastAsia="en-AU"/>
              </w:rPr>
              <w:t xml:space="preserve">Low B6 linked to homocysteine increase and neuropathy; high B6 associated with direct neurotoxicity (neuropathy) </w:t>
            </w:r>
            <w:hyperlink r:id="rId174" w:history="1"/>
          </w:p>
        </w:tc>
      </w:tr>
      <w:tr w:rsidR="00DE36DC" w:rsidRPr="00DE36DC" w14:paraId="27A50912" w14:textId="77777777" w:rsidTr="00DE36DC">
        <w:trPr>
          <w:cantSplit/>
        </w:trPr>
        <w:tc>
          <w:tcPr>
            <w:tcW w:w="1301" w:type="pct"/>
            <w:shd w:val="clear" w:color="auto" w:fill="F6FDE9"/>
          </w:tcPr>
          <w:p w14:paraId="0839DB92" w14:textId="77777777" w:rsidR="00DE36DC" w:rsidRPr="00DE36DC" w:rsidRDefault="00DE36DC" w:rsidP="00DE36DC">
            <w:pPr>
              <w:spacing w:after="0"/>
              <w:rPr>
                <w:rFonts w:eastAsia="Calibri" w:cs="Arial"/>
                <w:b/>
                <w:bCs/>
                <w:sz w:val="20"/>
              </w:rPr>
            </w:pPr>
            <w:r w:rsidRPr="00DE36DC">
              <w:rPr>
                <w:rFonts w:eastAsia="Calibri" w:cs="Arial"/>
                <w:b/>
                <w:bCs/>
                <w:sz w:val="20"/>
              </w:rPr>
              <w:t>Authors' conclusions</w:t>
            </w:r>
          </w:p>
        </w:tc>
        <w:tc>
          <w:tcPr>
            <w:tcW w:w="3699" w:type="pct"/>
            <w:vAlign w:val="center"/>
          </w:tcPr>
          <w:p w14:paraId="2EA9155B" w14:textId="7FEC9204" w:rsidR="00DE36DC" w:rsidRPr="00DE36DC" w:rsidRDefault="00DE36DC" w:rsidP="00DE36DC">
            <w:pPr>
              <w:pStyle w:val="TableText"/>
              <w:rPr>
                <w:rFonts w:cs="Arial"/>
              </w:rPr>
            </w:pPr>
            <w:r w:rsidRPr="00DE36DC">
              <w:rPr>
                <w:rFonts w:cs="Arial"/>
                <w:lang w:eastAsia="en-AU"/>
              </w:rPr>
              <w:t xml:space="preserve">Abnormal vitamin B6 levels are common in PwPD and may contribute to preventable neurological complications; monitoring and management recommended </w:t>
            </w:r>
            <w:hyperlink r:id="rId175" w:history="1"/>
          </w:p>
        </w:tc>
      </w:tr>
      <w:tr w:rsidR="00DE36DC" w:rsidRPr="00DE36DC" w14:paraId="737568B9" w14:textId="77777777" w:rsidTr="00DE36DC">
        <w:trPr>
          <w:cantSplit/>
        </w:trPr>
        <w:tc>
          <w:tcPr>
            <w:tcW w:w="1301" w:type="pct"/>
            <w:shd w:val="clear" w:color="auto" w:fill="F6FDE9" w:themeFill="accent5" w:themeFillTint="33"/>
            <w:vAlign w:val="center"/>
          </w:tcPr>
          <w:p w14:paraId="0159B62F" w14:textId="77777777" w:rsidR="00DE36DC" w:rsidRPr="00DE36DC" w:rsidRDefault="00DE36DC" w:rsidP="00DE36DC">
            <w:pPr>
              <w:spacing w:after="0"/>
              <w:rPr>
                <w:rFonts w:eastAsia="Calibri" w:cs="Arial"/>
                <w:b/>
                <w:bCs/>
                <w:sz w:val="20"/>
              </w:rPr>
            </w:pPr>
            <w:r w:rsidRPr="00DE36DC">
              <w:rPr>
                <w:rFonts w:cs="Arial"/>
                <w:b/>
                <w:bCs/>
                <w:sz w:val="20"/>
                <w:lang w:eastAsia="en-AU"/>
              </w:rPr>
              <w:t>Authors' acknowledged limitations</w:t>
            </w:r>
          </w:p>
        </w:tc>
        <w:tc>
          <w:tcPr>
            <w:tcW w:w="3699" w:type="pct"/>
            <w:vAlign w:val="center"/>
          </w:tcPr>
          <w:p w14:paraId="69AED6DA" w14:textId="31AAA348" w:rsidR="00DE36DC" w:rsidRPr="00DE36DC" w:rsidRDefault="00DE36DC" w:rsidP="00DE36DC">
            <w:pPr>
              <w:pStyle w:val="TableText"/>
              <w:rPr>
                <w:rFonts w:cs="Arial"/>
              </w:rPr>
            </w:pPr>
            <w:r w:rsidRPr="00DE36DC">
              <w:rPr>
                <w:rFonts w:cs="Arial"/>
                <w:lang w:eastAsia="en-AU"/>
              </w:rPr>
              <w:t xml:space="preserve">Heterogeneous studies, small sample sizes, mostly observational data, limited ability to establish causality, outcome data incomplete </w:t>
            </w:r>
            <w:hyperlink r:id="rId176" w:history="1"/>
          </w:p>
        </w:tc>
      </w:tr>
    </w:tbl>
    <w:p w14:paraId="7A3F6C5A" w14:textId="77777777" w:rsidR="00E44401" w:rsidRPr="00DE36DC" w:rsidRDefault="00E44401" w:rsidP="00E44401">
      <w:pPr>
        <w:rPr>
          <w:rFonts w:eastAsia="Times New Roman" w:cs="Arial"/>
          <w:b/>
          <w:bCs/>
          <w:sz w:val="20"/>
        </w:rPr>
      </w:pPr>
      <w:r w:rsidRPr="00DE36DC">
        <w:rPr>
          <w:rFonts w:eastAsia="Times New Roman" w:cs="Arial"/>
          <w:b/>
          <w:bCs/>
          <w:sz w:val="20"/>
        </w:rPr>
        <w:t>Contextual information for the AU/NZ UL review</w:t>
      </w:r>
    </w:p>
    <w:tbl>
      <w:tblPr>
        <w:tblStyle w:val="SLROption1"/>
        <w:tblW w:w="5000" w:type="pct"/>
        <w:tblLook w:val="0000" w:firstRow="0" w:lastRow="0" w:firstColumn="0" w:lastColumn="0" w:noHBand="0" w:noVBand="0"/>
      </w:tblPr>
      <w:tblGrid>
        <w:gridCol w:w="3628"/>
        <w:gridCol w:w="10316"/>
      </w:tblGrid>
      <w:tr w:rsidR="00E44401" w:rsidRPr="00DE36DC" w14:paraId="29DB7567" w14:textId="77777777" w:rsidTr="00983C71">
        <w:tc>
          <w:tcPr>
            <w:tcW w:w="1301" w:type="pct"/>
            <w:shd w:val="clear" w:color="auto" w:fill="F6FDE9"/>
          </w:tcPr>
          <w:p w14:paraId="6E2CAF4E" w14:textId="77777777" w:rsidR="00E44401" w:rsidRPr="00DE36DC" w:rsidRDefault="00E44401" w:rsidP="00983C71">
            <w:pPr>
              <w:spacing w:after="0"/>
              <w:rPr>
                <w:rFonts w:cs="Arial"/>
                <w:sz w:val="20"/>
              </w:rPr>
            </w:pPr>
            <w:r w:rsidRPr="00DE36DC">
              <w:rPr>
                <w:rFonts w:eastAsia="Calibri" w:cs="Arial"/>
                <w:b/>
                <w:bCs/>
                <w:sz w:val="20"/>
              </w:rPr>
              <w:lastRenderedPageBreak/>
              <w:t>Generalisability to AU/NZ</w:t>
            </w:r>
          </w:p>
        </w:tc>
        <w:tc>
          <w:tcPr>
            <w:tcW w:w="3699" w:type="pct"/>
          </w:tcPr>
          <w:p w14:paraId="434E31DB" w14:textId="3ECAE6F3" w:rsidR="00E44401" w:rsidRPr="00DE36DC" w:rsidRDefault="00DE36DC" w:rsidP="00983C71">
            <w:pPr>
              <w:spacing w:after="0"/>
              <w:rPr>
                <w:rFonts w:cs="Arial"/>
                <w:sz w:val="20"/>
              </w:rPr>
            </w:pPr>
            <w:r w:rsidRPr="00DE36DC">
              <w:rPr>
                <w:rFonts w:eastAsia="Calibri" w:cs="Arial"/>
                <w:sz w:val="20"/>
              </w:rPr>
              <w:t>Moderate–low; specific to Parkinson’s population with medication interactions; however, provides strong mechanistic and clinical evidence that both low and high B6 can cause neuropathy.</w:t>
            </w:r>
          </w:p>
        </w:tc>
      </w:tr>
    </w:tbl>
    <w:p w14:paraId="0C8A0FCC" w14:textId="6333B7E6" w:rsidR="00CC2D4D" w:rsidRPr="00DE36DC" w:rsidRDefault="00CC2D4D" w:rsidP="00CC2D4D">
      <w:pPr>
        <w:tabs>
          <w:tab w:val="left" w:pos="1172"/>
        </w:tabs>
        <w:rPr>
          <w:rFonts w:eastAsia="Times New Roman" w:cs="Arial"/>
          <w:sz w:val="20"/>
        </w:rPr>
        <w:sectPr w:rsidR="00CC2D4D" w:rsidRPr="00DE36DC" w:rsidSect="00B8180E">
          <w:pgSz w:w="16834" w:h="11909" w:orient="landscape" w:code="9"/>
          <w:pgMar w:top="1440" w:right="1440" w:bottom="1440" w:left="1440" w:header="576" w:footer="576" w:gutter="0"/>
          <w:cols w:space="720"/>
          <w:docGrid w:linePitch="360"/>
        </w:sectPr>
      </w:pPr>
    </w:p>
    <w:p w14:paraId="7F7A638D" w14:textId="6C34C544" w:rsidR="00E44401" w:rsidRDefault="004A210D" w:rsidP="00E44401">
      <w:pPr>
        <w:pStyle w:val="Heading9"/>
      </w:pPr>
      <w:bookmarkStart w:id="84" w:name="_Toc233022901"/>
      <w:r>
        <w:lastRenderedPageBreak/>
        <w:t>Morris et al.</w:t>
      </w:r>
      <w:r w:rsidR="00E44401">
        <w:t>, 202</w:t>
      </w:r>
      <w:r w:rsidR="00E1775F">
        <w:t>5</w:t>
      </w:r>
      <w:bookmarkEnd w:id="84"/>
    </w:p>
    <w:p w14:paraId="154A09BE" w14:textId="77777777" w:rsidR="00E44401" w:rsidRPr="00911068" w:rsidRDefault="00E44401" w:rsidP="00E44401">
      <w:pPr>
        <w:keepNext/>
        <w:spacing w:before="240"/>
        <w:ind w:left="1080" w:hanging="1080"/>
        <w:rPr>
          <w:rFonts w:eastAsia="Calibri" w:cs="Arial"/>
          <w:b/>
          <w:bCs/>
          <w:sz w:val="20"/>
        </w:rPr>
      </w:pPr>
      <w:r w:rsidRPr="00911068">
        <w:rPr>
          <w:rFonts w:eastAsia="Calibri" w:cs="Arial"/>
          <w:b/>
          <w:bCs/>
          <w:sz w:val="20"/>
        </w:rPr>
        <w:t>Study identification and design</w:t>
      </w:r>
    </w:p>
    <w:tbl>
      <w:tblPr>
        <w:tblStyle w:val="SLROption1"/>
        <w:tblW w:w="5000" w:type="pct"/>
        <w:tblLook w:val="0000" w:firstRow="0" w:lastRow="0" w:firstColumn="0" w:lastColumn="0" w:noHBand="0" w:noVBand="0"/>
      </w:tblPr>
      <w:tblGrid>
        <w:gridCol w:w="3628"/>
        <w:gridCol w:w="10316"/>
      </w:tblGrid>
      <w:tr w:rsidR="00E44401" w:rsidRPr="00911068" w14:paraId="4964DFE1" w14:textId="77777777" w:rsidTr="00983C71">
        <w:tc>
          <w:tcPr>
            <w:tcW w:w="1301" w:type="pct"/>
            <w:shd w:val="clear" w:color="auto" w:fill="3C533C"/>
          </w:tcPr>
          <w:p w14:paraId="546478B1" w14:textId="77777777" w:rsidR="00E44401" w:rsidRPr="00911068" w:rsidRDefault="00E44401" w:rsidP="00983C71">
            <w:pPr>
              <w:pStyle w:val="TableText"/>
              <w:rPr>
                <w:rFonts w:cs="Arial"/>
                <w:b/>
                <w:bCs/>
                <w:color w:val="FFFFFF" w:themeColor="background1"/>
              </w:rPr>
            </w:pPr>
            <w:r w:rsidRPr="00911068">
              <w:rPr>
                <w:rFonts w:cs="Arial"/>
                <w:b/>
                <w:bCs/>
                <w:color w:val="FFFFFF" w:themeColor="background1"/>
              </w:rPr>
              <w:t>Field</w:t>
            </w:r>
          </w:p>
        </w:tc>
        <w:tc>
          <w:tcPr>
            <w:tcW w:w="3699" w:type="pct"/>
            <w:shd w:val="clear" w:color="auto" w:fill="3C533C"/>
          </w:tcPr>
          <w:p w14:paraId="2D7700C2" w14:textId="77777777" w:rsidR="00E44401" w:rsidRPr="00911068" w:rsidRDefault="00E44401" w:rsidP="00983C71">
            <w:pPr>
              <w:pStyle w:val="TableText"/>
              <w:rPr>
                <w:rFonts w:cs="Arial"/>
                <w:b/>
                <w:bCs/>
                <w:color w:val="FFFFFF" w:themeColor="background1"/>
              </w:rPr>
            </w:pPr>
            <w:r w:rsidRPr="00911068">
              <w:rPr>
                <w:rFonts w:cs="Arial"/>
                <w:b/>
                <w:bCs/>
                <w:color w:val="FFFFFF" w:themeColor="background1"/>
              </w:rPr>
              <w:t>Extracted information</w:t>
            </w:r>
          </w:p>
        </w:tc>
      </w:tr>
      <w:tr w:rsidR="004A210D" w:rsidRPr="00911068" w14:paraId="0D0C1F87" w14:textId="77777777" w:rsidTr="00911068">
        <w:tc>
          <w:tcPr>
            <w:tcW w:w="1301" w:type="pct"/>
            <w:shd w:val="clear" w:color="auto" w:fill="F6FDE9"/>
          </w:tcPr>
          <w:p w14:paraId="3DED8691" w14:textId="77777777" w:rsidR="004A210D" w:rsidRPr="00911068" w:rsidRDefault="004A210D" w:rsidP="004A210D">
            <w:pPr>
              <w:pStyle w:val="TableText"/>
              <w:rPr>
                <w:rFonts w:cs="Arial"/>
                <w:b/>
                <w:bCs/>
              </w:rPr>
            </w:pPr>
            <w:r w:rsidRPr="00911068">
              <w:rPr>
                <w:rFonts w:cs="Arial"/>
                <w:b/>
                <w:bCs/>
              </w:rPr>
              <w:t>Citation</w:t>
            </w:r>
          </w:p>
        </w:tc>
        <w:tc>
          <w:tcPr>
            <w:tcW w:w="3699" w:type="pct"/>
            <w:vAlign w:val="center"/>
          </w:tcPr>
          <w:p w14:paraId="5C503B9F" w14:textId="2F94142C" w:rsidR="004A210D" w:rsidRPr="00911068" w:rsidRDefault="004A210D" w:rsidP="004A210D">
            <w:pPr>
              <w:pStyle w:val="TableText"/>
              <w:rPr>
                <w:rFonts w:cs="Arial"/>
              </w:rPr>
            </w:pPr>
            <w:r w:rsidRPr="00911068">
              <w:rPr>
                <w:rFonts w:cs="Arial"/>
                <w:lang w:eastAsia="en-AU"/>
              </w:rPr>
              <w:t>Morris, A. A. M., Sokolová, J., Pavlíková, M., Gleich, F., Kölker, S., Dionisi</w:t>
            </w:r>
            <w:r w:rsidRPr="00911068">
              <w:rPr>
                <w:rFonts w:cs="Arial"/>
                <w:lang w:eastAsia="en-AU"/>
              </w:rPr>
              <w:noBreakHyphen/>
              <w:t>Vici, C., Baumgartner, M. R., Hannibal, L., Blom, H. J., Huemer, M., Kožich, V., &amp; E</w:t>
            </w:r>
            <w:r w:rsidRPr="00911068">
              <w:rPr>
                <w:rFonts w:cs="Arial"/>
                <w:lang w:eastAsia="en-AU"/>
              </w:rPr>
              <w:noBreakHyphen/>
              <w:t>HOD Consortium. (2025). Cystathionine β</w:t>
            </w:r>
            <w:r w:rsidRPr="00911068">
              <w:rPr>
                <w:rFonts w:cs="Arial"/>
                <w:lang w:eastAsia="en-AU"/>
              </w:rPr>
              <w:noBreakHyphen/>
              <w:t>synthase deficiency in the E</w:t>
            </w:r>
            <w:r w:rsidRPr="00911068">
              <w:rPr>
                <w:rFonts w:cs="Arial"/>
                <w:lang w:eastAsia="en-AU"/>
              </w:rPr>
              <w:noBreakHyphen/>
              <w:t xml:space="preserve">HOD Registry—Part II: Dietary and pharmacological treatment. </w:t>
            </w:r>
            <w:r w:rsidRPr="00911068">
              <w:rPr>
                <w:rFonts w:cs="Arial"/>
                <w:i/>
                <w:iCs/>
                <w:lang w:eastAsia="en-AU"/>
              </w:rPr>
              <w:t>Journal of Inherited Metabolic Disease, 48</w:t>
            </w:r>
            <w:r w:rsidRPr="00911068">
              <w:rPr>
                <w:rFonts w:cs="Arial"/>
                <w:lang w:eastAsia="en-AU"/>
              </w:rPr>
              <w:t>, e12844.</w:t>
            </w:r>
          </w:p>
        </w:tc>
      </w:tr>
      <w:tr w:rsidR="004A210D" w:rsidRPr="00911068" w14:paraId="59505284" w14:textId="77777777" w:rsidTr="00911068">
        <w:tc>
          <w:tcPr>
            <w:tcW w:w="1301" w:type="pct"/>
            <w:shd w:val="clear" w:color="auto" w:fill="F6FDE9"/>
          </w:tcPr>
          <w:p w14:paraId="25222C93" w14:textId="77777777" w:rsidR="004A210D" w:rsidRPr="00911068" w:rsidRDefault="004A210D" w:rsidP="004A210D">
            <w:pPr>
              <w:pStyle w:val="TableText"/>
              <w:rPr>
                <w:rFonts w:cs="Arial"/>
                <w:b/>
                <w:bCs/>
              </w:rPr>
            </w:pPr>
            <w:r w:rsidRPr="00911068">
              <w:rPr>
                <w:rFonts w:cs="Arial"/>
                <w:b/>
                <w:bCs/>
              </w:rPr>
              <w:t>Publication status</w:t>
            </w:r>
          </w:p>
        </w:tc>
        <w:tc>
          <w:tcPr>
            <w:tcW w:w="3699" w:type="pct"/>
            <w:vAlign w:val="center"/>
          </w:tcPr>
          <w:p w14:paraId="2B14D586" w14:textId="4ED17449" w:rsidR="004A210D" w:rsidRPr="00911068" w:rsidRDefault="004A210D" w:rsidP="004A210D">
            <w:pPr>
              <w:pStyle w:val="TableText"/>
              <w:rPr>
                <w:rFonts w:cs="Arial"/>
              </w:rPr>
            </w:pPr>
            <w:r w:rsidRPr="00911068">
              <w:rPr>
                <w:rFonts w:cs="Arial"/>
                <w:lang w:eastAsia="en-AU"/>
              </w:rPr>
              <w:t>Published, peer</w:t>
            </w:r>
            <w:r w:rsidRPr="00911068">
              <w:rPr>
                <w:rFonts w:cs="Arial"/>
                <w:lang w:eastAsia="en-AU"/>
              </w:rPr>
              <w:noBreakHyphen/>
              <w:t xml:space="preserve">reviewed article (open access, Wiley) </w:t>
            </w:r>
            <w:hyperlink r:id="rId177" w:history="1"/>
          </w:p>
        </w:tc>
      </w:tr>
      <w:tr w:rsidR="004A210D" w:rsidRPr="00911068" w14:paraId="1D6A3963" w14:textId="77777777" w:rsidTr="00911068">
        <w:tc>
          <w:tcPr>
            <w:tcW w:w="1301" w:type="pct"/>
            <w:shd w:val="clear" w:color="auto" w:fill="F6FDE9"/>
          </w:tcPr>
          <w:p w14:paraId="797A6DD0" w14:textId="77777777" w:rsidR="004A210D" w:rsidRPr="00911068" w:rsidRDefault="004A210D" w:rsidP="004A210D">
            <w:pPr>
              <w:pStyle w:val="TableText"/>
              <w:rPr>
                <w:rFonts w:cs="Arial"/>
                <w:b/>
                <w:bCs/>
              </w:rPr>
            </w:pPr>
            <w:r w:rsidRPr="00911068">
              <w:rPr>
                <w:rFonts w:cs="Arial"/>
                <w:b/>
                <w:bCs/>
              </w:rPr>
              <w:t>Country / setting</w:t>
            </w:r>
          </w:p>
        </w:tc>
        <w:tc>
          <w:tcPr>
            <w:tcW w:w="3699" w:type="pct"/>
            <w:vAlign w:val="center"/>
          </w:tcPr>
          <w:p w14:paraId="68D3B8ED" w14:textId="33FCC5C6" w:rsidR="004A210D" w:rsidRPr="00911068" w:rsidRDefault="004A210D" w:rsidP="004A210D">
            <w:pPr>
              <w:pStyle w:val="TableText"/>
              <w:rPr>
                <w:rFonts w:cs="Arial"/>
              </w:rPr>
            </w:pPr>
            <w:r w:rsidRPr="00911068">
              <w:rPr>
                <w:rFonts w:cs="Arial"/>
                <w:lang w:eastAsia="en-AU"/>
              </w:rPr>
              <w:t>International registry (E</w:t>
            </w:r>
            <w:r w:rsidRPr="00911068">
              <w:rPr>
                <w:rFonts w:cs="Arial"/>
                <w:lang w:eastAsia="en-AU"/>
              </w:rPr>
              <w:noBreakHyphen/>
              <w:t xml:space="preserve">HOD consortium; ~70 centres worldwide) </w:t>
            </w:r>
            <w:hyperlink r:id="rId178" w:history="1"/>
          </w:p>
        </w:tc>
      </w:tr>
      <w:tr w:rsidR="004A210D" w:rsidRPr="00911068" w14:paraId="2FEA329E" w14:textId="77777777" w:rsidTr="00911068">
        <w:tc>
          <w:tcPr>
            <w:tcW w:w="1301" w:type="pct"/>
            <w:shd w:val="clear" w:color="auto" w:fill="F6FDE9"/>
          </w:tcPr>
          <w:p w14:paraId="0F2843EA" w14:textId="77777777" w:rsidR="004A210D" w:rsidRPr="00911068" w:rsidRDefault="004A210D" w:rsidP="004A210D">
            <w:pPr>
              <w:pStyle w:val="TableText"/>
              <w:rPr>
                <w:rFonts w:cs="Arial"/>
                <w:b/>
                <w:bCs/>
              </w:rPr>
            </w:pPr>
            <w:r w:rsidRPr="00911068">
              <w:rPr>
                <w:rFonts w:cs="Arial"/>
                <w:b/>
                <w:bCs/>
              </w:rPr>
              <w:t>Study design</w:t>
            </w:r>
          </w:p>
        </w:tc>
        <w:tc>
          <w:tcPr>
            <w:tcW w:w="3699" w:type="pct"/>
            <w:vAlign w:val="center"/>
          </w:tcPr>
          <w:p w14:paraId="16C21D49" w14:textId="033C08C3" w:rsidR="004A210D" w:rsidRPr="00911068" w:rsidRDefault="004A210D" w:rsidP="004A210D">
            <w:pPr>
              <w:pStyle w:val="TableText"/>
              <w:rPr>
                <w:rFonts w:cs="Arial"/>
              </w:rPr>
            </w:pPr>
            <w:r w:rsidRPr="00911068">
              <w:rPr>
                <w:rFonts w:cs="Arial"/>
                <w:lang w:eastAsia="en-AU"/>
              </w:rPr>
              <w:t xml:space="preserve">Registry-based observational cohort study (retrospective analysis of prospective registry data) </w:t>
            </w:r>
            <w:hyperlink r:id="rId179" w:history="1"/>
          </w:p>
        </w:tc>
      </w:tr>
      <w:tr w:rsidR="004A210D" w:rsidRPr="00911068" w14:paraId="3A6FD3CA" w14:textId="77777777" w:rsidTr="00911068">
        <w:tc>
          <w:tcPr>
            <w:tcW w:w="1301" w:type="pct"/>
            <w:shd w:val="clear" w:color="auto" w:fill="F6FDE9"/>
          </w:tcPr>
          <w:p w14:paraId="46A49A9C" w14:textId="77777777" w:rsidR="004A210D" w:rsidRPr="00911068" w:rsidRDefault="004A210D" w:rsidP="004A210D">
            <w:pPr>
              <w:pStyle w:val="TableText"/>
              <w:rPr>
                <w:rFonts w:cs="Arial"/>
                <w:b/>
                <w:bCs/>
              </w:rPr>
            </w:pPr>
            <w:r w:rsidRPr="00911068">
              <w:rPr>
                <w:rFonts w:cs="Arial"/>
                <w:b/>
                <w:bCs/>
              </w:rPr>
              <w:t>Funding / conflicts of interest</w:t>
            </w:r>
          </w:p>
        </w:tc>
        <w:tc>
          <w:tcPr>
            <w:tcW w:w="3699" w:type="pct"/>
            <w:vAlign w:val="center"/>
          </w:tcPr>
          <w:p w14:paraId="33CC29E4" w14:textId="3128CD6C" w:rsidR="004A210D" w:rsidRPr="00911068" w:rsidRDefault="004A210D" w:rsidP="004A210D">
            <w:pPr>
              <w:pStyle w:val="TableText"/>
              <w:rPr>
                <w:rFonts w:cs="Arial"/>
              </w:rPr>
            </w:pPr>
            <w:r w:rsidRPr="00911068">
              <w:rPr>
                <w:rFonts w:cs="Arial"/>
                <w:lang w:eastAsia="en-AU"/>
              </w:rPr>
              <w:t xml:space="preserve">Funded by Czech Ministry of Health and institutional support; some industry support but authors state independence </w:t>
            </w:r>
            <w:hyperlink r:id="rId180" w:history="1"/>
          </w:p>
        </w:tc>
      </w:tr>
    </w:tbl>
    <w:p w14:paraId="6F1CBC8E" w14:textId="77777777" w:rsidR="00E44401" w:rsidRPr="00911068" w:rsidRDefault="00E44401" w:rsidP="00E44401">
      <w:pPr>
        <w:rPr>
          <w:rFonts w:eastAsia="Times New Roman" w:cs="Arial"/>
          <w:sz w:val="20"/>
        </w:rPr>
      </w:pPr>
      <w:r w:rsidRPr="00911068">
        <w:rPr>
          <w:rFonts w:eastAsia="Calibri" w:cs="Arial"/>
          <w:b/>
          <w:bCs/>
          <w:sz w:val="20"/>
        </w:rPr>
        <w:t>Population</w:t>
      </w:r>
    </w:p>
    <w:tbl>
      <w:tblPr>
        <w:tblStyle w:val="SLROption1"/>
        <w:tblW w:w="5000" w:type="pct"/>
        <w:tblLook w:val="0000" w:firstRow="0" w:lastRow="0" w:firstColumn="0" w:lastColumn="0" w:noHBand="0" w:noVBand="0"/>
      </w:tblPr>
      <w:tblGrid>
        <w:gridCol w:w="3628"/>
        <w:gridCol w:w="10316"/>
      </w:tblGrid>
      <w:tr w:rsidR="00E44401" w:rsidRPr="00911068" w14:paraId="6023186D" w14:textId="77777777" w:rsidTr="00983C71">
        <w:tc>
          <w:tcPr>
            <w:tcW w:w="1301" w:type="pct"/>
            <w:shd w:val="clear" w:color="auto" w:fill="3C533C"/>
          </w:tcPr>
          <w:p w14:paraId="3C7A7B10" w14:textId="77777777" w:rsidR="00E44401" w:rsidRPr="00911068" w:rsidRDefault="00E44401" w:rsidP="00983C71">
            <w:pPr>
              <w:spacing w:after="0"/>
              <w:rPr>
                <w:rFonts w:cs="Arial"/>
                <w:sz w:val="20"/>
              </w:rPr>
            </w:pPr>
            <w:r w:rsidRPr="00911068">
              <w:rPr>
                <w:rFonts w:eastAsia="Calibri" w:cs="Arial"/>
                <w:b/>
                <w:bCs/>
                <w:color w:val="FFFFFF"/>
                <w:sz w:val="20"/>
              </w:rPr>
              <w:t>Field</w:t>
            </w:r>
          </w:p>
        </w:tc>
        <w:tc>
          <w:tcPr>
            <w:tcW w:w="3699" w:type="pct"/>
            <w:shd w:val="clear" w:color="auto" w:fill="3C533C"/>
          </w:tcPr>
          <w:p w14:paraId="41CFE8CF" w14:textId="77777777" w:rsidR="00E44401" w:rsidRPr="00911068" w:rsidRDefault="00E44401" w:rsidP="00983C71">
            <w:pPr>
              <w:spacing w:after="0"/>
              <w:rPr>
                <w:rFonts w:cs="Arial"/>
                <w:sz w:val="20"/>
              </w:rPr>
            </w:pPr>
            <w:r w:rsidRPr="00911068">
              <w:rPr>
                <w:rFonts w:eastAsia="Calibri" w:cs="Arial"/>
                <w:b/>
                <w:bCs/>
                <w:color w:val="FFFFFF"/>
                <w:sz w:val="20"/>
              </w:rPr>
              <w:t>Extracted information</w:t>
            </w:r>
          </w:p>
        </w:tc>
      </w:tr>
      <w:tr w:rsidR="004A210D" w:rsidRPr="00911068" w14:paraId="4F79B741" w14:textId="77777777" w:rsidTr="00911068">
        <w:tc>
          <w:tcPr>
            <w:tcW w:w="1301" w:type="pct"/>
            <w:shd w:val="clear" w:color="auto" w:fill="F6FDE9"/>
          </w:tcPr>
          <w:p w14:paraId="3D6CF586" w14:textId="77777777" w:rsidR="004A210D" w:rsidRPr="00911068" w:rsidRDefault="004A210D" w:rsidP="004A210D">
            <w:pPr>
              <w:spacing w:after="0"/>
              <w:rPr>
                <w:rFonts w:cs="Arial"/>
                <w:sz w:val="20"/>
              </w:rPr>
            </w:pPr>
            <w:r w:rsidRPr="00911068">
              <w:rPr>
                <w:rFonts w:eastAsia="Calibri" w:cs="Arial"/>
                <w:b/>
                <w:bCs/>
                <w:sz w:val="20"/>
              </w:rPr>
              <w:t>Sample size</w:t>
            </w:r>
          </w:p>
        </w:tc>
        <w:tc>
          <w:tcPr>
            <w:tcW w:w="3699" w:type="pct"/>
            <w:vAlign w:val="center"/>
          </w:tcPr>
          <w:p w14:paraId="1813ED0D" w14:textId="055D8500" w:rsidR="004A210D" w:rsidRPr="00911068" w:rsidRDefault="004A210D" w:rsidP="004A210D">
            <w:pPr>
              <w:pStyle w:val="TableText"/>
              <w:rPr>
                <w:rFonts w:cs="Arial"/>
              </w:rPr>
            </w:pPr>
            <w:r w:rsidRPr="00911068">
              <w:rPr>
                <w:rFonts w:cs="Arial"/>
                <w:lang w:eastAsia="en-AU"/>
              </w:rPr>
              <w:t xml:space="preserve">311 patients (834 visits analysed) </w:t>
            </w:r>
            <w:hyperlink r:id="rId181" w:history="1"/>
          </w:p>
        </w:tc>
      </w:tr>
      <w:tr w:rsidR="004A210D" w:rsidRPr="00911068" w14:paraId="1E5D9A1B" w14:textId="77777777" w:rsidTr="00911068">
        <w:tc>
          <w:tcPr>
            <w:tcW w:w="1301" w:type="pct"/>
            <w:shd w:val="clear" w:color="auto" w:fill="F6FDE9"/>
          </w:tcPr>
          <w:p w14:paraId="0B7826E9" w14:textId="77777777" w:rsidR="004A210D" w:rsidRPr="00911068" w:rsidRDefault="004A210D" w:rsidP="004A210D">
            <w:pPr>
              <w:spacing w:after="0"/>
              <w:rPr>
                <w:rFonts w:cs="Arial"/>
                <w:sz w:val="20"/>
              </w:rPr>
            </w:pPr>
            <w:r w:rsidRPr="00911068">
              <w:rPr>
                <w:rFonts w:eastAsia="Calibri" w:cs="Arial"/>
                <w:b/>
                <w:bCs/>
                <w:sz w:val="20"/>
              </w:rPr>
              <w:t>Patient characteristics</w:t>
            </w:r>
          </w:p>
        </w:tc>
        <w:tc>
          <w:tcPr>
            <w:tcW w:w="3699" w:type="pct"/>
            <w:vAlign w:val="center"/>
          </w:tcPr>
          <w:p w14:paraId="1B797A82" w14:textId="798AFEE6" w:rsidR="004A210D" w:rsidRPr="00911068" w:rsidRDefault="004A210D" w:rsidP="004A210D">
            <w:pPr>
              <w:pStyle w:val="TableText"/>
              <w:rPr>
                <w:rFonts w:cs="Arial"/>
              </w:rPr>
            </w:pPr>
            <w:r w:rsidRPr="00911068">
              <w:rPr>
                <w:rFonts w:cs="Arial"/>
                <w:lang w:eastAsia="en-AU"/>
              </w:rPr>
              <w:t>Individuals with cystathionine β</w:t>
            </w:r>
            <w:r w:rsidRPr="00911068">
              <w:rPr>
                <w:rFonts w:cs="Arial"/>
                <w:lang w:eastAsia="en-AU"/>
              </w:rPr>
              <w:noBreakHyphen/>
              <w:t>synthase (CBS) deficiency (classical homocystinuria); includes varying phenotypes (non</w:t>
            </w:r>
            <w:r w:rsidRPr="00911068">
              <w:rPr>
                <w:rFonts w:cs="Arial"/>
                <w:lang w:eastAsia="en-AU"/>
              </w:rPr>
              <w:noBreakHyphen/>
              <w:t>responders, partial responders, responders to pyridoxine)</w:t>
            </w:r>
          </w:p>
        </w:tc>
      </w:tr>
      <w:tr w:rsidR="004A210D" w:rsidRPr="00911068" w14:paraId="5CF793DA" w14:textId="77777777" w:rsidTr="00911068">
        <w:tc>
          <w:tcPr>
            <w:tcW w:w="1301" w:type="pct"/>
            <w:shd w:val="clear" w:color="auto" w:fill="F6FDE9"/>
          </w:tcPr>
          <w:p w14:paraId="07EDBF3A" w14:textId="77777777" w:rsidR="004A210D" w:rsidRPr="00911068" w:rsidRDefault="004A210D" w:rsidP="004A210D">
            <w:pPr>
              <w:spacing w:after="0"/>
              <w:rPr>
                <w:rFonts w:cs="Arial"/>
                <w:sz w:val="20"/>
              </w:rPr>
            </w:pPr>
            <w:r w:rsidRPr="00911068">
              <w:rPr>
                <w:rFonts w:eastAsia="Calibri" w:cs="Arial"/>
                <w:b/>
                <w:bCs/>
                <w:sz w:val="20"/>
              </w:rPr>
              <w:t>Inclusion/exclusion of alternative causes</w:t>
            </w:r>
          </w:p>
        </w:tc>
        <w:tc>
          <w:tcPr>
            <w:tcW w:w="3699" w:type="pct"/>
            <w:vAlign w:val="center"/>
          </w:tcPr>
          <w:p w14:paraId="46CDB723" w14:textId="6FC41688" w:rsidR="004A210D" w:rsidRPr="00911068" w:rsidRDefault="004A210D" w:rsidP="004A210D">
            <w:pPr>
              <w:pStyle w:val="TableText"/>
              <w:rPr>
                <w:rFonts w:cs="Arial"/>
              </w:rPr>
            </w:pPr>
            <w:r w:rsidRPr="00911068">
              <w:rPr>
                <w:rFonts w:cs="Arial"/>
                <w:lang w:eastAsia="en-AU"/>
              </w:rPr>
              <w:t xml:space="preserve">Registry includes confirmed CBS deficiency; data cleaned and visits excluded if incomplete or not representative of treatment </w:t>
            </w:r>
            <w:hyperlink r:id="rId182" w:history="1"/>
          </w:p>
        </w:tc>
      </w:tr>
    </w:tbl>
    <w:p w14:paraId="20EFFFBE" w14:textId="77777777" w:rsidR="00E44401" w:rsidRPr="00911068" w:rsidRDefault="00E44401" w:rsidP="00E44401">
      <w:pPr>
        <w:rPr>
          <w:rFonts w:eastAsia="Times New Roman" w:cs="Arial"/>
          <w:b/>
          <w:bCs/>
          <w:sz w:val="20"/>
        </w:rPr>
      </w:pPr>
      <w:r w:rsidRPr="00911068">
        <w:rPr>
          <w:rFonts w:eastAsia="Times New Roman" w:cs="Arial"/>
          <w:b/>
          <w:bCs/>
          <w:sz w:val="20"/>
        </w:rPr>
        <w:t>Exposure</w:t>
      </w:r>
    </w:p>
    <w:tbl>
      <w:tblPr>
        <w:tblStyle w:val="SLROption1"/>
        <w:tblW w:w="5000" w:type="pct"/>
        <w:tblLook w:val="0000" w:firstRow="0" w:lastRow="0" w:firstColumn="0" w:lastColumn="0" w:noHBand="0" w:noVBand="0"/>
      </w:tblPr>
      <w:tblGrid>
        <w:gridCol w:w="3628"/>
        <w:gridCol w:w="10316"/>
      </w:tblGrid>
      <w:tr w:rsidR="00E44401" w:rsidRPr="00911068" w14:paraId="4615451A" w14:textId="77777777" w:rsidTr="00983C71">
        <w:trPr>
          <w:cantSplit/>
          <w:tblHeader/>
        </w:trPr>
        <w:tc>
          <w:tcPr>
            <w:tcW w:w="1301" w:type="pct"/>
            <w:shd w:val="clear" w:color="auto" w:fill="3C533C"/>
          </w:tcPr>
          <w:p w14:paraId="3232E4EE" w14:textId="77777777" w:rsidR="00E44401" w:rsidRPr="00911068" w:rsidRDefault="00E44401" w:rsidP="00983C71">
            <w:pPr>
              <w:spacing w:after="0"/>
              <w:rPr>
                <w:rFonts w:cs="Arial"/>
                <w:sz w:val="20"/>
              </w:rPr>
            </w:pPr>
            <w:r w:rsidRPr="00911068">
              <w:rPr>
                <w:rFonts w:eastAsia="Calibri" w:cs="Arial"/>
                <w:b/>
                <w:bCs/>
                <w:color w:val="FFFFFF"/>
                <w:sz w:val="20"/>
              </w:rPr>
              <w:t>Field</w:t>
            </w:r>
          </w:p>
        </w:tc>
        <w:tc>
          <w:tcPr>
            <w:tcW w:w="3699" w:type="pct"/>
            <w:shd w:val="clear" w:color="auto" w:fill="3C533C"/>
          </w:tcPr>
          <w:p w14:paraId="65854E2F" w14:textId="77777777" w:rsidR="00E44401" w:rsidRPr="00911068" w:rsidRDefault="00E44401" w:rsidP="00983C71">
            <w:pPr>
              <w:spacing w:after="0"/>
              <w:rPr>
                <w:rFonts w:cs="Arial"/>
                <w:sz w:val="20"/>
              </w:rPr>
            </w:pPr>
            <w:r w:rsidRPr="00911068">
              <w:rPr>
                <w:rFonts w:eastAsia="Calibri" w:cs="Arial"/>
                <w:b/>
                <w:bCs/>
                <w:color w:val="FFFFFF"/>
                <w:sz w:val="20"/>
              </w:rPr>
              <w:t>Extracted information</w:t>
            </w:r>
          </w:p>
        </w:tc>
      </w:tr>
      <w:tr w:rsidR="004A210D" w:rsidRPr="00911068" w14:paraId="1206CDC0" w14:textId="77777777" w:rsidTr="00911068">
        <w:tc>
          <w:tcPr>
            <w:tcW w:w="1301" w:type="pct"/>
            <w:shd w:val="clear" w:color="auto" w:fill="F6FDE9"/>
          </w:tcPr>
          <w:p w14:paraId="3908E318" w14:textId="77777777" w:rsidR="004A210D" w:rsidRPr="00911068" w:rsidRDefault="004A210D" w:rsidP="004A210D">
            <w:pPr>
              <w:spacing w:after="0"/>
              <w:rPr>
                <w:rFonts w:cs="Arial"/>
                <w:sz w:val="20"/>
              </w:rPr>
            </w:pPr>
            <w:r w:rsidRPr="00911068">
              <w:rPr>
                <w:rFonts w:eastAsia="Calibri" w:cs="Arial"/>
                <w:b/>
                <w:bCs/>
                <w:sz w:val="20"/>
              </w:rPr>
              <w:t>Exposure characterisation – source</w:t>
            </w:r>
          </w:p>
        </w:tc>
        <w:tc>
          <w:tcPr>
            <w:tcW w:w="3699" w:type="pct"/>
            <w:vAlign w:val="center"/>
          </w:tcPr>
          <w:p w14:paraId="24FCD1BC" w14:textId="001C8231" w:rsidR="004A210D" w:rsidRPr="00911068" w:rsidRDefault="004A210D" w:rsidP="004A210D">
            <w:pPr>
              <w:pStyle w:val="TableText"/>
              <w:rPr>
                <w:rFonts w:cs="Arial"/>
              </w:rPr>
            </w:pPr>
            <w:r w:rsidRPr="00911068">
              <w:rPr>
                <w:rFonts w:cs="Arial"/>
                <w:lang w:eastAsia="en-AU"/>
              </w:rPr>
              <w:t>Pyridoxine (vitamin B6) treatment (as therapy), often combined with diet and/or betaine</w:t>
            </w:r>
          </w:p>
        </w:tc>
      </w:tr>
      <w:tr w:rsidR="004A210D" w:rsidRPr="00911068" w14:paraId="3A5BFE1B" w14:textId="77777777" w:rsidTr="00911068">
        <w:tc>
          <w:tcPr>
            <w:tcW w:w="1301" w:type="pct"/>
            <w:shd w:val="clear" w:color="auto" w:fill="F6FDE9"/>
          </w:tcPr>
          <w:p w14:paraId="2A0FF7EC" w14:textId="77777777" w:rsidR="004A210D" w:rsidRPr="00911068" w:rsidRDefault="004A210D" w:rsidP="004A210D">
            <w:pPr>
              <w:spacing w:after="0"/>
              <w:rPr>
                <w:rFonts w:cs="Arial"/>
                <w:sz w:val="20"/>
              </w:rPr>
            </w:pPr>
            <w:r w:rsidRPr="00911068">
              <w:rPr>
                <w:rFonts w:eastAsia="Calibri" w:cs="Arial"/>
                <w:b/>
                <w:bCs/>
                <w:sz w:val="20"/>
              </w:rPr>
              <w:t>Exposure characterisation – dose</w:t>
            </w:r>
          </w:p>
        </w:tc>
        <w:tc>
          <w:tcPr>
            <w:tcW w:w="3699" w:type="pct"/>
            <w:vAlign w:val="center"/>
          </w:tcPr>
          <w:p w14:paraId="41A6E2EA" w14:textId="50A14ED3" w:rsidR="004A210D" w:rsidRPr="00911068" w:rsidRDefault="004A210D" w:rsidP="004A210D">
            <w:pPr>
              <w:pStyle w:val="TableText"/>
              <w:rPr>
                <w:rFonts w:cs="Arial"/>
              </w:rPr>
            </w:pPr>
            <w:r w:rsidRPr="00911068">
              <w:rPr>
                <w:rFonts w:cs="Arial"/>
                <w:lang w:eastAsia="en-AU"/>
              </w:rPr>
              <w:t xml:space="preserve">Wide range; median ~3.8 mg/kg/day overall; some patients received very high doses (&gt;500 mg/day or &gt;10 mg/kg/day), with some &gt;900 mg/day </w:t>
            </w:r>
            <w:hyperlink r:id="rId183" w:history="1"/>
          </w:p>
        </w:tc>
      </w:tr>
      <w:tr w:rsidR="004A210D" w:rsidRPr="00911068" w14:paraId="5FC9A9AA" w14:textId="77777777" w:rsidTr="00911068">
        <w:tc>
          <w:tcPr>
            <w:tcW w:w="1301" w:type="pct"/>
            <w:shd w:val="clear" w:color="auto" w:fill="F6FDE9"/>
          </w:tcPr>
          <w:p w14:paraId="76301624" w14:textId="77777777" w:rsidR="004A210D" w:rsidRPr="00911068" w:rsidRDefault="004A210D" w:rsidP="004A210D">
            <w:pPr>
              <w:spacing w:after="0"/>
              <w:rPr>
                <w:rFonts w:cs="Arial"/>
                <w:sz w:val="20"/>
              </w:rPr>
            </w:pPr>
            <w:r w:rsidRPr="00911068">
              <w:rPr>
                <w:rFonts w:eastAsia="Calibri" w:cs="Arial"/>
                <w:b/>
                <w:bCs/>
                <w:sz w:val="20"/>
              </w:rPr>
              <w:lastRenderedPageBreak/>
              <w:t>Biomarker of exposure</w:t>
            </w:r>
          </w:p>
        </w:tc>
        <w:tc>
          <w:tcPr>
            <w:tcW w:w="3699" w:type="pct"/>
            <w:vAlign w:val="center"/>
          </w:tcPr>
          <w:p w14:paraId="2DCE5618" w14:textId="4E2D8B00" w:rsidR="004A210D" w:rsidRPr="00911068" w:rsidRDefault="004A210D" w:rsidP="004A210D">
            <w:pPr>
              <w:pStyle w:val="TableText"/>
              <w:rPr>
                <w:rFonts w:cs="Arial"/>
              </w:rPr>
            </w:pPr>
            <w:r w:rsidRPr="00911068">
              <w:rPr>
                <w:rFonts w:cs="Arial"/>
                <w:lang w:eastAsia="en-AU"/>
              </w:rPr>
              <w:t>Plasma total homocysteine (tHcy) used to assess treatment response; methionine levels also monitored</w:t>
            </w:r>
          </w:p>
        </w:tc>
      </w:tr>
      <w:tr w:rsidR="004A210D" w:rsidRPr="00911068" w14:paraId="517D93BD" w14:textId="77777777" w:rsidTr="00911068">
        <w:tc>
          <w:tcPr>
            <w:tcW w:w="1301" w:type="pct"/>
            <w:shd w:val="clear" w:color="auto" w:fill="F6FDE9"/>
          </w:tcPr>
          <w:p w14:paraId="567EBB85" w14:textId="77777777" w:rsidR="004A210D" w:rsidRPr="00911068" w:rsidRDefault="004A210D" w:rsidP="004A210D">
            <w:pPr>
              <w:spacing w:after="0"/>
              <w:rPr>
                <w:rFonts w:cs="Arial"/>
                <w:sz w:val="20"/>
              </w:rPr>
            </w:pPr>
            <w:r w:rsidRPr="00911068">
              <w:rPr>
                <w:rFonts w:eastAsia="Calibri" w:cs="Arial"/>
                <w:b/>
                <w:bCs/>
                <w:sz w:val="20"/>
              </w:rPr>
              <w:t>Duration of exposure</w:t>
            </w:r>
          </w:p>
        </w:tc>
        <w:tc>
          <w:tcPr>
            <w:tcW w:w="3699" w:type="pct"/>
            <w:vAlign w:val="center"/>
          </w:tcPr>
          <w:p w14:paraId="56ECB236" w14:textId="0C91ABBD" w:rsidR="004A210D" w:rsidRPr="00911068" w:rsidRDefault="004A210D" w:rsidP="004A210D">
            <w:pPr>
              <w:pStyle w:val="TableText"/>
              <w:rPr>
                <w:rFonts w:cs="Arial"/>
              </w:rPr>
            </w:pPr>
            <w:r w:rsidRPr="00911068">
              <w:rPr>
                <w:rFonts w:cs="Arial"/>
                <w:lang w:eastAsia="en-AU"/>
              </w:rPr>
              <w:t>Long-term treatment across multiple clinic visits (chronic exposure)</w:t>
            </w:r>
          </w:p>
        </w:tc>
      </w:tr>
    </w:tbl>
    <w:p w14:paraId="5999967F" w14:textId="77777777" w:rsidR="00E44401" w:rsidRPr="00911068" w:rsidRDefault="00E44401" w:rsidP="00E44401">
      <w:pPr>
        <w:rPr>
          <w:rFonts w:eastAsia="Times New Roman" w:cs="Arial"/>
          <w:b/>
          <w:bCs/>
          <w:sz w:val="20"/>
        </w:rPr>
      </w:pPr>
      <w:r w:rsidRPr="00911068">
        <w:rPr>
          <w:rFonts w:eastAsia="Times New Roman" w:cs="Arial"/>
          <w:b/>
          <w:bCs/>
          <w:sz w:val="20"/>
        </w:rPr>
        <w:t>Outcomes</w:t>
      </w:r>
    </w:p>
    <w:tbl>
      <w:tblPr>
        <w:tblStyle w:val="SLROption1"/>
        <w:tblW w:w="5000" w:type="pct"/>
        <w:tblLook w:val="0000" w:firstRow="0" w:lastRow="0" w:firstColumn="0" w:lastColumn="0" w:noHBand="0" w:noVBand="0"/>
      </w:tblPr>
      <w:tblGrid>
        <w:gridCol w:w="3628"/>
        <w:gridCol w:w="10316"/>
      </w:tblGrid>
      <w:tr w:rsidR="00E44401" w:rsidRPr="00911068" w14:paraId="27D5A54A" w14:textId="77777777" w:rsidTr="00911068">
        <w:tc>
          <w:tcPr>
            <w:tcW w:w="1301" w:type="pct"/>
            <w:shd w:val="clear" w:color="auto" w:fill="3C533C"/>
          </w:tcPr>
          <w:p w14:paraId="742F61FF" w14:textId="77777777" w:rsidR="00E44401" w:rsidRPr="00911068" w:rsidRDefault="00E44401" w:rsidP="00983C71">
            <w:pPr>
              <w:spacing w:after="0"/>
              <w:rPr>
                <w:rFonts w:cs="Arial"/>
                <w:sz w:val="20"/>
              </w:rPr>
            </w:pPr>
            <w:r w:rsidRPr="00911068">
              <w:rPr>
                <w:rFonts w:eastAsia="Calibri" w:cs="Arial"/>
                <w:b/>
                <w:bCs/>
                <w:color w:val="FFFFFF"/>
                <w:sz w:val="20"/>
              </w:rPr>
              <w:t>Field</w:t>
            </w:r>
          </w:p>
        </w:tc>
        <w:tc>
          <w:tcPr>
            <w:tcW w:w="3699" w:type="pct"/>
            <w:shd w:val="clear" w:color="auto" w:fill="3C533C"/>
          </w:tcPr>
          <w:p w14:paraId="58CF6800" w14:textId="77777777" w:rsidR="00E44401" w:rsidRPr="00911068" w:rsidRDefault="00E44401" w:rsidP="00983C71">
            <w:pPr>
              <w:spacing w:after="0"/>
              <w:rPr>
                <w:rFonts w:cs="Arial"/>
                <w:sz w:val="20"/>
              </w:rPr>
            </w:pPr>
            <w:r w:rsidRPr="00911068">
              <w:rPr>
                <w:rFonts w:eastAsia="Calibri" w:cs="Arial"/>
                <w:b/>
                <w:bCs/>
                <w:color w:val="FFFFFF"/>
                <w:sz w:val="20"/>
              </w:rPr>
              <w:t>Extracted information</w:t>
            </w:r>
          </w:p>
        </w:tc>
      </w:tr>
      <w:tr w:rsidR="004A210D" w:rsidRPr="00911068" w14:paraId="13B4C621" w14:textId="77777777" w:rsidTr="00911068">
        <w:tc>
          <w:tcPr>
            <w:tcW w:w="1301" w:type="pct"/>
            <w:shd w:val="clear" w:color="auto" w:fill="F6FDE9" w:themeFill="accent5" w:themeFillTint="33"/>
            <w:vAlign w:val="center"/>
          </w:tcPr>
          <w:p w14:paraId="4A32C0D4" w14:textId="618D2A50" w:rsidR="004A210D" w:rsidRPr="00911068" w:rsidRDefault="004A210D" w:rsidP="004A210D">
            <w:pPr>
              <w:spacing w:after="0"/>
              <w:rPr>
                <w:rFonts w:cs="Arial"/>
                <w:sz w:val="20"/>
              </w:rPr>
            </w:pPr>
            <w:r w:rsidRPr="00911068">
              <w:rPr>
                <w:rFonts w:cs="Arial"/>
                <w:b/>
                <w:bCs/>
                <w:sz w:val="20"/>
                <w:lang w:eastAsia="en-AU"/>
              </w:rPr>
              <w:t>Primary outcomes</w:t>
            </w:r>
          </w:p>
        </w:tc>
        <w:tc>
          <w:tcPr>
            <w:tcW w:w="3699" w:type="pct"/>
            <w:vAlign w:val="center"/>
          </w:tcPr>
          <w:p w14:paraId="2DEF5623" w14:textId="50EC1A6A" w:rsidR="004A210D" w:rsidRDefault="004A210D" w:rsidP="00F84245">
            <w:pPr>
              <w:pStyle w:val="TableText"/>
              <w:numPr>
                <w:ilvl w:val="0"/>
                <w:numId w:val="15"/>
              </w:numPr>
              <w:rPr>
                <w:rFonts w:cs="Arial"/>
                <w:lang w:eastAsia="en-AU"/>
              </w:rPr>
            </w:pPr>
            <w:r w:rsidRPr="00911068">
              <w:rPr>
                <w:rFonts w:cs="Arial"/>
                <w:lang w:eastAsia="en-AU"/>
              </w:rPr>
              <w:t>Treatment effectiveness (homocysteine reduction) and clinical outcomes (thromboembolism, lens dislocation)</w:t>
            </w:r>
          </w:p>
          <w:p w14:paraId="181C60A8" w14:textId="3FFEB43F" w:rsidR="00777764" w:rsidRPr="00911068" w:rsidRDefault="00777764" w:rsidP="00F84245">
            <w:pPr>
              <w:pStyle w:val="TableText"/>
              <w:numPr>
                <w:ilvl w:val="0"/>
                <w:numId w:val="15"/>
              </w:numPr>
              <w:rPr>
                <w:rFonts w:cs="Arial"/>
              </w:rPr>
            </w:pPr>
            <w:r w:rsidRPr="00777764">
              <w:rPr>
                <w:rFonts w:cs="Arial"/>
              </w:rPr>
              <w:t>Peripheral neuropathy risk from high-dose pyridoxine</w:t>
            </w:r>
          </w:p>
        </w:tc>
      </w:tr>
      <w:tr w:rsidR="004A210D" w:rsidRPr="00911068" w14:paraId="1F81C087" w14:textId="77777777" w:rsidTr="00911068">
        <w:tc>
          <w:tcPr>
            <w:tcW w:w="1301" w:type="pct"/>
            <w:shd w:val="clear" w:color="auto" w:fill="F6FDE9" w:themeFill="accent5" w:themeFillTint="33"/>
            <w:vAlign w:val="center"/>
          </w:tcPr>
          <w:p w14:paraId="62B8DF81" w14:textId="6FBD0727" w:rsidR="004A210D" w:rsidRPr="00911068" w:rsidRDefault="004A210D" w:rsidP="004A210D">
            <w:pPr>
              <w:spacing w:after="0"/>
              <w:rPr>
                <w:rFonts w:cs="Arial"/>
                <w:sz w:val="20"/>
              </w:rPr>
            </w:pPr>
            <w:r w:rsidRPr="00911068">
              <w:rPr>
                <w:rFonts w:cs="Arial"/>
                <w:b/>
                <w:bCs/>
                <w:sz w:val="20"/>
                <w:lang w:eastAsia="en-AU"/>
              </w:rPr>
              <w:t>Outcome assessment – clinical examination</w:t>
            </w:r>
          </w:p>
        </w:tc>
        <w:tc>
          <w:tcPr>
            <w:tcW w:w="3699" w:type="pct"/>
            <w:vAlign w:val="center"/>
          </w:tcPr>
          <w:p w14:paraId="69633F56" w14:textId="4E6AC34B" w:rsidR="004A210D" w:rsidRPr="00911068" w:rsidRDefault="004A210D" w:rsidP="004A210D">
            <w:pPr>
              <w:pStyle w:val="TableText"/>
              <w:rPr>
                <w:rFonts w:cs="Arial"/>
              </w:rPr>
            </w:pPr>
            <w:r w:rsidRPr="00911068">
              <w:rPr>
                <w:rFonts w:cs="Arial"/>
                <w:lang w:eastAsia="en-AU"/>
              </w:rPr>
              <w:t>Clinical complications (thrombosis, lens dislocation, neurological effects)</w:t>
            </w:r>
          </w:p>
        </w:tc>
      </w:tr>
      <w:tr w:rsidR="004A210D" w:rsidRPr="00911068" w14:paraId="3A286BCF" w14:textId="77777777" w:rsidTr="00911068">
        <w:tc>
          <w:tcPr>
            <w:tcW w:w="1301" w:type="pct"/>
            <w:shd w:val="clear" w:color="auto" w:fill="F6FDE9" w:themeFill="accent5" w:themeFillTint="33"/>
            <w:vAlign w:val="center"/>
          </w:tcPr>
          <w:p w14:paraId="4FC3BF4D" w14:textId="3B99B34D" w:rsidR="004A210D" w:rsidRPr="00911068" w:rsidRDefault="004A210D" w:rsidP="004A210D">
            <w:pPr>
              <w:spacing w:after="0"/>
              <w:rPr>
                <w:rFonts w:cs="Arial"/>
                <w:sz w:val="20"/>
              </w:rPr>
            </w:pPr>
            <w:r w:rsidRPr="00911068">
              <w:rPr>
                <w:rFonts w:cs="Arial"/>
                <w:b/>
                <w:bCs/>
                <w:sz w:val="20"/>
                <w:lang w:eastAsia="en-AU"/>
              </w:rPr>
              <w:t>Outcome assessment – objective testing</w:t>
            </w:r>
          </w:p>
        </w:tc>
        <w:tc>
          <w:tcPr>
            <w:tcW w:w="3699" w:type="pct"/>
            <w:vAlign w:val="center"/>
          </w:tcPr>
          <w:p w14:paraId="238ED905" w14:textId="66DF3558" w:rsidR="004A210D" w:rsidRPr="00911068" w:rsidRDefault="004A210D" w:rsidP="004A210D">
            <w:pPr>
              <w:pStyle w:val="TableText"/>
              <w:rPr>
                <w:rFonts w:cs="Arial"/>
              </w:rPr>
            </w:pPr>
            <w:r w:rsidRPr="00911068">
              <w:rPr>
                <w:rFonts w:cs="Arial"/>
                <w:lang w:eastAsia="en-AU"/>
              </w:rPr>
              <w:t>Plasma homocysteine, methionine concentrations</w:t>
            </w:r>
          </w:p>
        </w:tc>
      </w:tr>
      <w:tr w:rsidR="004A210D" w:rsidRPr="00911068" w14:paraId="268EBD2E" w14:textId="77777777" w:rsidTr="00911068">
        <w:tc>
          <w:tcPr>
            <w:tcW w:w="1301" w:type="pct"/>
            <w:shd w:val="clear" w:color="auto" w:fill="F6FDE9" w:themeFill="accent5" w:themeFillTint="33"/>
            <w:vAlign w:val="center"/>
          </w:tcPr>
          <w:p w14:paraId="3BBCB99E" w14:textId="602D4629" w:rsidR="004A210D" w:rsidRPr="00911068" w:rsidRDefault="004A210D" w:rsidP="004A210D">
            <w:pPr>
              <w:spacing w:after="0"/>
              <w:rPr>
                <w:rFonts w:cs="Arial"/>
                <w:sz w:val="20"/>
              </w:rPr>
            </w:pPr>
            <w:r w:rsidRPr="00911068">
              <w:rPr>
                <w:rFonts w:cs="Arial"/>
                <w:b/>
                <w:bCs/>
                <w:sz w:val="20"/>
                <w:lang w:eastAsia="en-AU"/>
              </w:rPr>
              <w:t>Outcome assessment – tools used</w:t>
            </w:r>
          </w:p>
        </w:tc>
        <w:tc>
          <w:tcPr>
            <w:tcW w:w="3699" w:type="pct"/>
            <w:vAlign w:val="center"/>
          </w:tcPr>
          <w:p w14:paraId="5229BEEF" w14:textId="6D91DF43" w:rsidR="004A210D" w:rsidRPr="00911068" w:rsidRDefault="004A210D" w:rsidP="004A210D">
            <w:pPr>
              <w:pStyle w:val="TableText"/>
              <w:rPr>
                <w:rFonts w:cs="Arial"/>
              </w:rPr>
            </w:pPr>
            <w:r w:rsidRPr="00911068">
              <w:rPr>
                <w:rFonts w:cs="Arial"/>
                <w:lang w:eastAsia="en-AU"/>
              </w:rPr>
              <w:t>Registry data, biochemical assays, clinical event tracking</w:t>
            </w:r>
          </w:p>
        </w:tc>
      </w:tr>
      <w:tr w:rsidR="00777764" w:rsidRPr="00911068" w14:paraId="7F048F30" w14:textId="77777777" w:rsidTr="00911068">
        <w:tc>
          <w:tcPr>
            <w:tcW w:w="1301" w:type="pct"/>
            <w:shd w:val="clear" w:color="auto" w:fill="F6FDE9" w:themeFill="accent5" w:themeFillTint="33"/>
            <w:vAlign w:val="center"/>
          </w:tcPr>
          <w:p w14:paraId="3C71440F" w14:textId="0E90E323" w:rsidR="00777764" w:rsidRPr="00911068" w:rsidRDefault="00777764" w:rsidP="004A210D">
            <w:pPr>
              <w:spacing w:after="0"/>
              <w:rPr>
                <w:rFonts w:cs="Arial"/>
                <w:b/>
                <w:bCs/>
                <w:sz w:val="20"/>
                <w:lang w:eastAsia="en-AU"/>
              </w:rPr>
            </w:pPr>
            <w:r>
              <w:rPr>
                <w:rFonts w:cs="Arial"/>
                <w:b/>
                <w:bCs/>
                <w:sz w:val="20"/>
                <w:lang w:eastAsia="en-AU"/>
              </w:rPr>
              <w:t xml:space="preserve">Response to Withdrawal </w:t>
            </w:r>
          </w:p>
        </w:tc>
        <w:tc>
          <w:tcPr>
            <w:tcW w:w="3699" w:type="pct"/>
            <w:vAlign w:val="center"/>
          </w:tcPr>
          <w:p w14:paraId="604CD7ED" w14:textId="1767CE28" w:rsidR="00777764" w:rsidRPr="00911068" w:rsidRDefault="00777764" w:rsidP="004A210D">
            <w:pPr>
              <w:pStyle w:val="TableText"/>
              <w:rPr>
                <w:rFonts w:cs="Arial"/>
                <w:lang w:eastAsia="en-AU"/>
              </w:rPr>
            </w:pPr>
            <w:r>
              <w:rPr>
                <w:rFonts w:cs="Arial"/>
                <w:lang w:eastAsia="en-AU"/>
              </w:rPr>
              <w:t>NA</w:t>
            </w:r>
          </w:p>
        </w:tc>
      </w:tr>
    </w:tbl>
    <w:p w14:paraId="4CFC45D5" w14:textId="77777777" w:rsidR="00E44401" w:rsidRPr="00911068" w:rsidRDefault="00E44401" w:rsidP="00E44401">
      <w:pPr>
        <w:rPr>
          <w:rFonts w:eastAsia="Times New Roman" w:cs="Arial"/>
          <w:b/>
          <w:bCs/>
          <w:sz w:val="20"/>
        </w:rPr>
      </w:pPr>
      <w:r w:rsidRPr="00911068">
        <w:rPr>
          <w:rFonts w:eastAsia="Times New Roman" w:cs="Arial"/>
          <w:b/>
          <w:bCs/>
          <w:sz w:val="20"/>
        </w:rPr>
        <w:t>Results and Conclusions</w:t>
      </w:r>
    </w:p>
    <w:tbl>
      <w:tblPr>
        <w:tblStyle w:val="SLROption1"/>
        <w:tblW w:w="5000" w:type="pct"/>
        <w:tblLook w:val="0000" w:firstRow="0" w:lastRow="0" w:firstColumn="0" w:lastColumn="0" w:noHBand="0" w:noVBand="0"/>
      </w:tblPr>
      <w:tblGrid>
        <w:gridCol w:w="3628"/>
        <w:gridCol w:w="10316"/>
      </w:tblGrid>
      <w:tr w:rsidR="00E44401" w:rsidRPr="00911068" w14:paraId="31136E1C" w14:textId="77777777" w:rsidTr="00983C71">
        <w:trPr>
          <w:cantSplit/>
          <w:tblHeader/>
        </w:trPr>
        <w:tc>
          <w:tcPr>
            <w:tcW w:w="1301" w:type="pct"/>
            <w:shd w:val="clear" w:color="auto" w:fill="3C533C"/>
          </w:tcPr>
          <w:p w14:paraId="050FD818" w14:textId="77777777" w:rsidR="00E44401" w:rsidRPr="00911068" w:rsidRDefault="00E44401" w:rsidP="00983C71">
            <w:pPr>
              <w:spacing w:after="0"/>
              <w:rPr>
                <w:rFonts w:cs="Arial"/>
                <w:sz w:val="20"/>
              </w:rPr>
            </w:pPr>
            <w:r w:rsidRPr="00911068">
              <w:rPr>
                <w:rFonts w:eastAsia="Calibri" w:cs="Arial"/>
                <w:b/>
                <w:bCs/>
                <w:color w:val="FFFFFF"/>
                <w:sz w:val="20"/>
              </w:rPr>
              <w:t>Field</w:t>
            </w:r>
          </w:p>
        </w:tc>
        <w:tc>
          <w:tcPr>
            <w:tcW w:w="3699" w:type="pct"/>
            <w:shd w:val="clear" w:color="auto" w:fill="3C533C"/>
          </w:tcPr>
          <w:p w14:paraId="4BE1D0C8" w14:textId="77777777" w:rsidR="00E44401" w:rsidRPr="00911068" w:rsidRDefault="00E44401" w:rsidP="00983C71">
            <w:pPr>
              <w:spacing w:after="0"/>
              <w:rPr>
                <w:rFonts w:cs="Arial"/>
                <w:sz w:val="20"/>
              </w:rPr>
            </w:pPr>
            <w:r w:rsidRPr="00911068">
              <w:rPr>
                <w:rFonts w:eastAsia="Calibri" w:cs="Arial"/>
                <w:b/>
                <w:bCs/>
                <w:color w:val="FFFFFF"/>
                <w:sz w:val="20"/>
              </w:rPr>
              <w:t>Extracted information</w:t>
            </w:r>
          </w:p>
        </w:tc>
      </w:tr>
      <w:tr w:rsidR="0088572C" w:rsidRPr="00911068" w14:paraId="1262EF83" w14:textId="77777777" w:rsidTr="00911068">
        <w:trPr>
          <w:cantSplit/>
        </w:trPr>
        <w:tc>
          <w:tcPr>
            <w:tcW w:w="1301" w:type="pct"/>
            <w:shd w:val="clear" w:color="auto" w:fill="F6FDE9"/>
          </w:tcPr>
          <w:p w14:paraId="5173FFC3" w14:textId="30766033" w:rsidR="0088572C" w:rsidRPr="00911068" w:rsidRDefault="0088572C" w:rsidP="0088572C">
            <w:pPr>
              <w:spacing w:after="0"/>
              <w:rPr>
                <w:rFonts w:cs="Arial"/>
                <w:sz w:val="20"/>
              </w:rPr>
            </w:pPr>
            <w:r w:rsidRPr="00911068">
              <w:rPr>
                <w:rFonts w:eastAsia="Calibri" w:cs="Arial"/>
                <w:b/>
                <w:bCs/>
                <w:sz w:val="20"/>
              </w:rPr>
              <w:t>Main results (efficacy)</w:t>
            </w:r>
          </w:p>
        </w:tc>
        <w:tc>
          <w:tcPr>
            <w:tcW w:w="3699" w:type="pct"/>
            <w:vAlign w:val="center"/>
          </w:tcPr>
          <w:p w14:paraId="6A27C2A4" w14:textId="5759D263" w:rsidR="0088572C" w:rsidRPr="00911068" w:rsidRDefault="0088572C" w:rsidP="0088572C">
            <w:pPr>
              <w:pStyle w:val="TableText"/>
              <w:rPr>
                <w:rFonts w:cs="Arial"/>
              </w:rPr>
            </w:pPr>
            <w:r w:rsidRPr="00911068">
              <w:rPr>
                <w:rFonts w:cs="Arial"/>
                <w:lang w:eastAsia="en-AU"/>
              </w:rPr>
              <w:t xml:space="preserve">Pyridoxine responders achieved good biochemical control (tHcy &lt;50 μmol/L); non-responders often required diet/betaine but many failed to reach targets </w:t>
            </w:r>
            <w:hyperlink r:id="rId184" w:history="1"/>
          </w:p>
        </w:tc>
      </w:tr>
      <w:tr w:rsidR="0088572C" w:rsidRPr="00911068" w14:paraId="790212B6" w14:textId="77777777" w:rsidTr="00911068">
        <w:trPr>
          <w:cantSplit/>
        </w:trPr>
        <w:tc>
          <w:tcPr>
            <w:tcW w:w="1301" w:type="pct"/>
            <w:shd w:val="clear" w:color="auto" w:fill="F6FDE9"/>
          </w:tcPr>
          <w:p w14:paraId="2D3C0FF9" w14:textId="2FECAD06" w:rsidR="0088572C" w:rsidRPr="00911068" w:rsidRDefault="0088572C" w:rsidP="0088572C">
            <w:pPr>
              <w:spacing w:after="0"/>
              <w:rPr>
                <w:rFonts w:eastAsia="Calibri" w:cs="Arial"/>
                <w:b/>
                <w:bCs/>
                <w:sz w:val="20"/>
              </w:rPr>
            </w:pPr>
            <w:r w:rsidRPr="00911068">
              <w:rPr>
                <w:rFonts w:eastAsia="Calibri" w:cs="Arial"/>
                <w:b/>
                <w:bCs/>
                <w:sz w:val="20"/>
              </w:rPr>
              <w:t>Main Results (clinical)</w:t>
            </w:r>
          </w:p>
        </w:tc>
        <w:tc>
          <w:tcPr>
            <w:tcW w:w="3699" w:type="pct"/>
            <w:vAlign w:val="center"/>
          </w:tcPr>
          <w:p w14:paraId="743D9174" w14:textId="2BE902B9" w:rsidR="0088572C" w:rsidRPr="00911068" w:rsidRDefault="0088572C" w:rsidP="0088572C">
            <w:pPr>
              <w:pStyle w:val="TableText"/>
              <w:rPr>
                <w:rFonts w:cs="Arial"/>
                <w:lang w:eastAsia="en-AU"/>
              </w:rPr>
            </w:pPr>
            <w:r w:rsidRPr="00911068">
              <w:rPr>
                <w:rFonts w:cs="Arial"/>
                <w:lang w:eastAsia="en-AU"/>
              </w:rPr>
              <w:t xml:space="preserve">Early treatment reduced risk of thromboembolism (RR ~0.073) and lens dislocation (RR ~0.069) </w:t>
            </w:r>
            <w:hyperlink r:id="rId185" w:history="1"/>
          </w:p>
        </w:tc>
      </w:tr>
      <w:tr w:rsidR="0088572C" w:rsidRPr="00911068" w14:paraId="6DFE3B9E" w14:textId="77777777" w:rsidTr="00911068">
        <w:trPr>
          <w:cantSplit/>
        </w:trPr>
        <w:tc>
          <w:tcPr>
            <w:tcW w:w="1301" w:type="pct"/>
            <w:shd w:val="clear" w:color="auto" w:fill="F6FDE9"/>
          </w:tcPr>
          <w:p w14:paraId="17BFB911" w14:textId="68AC4222" w:rsidR="0088572C" w:rsidRPr="00911068" w:rsidRDefault="0088572C" w:rsidP="0088572C">
            <w:pPr>
              <w:spacing w:after="0"/>
              <w:rPr>
                <w:rFonts w:eastAsia="Calibri" w:cs="Arial"/>
                <w:b/>
                <w:bCs/>
                <w:sz w:val="20"/>
              </w:rPr>
            </w:pPr>
            <w:r w:rsidRPr="00911068">
              <w:rPr>
                <w:rFonts w:eastAsia="Calibri" w:cs="Arial"/>
                <w:b/>
                <w:bCs/>
                <w:sz w:val="20"/>
              </w:rPr>
              <w:t>Main Results (</w:t>
            </w:r>
            <w:r w:rsidRPr="00911068">
              <w:rPr>
                <w:rFonts w:eastAsia="Calibri" w:cs="Arial"/>
                <w:b/>
                <w:bCs/>
                <w:sz w:val="20"/>
              </w:rPr>
              <w:br/>
              <w:t>toxicity)</w:t>
            </w:r>
          </w:p>
        </w:tc>
        <w:tc>
          <w:tcPr>
            <w:tcW w:w="3699" w:type="pct"/>
            <w:vAlign w:val="center"/>
          </w:tcPr>
          <w:p w14:paraId="312B879C" w14:textId="54612091" w:rsidR="0088572C" w:rsidRPr="00911068" w:rsidRDefault="0088572C" w:rsidP="0088572C">
            <w:pPr>
              <w:pStyle w:val="TableText"/>
              <w:rPr>
                <w:rFonts w:cs="Arial"/>
                <w:lang w:eastAsia="en-AU"/>
              </w:rPr>
            </w:pPr>
            <w:r w:rsidRPr="00911068">
              <w:rPr>
                <w:rFonts w:cs="Arial"/>
                <w:lang w:eastAsia="en-AU"/>
              </w:rPr>
              <w:t xml:space="preserve">High-dose pyridoxine associated with </w:t>
            </w:r>
            <w:r w:rsidRPr="008F27B6">
              <w:rPr>
                <w:rFonts w:cs="Arial"/>
                <w:lang w:eastAsia="en-AU"/>
              </w:rPr>
              <w:t>risk of peripheral neuropathy, particularly</w:t>
            </w:r>
            <w:r w:rsidRPr="00911068">
              <w:rPr>
                <w:rFonts w:cs="Arial"/>
                <w:lang w:eastAsia="en-AU"/>
              </w:rPr>
              <w:t>:</w:t>
            </w:r>
          </w:p>
        </w:tc>
      </w:tr>
      <w:tr w:rsidR="0088572C" w:rsidRPr="00911068" w14:paraId="619AA576" w14:textId="77777777" w:rsidTr="00911068">
        <w:trPr>
          <w:cantSplit/>
        </w:trPr>
        <w:tc>
          <w:tcPr>
            <w:tcW w:w="1301" w:type="pct"/>
            <w:vAlign w:val="center"/>
          </w:tcPr>
          <w:p w14:paraId="2C3FF7D6" w14:textId="7175280B" w:rsidR="0088572C" w:rsidRPr="00911068" w:rsidRDefault="0088572C" w:rsidP="0088572C">
            <w:pPr>
              <w:spacing w:after="0"/>
              <w:rPr>
                <w:rFonts w:eastAsia="Calibri" w:cs="Arial"/>
                <w:b/>
                <w:bCs/>
                <w:sz w:val="20"/>
              </w:rPr>
            </w:pPr>
            <w:r w:rsidRPr="00911068">
              <w:rPr>
                <w:rFonts w:cs="Arial"/>
                <w:sz w:val="20"/>
                <w:lang w:eastAsia="en-AU"/>
              </w:rPr>
              <w:t>Risk threshold</w:t>
            </w:r>
          </w:p>
        </w:tc>
        <w:tc>
          <w:tcPr>
            <w:tcW w:w="3699" w:type="pct"/>
            <w:vAlign w:val="center"/>
          </w:tcPr>
          <w:p w14:paraId="2D1389CF" w14:textId="2AF08D11" w:rsidR="0088572C" w:rsidRPr="00911068" w:rsidRDefault="0088572C" w:rsidP="0088572C">
            <w:pPr>
              <w:pStyle w:val="TableText"/>
              <w:rPr>
                <w:rFonts w:cs="Arial"/>
                <w:lang w:eastAsia="en-AU"/>
              </w:rPr>
            </w:pPr>
            <w:r w:rsidRPr="00911068">
              <w:rPr>
                <w:rFonts w:cs="Arial"/>
                <w:lang w:eastAsia="en-AU"/>
              </w:rPr>
              <w:t>High risk above ~900 mg/day</w:t>
            </w:r>
          </w:p>
        </w:tc>
      </w:tr>
      <w:tr w:rsidR="0088572C" w:rsidRPr="00911068" w14:paraId="188F2187" w14:textId="77777777" w:rsidTr="00911068">
        <w:trPr>
          <w:cantSplit/>
        </w:trPr>
        <w:tc>
          <w:tcPr>
            <w:tcW w:w="1301" w:type="pct"/>
            <w:vAlign w:val="center"/>
          </w:tcPr>
          <w:p w14:paraId="7D6ACF58" w14:textId="4C01F985" w:rsidR="0088572C" w:rsidRPr="00911068" w:rsidRDefault="0088572C" w:rsidP="0088572C">
            <w:pPr>
              <w:spacing w:after="0"/>
              <w:rPr>
                <w:rFonts w:eastAsia="Calibri" w:cs="Arial"/>
                <w:b/>
                <w:bCs/>
                <w:sz w:val="20"/>
              </w:rPr>
            </w:pPr>
            <w:r w:rsidRPr="00911068">
              <w:rPr>
                <w:rFonts w:cs="Arial"/>
                <w:sz w:val="20"/>
                <w:lang w:eastAsia="en-AU"/>
              </w:rPr>
              <w:t>Guideline safe upper range</w:t>
            </w:r>
          </w:p>
        </w:tc>
        <w:tc>
          <w:tcPr>
            <w:tcW w:w="3699" w:type="pct"/>
            <w:vAlign w:val="center"/>
          </w:tcPr>
          <w:p w14:paraId="05A15038" w14:textId="36EA1A5B" w:rsidR="0088572C" w:rsidRPr="00911068" w:rsidRDefault="0088572C" w:rsidP="0088572C">
            <w:pPr>
              <w:pStyle w:val="TableText"/>
              <w:rPr>
                <w:rFonts w:cs="Arial"/>
                <w:lang w:eastAsia="en-AU"/>
              </w:rPr>
            </w:pPr>
            <w:r w:rsidRPr="00911068">
              <w:rPr>
                <w:rFonts w:cs="Arial"/>
                <w:lang w:eastAsia="en-AU"/>
              </w:rPr>
              <w:t>≤500 mg/day or ≤10 mg/kg/day</w:t>
            </w:r>
          </w:p>
        </w:tc>
      </w:tr>
      <w:tr w:rsidR="0088572C" w:rsidRPr="00911068" w14:paraId="5901371E" w14:textId="77777777" w:rsidTr="00911068">
        <w:trPr>
          <w:cantSplit/>
        </w:trPr>
        <w:tc>
          <w:tcPr>
            <w:tcW w:w="1301" w:type="pct"/>
            <w:vAlign w:val="center"/>
          </w:tcPr>
          <w:p w14:paraId="1B829F69" w14:textId="4BCC4A7C" w:rsidR="0088572C" w:rsidRPr="00911068" w:rsidRDefault="0088572C" w:rsidP="0088572C">
            <w:pPr>
              <w:spacing w:after="0"/>
              <w:rPr>
                <w:rFonts w:eastAsia="Calibri" w:cs="Arial"/>
                <w:b/>
                <w:bCs/>
                <w:sz w:val="20"/>
              </w:rPr>
            </w:pPr>
            <w:r w:rsidRPr="00911068">
              <w:rPr>
                <w:rFonts w:cs="Arial"/>
                <w:sz w:val="20"/>
                <w:lang w:eastAsia="en-AU"/>
              </w:rPr>
              <w:t>Real-world finding</w:t>
            </w:r>
          </w:p>
        </w:tc>
        <w:tc>
          <w:tcPr>
            <w:tcW w:w="3699" w:type="pct"/>
            <w:vAlign w:val="center"/>
          </w:tcPr>
          <w:p w14:paraId="7D2A40B4" w14:textId="251A361F" w:rsidR="0088572C" w:rsidRPr="00911068" w:rsidRDefault="0088572C" w:rsidP="0088572C">
            <w:pPr>
              <w:pStyle w:val="TableText"/>
              <w:rPr>
                <w:rFonts w:cs="Arial"/>
                <w:lang w:eastAsia="en-AU"/>
              </w:rPr>
            </w:pPr>
            <w:r w:rsidRPr="00911068">
              <w:rPr>
                <w:rFonts w:cs="Arial"/>
                <w:lang w:eastAsia="en-AU"/>
              </w:rPr>
              <w:t xml:space="preserve">Some patients exceeded safe limits (including &gt;900 mg/day) </w:t>
            </w:r>
            <w:hyperlink r:id="rId186" w:history="1"/>
          </w:p>
        </w:tc>
      </w:tr>
      <w:tr w:rsidR="0088572C" w:rsidRPr="00911068" w14:paraId="1C4A2EAB" w14:textId="77777777" w:rsidTr="00911068">
        <w:trPr>
          <w:cantSplit/>
        </w:trPr>
        <w:tc>
          <w:tcPr>
            <w:tcW w:w="1301" w:type="pct"/>
            <w:shd w:val="clear" w:color="auto" w:fill="F6FDE9"/>
          </w:tcPr>
          <w:p w14:paraId="788B3793" w14:textId="77777777" w:rsidR="0088572C" w:rsidRPr="00911068" w:rsidRDefault="0088572C" w:rsidP="0088572C">
            <w:pPr>
              <w:spacing w:after="0"/>
              <w:rPr>
                <w:rFonts w:eastAsia="Calibri" w:cs="Arial"/>
                <w:b/>
                <w:bCs/>
                <w:sz w:val="20"/>
              </w:rPr>
            </w:pPr>
            <w:r w:rsidRPr="00911068">
              <w:rPr>
                <w:rFonts w:eastAsia="Calibri" w:cs="Arial"/>
                <w:b/>
                <w:bCs/>
                <w:sz w:val="20"/>
              </w:rPr>
              <w:t>Authors' conclusions</w:t>
            </w:r>
          </w:p>
        </w:tc>
        <w:tc>
          <w:tcPr>
            <w:tcW w:w="3699" w:type="pct"/>
            <w:vAlign w:val="center"/>
          </w:tcPr>
          <w:p w14:paraId="0FDFEB15" w14:textId="799AFE9A" w:rsidR="0088572C" w:rsidRPr="00911068" w:rsidRDefault="0088572C" w:rsidP="0088572C">
            <w:pPr>
              <w:pStyle w:val="TableText"/>
              <w:rPr>
                <w:rFonts w:cs="Arial"/>
              </w:rPr>
            </w:pPr>
            <w:r w:rsidRPr="00911068">
              <w:rPr>
                <w:rFonts w:cs="Arial"/>
                <w:lang w:eastAsia="en-AU"/>
              </w:rPr>
              <w:t xml:space="preserve">Treatment improves outcomes but excessive pyridoxine dosing occurs in practice and may cause harm (neuropathy risk); lowest effective dose should be used </w:t>
            </w:r>
            <w:hyperlink r:id="rId187" w:history="1"/>
          </w:p>
        </w:tc>
      </w:tr>
      <w:tr w:rsidR="0088572C" w:rsidRPr="00911068" w14:paraId="4226F294" w14:textId="77777777" w:rsidTr="00911068">
        <w:trPr>
          <w:cantSplit/>
        </w:trPr>
        <w:tc>
          <w:tcPr>
            <w:tcW w:w="1301" w:type="pct"/>
            <w:shd w:val="clear" w:color="auto" w:fill="F6FDE9" w:themeFill="accent5" w:themeFillTint="33"/>
            <w:vAlign w:val="center"/>
          </w:tcPr>
          <w:p w14:paraId="64ED05C6" w14:textId="77777777" w:rsidR="0088572C" w:rsidRPr="00911068" w:rsidRDefault="0088572C" w:rsidP="0088572C">
            <w:pPr>
              <w:spacing w:after="0"/>
              <w:rPr>
                <w:rFonts w:eastAsia="Calibri" w:cs="Arial"/>
                <w:b/>
                <w:bCs/>
                <w:sz w:val="20"/>
              </w:rPr>
            </w:pPr>
            <w:r w:rsidRPr="00911068">
              <w:rPr>
                <w:rFonts w:cs="Arial"/>
                <w:b/>
                <w:bCs/>
                <w:sz w:val="20"/>
                <w:lang w:eastAsia="en-AU"/>
              </w:rPr>
              <w:lastRenderedPageBreak/>
              <w:t>Authors' acknowledged limitations</w:t>
            </w:r>
          </w:p>
        </w:tc>
        <w:tc>
          <w:tcPr>
            <w:tcW w:w="3699" w:type="pct"/>
            <w:vAlign w:val="center"/>
          </w:tcPr>
          <w:p w14:paraId="74036AD9" w14:textId="23E6C7AB" w:rsidR="0088572C" w:rsidRPr="00911068" w:rsidRDefault="0088572C" w:rsidP="0088572C">
            <w:pPr>
              <w:pStyle w:val="TableText"/>
              <w:rPr>
                <w:rFonts w:cs="Arial"/>
              </w:rPr>
            </w:pPr>
            <w:r w:rsidRPr="00911068">
              <w:rPr>
                <w:rFonts w:cs="Arial"/>
                <w:lang w:eastAsia="en-AU"/>
              </w:rPr>
              <w:t>Registry data variability, incomplete data, inability to confirm compliance or causality</w:t>
            </w:r>
          </w:p>
        </w:tc>
      </w:tr>
    </w:tbl>
    <w:p w14:paraId="6B34F965" w14:textId="77777777" w:rsidR="00E44401" w:rsidRPr="00911068" w:rsidRDefault="00E44401" w:rsidP="00E44401">
      <w:pPr>
        <w:rPr>
          <w:rFonts w:eastAsia="Times New Roman" w:cs="Arial"/>
          <w:b/>
          <w:bCs/>
          <w:sz w:val="20"/>
        </w:rPr>
      </w:pPr>
      <w:r w:rsidRPr="00911068">
        <w:rPr>
          <w:rFonts w:eastAsia="Times New Roman" w:cs="Arial"/>
          <w:b/>
          <w:bCs/>
          <w:sz w:val="20"/>
        </w:rPr>
        <w:t>Contextual information for the AU/NZ UL review</w:t>
      </w:r>
    </w:p>
    <w:tbl>
      <w:tblPr>
        <w:tblStyle w:val="SLROption1"/>
        <w:tblW w:w="5000" w:type="pct"/>
        <w:tblLook w:val="0000" w:firstRow="0" w:lastRow="0" w:firstColumn="0" w:lastColumn="0" w:noHBand="0" w:noVBand="0"/>
      </w:tblPr>
      <w:tblGrid>
        <w:gridCol w:w="3628"/>
        <w:gridCol w:w="10316"/>
      </w:tblGrid>
      <w:tr w:rsidR="00E44401" w:rsidRPr="00911068" w14:paraId="08BE6076" w14:textId="77777777" w:rsidTr="00983C71">
        <w:tc>
          <w:tcPr>
            <w:tcW w:w="1301" w:type="pct"/>
            <w:shd w:val="clear" w:color="auto" w:fill="F6FDE9"/>
          </w:tcPr>
          <w:p w14:paraId="6A508B87" w14:textId="77777777" w:rsidR="00E44401" w:rsidRPr="00911068" w:rsidRDefault="00E44401" w:rsidP="00983C71">
            <w:pPr>
              <w:spacing w:after="0"/>
              <w:rPr>
                <w:rFonts w:cs="Arial"/>
                <w:sz w:val="20"/>
              </w:rPr>
            </w:pPr>
            <w:r w:rsidRPr="00911068">
              <w:rPr>
                <w:rFonts w:eastAsia="Calibri" w:cs="Arial"/>
                <w:b/>
                <w:bCs/>
                <w:sz w:val="20"/>
              </w:rPr>
              <w:t>Generalisability to AU/NZ</w:t>
            </w:r>
          </w:p>
        </w:tc>
        <w:tc>
          <w:tcPr>
            <w:tcW w:w="3699" w:type="pct"/>
          </w:tcPr>
          <w:p w14:paraId="2F05B35A" w14:textId="4FEBB46D" w:rsidR="00E44401" w:rsidRPr="00911068" w:rsidRDefault="0088572C" w:rsidP="00983C71">
            <w:pPr>
              <w:spacing w:after="0"/>
              <w:rPr>
                <w:rFonts w:cs="Arial"/>
                <w:sz w:val="20"/>
              </w:rPr>
            </w:pPr>
            <w:r w:rsidRPr="00911068">
              <w:rPr>
                <w:rFonts w:eastAsia="Calibri" w:cs="Arial"/>
                <w:sz w:val="20"/>
              </w:rPr>
              <w:t>Limited for intake modelling (rare disease + therapeutic dosing), but highly relevant for upper limit hazard identification due to documented high-dose toxicity</w:t>
            </w:r>
          </w:p>
        </w:tc>
      </w:tr>
    </w:tbl>
    <w:p w14:paraId="4EF29439" w14:textId="77777777" w:rsidR="0088572C" w:rsidRPr="00911068" w:rsidRDefault="0088572C" w:rsidP="00E44401">
      <w:pPr>
        <w:pStyle w:val="Heading9"/>
        <w:rPr>
          <w:rFonts w:cs="Arial"/>
          <w:sz w:val="20"/>
        </w:rPr>
        <w:sectPr w:rsidR="0088572C" w:rsidRPr="00911068" w:rsidSect="00B8180E">
          <w:pgSz w:w="16834" w:h="11909" w:orient="landscape" w:code="9"/>
          <w:pgMar w:top="1440" w:right="1440" w:bottom="1440" w:left="1440" w:header="576" w:footer="576" w:gutter="0"/>
          <w:cols w:space="720"/>
          <w:docGrid w:linePitch="360"/>
        </w:sectPr>
      </w:pPr>
    </w:p>
    <w:p w14:paraId="5B42E5C7" w14:textId="670808E7" w:rsidR="00E44401" w:rsidRPr="00911068" w:rsidRDefault="0088572C" w:rsidP="00E44401">
      <w:pPr>
        <w:pStyle w:val="Heading9"/>
        <w:rPr>
          <w:rFonts w:cs="Arial"/>
          <w:sz w:val="20"/>
        </w:rPr>
      </w:pPr>
      <w:bookmarkStart w:id="85" w:name="_Toc233022902"/>
      <w:r w:rsidRPr="00911068">
        <w:rPr>
          <w:rFonts w:cs="Arial"/>
          <w:sz w:val="20"/>
        </w:rPr>
        <w:lastRenderedPageBreak/>
        <w:t>Muhamad et al.</w:t>
      </w:r>
      <w:r w:rsidR="00E44401" w:rsidRPr="00911068">
        <w:rPr>
          <w:rFonts w:cs="Arial"/>
          <w:sz w:val="20"/>
        </w:rPr>
        <w:t>, 202</w:t>
      </w:r>
      <w:r w:rsidRPr="00911068">
        <w:rPr>
          <w:rFonts w:cs="Arial"/>
          <w:sz w:val="20"/>
        </w:rPr>
        <w:t>3</w:t>
      </w:r>
      <w:bookmarkEnd w:id="85"/>
    </w:p>
    <w:p w14:paraId="3075DF3B" w14:textId="77777777" w:rsidR="00E44401" w:rsidRPr="00911068" w:rsidRDefault="00E44401" w:rsidP="00E44401">
      <w:pPr>
        <w:keepNext/>
        <w:spacing w:before="240"/>
        <w:ind w:left="1080" w:hanging="1080"/>
        <w:rPr>
          <w:rFonts w:eastAsia="Calibri" w:cs="Arial"/>
          <w:b/>
          <w:bCs/>
          <w:sz w:val="20"/>
        </w:rPr>
      </w:pPr>
      <w:r w:rsidRPr="00911068">
        <w:rPr>
          <w:rFonts w:eastAsia="Calibri" w:cs="Arial"/>
          <w:b/>
          <w:bCs/>
          <w:sz w:val="20"/>
        </w:rPr>
        <w:t>Study identification and design</w:t>
      </w:r>
    </w:p>
    <w:tbl>
      <w:tblPr>
        <w:tblStyle w:val="SLROption1"/>
        <w:tblW w:w="5000" w:type="pct"/>
        <w:tblLook w:val="0000" w:firstRow="0" w:lastRow="0" w:firstColumn="0" w:lastColumn="0" w:noHBand="0" w:noVBand="0"/>
      </w:tblPr>
      <w:tblGrid>
        <w:gridCol w:w="3628"/>
        <w:gridCol w:w="10316"/>
      </w:tblGrid>
      <w:tr w:rsidR="00E44401" w:rsidRPr="00911068" w14:paraId="149BE2F2" w14:textId="77777777" w:rsidTr="00983C71">
        <w:tc>
          <w:tcPr>
            <w:tcW w:w="1301" w:type="pct"/>
            <w:shd w:val="clear" w:color="auto" w:fill="3C533C"/>
          </w:tcPr>
          <w:p w14:paraId="3501AF67" w14:textId="77777777" w:rsidR="00E44401" w:rsidRPr="00911068" w:rsidRDefault="00E44401" w:rsidP="00983C71">
            <w:pPr>
              <w:pStyle w:val="TableText"/>
              <w:rPr>
                <w:rFonts w:cs="Arial"/>
                <w:b/>
                <w:bCs/>
                <w:color w:val="FFFFFF" w:themeColor="background1"/>
              </w:rPr>
            </w:pPr>
            <w:r w:rsidRPr="00911068">
              <w:rPr>
                <w:rFonts w:cs="Arial"/>
                <w:b/>
                <w:bCs/>
                <w:color w:val="FFFFFF" w:themeColor="background1"/>
              </w:rPr>
              <w:t>Field</w:t>
            </w:r>
          </w:p>
        </w:tc>
        <w:tc>
          <w:tcPr>
            <w:tcW w:w="3699" w:type="pct"/>
            <w:shd w:val="clear" w:color="auto" w:fill="3C533C"/>
          </w:tcPr>
          <w:p w14:paraId="1CB2DB83" w14:textId="77777777" w:rsidR="00E44401" w:rsidRPr="00911068" w:rsidRDefault="00E44401" w:rsidP="00983C71">
            <w:pPr>
              <w:pStyle w:val="TableText"/>
              <w:rPr>
                <w:rFonts w:cs="Arial"/>
                <w:b/>
                <w:bCs/>
                <w:color w:val="FFFFFF" w:themeColor="background1"/>
              </w:rPr>
            </w:pPr>
            <w:r w:rsidRPr="00911068">
              <w:rPr>
                <w:rFonts w:cs="Arial"/>
                <w:b/>
                <w:bCs/>
                <w:color w:val="FFFFFF" w:themeColor="background1"/>
              </w:rPr>
              <w:t>Extracted information</w:t>
            </w:r>
          </w:p>
        </w:tc>
      </w:tr>
      <w:tr w:rsidR="0088572C" w:rsidRPr="00911068" w14:paraId="1BF044E5" w14:textId="77777777" w:rsidTr="00911068">
        <w:tc>
          <w:tcPr>
            <w:tcW w:w="1301" w:type="pct"/>
            <w:shd w:val="clear" w:color="auto" w:fill="F6FDE9"/>
          </w:tcPr>
          <w:p w14:paraId="3B5E13CA" w14:textId="77777777" w:rsidR="0088572C" w:rsidRPr="00911068" w:rsidRDefault="0088572C" w:rsidP="0088572C">
            <w:pPr>
              <w:pStyle w:val="TableText"/>
              <w:rPr>
                <w:rFonts w:cs="Arial"/>
                <w:b/>
                <w:bCs/>
              </w:rPr>
            </w:pPr>
            <w:r w:rsidRPr="00911068">
              <w:rPr>
                <w:rFonts w:cs="Arial"/>
                <w:b/>
                <w:bCs/>
              </w:rPr>
              <w:t>Citation</w:t>
            </w:r>
          </w:p>
        </w:tc>
        <w:tc>
          <w:tcPr>
            <w:tcW w:w="3699" w:type="pct"/>
            <w:vAlign w:val="center"/>
          </w:tcPr>
          <w:p w14:paraId="2329F6DD" w14:textId="60A914E3" w:rsidR="0088572C" w:rsidRPr="00911068" w:rsidRDefault="0088572C" w:rsidP="0088572C">
            <w:pPr>
              <w:pStyle w:val="TableText"/>
              <w:rPr>
                <w:rFonts w:cs="Arial"/>
              </w:rPr>
            </w:pPr>
            <w:r w:rsidRPr="00911068">
              <w:rPr>
                <w:rFonts w:cs="Arial"/>
                <w:lang w:eastAsia="en-AU"/>
              </w:rPr>
              <w:t xml:space="preserve">Muhamad, R., Akrivaki, A., Papagiannopoulou, G., Zavridis, P., &amp; Zis, P. (2023). The role of vitamin B6 in peripheral neuropathy: A systematic review. </w:t>
            </w:r>
            <w:r w:rsidRPr="00911068">
              <w:rPr>
                <w:rFonts w:cs="Arial"/>
                <w:i/>
                <w:iCs/>
                <w:lang w:eastAsia="en-AU"/>
              </w:rPr>
              <w:t>Nutrients, 15</w:t>
            </w:r>
            <w:r w:rsidRPr="00911068">
              <w:rPr>
                <w:rFonts w:cs="Arial"/>
                <w:lang w:eastAsia="en-AU"/>
              </w:rPr>
              <w:t>, 2823.</w:t>
            </w:r>
          </w:p>
        </w:tc>
      </w:tr>
      <w:tr w:rsidR="0088572C" w:rsidRPr="00911068" w14:paraId="2AF7DBAA" w14:textId="77777777" w:rsidTr="00911068">
        <w:tc>
          <w:tcPr>
            <w:tcW w:w="1301" w:type="pct"/>
            <w:shd w:val="clear" w:color="auto" w:fill="F6FDE9"/>
          </w:tcPr>
          <w:p w14:paraId="6B8FB90A" w14:textId="77777777" w:rsidR="0088572C" w:rsidRPr="00911068" w:rsidRDefault="0088572C" w:rsidP="0088572C">
            <w:pPr>
              <w:pStyle w:val="TableText"/>
              <w:rPr>
                <w:rFonts w:cs="Arial"/>
                <w:b/>
                <w:bCs/>
              </w:rPr>
            </w:pPr>
            <w:r w:rsidRPr="00911068">
              <w:rPr>
                <w:rFonts w:cs="Arial"/>
                <w:b/>
                <w:bCs/>
              </w:rPr>
              <w:t>Publication status</w:t>
            </w:r>
          </w:p>
        </w:tc>
        <w:tc>
          <w:tcPr>
            <w:tcW w:w="3699" w:type="pct"/>
            <w:vAlign w:val="center"/>
          </w:tcPr>
          <w:p w14:paraId="03BAA926" w14:textId="718F0551" w:rsidR="0088572C" w:rsidRPr="00911068" w:rsidRDefault="0088572C" w:rsidP="0088572C">
            <w:pPr>
              <w:pStyle w:val="TableText"/>
              <w:rPr>
                <w:rFonts w:cs="Arial"/>
              </w:rPr>
            </w:pPr>
            <w:r w:rsidRPr="00911068">
              <w:rPr>
                <w:rFonts w:cs="Arial"/>
                <w:lang w:eastAsia="en-AU"/>
              </w:rPr>
              <w:t xml:space="preserve">Published, peer-reviewed systematic review (MDPI; open access) </w:t>
            </w:r>
            <w:hyperlink r:id="rId188" w:history="1"/>
          </w:p>
        </w:tc>
      </w:tr>
      <w:tr w:rsidR="0088572C" w:rsidRPr="00911068" w14:paraId="598D1E0D" w14:textId="77777777" w:rsidTr="00911068">
        <w:tc>
          <w:tcPr>
            <w:tcW w:w="1301" w:type="pct"/>
            <w:shd w:val="clear" w:color="auto" w:fill="F6FDE9"/>
          </w:tcPr>
          <w:p w14:paraId="01B2DFD4" w14:textId="77777777" w:rsidR="0088572C" w:rsidRPr="00911068" w:rsidRDefault="0088572C" w:rsidP="0088572C">
            <w:pPr>
              <w:pStyle w:val="TableText"/>
              <w:rPr>
                <w:rFonts w:cs="Arial"/>
                <w:b/>
                <w:bCs/>
              </w:rPr>
            </w:pPr>
            <w:r w:rsidRPr="00911068">
              <w:rPr>
                <w:rFonts w:cs="Arial"/>
                <w:b/>
                <w:bCs/>
              </w:rPr>
              <w:t>Country / setting</w:t>
            </w:r>
          </w:p>
        </w:tc>
        <w:tc>
          <w:tcPr>
            <w:tcW w:w="3699" w:type="pct"/>
            <w:vAlign w:val="center"/>
          </w:tcPr>
          <w:p w14:paraId="46417E0A" w14:textId="75EC28FC" w:rsidR="0088572C" w:rsidRPr="00911068" w:rsidRDefault="0088572C" w:rsidP="0088572C">
            <w:pPr>
              <w:pStyle w:val="TableText"/>
              <w:rPr>
                <w:rFonts w:cs="Arial"/>
              </w:rPr>
            </w:pPr>
            <w:r w:rsidRPr="00911068">
              <w:rPr>
                <w:rFonts w:cs="Arial"/>
                <w:lang w:eastAsia="en-AU"/>
              </w:rPr>
              <w:t>International (literature-based review)</w:t>
            </w:r>
          </w:p>
        </w:tc>
      </w:tr>
      <w:tr w:rsidR="0088572C" w:rsidRPr="00911068" w14:paraId="7307698B" w14:textId="77777777" w:rsidTr="00911068">
        <w:tc>
          <w:tcPr>
            <w:tcW w:w="1301" w:type="pct"/>
            <w:shd w:val="clear" w:color="auto" w:fill="F6FDE9"/>
          </w:tcPr>
          <w:p w14:paraId="15C6B018" w14:textId="77777777" w:rsidR="0088572C" w:rsidRPr="00911068" w:rsidRDefault="0088572C" w:rsidP="0088572C">
            <w:pPr>
              <w:pStyle w:val="TableText"/>
              <w:rPr>
                <w:rFonts w:cs="Arial"/>
                <w:b/>
                <w:bCs/>
              </w:rPr>
            </w:pPr>
            <w:r w:rsidRPr="00911068">
              <w:rPr>
                <w:rFonts w:cs="Arial"/>
                <w:b/>
                <w:bCs/>
              </w:rPr>
              <w:t>Study design</w:t>
            </w:r>
          </w:p>
        </w:tc>
        <w:tc>
          <w:tcPr>
            <w:tcW w:w="3699" w:type="pct"/>
            <w:vAlign w:val="center"/>
          </w:tcPr>
          <w:p w14:paraId="025E3442" w14:textId="3763D9D8" w:rsidR="0088572C" w:rsidRPr="002F3314" w:rsidRDefault="0088572C" w:rsidP="0088572C">
            <w:pPr>
              <w:pStyle w:val="TableText"/>
              <w:rPr>
                <w:rFonts w:cs="Arial"/>
                <w:b/>
                <w:bCs/>
              </w:rPr>
            </w:pPr>
            <w:r w:rsidRPr="002F3314">
              <w:rPr>
                <w:rFonts w:cs="Arial"/>
                <w:b/>
                <w:bCs/>
                <w:lang w:eastAsia="en-AU"/>
              </w:rPr>
              <w:t xml:space="preserve">Systematic review (PRISMA-based; 20 included studies) </w:t>
            </w:r>
            <w:hyperlink r:id="rId189" w:history="1"/>
          </w:p>
        </w:tc>
      </w:tr>
      <w:tr w:rsidR="0088572C" w:rsidRPr="00911068" w14:paraId="0D94DCC8" w14:textId="77777777" w:rsidTr="00911068">
        <w:tc>
          <w:tcPr>
            <w:tcW w:w="1301" w:type="pct"/>
            <w:shd w:val="clear" w:color="auto" w:fill="F6FDE9"/>
          </w:tcPr>
          <w:p w14:paraId="7E68E1B8" w14:textId="77777777" w:rsidR="0088572C" w:rsidRPr="00911068" w:rsidRDefault="0088572C" w:rsidP="0088572C">
            <w:pPr>
              <w:pStyle w:val="TableText"/>
              <w:rPr>
                <w:rFonts w:cs="Arial"/>
                <w:b/>
                <w:bCs/>
              </w:rPr>
            </w:pPr>
            <w:r w:rsidRPr="00911068">
              <w:rPr>
                <w:rFonts w:cs="Arial"/>
                <w:b/>
                <w:bCs/>
              </w:rPr>
              <w:t>Funding / conflicts of interest</w:t>
            </w:r>
          </w:p>
        </w:tc>
        <w:tc>
          <w:tcPr>
            <w:tcW w:w="3699" w:type="pct"/>
            <w:vAlign w:val="center"/>
          </w:tcPr>
          <w:p w14:paraId="18A85A17" w14:textId="0CA8F1E3" w:rsidR="0088572C" w:rsidRPr="00911068" w:rsidRDefault="0088572C" w:rsidP="0088572C">
            <w:pPr>
              <w:pStyle w:val="TableText"/>
              <w:rPr>
                <w:rFonts w:cs="Arial"/>
              </w:rPr>
            </w:pPr>
            <w:r w:rsidRPr="00911068">
              <w:rPr>
                <w:rFonts w:cs="Arial"/>
                <w:lang w:eastAsia="en-AU"/>
              </w:rPr>
              <w:t xml:space="preserve">No external funding; no conflicts declared </w:t>
            </w:r>
            <w:hyperlink r:id="rId190" w:history="1"/>
          </w:p>
        </w:tc>
      </w:tr>
    </w:tbl>
    <w:p w14:paraId="22E68F84" w14:textId="77777777" w:rsidR="00E44401" w:rsidRPr="00911068" w:rsidRDefault="00E44401" w:rsidP="00E44401">
      <w:pPr>
        <w:rPr>
          <w:rFonts w:eastAsia="Times New Roman" w:cs="Arial"/>
          <w:sz w:val="20"/>
        </w:rPr>
      </w:pPr>
      <w:r w:rsidRPr="00911068">
        <w:rPr>
          <w:rFonts w:eastAsia="Calibri" w:cs="Arial"/>
          <w:b/>
          <w:bCs/>
          <w:sz w:val="20"/>
        </w:rPr>
        <w:t>Population</w:t>
      </w:r>
    </w:p>
    <w:tbl>
      <w:tblPr>
        <w:tblStyle w:val="SLROption1"/>
        <w:tblW w:w="5000" w:type="pct"/>
        <w:tblLook w:val="0000" w:firstRow="0" w:lastRow="0" w:firstColumn="0" w:lastColumn="0" w:noHBand="0" w:noVBand="0"/>
      </w:tblPr>
      <w:tblGrid>
        <w:gridCol w:w="3628"/>
        <w:gridCol w:w="10316"/>
      </w:tblGrid>
      <w:tr w:rsidR="00E44401" w:rsidRPr="00911068" w14:paraId="2C46BCF3" w14:textId="77777777" w:rsidTr="00983C71">
        <w:tc>
          <w:tcPr>
            <w:tcW w:w="1301" w:type="pct"/>
            <w:shd w:val="clear" w:color="auto" w:fill="3C533C"/>
          </w:tcPr>
          <w:p w14:paraId="021C90E6" w14:textId="77777777" w:rsidR="00E44401" w:rsidRPr="00911068" w:rsidRDefault="00E44401" w:rsidP="00983C71">
            <w:pPr>
              <w:spacing w:after="0"/>
              <w:rPr>
                <w:rFonts w:cs="Arial"/>
                <w:sz w:val="20"/>
              </w:rPr>
            </w:pPr>
            <w:r w:rsidRPr="00911068">
              <w:rPr>
                <w:rFonts w:eastAsia="Calibri" w:cs="Arial"/>
                <w:b/>
                <w:bCs/>
                <w:color w:val="FFFFFF"/>
                <w:sz w:val="20"/>
              </w:rPr>
              <w:t>Field</w:t>
            </w:r>
          </w:p>
        </w:tc>
        <w:tc>
          <w:tcPr>
            <w:tcW w:w="3699" w:type="pct"/>
            <w:shd w:val="clear" w:color="auto" w:fill="3C533C"/>
          </w:tcPr>
          <w:p w14:paraId="1CEF8825" w14:textId="77777777" w:rsidR="00E44401" w:rsidRPr="00911068" w:rsidRDefault="00E44401" w:rsidP="00983C71">
            <w:pPr>
              <w:spacing w:after="0"/>
              <w:rPr>
                <w:rFonts w:cs="Arial"/>
                <w:sz w:val="20"/>
              </w:rPr>
            </w:pPr>
            <w:r w:rsidRPr="00911068">
              <w:rPr>
                <w:rFonts w:eastAsia="Calibri" w:cs="Arial"/>
                <w:b/>
                <w:bCs/>
                <w:color w:val="FFFFFF"/>
                <w:sz w:val="20"/>
              </w:rPr>
              <w:t>Extracted information</w:t>
            </w:r>
          </w:p>
        </w:tc>
      </w:tr>
      <w:tr w:rsidR="0088572C" w:rsidRPr="00911068" w14:paraId="05BC2E3E" w14:textId="77777777" w:rsidTr="00911068">
        <w:tc>
          <w:tcPr>
            <w:tcW w:w="1301" w:type="pct"/>
            <w:shd w:val="clear" w:color="auto" w:fill="F6FDE9"/>
          </w:tcPr>
          <w:p w14:paraId="30CB8806" w14:textId="77777777" w:rsidR="0088572C" w:rsidRPr="00911068" w:rsidRDefault="0088572C" w:rsidP="0088572C">
            <w:pPr>
              <w:spacing w:after="0"/>
              <w:rPr>
                <w:rFonts w:cs="Arial"/>
                <w:sz w:val="20"/>
              </w:rPr>
            </w:pPr>
            <w:r w:rsidRPr="00911068">
              <w:rPr>
                <w:rFonts w:eastAsia="Calibri" w:cs="Arial"/>
                <w:b/>
                <w:bCs/>
                <w:sz w:val="20"/>
              </w:rPr>
              <w:t>Sample size</w:t>
            </w:r>
          </w:p>
        </w:tc>
        <w:tc>
          <w:tcPr>
            <w:tcW w:w="3699" w:type="pct"/>
            <w:vAlign w:val="center"/>
          </w:tcPr>
          <w:p w14:paraId="0B2E2E8B" w14:textId="485450B4" w:rsidR="0088572C" w:rsidRPr="00911068" w:rsidRDefault="0088572C" w:rsidP="0088572C">
            <w:pPr>
              <w:pStyle w:val="TableText"/>
              <w:rPr>
                <w:rFonts w:cs="Arial"/>
              </w:rPr>
            </w:pPr>
            <w:r w:rsidRPr="00911068">
              <w:rPr>
                <w:rFonts w:cs="Arial"/>
                <w:lang w:eastAsia="en-AU"/>
              </w:rPr>
              <w:t xml:space="preserve">20 studies included (multiple populations; total participants vary across studies) </w:t>
            </w:r>
            <w:hyperlink r:id="rId191" w:history="1"/>
          </w:p>
        </w:tc>
      </w:tr>
      <w:tr w:rsidR="0088572C" w:rsidRPr="00911068" w14:paraId="0EE62EE3" w14:textId="77777777" w:rsidTr="00911068">
        <w:tc>
          <w:tcPr>
            <w:tcW w:w="1301" w:type="pct"/>
            <w:shd w:val="clear" w:color="auto" w:fill="F6FDE9"/>
          </w:tcPr>
          <w:p w14:paraId="1F46A64A" w14:textId="77777777" w:rsidR="0088572C" w:rsidRPr="00911068" w:rsidRDefault="0088572C" w:rsidP="0088572C">
            <w:pPr>
              <w:spacing w:after="0"/>
              <w:rPr>
                <w:rFonts w:cs="Arial"/>
                <w:sz w:val="20"/>
              </w:rPr>
            </w:pPr>
            <w:r w:rsidRPr="00911068">
              <w:rPr>
                <w:rFonts w:eastAsia="Calibri" w:cs="Arial"/>
                <w:b/>
                <w:bCs/>
                <w:sz w:val="20"/>
              </w:rPr>
              <w:t>Patient characteristics</w:t>
            </w:r>
          </w:p>
        </w:tc>
        <w:tc>
          <w:tcPr>
            <w:tcW w:w="3699" w:type="pct"/>
            <w:vAlign w:val="center"/>
          </w:tcPr>
          <w:p w14:paraId="74662D56" w14:textId="07F4E087" w:rsidR="0088572C" w:rsidRPr="00911068" w:rsidRDefault="0088572C" w:rsidP="0088572C">
            <w:pPr>
              <w:pStyle w:val="TableText"/>
              <w:rPr>
                <w:rFonts w:cs="Arial"/>
              </w:rPr>
            </w:pPr>
            <w:r w:rsidRPr="00911068">
              <w:rPr>
                <w:rFonts w:cs="Arial"/>
                <w:lang w:eastAsia="en-AU"/>
              </w:rPr>
              <w:t>Mixed populations: general adults, Parkinson’s disease, diabetes, dialysis patients, tuberculosis patients, and others with peripheral neuropathy (PN)</w:t>
            </w:r>
          </w:p>
        </w:tc>
      </w:tr>
      <w:tr w:rsidR="0088572C" w:rsidRPr="00911068" w14:paraId="317398E9" w14:textId="77777777" w:rsidTr="00911068">
        <w:tc>
          <w:tcPr>
            <w:tcW w:w="1301" w:type="pct"/>
            <w:shd w:val="clear" w:color="auto" w:fill="F6FDE9"/>
          </w:tcPr>
          <w:p w14:paraId="2FA16AA5" w14:textId="77777777" w:rsidR="0088572C" w:rsidRPr="00911068" w:rsidRDefault="0088572C" w:rsidP="0088572C">
            <w:pPr>
              <w:spacing w:after="0"/>
              <w:rPr>
                <w:rFonts w:cs="Arial"/>
                <w:sz w:val="20"/>
              </w:rPr>
            </w:pPr>
            <w:r w:rsidRPr="00911068">
              <w:rPr>
                <w:rFonts w:eastAsia="Calibri" w:cs="Arial"/>
                <w:b/>
                <w:bCs/>
                <w:sz w:val="20"/>
              </w:rPr>
              <w:t>Inclusion/exclusion of alternative causes</w:t>
            </w:r>
          </w:p>
        </w:tc>
        <w:tc>
          <w:tcPr>
            <w:tcW w:w="3699" w:type="pct"/>
            <w:vAlign w:val="center"/>
          </w:tcPr>
          <w:p w14:paraId="5E850DE9" w14:textId="65A8EEEB" w:rsidR="0088572C" w:rsidRPr="00911068" w:rsidRDefault="0088572C" w:rsidP="0088572C">
            <w:pPr>
              <w:pStyle w:val="TableText"/>
              <w:rPr>
                <w:rFonts w:cs="Arial"/>
              </w:rPr>
            </w:pPr>
            <w:r w:rsidRPr="00911068">
              <w:rPr>
                <w:rFonts w:cs="Arial"/>
                <w:lang w:eastAsia="en-AU"/>
              </w:rPr>
              <w:t xml:space="preserve">Excluded non-human studies, case reports &lt;5 participants, low-quality trials; attempted to isolate B6-related neuropathy but confounding often present </w:t>
            </w:r>
            <w:hyperlink r:id="rId192" w:history="1"/>
          </w:p>
        </w:tc>
      </w:tr>
    </w:tbl>
    <w:p w14:paraId="3ABDE063" w14:textId="77777777" w:rsidR="00E44401" w:rsidRPr="00911068" w:rsidRDefault="00E44401" w:rsidP="00E44401">
      <w:pPr>
        <w:rPr>
          <w:rFonts w:eastAsia="Times New Roman" w:cs="Arial"/>
          <w:b/>
          <w:bCs/>
          <w:sz w:val="20"/>
        </w:rPr>
      </w:pPr>
      <w:r w:rsidRPr="00911068">
        <w:rPr>
          <w:rFonts w:eastAsia="Times New Roman" w:cs="Arial"/>
          <w:b/>
          <w:bCs/>
          <w:sz w:val="20"/>
        </w:rPr>
        <w:t>Exposure</w:t>
      </w:r>
    </w:p>
    <w:tbl>
      <w:tblPr>
        <w:tblStyle w:val="SLROption1"/>
        <w:tblW w:w="5000" w:type="pct"/>
        <w:tblLook w:val="0000" w:firstRow="0" w:lastRow="0" w:firstColumn="0" w:lastColumn="0" w:noHBand="0" w:noVBand="0"/>
      </w:tblPr>
      <w:tblGrid>
        <w:gridCol w:w="3628"/>
        <w:gridCol w:w="10316"/>
      </w:tblGrid>
      <w:tr w:rsidR="00E44401" w:rsidRPr="00911068" w14:paraId="7E8E8DFB" w14:textId="77777777" w:rsidTr="00983C71">
        <w:trPr>
          <w:cantSplit/>
          <w:tblHeader/>
        </w:trPr>
        <w:tc>
          <w:tcPr>
            <w:tcW w:w="1301" w:type="pct"/>
            <w:shd w:val="clear" w:color="auto" w:fill="3C533C"/>
          </w:tcPr>
          <w:p w14:paraId="21560338" w14:textId="77777777" w:rsidR="00E44401" w:rsidRPr="00911068" w:rsidRDefault="00E44401" w:rsidP="00983C71">
            <w:pPr>
              <w:spacing w:after="0"/>
              <w:rPr>
                <w:rFonts w:cs="Arial"/>
                <w:sz w:val="20"/>
              </w:rPr>
            </w:pPr>
            <w:r w:rsidRPr="00911068">
              <w:rPr>
                <w:rFonts w:eastAsia="Calibri" w:cs="Arial"/>
                <w:b/>
                <w:bCs/>
                <w:color w:val="FFFFFF"/>
                <w:sz w:val="20"/>
              </w:rPr>
              <w:t>Field</w:t>
            </w:r>
          </w:p>
        </w:tc>
        <w:tc>
          <w:tcPr>
            <w:tcW w:w="3699" w:type="pct"/>
            <w:shd w:val="clear" w:color="auto" w:fill="3C533C"/>
          </w:tcPr>
          <w:p w14:paraId="7BC6393B" w14:textId="77777777" w:rsidR="00E44401" w:rsidRPr="00911068" w:rsidRDefault="00E44401" w:rsidP="00983C71">
            <w:pPr>
              <w:spacing w:after="0"/>
              <w:rPr>
                <w:rFonts w:cs="Arial"/>
                <w:sz w:val="20"/>
              </w:rPr>
            </w:pPr>
            <w:r w:rsidRPr="00911068">
              <w:rPr>
                <w:rFonts w:eastAsia="Calibri" w:cs="Arial"/>
                <w:b/>
                <w:bCs/>
                <w:color w:val="FFFFFF"/>
                <w:sz w:val="20"/>
              </w:rPr>
              <w:t>Extracted information</w:t>
            </w:r>
          </w:p>
        </w:tc>
      </w:tr>
      <w:tr w:rsidR="0088572C" w:rsidRPr="00911068" w14:paraId="64D54031" w14:textId="77777777" w:rsidTr="00911068">
        <w:tc>
          <w:tcPr>
            <w:tcW w:w="1301" w:type="pct"/>
            <w:shd w:val="clear" w:color="auto" w:fill="F6FDE9"/>
          </w:tcPr>
          <w:p w14:paraId="3DE9D8A2" w14:textId="77777777" w:rsidR="0088572C" w:rsidRPr="00911068" w:rsidRDefault="0088572C" w:rsidP="0088572C">
            <w:pPr>
              <w:spacing w:after="0"/>
              <w:rPr>
                <w:rFonts w:cs="Arial"/>
                <w:sz w:val="20"/>
              </w:rPr>
            </w:pPr>
            <w:r w:rsidRPr="00911068">
              <w:rPr>
                <w:rFonts w:eastAsia="Calibri" w:cs="Arial"/>
                <w:b/>
                <w:bCs/>
                <w:sz w:val="20"/>
              </w:rPr>
              <w:t>Exposure characterisation – source</w:t>
            </w:r>
          </w:p>
        </w:tc>
        <w:tc>
          <w:tcPr>
            <w:tcW w:w="3699" w:type="pct"/>
            <w:vAlign w:val="center"/>
          </w:tcPr>
          <w:p w14:paraId="4F28A1D5" w14:textId="5DF24626" w:rsidR="0088572C" w:rsidRPr="00911068" w:rsidRDefault="0088572C" w:rsidP="0088572C">
            <w:pPr>
              <w:pStyle w:val="TableText"/>
              <w:rPr>
                <w:rFonts w:cs="Arial"/>
              </w:rPr>
            </w:pPr>
            <w:r w:rsidRPr="00911068">
              <w:rPr>
                <w:rFonts w:cs="Arial"/>
                <w:lang w:eastAsia="en-AU"/>
              </w:rPr>
              <w:t>Vitamin B6 (pyridoxine, pyridoxal, pyridoxamine); both deficiency and excess</w:t>
            </w:r>
          </w:p>
        </w:tc>
      </w:tr>
      <w:tr w:rsidR="0088572C" w:rsidRPr="00911068" w14:paraId="452ED138" w14:textId="77777777" w:rsidTr="00911068">
        <w:tc>
          <w:tcPr>
            <w:tcW w:w="1301" w:type="pct"/>
            <w:shd w:val="clear" w:color="auto" w:fill="F6FDE9"/>
          </w:tcPr>
          <w:p w14:paraId="640C9381" w14:textId="77777777" w:rsidR="0088572C" w:rsidRPr="00911068" w:rsidRDefault="0088572C" w:rsidP="0088572C">
            <w:pPr>
              <w:spacing w:after="0"/>
              <w:rPr>
                <w:rFonts w:cs="Arial"/>
                <w:sz w:val="20"/>
              </w:rPr>
            </w:pPr>
            <w:r w:rsidRPr="00911068">
              <w:rPr>
                <w:rFonts w:eastAsia="Calibri" w:cs="Arial"/>
                <w:b/>
                <w:bCs/>
                <w:sz w:val="20"/>
              </w:rPr>
              <w:t>Exposure characterisation – dose</w:t>
            </w:r>
          </w:p>
        </w:tc>
        <w:tc>
          <w:tcPr>
            <w:tcW w:w="3699" w:type="pct"/>
            <w:vAlign w:val="center"/>
          </w:tcPr>
          <w:p w14:paraId="5183B7CB" w14:textId="0ED7E4AF" w:rsidR="0088572C" w:rsidRPr="00911068" w:rsidRDefault="0088572C" w:rsidP="0088572C">
            <w:pPr>
              <w:pStyle w:val="TableText"/>
              <w:rPr>
                <w:rFonts w:cs="Arial"/>
              </w:rPr>
            </w:pPr>
            <w:r w:rsidRPr="00911068">
              <w:rPr>
                <w:rFonts w:cs="Arial"/>
                <w:lang w:eastAsia="en-AU"/>
              </w:rPr>
              <w:t>Highly variable across studies:</w:t>
            </w:r>
          </w:p>
        </w:tc>
      </w:tr>
      <w:tr w:rsidR="0088572C" w:rsidRPr="00911068" w14:paraId="49F8D3BF" w14:textId="77777777" w:rsidTr="00911068">
        <w:tc>
          <w:tcPr>
            <w:tcW w:w="1301" w:type="pct"/>
            <w:vAlign w:val="center"/>
          </w:tcPr>
          <w:p w14:paraId="52F53DE9" w14:textId="400A7D95" w:rsidR="0088572C" w:rsidRPr="00911068" w:rsidRDefault="0088572C" w:rsidP="0088572C">
            <w:pPr>
              <w:spacing w:after="0"/>
              <w:rPr>
                <w:rFonts w:eastAsia="Calibri" w:cs="Arial"/>
                <w:b/>
                <w:bCs/>
                <w:sz w:val="20"/>
              </w:rPr>
            </w:pPr>
            <w:r w:rsidRPr="00911068">
              <w:rPr>
                <w:rFonts w:cs="Arial"/>
                <w:sz w:val="20"/>
                <w:lang w:eastAsia="en-AU"/>
              </w:rPr>
              <w:t>Dietary intake</w:t>
            </w:r>
          </w:p>
        </w:tc>
        <w:tc>
          <w:tcPr>
            <w:tcW w:w="3699" w:type="pct"/>
            <w:vAlign w:val="center"/>
          </w:tcPr>
          <w:p w14:paraId="255506F6" w14:textId="0B6CB8D0" w:rsidR="0088572C" w:rsidRPr="00911068" w:rsidRDefault="0088572C" w:rsidP="0088572C">
            <w:pPr>
              <w:pStyle w:val="TableText"/>
              <w:rPr>
                <w:rFonts w:cs="Arial"/>
                <w:lang w:eastAsia="en-AU"/>
              </w:rPr>
            </w:pPr>
            <w:r w:rsidRPr="00911068">
              <w:rPr>
                <w:rFonts w:cs="Arial"/>
                <w:lang w:eastAsia="en-AU"/>
              </w:rPr>
              <w:t>~1.6–2 mg/day recommended intake</w:t>
            </w:r>
          </w:p>
        </w:tc>
      </w:tr>
      <w:tr w:rsidR="0088572C" w:rsidRPr="00911068" w14:paraId="0DFDE132" w14:textId="77777777" w:rsidTr="00911068">
        <w:tc>
          <w:tcPr>
            <w:tcW w:w="1301" w:type="pct"/>
            <w:vAlign w:val="center"/>
          </w:tcPr>
          <w:p w14:paraId="6A362015" w14:textId="0DFDA419" w:rsidR="0088572C" w:rsidRPr="00911068" w:rsidRDefault="0088572C" w:rsidP="0088572C">
            <w:pPr>
              <w:spacing w:after="0"/>
              <w:rPr>
                <w:rFonts w:eastAsia="Calibri" w:cs="Arial"/>
                <w:b/>
                <w:bCs/>
                <w:sz w:val="20"/>
              </w:rPr>
            </w:pPr>
            <w:r w:rsidRPr="00911068">
              <w:rPr>
                <w:rFonts w:cs="Arial"/>
                <w:sz w:val="20"/>
                <w:lang w:eastAsia="en-AU"/>
              </w:rPr>
              <w:t>Supplement doses</w:t>
            </w:r>
          </w:p>
        </w:tc>
        <w:tc>
          <w:tcPr>
            <w:tcW w:w="3699" w:type="pct"/>
            <w:vAlign w:val="center"/>
          </w:tcPr>
          <w:p w14:paraId="3979BABE" w14:textId="1CE28BEF" w:rsidR="0088572C" w:rsidRPr="00911068" w:rsidRDefault="0088572C" w:rsidP="0088572C">
            <w:pPr>
              <w:pStyle w:val="TableText"/>
              <w:rPr>
                <w:rFonts w:cs="Arial"/>
                <w:lang w:eastAsia="en-AU"/>
              </w:rPr>
            </w:pPr>
            <w:r w:rsidRPr="00911068">
              <w:rPr>
                <w:rFonts w:cs="Arial"/>
                <w:lang w:eastAsia="en-AU"/>
              </w:rPr>
              <w:t xml:space="preserve">From ~25 mg/day up to </w:t>
            </w:r>
            <w:r w:rsidRPr="008F27B6">
              <w:rPr>
                <w:rFonts w:cs="Arial"/>
                <w:lang w:eastAsia="en-AU"/>
              </w:rPr>
              <w:t xml:space="preserve">grams per day (toxicity cases) </w:t>
            </w:r>
            <w:hyperlink r:id="rId193" w:history="1"/>
          </w:p>
        </w:tc>
      </w:tr>
      <w:tr w:rsidR="0088572C" w:rsidRPr="00911068" w14:paraId="565BBB8B" w14:textId="77777777" w:rsidTr="00911068">
        <w:tc>
          <w:tcPr>
            <w:tcW w:w="1301" w:type="pct"/>
            <w:shd w:val="clear" w:color="auto" w:fill="F6FDE9"/>
          </w:tcPr>
          <w:p w14:paraId="301D2F74" w14:textId="77777777" w:rsidR="0088572C" w:rsidRPr="00911068" w:rsidRDefault="0088572C" w:rsidP="0088572C">
            <w:pPr>
              <w:spacing w:after="0"/>
              <w:rPr>
                <w:rFonts w:cs="Arial"/>
                <w:sz w:val="20"/>
              </w:rPr>
            </w:pPr>
            <w:r w:rsidRPr="00911068">
              <w:rPr>
                <w:rFonts w:eastAsia="Calibri" w:cs="Arial"/>
                <w:b/>
                <w:bCs/>
                <w:sz w:val="20"/>
              </w:rPr>
              <w:t>Biomarker of exposure</w:t>
            </w:r>
          </w:p>
        </w:tc>
        <w:tc>
          <w:tcPr>
            <w:tcW w:w="3699" w:type="pct"/>
            <w:vAlign w:val="center"/>
          </w:tcPr>
          <w:p w14:paraId="6AB2545F" w14:textId="1DC766A8" w:rsidR="0088572C" w:rsidRPr="00911068" w:rsidRDefault="0088572C" w:rsidP="0088572C">
            <w:pPr>
              <w:pStyle w:val="TableText"/>
              <w:rPr>
                <w:rFonts w:cs="Arial"/>
              </w:rPr>
            </w:pPr>
            <w:r w:rsidRPr="00911068">
              <w:rPr>
                <w:rFonts w:cs="Arial"/>
                <w:lang w:eastAsia="en-AU"/>
              </w:rPr>
              <w:t>Plasma pyridoxal phosphate (PLP) levels</w:t>
            </w:r>
          </w:p>
        </w:tc>
      </w:tr>
      <w:tr w:rsidR="00777764" w:rsidRPr="00911068" w14:paraId="3BCA592F" w14:textId="77777777" w:rsidTr="00777764">
        <w:tc>
          <w:tcPr>
            <w:tcW w:w="5000" w:type="pct"/>
            <w:gridSpan w:val="2"/>
            <w:shd w:val="clear" w:color="auto" w:fill="F6FDE9"/>
          </w:tcPr>
          <w:p w14:paraId="03B46D1B" w14:textId="1EFA1818" w:rsidR="00777764" w:rsidRPr="00911068" w:rsidRDefault="00777764" w:rsidP="0088572C">
            <w:pPr>
              <w:pStyle w:val="TableText"/>
              <w:rPr>
                <w:rFonts w:cs="Arial"/>
              </w:rPr>
            </w:pPr>
            <w:r w:rsidRPr="00911068">
              <w:rPr>
                <w:rFonts w:eastAsia="Calibri" w:cs="Arial"/>
                <w:b/>
                <w:bCs/>
              </w:rPr>
              <w:lastRenderedPageBreak/>
              <w:t>Exposure patterns identified</w:t>
            </w:r>
          </w:p>
        </w:tc>
      </w:tr>
      <w:tr w:rsidR="0088572C" w:rsidRPr="00911068" w14:paraId="1DA6936B" w14:textId="77777777" w:rsidTr="00911068">
        <w:tc>
          <w:tcPr>
            <w:tcW w:w="1301" w:type="pct"/>
            <w:vAlign w:val="center"/>
          </w:tcPr>
          <w:p w14:paraId="6AC107A5" w14:textId="374BF277" w:rsidR="0088572C" w:rsidRPr="00911068" w:rsidRDefault="0088572C" w:rsidP="0088572C">
            <w:pPr>
              <w:spacing w:after="0"/>
              <w:rPr>
                <w:rFonts w:eastAsia="Calibri" w:cs="Arial"/>
                <w:b/>
                <w:bCs/>
                <w:sz w:val="20"/>
              </w:rPr>
            </w:pPr>
            <w:r w:rsidRPr="00911068">
              <w:rPr>
                <w:rFonts w:cs="Arial"/>
                <w:sz w:val="20"/>
                <w:lang w:eastAsia="en-AU"/>
              </w:rPr>
              <w:t>Low B6</w:t>
            </w:r>
          </w:p>
        </w:tc>
        <w:tc>
          <w:tcPr>
            <w:tcW w:w="3699" w:type="pct"/>
            <w:vAlign w:val="center"/>
          </w:tcPr>
          <w:p w14:paraId="0A4F4213" w14:textId="03E07154" w:rsidR="0088572C" w:rsidRPr="00911068" w:rsidRDefault="0088572C" w:rsidP="0088572C">
            <w:pPr>
              <w:pStyle w:val="TableText"/>
              <w:rPr>
                <w:rFonts w:cs="Arial"/>
                <w:lang w:eastAsia="en-AU"/>
              </w:rPr>
            </w:pPr>
            <w:r w:rsidRPr="00911068">
              <w:rPr>
                <w:rFonts w:cs="Arial"/>
                <w:lang w:eastAsia="en-AU"/>
              </w:rPr>
              <w:t>observed in some PN populations</w:t>
            </w:r>
          </w:p>
        </w:tc>
      </w:tr>
      <w:tr w:rsidR="0088572C" w:rsidRPr="00911068" w14:paraId="66BF745B" w14:textId="77777777" w:rsidTr="00911068">
        <w:tc>
          <w:tcPr>
            <w:tcW w:w="1301" w:type="pct"/>
            <w:vAlign w:val="center"/>
          </w:tcPr>
          <w:p w14:paraId="2F697DD1" w14:textId="2CFFDACB" w:rsidR="0088572C" w:rsidRPr="00911068" w:rsidRDefault="0088572C" w:rsidP="0088572C">
            <w:pPr>
              <w:spacing w:after="0"/>
              <w:rPr>
                <w:rFonts w:eastAsia="Calibri" w:cs="Arial"/>
                <w:b/>
                <w:bCs/>
                <w:sz w:val="20"/>
              </w:rPr>
            </w:pPr>
            <w:r w:rsidRPr="00911068">
              <w:rPr>
                <w:rFonts w:cs="Arial"/>
                <w:sz w:val="20"/>
                <w:lang w:eastAsia="en-AU"/>
              </w:rPr>
              <w:t>High B6</w:t>
            </w:r>
          </w:p>
        </w:tc>
        <w:tc>
          <w:tcPr>
            <w:tcW w:w="3699" w:type="pct"/>
            <w:vAlign w:val="center"/>
          </w:tcPr>
          <w:p w14:paraId="7D0C9510" w14:textId="54684981" w:rsidR="0088572C" w:rsidRPr="00911068" w:rsidRDefault="0088572C" w:rsidP="0088572C">
            <w:pPr>
              <w:pStyle w:val="TableText"/>
              <w:rPr>
                <w:rFonts w:cs="Arial"/>
                <w:lang w:eastAsia="en-AU"/>
              </w:rPr>
            </w:pPr>
            <w:r w:rsidRPr="00911068">
              <w:rPr>
                <w:rFonts w:cs="Arial"/>
                <w:lang w:eastAsia="en-AU"/>
              </w:rPr>
              <w:t>typically due to supplementation; associated with toxicity</w:t>
            </w:r>
          </w:p>
        </w:tc>
      </w:tr>
      <w:tr w:rsidR="00777764" w:rsidRPr="00911068" w14:paraId="31423A3E" w14:textId="77777777" w:rsidTr="00777764">
        <w:tc>
          <w:tcPr>
            <w:tcW w:w="1301" w:type="pct"/>
            <w:shd w:val="clear" w:color="auto" w:fill="F6FDE9" w:themeFill="accent5" w:themeFillTint="33"/>
            <w:vAlign w:val="center"/>
          </w:tcPr>
          <w:p w14:paraId="6F0BC3DE" w14:textId="55457396" w:rsidR="00777764" w:rsidRPr="00911068" w:rsidRDefault="00777764" w:rsidP="0088572C">
            <w:pPr>
              <w:spacing w:after="0"/>
              <w:rPr>
                <w:rFonts w:cs="Arial"/>
                <w:sz w:val="20"/>
                <w:lang w:eastAsia="en-AU"/>
              </w:rPr>
            </w:pPr>
            <w:r>
              <w:rPr>
                <w:rFonts w:cs="Arial"/>
                <w:sz w:val="20"/>
                <w:lang w:eastAsia="en-AU"/>
              </w:rPr>
              <w:t xml:space="preserve">Duration of Exposure </w:t>
            </w:r>
          </w:p>
        </w:tc>
        <w:tc>
          <w:tcPr>
            <w:tcW w:w="3699" w:type="pct"/>
            <w:vAlign w:val="center"/>
          </w:tcPr>
          <w:p w14:paraId="31660107" w14:textId="25284E3C" w:rsidR="00777764" w:rsidRPr="00911068" w:rsidRDefault="00777764" w:rsidP="0088572C">
            <w:pPr>
              <w:pStyle w:val="TableText"/>
              <w:rPr>
                <w:rFonts w:cs="Arial"/>
                <w:lang w:eastAsia="en-AU"/>
              </w:rPr>
            </w:pPr>
            <w:r>
              <w:rPr>
                <w:rFonts w:cs="Arial"/>
                <w:lang w:eastAsia="en-AU"/>
              </w:rPr>
              <w:t>Lack of information</w:t>
            </w:r>
            <w:r w:rsidR="003368AD">
              <w:rPr>
                <w:rFonts w:cs="Arial"/>
                <w:lang w:eastAsia="en-AU"/>
              </w:rPr>
              <w:t>-</w:t>
            </w:r>
            <w:r>
              <w:rPr>
                <w:rFonts w:cs="Arial"/>
                <w:lang w:eastAsia="en-AU"/>
              </w:rPr>
              <w:t xml:space="preserve"> duration was generally a limitation of studies reviewed</w:t>
            </w:r>
            <w:r w:rsidR="003368AD">
              <w:rPr>
                <w:rFonts w:cs="Arial"/>
                <w:lang w:eastAsia="en-AU"/>
              </w:rPr>
              <w:t xml:space="preserve">. Studies which had duration recorded ranged from 4 to 24 weeks </w:t>
            </w:r>
          </w:p>
        </w:tc>
      </w:tr>
    </w:tbl>
    <w:p w14:paraId="5CCC38A3" w14:textId="77777777" w:rsidR="00E44401" w:rsidRPr="00911068" w:rsidRDefault="00E44401" w:rsidP="00E44401">
      <w:pPr>
        <w:rPr>
          <w:rFonts w:eastAsia="Times New Roman" w:cs="Arial"/>
          <w:b/>
          <w:bCs/>
          <w:sz w:val="20"/>
        </w:rPr>
      </w:pPr>
      <w:r w:rsidRPr="00911068">
        <w:rPr>
          <w:rFonts w:eastAsia="Times New Roman" w:cs="Arial"/>
          <w:b/>
          <w:bCs/>
          <w:sz w:val="20"/>
        </w:rPr>
        <w:t>Outcomes</w:t>
      </w:r>
    </w:p>
    <w:tbl>
      <w:tblPr>
        <w:tblStyle w:val="SLROption1"/>
        <w:tblW w:w="5000" w:type="pct"/>
        <w:tblLook w:val="0000" w:firstRow="0" w:lastRow="0" w:firstColumn="0" w:lastColumn="0" w:noHBand="0" w:noVBand="0"/>
      </w:tblPr>
      <w:tblGrid>
        <w:gridCol w:w="3628"/>
        <w:gridCol w:w="10316"/>
      </w:tblGrid>
      <w:tr w:rsidR="00E44401" w:rsidRPr="00911068" w14:paraId="2F35D9BA" w14:textId="77777777" w:rsidTr="00983C71">
        <w:tc>
          <w:tcPr>
            <w:tcW w:w="1301" w:type="pct"/>
            <w:shd w:val="clear" w:color="auto" w:fill="3C533C"/>
          </w:tcPr>
          <w:p w14:paraId="21A5B9E1" w14:textId="77777777" w:rsidR="00E44401" w:rsidRPr="00911068" w:rsidRDefault="00E44401" w:rsidP="00983C71">
            <w:pPr>
              <w:spacing w:after="0"/>
              <w:rPr>
                <w:rFonts w:cs="Arial"/>
                <w:sz w:val="20"/>
              </w:rPr>
            </w:pPr>
            <w:r w:rsidRPr="00911068">
              <w:rPr>
                <w:rFonts w:eastAsia="Calibri" w:cs="Arial"/>
                <w:b/>
                <w:bCs/>
                <w:color w:val="FFFFFF"/>
                <w:sz w:val="20"/>
              </w:rPr>
              <w:t>Field</w:t>
            </w:r>
          </w:p>
        </w:tc>
        <w:tc>
          <w:tcPr>
            <w:tcW w:w="3699" w:type="pct"/>
            <w:shd w:val="clear" w:color="auto" w:fill="3C533C"/>
          </w:tcPr>
          <w:p w14:paraId="6DD8BF75" w14:textId="77777777" w:rsidR="00E44401" w:rsidRPr="00911068" w:rsidRDefault="00E44401" w:rsidP="00983C71">
            <w:pPr>
              <w:spacing w:after="0"/>
              <w:rPr>
                <w:rFonts w:cs="Arial"/>
                <w:sz w:val="20"/>
              </w:rPr>
            </w:pPr>
            <w:r w:rsidRPr="00911068">
              <w:rPr>
                <w:rFonts w:eastAsia="Calibri" w:cs="Arial"/>
                <w:b/>
                <w:bCs/>
                <w:color w:val="FFFFFF"/>
                <w:sz w:val="20"/>
              </w:rPr>
              <w:t>Extracted information</w:t>
            </w:r>
          </w:p>
        </w:tc>
      </w:tr>
      <w:tr w:rsidR="0088572C" w:rsidRPr="00911068" w14:paraId="7B4A775C" w14:textId="77777777" w:rsidTr="00911068">
        <w:tc>
          <w:tcPr>
            <w:tcW w:w="1301" w:type="pct"/>
            <w:shd w:val="clear" w:color="auto" w:fill="F6FDE9"/>
          </w:tcPr>
          <w:p w14:paraId="3FEE6F8A" w14:textId="77777777" w:rsidR="0088572C" w:rsidRPr="00911068" w:rsidRDefault="0088572C" w:rsidP="0088572C">
            <w:pPr>
              <w:spacing w:after="0"/>
              <w:rPr>
                <w:rFonts w:cs="Arial"/>
                <w:sz w:val="20"/>
              </w:rPr>
            </w:pPr>
            <w:r w:rsidRPr="00911068">
              <w:rPr>
                <w:rFonts w:eastAsia="Calibri" w:cs="Arial"/>
                <w:b/>
                <w:bCs/>
                <w:sz w:val="20"/>
              </w:rPr>
              <w:t>Primary outcome</w:t>
            </w:r>
          </w:p>
        </w:tc>
        <w:tc>
          <w:tcPr>
            <w:tcW w:w="3699" w:type="pct"/>
            <w:vAlign w:val="center"/>
          </w:tcPr>
          <w:p w14:paraId="3939D919" w14:textId="1B5E3268" w:rsidR="0088572C" w:rsidRPr="00911068" w:rsidRDefault="0088572C" w:rsidP="0088572C">
            <w:pPr>
              <w:pStyle w:val="TableText"/>
              <w:rPr>
                <w:rFonts w:cs="Arial"/>
              </w:rPr>
            </w:pPr>
            <w:r w:rsidRPr="00911068">
              <w:rPr>
                <w:rFonts w:cs="Arial"/>
                <w:lang w:eastAsia="en-AU"/>
              </w:rPr>
              <w:t>Peripheral neuropathy (PN)</w:t>
            </w:r>
          </w:p>
        </w:tc>
      </w:tr>
      <w:tr w:rsidR="0088572C" w:rsidRPr="00911068" w14:paraId="5A622138" w14:textId="77777777" w:rsidTr="00911068">
        <w:tc>
          <w:tcPr>
            <w:tcW w:w="1301" w:type="pct"/>
            <w:shd w:val="clear" w:color="auto" w:fill="F6FDE9"/>
          </w:tcPr>
          <w:p w14:paraId="49F149EE" w14:textId="22EDE4EC" w:rsidR="0088572C" w:rsidRPr="00911068" w:rsidRDefault="0088572C" w:rsidP="0088572C">
            <w:pPr>
              <w:spacing w:after="0"/>
              <w:rPr>
                <w:rFonts w:eastAsia="Calibri" w:cs="Arial"/>
                <w:b/>
                <w:bCs/>
                <w:sz w:val="20"/>
              </w:rPr>
            </w:pPr>
            <w:r w:rsidRPr="00911068">
              <w:rPr>
                <w:rFonts w:eastAsia="Calibri" w:cs="Arial"/>
                <w:b/>
                <w:bCs/>
                <w:sz w:val="20"/>
              </w:rPr>
              <w:t>Types of neuropathy</w:t>
            </w:r>
          </w:p>
        </w:tc>
        <w:tc>
          <w:tcPr>
            <w:tcW w:w="3699" w:type="pct"/>
            <w:vAlign w:val="center"/>
          </w:tcPr>
          <w:p w14:paraId="48AE1B82" w14:textId="3A1F0C24" w:rsidR="0088572C" w:rsidRPr="00911068" w:rsidRDefault="0088572C" w:rsidP="0088572C">
            <w:pPr>
              <w:pStyle w:val="TableText"/>
              <w:rPr>
                <w:rFonts w:cs="Arial"/>
                <w:lang w:eastAsia="en-AU"/>
              </w:rPr>
            </w:pPr>
            <w:r w:rsidRPr="00911068">
              <w:rPr>
                <w:rFonts w:cs="Arial"/>
                <w:lang w:eastAsia="en-AU"/>
              </w:rPr>
              <w:t xml:space="preserve">Predominantly </w:t>
            </w:r>
            <w:r w:rsidRPr="008F27B6">
              <w:rPr>
                <w:rFonts w:cs="Arial"/>
                <w:lang w:eastAsia="en-AU"/>
              </w:rPr>
              <w:t>sensory, axonal neuropathy with</w:t>
            </w:r>
            <w:r w:rsidRPr="00911068">
              <w:rPr>
                <w:rFonts w:cs="Arial"/>
                <w:lang w:eastAsia="en-AU"/>
              </w:rPr>
              <w:t xml:space="preserve"> high B6 exposure </w:t>
            </w:r>
            <w:hyperlink r:id="rId194" w:history="1"/>
          </w:p>
        </w:tc>
      </w:tr>
      <w:tr w:rsidR="0088572C" w:rsidRPr="00911068" w14:paraId="2D953AD6" w14:textId="77777777" w:rsidTr="00911068">
        <w:tc>
          <w:tcPr>
            <w:tcW w:w="1301" w:type="pct"/>
            <w:shd w:val="clear" w:color="auto" w:fill="F6FDE9"/>
          </w:tcPr>
          <w:p w14:paraId="72D1F81C" w14:textId="77777777" w:rsidR="0088572C" w:rsidRPr="00911068" w:rsidRDefault="0088572C" w:rsidP="0088572C">
            <w:pPr>
              <w:spacing w:after="0"/>
              <w:rPr>
                <w:rFonts w:cs="Arial"/>
                <w:sz w:val="20"/>
              </w:rPr>
            </w:pPr>
            <w:r w:rsidRPr="00911068">
              <w:rPr>
                <w:rFonts w:eastAsia="Calibri" w:cs="Arial"/>
                <w:b/>
                <w:bCs/>
                <w:sz w:val="20"/>
              </w:rPr>
              <w:t>Outcome assessment – clinical examination</w:t>
            </w:r>
          </w:p>
        </w:tc>
        <w:tc>
          <w:tcPr>
            <w:tcW w:w="3699" w:type="pct"/>
            <w:vAlign w:val="center"/>
          </w:tcPr>
          <w:p w14:paraId="7C283564" w14:textId="4370FC65" w:rsidR="0088572C" w:rsidRPr="00911068" w:rsidRDefault="0088572C" w:rsidP="0088572C">
            <w:pPr>
              <w:pStyle w:val="TableText"/>
              <w:rPr>
                <w:rFonts w:cs="Arial"/>
              </w:rPr>
            </w:pPr>
            <w:r w:rsidRPr="00911068">
              <w:rPr>
                <w:rFonts w:cs="Arial"/>
                <w:lang w:eastAsia="en-AU"/>
              </w:rPr>
              <w:t>Symptoms (pain, paresthesia, weakness), neurological examination</w:t>
            </w:r>
          </w:p>
        </w:tc>
      </w:tr>
      <w:tr w:rsidR="0088572C" w:rsidRPr="00911068" w14:paraId="60CCD1D9" w14:textId="77777777" w:rsidTr="00911068">
        <w:tc>
          <w:tcPr>
            <w:tcW w:w="1301" w:type="pct"/>
            <w:shd w:val="clear" w:color="auto" w:fill="F6FDE9"/>
          </w:tcPr>
          <w:p w14:paraId="50FEE0CF" w14:textId="77777777" w:rsidR="0088572C" w:rsidRPr="00911068" w:rsidRDefault="0088572C" w:rsidP="0088572C">
            <w:pPr>
              <w:spacing w:after="0"/>
              <w:rPr>
                <w:rFonts w:cs="Arial"/>
                <w:sz w:val="20"/>
              </w:rPr>
            </w:pPr>
            <w:r w:rsidRPr="00911068">
              <w:rPr>
                <w:rFonts w:eastAsia="Calibri" w:cs="Arial"/>
                <w:b/>
                <w:bCs/>
                <w:sz w:val="20"/>
              </w:rPr>
              <w:t>Outcome assessment – objective testing</w:t>
            </w:r>
          </w:p>
        </w:tc>
        <w:tc>
          <w:tcPr>
            <w:tcW w:w="3699" w:type="pct"/>
            <w:vAlign w:val="center"/>
          </w:tcPr>
          <w:p w14:paraId="5D034076" w14:textId="7F138874" w:rsidR="0088572C" w:rsidRPr="00911068" w:rsidRDefault="0088572C" w:rsidP="0088572C">
            <w:pPr>
              <w:pStyle w:val="TableText"/>
              <w:rPr>
                <w:rFonts w:cs="Arial"/>
              </w:rPr>
            </w:pPr>
            <w:r w:rsidRPr="00911068">
              <w:rPr>
                <w:rFonts w:cs="Arial"/>
                <w:lang w:eastAsia="en-AU"/>
              </w:rPr>
              <w:t>Nerve conduction studies (NCS), biopsies, questionnaires, sensory testing</w:t>
            </w:r>
          </w:p>
        </w:tc>
      </w:tr>
      <w:tr w:rsidR="0088572C" w:rsidRPr="00911068" w14:paraId="3287C7E0" w14:textId="77777777" w:rsidTr="00911068">
        <w:tc>
          <w:tcPr>
            <w:tcW w:w="1301" w:type="pct"/>
            <w:shd w:val="clear" w:color="auto" w:fill="F6FDE9"/>
          </w:tcPr>
          <w:p w14:paraId="2C9B49A6" w14:textId="77777777" w:rsidR="0088572C" w:rsidRPr="00911068" w:rsidRDefault="0088572C" w:rsidP="0088572C">
            <w:pPr>
              <w:spacing w:after="0"/>
              <w:rPr>
                <w:rFonts w:cs="Arial"/>
                <w:sz w:val="20"/>
              </w:rPr>
            </w:pPr>
            <w:r w:rsidRPr="00911068">
              <w:rPr>
                <w:rFonts w:eastAsia="Calibri" w:cs="Arial"/>
                <w:b/>
                <w:bCs/>
                <w:sz w:val="20"/>
              </w:rPr>
              <w:t>Outcome assessment – tools used</w:t>
            </w:r>
          </w:p>
        </w:tc>
        <w:tc>
          <w:tcPr>
            <w:tcW w:w="3699" w:type="pct"/>
            <w:vAlign w:val="center"/>
          </w:tcPr>
          <w:p w14:paraId="5C653AA6" w14:textId="10CD743B" w:rsidR="0088572C" w:rsidRPr="00911068" w:rsidRDefault="0015381F" w:rsidP="0088572C">
            <w:pPr>
              <w:pStyle w:val="TableText"/>
              <w:rPr>
                <w:rFonts w:cs="Arial"/>
              </w:rPr>
            </w:pPr>
            <w:r w:rsidRPr="0015381F">
              <w:rPr>
                <w:rFonts w:cs="Arial"/>
              </w:rPr>
              <w:t>Mixed tools, including the Brief Peripheral Neuropathy Screen, nerve conduction studies, quantitative sensory testing and the Neuropathy Total Symptom Score-6</w:t>
            </w:r>
            <w:r>
              <w:rPr>
                <w:rFonts w:cs="Arial"/>
              </w:rPr>
              <w:t>.</w:t>
            </w:r>
          </w:p>
        </w:tc>
      </w:tr>
      <w:tr w:rsidR="003368AD" w:rsidRPr="00911068" w14:paraId="0A60A276" w14:textId="77777777" w:rsidTr="00911068">
        <w:tc>
          <w:tcPr>
            <w:tcW w:w="1301" w:type="pct"/>
            <w:shd w:val="clear" w:color="auto" w:fill="F6FDE9"/>
          </w:tcPr>
          <w:p w14:paraId="10E81599" w14:textId="6B8FFC8E" w:rsidR="003368AD" w:rsidRPr="00911068" w:rsidRDefault="003368AD" w:rsidP="0088572C">
            <w:pPr>
              <w:spacing w:after="0"/>
              <w:rPr>
                <w:rFonts w:eastAsia="Calibri" w:cs="Arial"/>
                <w:b/>
                <w:bCs/>
                <w:sz w:val="20"/>
              </w:rPr>
            </w:pPr>
            <w:r>
              <w:rPr>
                <w:rFonts w:eastAsia="Calibri" w:cs="Arial"/>
                <w:b/>
                <w:bCs/>
                <w:sz w:val="20"/>
              </w:rPr>
              <w:t>Response to withdrawal</w:t>
            </w:r>
          </w:p>
        </w:tc>
        <w:tc>
          <w:tcPr>
            <w:tcW w:w="3699" w:type="pct"/>
            <w:vAlign w:val="center"/>
          </w:tcPr>
          <w:p w14:paraId="32914714" w14:textId="3A67D0A8" w:rsidR="003368AD" w:rsidRPr="00911068" w:rsidRDefault="00A723D4" w:rsidP="0088572C">
            <w:pPr>
              <w:pStyle w:val="TableText"/>
              <w:rPr>
                <w:rFonts w:cs="Arial"/>
                <w:lang w:eastAsia="en-AU"/>
              </w:rPr>
            </w:pPr>
            <w:r>
              <w:rPr>
                <w:rFonts w:cs="Arial"/>
                <w:lang w:eastAsia="en-AU"/>
              </w:rPr>
              <w:t>Systematic Review did not focus on change of B6 exposure</w:t>
            </w:r>
          </w:p>
        </w:tc>
      </w:tr>
    </w:tbl>
    <w:p w14:paraId="19A4E7E0" w14:textId="77777777" w:rsidR="00E44401" w:rsidRPr="00911068" w:rsidRDefault="00E44401" w:rsidP="00E44401">
      <w:pPr>
        <w:rPr>
          <w:rFonts w:eastAsia="Times New Roman" w:cs="Arial"/>
          <w:b/>
          <w:bCs/>
          <w:sz w:val="20"/>
        </w:rPr>
      </w:pPr>
      <w:r w:rsidRPr="00911068">
        <w:rPr>
          <w:rFonts w:eastAsia="Times New Roman" w:cs="Arial"/>
          <w:b/>
          <w:bCs/>
          <w:sz w:val="20"/>
        </w:rPr>
        <w:t>Results and Conclusions</w:t>
      </w:r>
    </w:p>
    <w:tbl>
      <w:tblPr>
        <w:tblStyle w:val="SLROption1"/>
        <w:tblW w:w="5000" w:type="pct"/>
        <w:tblLook w:val="0000" w:firstRow="0" w:lastRow="0" w:firstColumn="0" w:lastColumn="0" w:noHBand="0" w:noVBand="0"/>
      </w:tblPr>
      <w:tblGrid>
        <w:gridCol w:w="3628"/>
        <w:gridCol w:w="10316"/>
      </w:tblGrid>
      <w:tr w:rsidR="00E44401" w:rsidRPr="00911068" w14:paraId="3015D6D3" w14:textId="77777777" w:rsidTr="00983C71">
        <w:trPr>
          <w:cantSplit/>
          <w:tblHeader/>
        </w:trPr>
        <w:tc>
          <w:tcPr>
            <w:tcW w:w="1301" w:type="pct"/>
            <w:shd w:val="clear" w:color="auto" w:fill="3C533C"/>
          </w:tcPr>
          <w:p w14:paraId="66603997" w14:textId="77777777" w:rsidR="00E44401" w:rsidRPr="00911068" w:rsidRDefault="00E44401" w:rsidP="00983C71">
            <w:pPr>
              <w:spacing w:after="0"/>
              <w:rPr>
                <w:rFonts w:cs="Arial"/>
                <w:sz w:val="20"/>
              </w:rPr>
            </w:pPr>
            <w:r w:rsidRPr="00911068">
              <w:rPr>
                <w:rFonts w:eastAsia="Calibri" w:cs="Arial"/>
                <w:b/>
                <w:bCs/>
                <w:color w:val="FFFFFF"/>
                <w:sz w:val="20"/>
              </w:rPr>
              <w:t>Field</w:t>
            </w:r>
          </w:p>
        </w:tc>
        <w:tc>
          <w:tcPr>
            <w:tcW w:w="3699" w:type="pct"/>
            <w:shd w:val="clear" w:color="auto" w:fill="3C533C"/>
          </w:tcPr>
          <w:p w14:paraId="148E3F0F" w14:textId="77777777" w:rsidR="00E44401" w:rsidRPr="00911068" w:rsidRDefault="00E44401" w:rsidP="00983C71">
            <w:pPr>
              <w:spacing w:after="0"/>
              <w:rPr>
                <w:rFonts w:cs="Arial"/>
                <w:sz w:val="20"/>
              </w:rPr>
            </w:pPr>
            <w:r w:rsidRPr="00911068">
              <w:rPr>
                <w:rFonts w:eastAsia="Calibri" w:cs="Arial"/>
                <w:b/>
                <w:bCs/>
                <w:color w:val="FFFFFF"/>
                <w:sz w:val="20"/>
              </w:rPr>
              <w:t>Extracted information</w:t>
            </w:r>
          </w:p>
        </w:tc>
      </w:tr>
      <w:tr w:rsidR="0088572C" w:rsidRPr="00911068" w14:paraId="6BA653A9" w14:textId="77777777" w:rsidTr="00911068">
        <w:trPr>
          <w:cantSplit/>
        </w:trPr>
        <w:tc>
          <w:tcPr>
            <w:tcW w:w="1301" w:type="pct"/>
            <w:shd w:val="clear" w:color="auto" w:fill="F6FDE9" w:themeFill="accent5" w:themeFillTint="33"/>
            <w:vAlign w:val="center"/>
          </w:tcPr>
          <w:p w14:paraId="50DF3538" w14:textId="63383AFA" w:rsidR="0088572C" w:rsidRPr="00911068" w:rsidRDefault="0088572C" w:rsidP="0088572C">
            <w:pPr>
              <w:spacing w:after="0"/>
              <w:rPr>
                <w:rFonts w:cs="Arial"/>
                <w:sz w:val="20"/>
              </w:rPr>
            </w:pPr>
            <w:r w:rsidRPr="00911068">
              <w:rPr>
                <w:rFonts w:cs="Arial"/>
                <w:b/>
                <w:bCs/>
                <w:sz w:val="20"/>
                <w:lang w:eastAsia="en-AU"/>
              </w:rPr>
              <w:t>Main results – high B6</w:t>
            </w:r>
          </w:p>
        </w:tc>
        <w:tc>
          <w:tcPr>
            <w:tcW w:w="3699" w:type="pct"/>
            <w:vAlign w:val="center"/>
          </w:tcPr>
          <w:p w14:paraId="1E0973A5" w14:textId="5421A362" w:rsidR="0088572C" w:rsidRPr="00911068" w:rsidRDefault="0088572C" w:rsidP="0088572C">
            <w:pPr>
              <w:pStyle w:val="TableText"/>
              <w:rPr>
                <w:rFonts w:cs="Arial"/>
              </w:rPr>
            </w:pPr>
            <w:r w:rsidRPr="00911068">
              <w:rPr>
                <w:rFonts w:cs="Arial"/>
                <w:lang w:eastAsia="en-AU"/>
              </w:rPr>
              <w:t xml:space="preserve">Strong evidence </w:t>
            </w:r>
            <w:r w:rsidRPr="0015381F">
              <w:rPr>
                <w:rFonts w:cs="Arial"/>
                <w:lang w:eastAsia="en-AU"/>
              </w:rPr>
              <w:t>that high vitamin B6 levels (usually from supplements) cause peripheral neuropathy, particularly sensory axonal neuropathy</w:t>
            </w:r>
            <w:r w:rsidRPr="00911068">
              <w:rPr>
                <w:rFonts w:cs="Arial"/>
                <w:lang w:eastAsia="en-AU"/>
              </w:rPr>
              <w:t xml:space="preserve"> </w:t>
            </w:r>
            <w:hyperlink r:id="rId195" w:history="1"/>
          </w:p>
        </w:tc>
      </w:tr>
      <w:tr w:rsidR="0088572C" w:rsidRPr="00911068" w14:paraId="60E25E1D" w14:textId="77777777" w:rsidTr="00911068">
        <w:trPr>
          <w:cantSplit/>
        </w:trPr>
        <w:tc>
          <w:tcPr>
            <w:tcW w:w="1301" w:type="pct"/>
            <w:shd w:val="clear" w:color="auto" w:fill="F6FDE9" w:themeFill="accent5" w:themeFillTint="33"/>
            <w:vAlign w:val="center"/>
          </w:tcPr>
          <w:p w14:paraId="66E4689D" w14:textId="27D6D5F1" w:rsidR="0088572C" w:rsidRPr="00911068" w:rsidRDefault="0088572C" w:rsidP="0088572C">
            <w:pPr>
              <w:spacing w:after="0"/>
              <w:rPr>
                <w:rFonts w:eastAsia="Calibri" w:cs="Arial"/>
                <w:b/>
                <w:bCs/>
                <w:sz w:val="20"/>
              </w:rPr>
            </w:pPr>
            <w:r w:rsidRPr="00911068">
              <w:rPr>
                <w:rFonts w:cs="Arial"/>
                <w:b/>
                <w:bCs/>
                <w:sz w:val="20"/>
                <w:lang w:eastAsia="en-AU"/>
              </w:rPr>
              <w:t>Reversibility</w:t>
            </w:r>
          </w:p>
        </w:tc>
        <w:tc>
          <w:tcPr>
            <w:tcW w:w="3699" w:type="pct"/>
            <w:vAlign w:val="center"/>
          </w:tcPr>
          <w:p w14:paraId="638E305D" w14:textId="2985CC6E" w:rsidR="0088572C" w:rsidRPr="00911068" w:rsidRDefault="0088572C" w:rsidP="0088572C">
            <w:pPr>
              <w:pStyle w:val="TableText"/>
              <w:rPr>
                <w:rFonts w:cs="Arial"/>
              </w:rPr>
            </w:pPr>
            <w:r w:rsidRPr="00911068">
              <w:rPr>
                <w:rFonts w:cs="Arial"/>
                <w:lang w:eastAsia="en-AU"/>
              </w:rPr>
              <w:t xml:space="preserve">Symptoms often improve after stopping B6 exposure </w:t>
            </w:r>
            <w:hyperlink r:id="rId196" w:history="1"/>
          </w:p>
        </w:tc>
      </w:tr>
      <w:tr w:rsidR="0088572C" w:rsidRPr="00911068" w14:paraId="3CA9EE79" w14:textId="77777777" w:rsidTr="00911068">
        <w:trPr>
          <w:cantSplit/>
        </w:trPr>
        <w:tc>
          <w:tcPr>
            <w:tcW w:w="1301" w:type="pct"/>
            <w:shd w:val="clear" w:color="auto" w:fill="F6FDE9" w:themeFill="accent5" w:themeFillTint="33"/>
            <w:vAlign w:val="center"/>
          </w:tcPr>
          <w:p w14:paraId="674161D0" w14:textId="0D80D162" w:rsidR="0088572C" w:rsidRPr="00911068" w:rsidRDefault="0088572C" w:rsidP="0088572C">
            <w:pPr>
              <w:spacing w:after="0"/>
              <w:rPr>
                <w:rFonts w:eastAsia="Calibri" w:cs="Arial"/>
                <w:b/>
                <w:bCs/>
                <w:sz w:val="20"/>
              </w:rPr>
            </w:pPr>
            <w:r w:rsidRPr="00911068">
              <w:rPr>
                <w:rFonts w:cs="Arial"/>
                <w:b/>
                <w:bCs/>
                <w:sz w:val="20"/>
                <w:lang w:eastAsia="en-AU"/>
              </w:rPr>
              <w:t>Main results – low B6</w:t>
            </w:r>
          </w:p>
        </w:tc>
        <w:tc>
          <w:tcPr>
            <w:tcW w:w="3699" w:type="pct"/>
            <w:vAlign w:val="center"/>
          </w:tcPr>
          <w:p w14:paraId="52525C40" w14:textId="21CBD71E" w:rsidR="0088572C" w:rsidRPr="0015381F" w:rsidRDefault="0088572C" w:rsidP="0088572C">
            <w:pPr>
              <w:pStyle w:val="TableText"/>
              <w:rPr>
                <w:rFonts w:cs="Arial"/>
              </w:rPr>
            </w:pPr>
            <w:r w:rsidRPr="0015381F">
              <w:rPr>
                <w:rFonts w:cs="Arial"/>
                <w:lang w:eastAsia="en-AU"/>
              </w:rPr>
              <w:t>Low B6 commonly observed in PN patients, but no clear causal relationship established</w:t>
            </w:r>
          </w:p>
        </w:tc>
      </w:tr>
      <w:tr w:rsidR="0088572C" w:rsidRPr="00911068" w14:paraId="02FEA711" w14:textId="77777777" w:rsidTr="00911068">
        <w:trPr>
          <w:cantSplit/>
        </w:trPr>
        <w:tc>
          <w:tcPr>
            <w:tcW w:w="1301" w:type="pct"/>
            <w:shd w:val="clear" w:color="auto" w:fill="F6FDE9" w:themeFill="accent5" w:themeFillTint="33"/>
            <w:vAlign w:val="center"/>
          </w:tcPr>
          <w:p w14:paraId="2F868A5C" w14:textId="21ED612A" w:rsidR="0088572C" w:rsidRPr="00911068" w:rsidRDefault="0088572C" w:rsidP="0088572C">
            <w:pPr>
              <w:spacing w:after="0"/>
              <w:rPr>
                <w:rFonts w:cs="Arial"/>
                <w:b/>
                <w:bCs/>
                <w:sz w:val="20"/>
                <w:lang w:eastAsia="en-AU"/>
              </w:rPr>
            </w:pPr>
            <w:r w:rsidRPr="00911068">
              <w:rPr>
                <w:rFonts w:cs="Arial"/>
                <w:b/>
                <w:bCs/>
                <w:sz w:val="20"/>
                <w:lang w:eastAsia="en-AU"/>
              </w:rPr>
              <w:t>Dose-response evidence</w:t>
            </w:r>
          </w:p>
        </w:tc>
        <w:tc>
          <w:tcPr>
            <w:tcW w:w="3699" w:type="pct"/>
            <w:vAlign w:val="center"/>
          </w:tcPr>
          <w:p w14:paraId="5776C8B5" w14:textId="0B156647" w:rsidR="0088572C" w:rsidRPr="00911068" w:rsidRDefault="0088572C" w:rsidP="0088572C">
            <w:pPr>
              <w:pStyle w:val="TableText"/>
              <w:rPr>
                <w:rFonts w:cs="Arial"/>
                <w:lang w:eastAsia="en-AU"/>
              </w:rPr>
            </w:pPr>
            <w:r w:rsidRPr="00911068">
              <w:rPr>
                <w:rFonts w:cs="Arial"/>
                <w:lang w:eastAsia="en-AU"/>
              </w:rPr>
              <w:t xml:space="preserve">Higher doses associated with increased PN risk (e.g., higher supplementation </w:t>
            </w:r>
            <w:r w:rsidR="0015381F">
              <w:rPr>
                <w:rFonts w:cs="Arial"/>
                <w:lang w:eastAsia="en-AU"/>
              </w:rPr>
              <w:t>results in</w:t>
            </w:r>
            <w:r w:rsidRPr="00911068">
              <w:rPr>
                <w:rFonts w:cs="Arial"/>
                <w:lang w:eastAsia="en-AU"/>
              </w:rPr>
              <w:t xml:space="preserve"> higher risk in some studies)</w:t>
            </w:r>
          </w:p>
        </w:tc>
      </w:tr>
      <w:tr w:rsidR="00911068" w:rsidRPr="00911068" w14:paraId="2FFD0225" w14:textId="77777777" w:rsidTr="00911068">
        <w:trPr>
          <w:cantSplit/>
        </w:trPr>
        <w:tc>
          <w:tcPr>
            <w:tcW w:w="5000" w:type="pct"/>
            <w:gridSpan w:val="2"/>
            <w:shd w:val="clear" w:color="auto" w:fill="F6FDE9" w:themeFill="accent5" w:themeFillTint="33"/>
            <w:vAlign w:val="center"/>
          </w:tcPr>
          <w:p w14:paraId="0C3A3481" w14:textId="09BFF2B1" w:rsidR="00911068" w:rsidRPr="00911068" w:rsidRDefault="00911068" w:rsidP="0088572C">
            <w:pPr>
              <w:pStyle w:val="TableText"/>
              <w:rPr>
                <w:rFonts w:cs="Arial"/>
                <w:lang w:eastAsia="en-AU"/>
              </w:rPr>
            </w:pPr>
            <w:r w:rsidRPr="00911068">
              <w:rPr>
                <w:rFonts w:cs="Arial"/>
                <w:b/>
                <w:bCs/>
                <w:lang w:eastAsia="en-AU"/>
              </w:rPr>
              <w:lastRenderedPageBreak/>
              <w:t>Authors’ conclusions</w:t>
            </w:r>
          </w:p>
        </w:tc>
      </w:tr>
      <w:tr w:rsidR="0088572C" w:rsidRPr="00911068" w14:paraId="7879D253" w14:textId="77777777" w:rsidTr="00911068">
        <w:trPr>
          <w:cantSplit/>
        </w:trPr>
        <w:tc>
          <w:tcPr>
            <w:tcW w:w="1301" w:type="pct"/>
            <w:shd w:val="clear" w:color="auto" w:fill="F6FDE9" w:themeFill="accent5" w:themeFillTint="33"/>
            <w:vAlign w:val="center"/>
          </w:tcPr>
          <w:p w14:paraId="58A53491" w14:textId="2CAA2E00" w:rsidR="0088572C" w:rsidRPr="00911068" w:rsidRDefault="0088572C" w:rsidP="0088572C">
            <w:pPr>
              <w:spacing w:after="0"/>
              <w:rPr>
                <w:rFonts w:cs="Arial"/>
                <w:b/>
                <w:bCs/>
                <w:sz w:val="20"/>
                <w:lang w:eastAsia="en-AU"/>
              </w:rPr>
            </w:pPr>
            <w:r w:rsidRPr="00911068">
              <w:rPr>
                <w:rFonts w:cs="Arial"/>
                <w:sz w:val="20"/>
                <w:lang w:eastAsia="en-AU"/>
              </w:rPr>
              <w:t>High B6</w:t>
            </w:r>
          </w:p>
        </w:tc>
        <w:tc>
          <w:tcPr>
            <w:tcW w:w="3699" w:type="pct"/>
            <w:vAlign w:val="center"/>
          </w:tcPr>
          <w:p w14:paraId="54DE8AA6" w14:textId="3236A633" w:rsidR="0088572C" w:rsidRPr="00911068" w:rsidRDefault="0088572C" w:rsidP="0088572C">
            <w:pPr>
              <w:pStyle w:val="TableText"/>
              <w:rPr>
                <w:rFonts w:cs="Arial"/>
                <w:lang w:eastAsia="en-AU"/>
              </w:rPr>
            </w:pPr>
            <w:r w:rsidRPr="00911068">
              <w:rPr>
                <w:rFonts w:cs="Arial"/>
                <w:lang w:eastAsia="en-AU"/>
              </w:rPr>
              <w:t>neurotoxic and linked to neuropathy</w:t>
            </w:r>
          </w:p>
        </w:tc>
      </w:tr>
      <w:tr w:rsidR="0088572C" w:rsidRPr="00911068" w14:paraId="52482D4A" w14:textId="77777777" w:rsidTr="00911068">
        <w:trPr>
          <w:cantSplit/>
        </w:trPr>
        <w:tc>
          <w:tcPr>
            <w:tcW w:w="1301" w:type="pct"/>
            <w:shd w:val="clear" w:color="auto" w:fill="F6FDE9" w:themeFill="accent5" w:themeFillTint="33"/>
            <w:vAlign w:val="center"/>
          </w:tcPr>
          <w:p w14:paraId="5BD969C9" w14:textId="44639955" w:rsidR="0088572C" w:rsidRPr="00911068" w:rsidRDefault="0088572C" w:rsidP="0088572C">
            <w:pPr>
              <w:spacing w:after="0"/>
              <w:rPr>
                <w:rFonts w:cs="Arial"/>
                <w:b/>
                <w:bCs/>
                <w:sz w:val="20"/>
                <w:lang w:eastAsia="en-AU"/>
              </w:rPr>
            </w:pPr>
            <w:r w:rsidRPr="00911068">
              <w:rPr>
                <w:rFonts w:cs="Arial"/>
                <w:sz w:val="20"/>
                <w:lang w:eastAsia="en-AU"/>
              </w:rPr>
              <w:t>Low B6</w:t>
            </w:r>
          </w:p>
        </w:tc>
        <w:tc>
          <w:tcPr>
            <w:tcW w:w="3699" w:type="pct"/>
            <w:vAlign w:val="center"/>
          </w:tcPr>
          <w:p w14:paraId="3EBC20EE" w14:textId="7592B822" w:rsidR="0088572C" w:rsidRPr="00911068" w:rsidRDefault="0088572C" w:rsidP="0088572C">
            <w:pPr>
              <w:pStyle w:val="TableText"/>
              <w:rPr>
                <w:rFonts w:cs="Arial"/>
                <w:lang w:eastAsia="en-AU"/>
              </w:rPr>
            </w:pPr>
            <w:r w:rsidRPr="00911068">
              <w:rPr>
                <w:rFonts w:cs="Arial"/>
                <w:lang w:eastAsia="en-AU"/>
              </w:rPr>
              <w:t>association unclear, not proven causal</w:t>
            </w:r>
          </w:p>
        </w:tc>
      </w:tr>
      <w:tr w:rsidR="0088572C" w:rsidRPr="00911068" w14:paraId="4468E5B7" w14:textId="77777777" w:rsidTr="00911068">
        <w:trPr>
          <w:cantSplit/>
        </w:trPr>
        <w:tc>
          <w:tcPr>
            <w:tcW w:w="1301" w:type="pct"/>
            <w:shd w:val="clear" w:color="auto" w:fill="F6FDE9" w:themeFill="accent5" w:themeFillTint="33"/>
            <w:vAlign w:val="center"/>
          </w:tcPr>
          <w:p w14:paraId="71F85E56" w14:textId="6E3FCDF9" w:rsidR="0088572C" w:rsidRPr="00911068" w:rsidRDefault="0088572C" w:rsidP="0088572C">
            <w:pPr>
              <w:spacing w:after="0"/>
              <w:rPr>
                <w:rFonts w:cs="Arial"/>
                <w:b/>
                <w:bCs/>
                <w:sz w:val="20"/>
                <w:lang w:eastAsia="en-AU"/>
              </w:rPr>
            </w:pPr>
            <w:r w:rsidRPr="00911068">
              <w:rPr>
                <w:rFonts w:cs="Arial"/>
                <w:sz w:val="20"/>
                <w:lang w:eastAsia="en-AU"/>
              </w:rPr>
              <w:t>Supplementation</w:t>
            </w:r>
          </w:p>
        </w:tc>
        <w:tc>
          <w:tcPr>
            <w:tcW w:w="3699" w:type="pct"/>
            <w:vAlign w:val="center"/>
          </w:tcPr>
          <w:p w14:paraId="6047FAAF" w14:textId="0D006C09" w:rsidR="0088572C" w:rsidRPr="00911068" w:rsidRDefault="0088572C" w:rsidP="0088572C">
            <w:pPr>
              <w:pStyle w:val="TableText"/>
              <w:rPr>
                <w:rFonts w:cs="Arial"/>
                <w:lang w:eastAsia="en-AU"/>
              </w:rPr>
            </w:pPr>
            <w:r w:rsidRPr="00911068">
              <w:rPr>
                <w:rFonts w:cs="Arial"/>
                <w:lang w:eastAsia="en-AU"/>
              </w:rPr>
              <w:t xml:space="preserve">safe at recommended doses, but excessive intake harmful </w:t>
            </w:r>
            <w:hyperlink r:id="rId197" w:history="1"/>
          </w:p>
        </w:tc>
      </w:tr>
      <w:tr w:rsidR="0088572C" w:rsidRPr="00911068" w14:paraId="7A7DC323" w14:textId="77777777" w:rsidTr="00911068">
        <w:trPr>
          <w:cantSplit/>
        </w:trPr>
        <w:tc>
          <w:tcPr>
            <w:tcW w:w="1301" w:type="pct"/>
            <w:shd w:val="clear" w:color="auto" w:fill="F6FDE9" w:themeFill="accent5" w:themeFillTint="33"/>
            <w:vAlign w:val="center"/>
          </w:tcPr>
          <w:p w14:paraId="2C852471" w14:textId="75EF3D69" w:rsidR="0088572C" w:rsidRPr="00911068" w:rsidRDefault="0088572C" w:rsidP="0088572C">
            <w:pPr>
              <w:spacing w:after="0"/>
              <w:rPr>
                <w:rFonts w:cs="Arial"/>
                <w:b/>
                <w:bCs/>
                <w:sz w:val="20"/>
                <w:lang w:eastAsia="en-AU"/>
              </w:rPr>
            </w:pPr>
            <w:r w:rsidRPr="00911068">
              <w:rPr>
                <w:rFonts w:cs="Arial"/>
                <w:b/>
                <w:bCs/>
                <w:sz w:val="20"/>
                <w:lang w:eastAsia="en-AU"/>
              </w:rPr>
              <w:t>Authors’ acknowledged limitations</w:t>
            </w:r>
          </w:p>
        </w:tc>
        <w:tc>
          <w:tcPr>
            <w:tcW w:w="3699" w:type="pct"/>
            <w:vAlign w:val="center"/>
          </w:tcPr>
          <w:p w14:paraId="0AD3CD75" w14:textId="08D6BA34" w:rsidR="0088572C" w:rsidRPr="00911068" w:rsidRDefault="0088572C" w:rsidP="0088572C">
            <w:pPr>
              <w:pStyle w:val="TableText"/>
              <w:rPr>
                <w:rFonts w:cs="Arial"/>
                <w:lang w:eastAsia="en-AU"/>
              </w:rPr>
            </w:pPr>
            <w:r w:rsidRPr="00911068">
              <w:rPr>
                <w:rFonts w:cs="Arial"/>
                <w:lang w:eastAsia="en-AU"/>
              </w:rPr>
              <w:t>Heterogeneous data, small sample sizes, confounding factors, limited dose information</w:t>
            </w:r>
          </w:p>
        </w:tc>
      </w:tr>
    </w:tbl>
    <w:p w14:paraId="5E2E6F06" w14:textId="77777777" w:rsidR="00E44401" w:rsidRPr="00911068" w:rsidRDefault="00E44401" w:rsidP="00E44401">
      <w:pPr>
        <w:rPr>
          <w:rFonts w:eastAsia="Times New Roman" w:cs="Arial"/>
          <w:b/>
          <w:bCs/>
          <w:sz w:val="20"/>
        </w:rPr>
      </w:pPr>
      <w:r w:rsidRPr="00911068">
        <w:rPr>
          <w:rFonts w:eastAsia="Times New Roman" w:cs="Arial"/>
          <w:b/>
          <w:bCs/>
          <w:sz w:val="20"/>
        </w:rPr>
        <w:t>Contextual information for the AU/NZ UL review</w:t>
      </w:r>
    </w:p>
    <w:tbl>
      <w:tblPr>
        <w:tblStyle w:val="SLROption1"/>
        <w:tblW w:w="5000" w:type="pct"/>
        <w:tblLook w:val="0000" w:firstRow="0" w:lastRow="0" w:firstColumn="0" w:lastColumn="0" w:noHBand="0" w:noVBand="0"/>
      </w:tblPr>
      <w:tblGrid>
        <w:gridCol w:w="3628"/>
        <w:gridCol w:w="10316"/>
      </w:tblGrid>
      <w:tr w:rsidR="00E44401" w:rsidRPr="00911068" w14:paraId="57193D15" w14:textId="77777777" w:rsidTr="00983C71">
        <w:tc>
          <w:tcPr>
            <w:tcW w:w="1301" w:type="pct"/>
            <w:shd w:val="clear" w:color="auto" w:fill="F6FDE9"/>
          </w:tcPr>
          <w:p w14:paraId="36661591" w14:textId="77777777" w:rsidR="00E44401" w:rsidRPr="00911068" w:rsidRDefault="00E44401" w:rsidP="00983C71">
            <w:pPr>
              <w:spacing w:after="0"/>
              <w:rPr>
                <w:rFonts w:cs="Arial"/>
                <w:sz w:val="20"/>
              </w:rPr>
            </w:pPr>
            <w:r w:rsidRPr="00911068">
              <w:rPr>
                <w:rFonts w:eastAsia="Calibri" w:cs="Arial"/>
                <w:b/>
                <w:bCs/>
                <w:sz w:val="20"/>
              </w:rPr>
              <w:t>Generalisability to AU/NZ</w:t>
            </w:r>
          </w:p>
        </w:tc>
        <w:tc>
          <w:tcPr>
            <w:tcW w:w="3699" w:type="pct"/>
          </w:tcPr>
          <w:p w14:paraId="05563418" w14:textId="198B647D" w:rsidR="00E44401" w:rsidRPr="00911068" w:rsidRDefault="0088572C" w:rsidP="00983C71">
            <w:pPr>
              <w:spacing w:after="0"/>
              <w:rPr>
                <w:rFonts w:cs="Arial"/>
                <w:sz w:val="20"/>
              </w:rPr>
            </w:pPr>
            <w:r w:rsidRPr="00911068">
              <w:rPr>
                <w:rFonts w:eastAsia="Calibri" w:cs="Arial"/>
                <w:sz w:val="20"/>
              </w:rPr>
              <w:t>Moderate; includes general populations and supplement use</w:t>
            </w:r>
            <w:r w:rsidR="0015381F">
              <w:rPr>
                <w:rFonts w:eastAsia="Calibri" w:cs="Arial"/>
                <w:sz w:val="20"/>
              </w:rPr>
              <w:t xml:space="preserve">, </w:t>
            </w:r>
            <w:r w:rsidRPr="00911068">
              <w:rPr>
                <w:rFonts w:eastAsia="Calibri" w:cs="Arial"/>
                <w:sz w:val="20"/>
              </w:rPr>
              <w:t>relevant for public health risk assessment</w:t>
            </w:r>
          </w:p>
        </w:tc>
      </w:tr>
    </w:tbl>
    <w:p w14:paraId="016317DE" w14:textId="77777777" w:rsidR="003A549D" w:rsidRPr="003A549D" w:rsidRDefault="003A549D" w:rsidP="003A549D">
      <w:pPr>
        <w:rPr>
          <w:b/>
          <w:bCs/>
        </w:rPr>
      </w:pPr>
    </w:p>
    <w:p w14:paraId="51975ED0" w14:textId="0227A18B" w:rsidR="003A549D" w:rsidRPr="003A549D" w:rsidRDefault="003A549D" w:rsidP="003A549D">
      <w:pPr>
        <w:keepNext/>
        <w:numPr>
          <w:ilvl w:val="2"/>
          <w:numId w:val="2"/>
        </w:numPr>
        <w:spacing w:before="240"/>
        <w:outlineLvl w:val="8"/>
        <w:rPr>
          <w:b/>
          <w:iCs/>
          <w:noProof/>
          <w:color w:val="667545" w:themeColor="accent3"/>
          <w:sz w:val="24"/>
        </w:rPr>
      </w:pPr>
      <w:r w:rsidRPr="003A549D">
        <w:rPr>
          <w:b/>
          <w:iCs/>
          <w:noProof/>
          <w:color w:val="667545" w:themeColor="accent3"/>
          <w:sz w:val="24"/>
        </w:rPr>
        <w:t>Sano et al. 202</w:t>
      </w:r>
      <w:r w:rsidR="008D1458">
        <w:rPr>
          <w:b/>
          <w:iCs/>
          <w:noProof/>
          <w:color w:val="667545" w:themeColor="accent3"/>
          <w:sz w:val="24"/>
        </w:rPr>
        <w:t>2</w:t>
      </w:r>
    </w:p>
    <w:p w14:paraId="371D3020" w14:textId="77777777" w:rsidR="003A549D" w:rsidRPr="003A549D" w:rsidRDefault="003A549D" w:rsidP="003A549D">
      <w:pPr>
        <w:keepNext/>
        <w:spacing w:before="240"/>
        <w:ind w:left="1080" w:hanging="1080"/>
        <w:rPr>
          <w:rFonts w:eastAsia="Calibri" w:cs="Arial"/>
          <w:b/>
          <w:bCs/>
          <w:sz w:val="20"/>
        </w:rPr>
      </w:pPr>
      <w:r w:rsidRPr="003A549D">
        <w:rPr>
          <w:rFonts w:eastAsia="Calibri" w:cs="Arial"/>
          <w:b/>
          <w:bCs/>
          <w:sz w:val="20"/>
        </w:rPr>
        <w:t>Study identification and design</w:t>
      </w:r>
    </w:p>
    <w:tbl>
      <w:tblPr>
        <w:tblStyle w:val="SLROption1"/>
        <w:tblW w:w="5000" w:type="pct"/>
        <w:tblLook w:val="0000" w:firstRow="0" w:lastRow="0" w:firstColumn="0" w:lastColumn="0" w:noHBand="0" w:noVBand="0"/>
      </w:tblPr>
      <w:tblGrid>
        <w:gridCol w:w="3628"/>
        <w:gridCol w:w="10316"/>
      </w:tblGrid>
      <w:tr w:rsidR="003A549D" w:rsidRPr="003A549D" w14:paraId="056992BD" w14:textId="77777777" w:rsidTr="00F62C9B">
        <w:tc>
          <w:tcPr>
            <w:tcW w:w="1301" w:type="pct"/>
            <w:shd w:val="clear" w:color="auto" w:fill="3C533C"/>
          </w:tcPr>
          <w:p w14:paraId="75CC0367"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2EAB8712"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73F88BEC" w14:textId="77777777" w:rsidTr="00F62C9B">
        <w:tc>
          <w:tcPr>
            <w:tcW w:w="1301" w:type="pct"/>
            <w:shd w:val="clear" w:color="auto" w:fill="F6FDE9"/>
          </w:tcPr>
          <w:p w14:paraId="3E2EFDEE" w14:textId="77777777" w:rsidR="003A549D" w:rsidRPr="003A549D" w:rsidRDefault="003A549D" w:rsidP="003A549D">
            <w:pPr>
              <w:spacing w:after="0"/>
              <w:rPr>
                <w:rFonts w:cs="Arial"/>
                <w:sz w:val="20"/>
              </w:rPr>
            </w:pPr>
            <w:r w:rsidRPr="003A549D">
              <w:rPr>
                <w:rFonts w:eastAsia="Calibri" w:cs="Arial"/>
                <w:b/>
                <w:bCs/>
                <w:sz w:val="20"/>
              </w:rPr>
              <w:t>Citation</w:t>
            </w:r>
          </w:p>
        </w:tc>
        <w:tc>
          <w:tcPr>
            <w:tcW w:w="3699" w:type="pct"/>
          </w:tcPr>
          <w:p w14:paraId="2BD05FD0" w14:textId="77777777" w:rsidR="003A549D" w:rsidRPr="003A549D" w:rsidRDefault="003A549D" w:rsidP="003A549D">
            <w:pPr>
              <w:spacing w:after="0"/>
              <w:rPr>
                <w:rFonts w:cs="Arial"/>
                <w:sz w:val="20"/>
              </w:rPr>
            </w:pPr>
            <w:r w:rsidRPr="003A549D">
              <w:rPr>
                <w:rFonts w:cs="Arial"/>
                <w:sz w:val="20"/>
              </w:rPr>
              <w:t xml:space="preserve">Sano T, Masuda Y, Yasuno H, Shinozawa T, Watanabe T, Kakehi M. Blood neurofilament light chain as a potential biomarker for central and peripheral nervous toxicity in rats. </w:t>
            </w:r>
            <w:r w:rsidRPr="003A549D">
              <w:rPr>
                <w:rFonts w:cs="Arial"/>
                <w:i/>
                <w:iCs/>
                <w:sz w:val="20"/>
              </w:rPr>
              <w:t>Toxicological Sciences</w:t>
            </w:r>
            <w:r w:rsidRPr="003A549D">
              <w:rPr>
                <w:rFonts w:cs="Arial"/>
                <w:sz w:val="20"/>
              </w:rPr>
              <w:t xml:space="preserve"> 185(1):10–18, 2022. Advance Access 22 October 2021. </w:t>
            </w:r>
            <w:hyperlink r:id="rId198" w:history="1">
              <w:r w:rsidRPr="003A549D">
                <w:rPr>
                  <w:rFonts w:cs="Arial"/>
                  <w:color w:val="4E5768"/>
                  <w:sz w:val="20"/>
                  <w:u w:val="single"/>
                </w:rPr>
                <w:t>https://doi.org/10.1093/toxsci/kfab122</w:t>
              </w:r>
            </w:hyperlink>
          </w:p>
        </w:tc>
      </w:tr>
      <w:tr w:rsidR="003A549D" w:rsidRPr="003A549D" w14:paraId="2082F704" w14:textId="77777777" w:rsidTr="00F62C9B">
        <w:tc>
          <w:tcPr>
            <w:tcW w:w="1301" w:type="pct"/>
            <w:shd w:val="clear" w:color="auto" w:fill="F6FDE9"/>
          </w:tcPr>
          <w:p w14:paraId="211CC304" w14:textId="77777777" w:rsidR="003A549D" w:rsidRPr="003A549D" w:rsidRDefault="003A549D" w:rsidP="003A549D">
            <w:pPr>
              <w:spacing w:after="0"/>
              <w:rPr>
                <w:rFonts w:cs="Arial"/>
                <w:sz w:val="20"/>
              </w:rPr>
            </w:pPr>
            <w:r w:rsidRPr="003A549D">
              <w:rPr>
                <w:rFonts w:eastAsia="Calibri" w:cs="Arial"/>
                <w:b/>
                <w:bCs/>
                <w:sz w:val="20"/>
              </w:rPr>
              <w:t>Publication status</w:t>
            </w:r>
          </w:p>
        </w:tc>
        <w:tc>
          <w:tcPr>
            <w:tcW w:w="3699" w:type="pct"/>
          </w:tcPr>
          <w:p w14:paraId="677221AE" w14:textId="77777777" w:rsidR="003A549D" w:rsidRPr="003A549D" w:rsidRDefault="003A549D" w:rsidP="003A549D">
            <w:pPr>
              <w:spacing w:after="0"/>
              <w:rPr>
                <w:rFonts w:cs="Arial"/>
                <w:sz w:val="20"/>
              </w:rPr>
            </w:pPr>
            <w:r w:rsidRPr="003A549D">
              <w:rPr>
                <w:rFonts w:cs="Arial"/>
                <w:sz w:val="20"/>
              </w:rPr>
              <w:t>Published, peer-reviewed journal article (Open Access)</w:t>
            </w:r>
          </w:p>
        </w:tc>
      </w:tr>
      <w:tr w:rsidR="003A549D" w:rsidRPr="003A549D" w14:paraId="7EDF28EE" w14:textId="77777777" w:rsidTr="00F62C9B">
        <w:tc>
          <w:tcPr>
            <w:tcW w:w="1301" w:type="pct"/>
            <w:shd w:val="clear" w:color="auto" w:fill="F6FDE9"/>
          </w:tcPr>
          <w:p w14:paraId="5B4B1005" w14:textId="77777777" w:rsidR="003A549D" w:rsidRPr="003A549D" w:rsidRDefault="003A549D" w:rsidP="003A549D">
            <w:pPr>
              <w:spacing w:after="0"/>
              <w:rPr>
                <w:rFonts w:cs="Arial"/>
                <w:sz w:val="20"/>
              </w:rPr>
            </w:pPr>
            <w:r w:rsidRPr="003A549D">
              <w:rPr>
                <w:rFonts w:eastAsia="Calibri" w:cs="Arial"/>
                <w:b/>
                <w:bCs/>
                <w:sz w:val="20"/>
              </w:rPr>
              <w:t>Country / setting</w:t>
            </w:r>
          </w:p>
        </w:tc>
        <w:tc>
          <w:tcPr>
            <w:tcW w:w="3699" w:type="pct"/>
          </w:tcPr>
          <w:p w14:paraId="69B2792A" w14:textId="77777777" w:rsidR="003A549D" w:rsidRPr="003A549D" w:rsidRDefault="003A549D" w:rsidP="003A549D">
            <w:pPr>
              <w:spacing w:after="0"/>
              <w:rPr>
                <w:rFonts w:cs="Arial"/>
                <w:sz w:val="20"/>
              </w:rPr>
            </w:pPr>
            <w:r w:rsidRPr="003A549D">
              <w:rPr>
                <w:rFonts w:cs="Arial"/>
                <w:sz w:val="20"/>
              </w:rPr>
              <w:t>Japan; nonclinical (preclinical) animal laboratory study conducted at Shonan Health Innovation Park (animal work by Axcelead Drug Discovery Partners Inc.)</w:t>
            </w:r>
          </w:p>
        </w:tc>
      </w:tr>
      <w:tr w:rsidR="003A549D" w:rsidRPr="003A549D" w14:paraId="588D4E3C" w14:textId="77777777" w:rsidTr="00F62C9B">
        <w:tc>
          <w:tcPr>
            <w:tcW w:w="1301" w:type="pct"/>
            <w:shd w:val="clear" w:color="auto" w:fill="F6FDE9"/>
          </w:tcPr>
          <w:p w14:paraId="52322926" w14:textId="77777777" w:rsidR="003A549D" w:rsidRPr="003A549D" w:rsidRDefault="003A549D" w:rsidP="003A549D">
            <w:pPr>
              <w:spacing w:after="0"/>
              <w:rPr>
                <w:rFonts w:cs="Arial"/>
                <w:sz w:val="20"/>
              </w:rPr>
            </w:pPr>
            <w:r w:rsidRPr="003A549D">
              <w:rPr>
                <w:rFonts w:eastAsia="Calibri" w:cs="Arial"/>
                <w:b/>
                <w:bCs/>
                <w:sz w:val="20"/>
              </w:rPr>
              <w:t>Study design</w:t>
            </w:r>
          </w:p>
        </w:tc>
        <w:tc>
          <w:tcPr>
            <w:tcW w:w="3699" w:type="pct"/>
          </w:tcPr>
          <w:p w14:paraId="696165DA" w14:textId="77777777" w:rsidR="003A549D" w:rsidRPr="003A549D" w:rsidRDefault="003A549D" w:rsidP="003A549D">
            <w:pPr>
              <w:spacing w:after="0"/>
              <w:rPr>
                <w:rFonts w:cs="Arial"/>
                <w:sz w:val="20"/>
              </w:rPr>
            </w:pPr>
            <w:r w:rsidRPr="003A549D">
              <w:rPr>
                <w:rFonts w:cs="Arial"/>
                <w:sz w:val="20"/>
              </w:rPr>
              <w:t>Controlled experimental animal study in Sprague Dawley rats using multiple neurotoxicant models (TMT, KA, MK-801 as CNS toxicants; pyridoxine as PNS toxicant), with sacrifice at multiple time points (days 2, 4, 8)</w:t>
            </w:r>
          </w:p>
        </w:tc>
      </w:tr>
      <w:tr w:rsidR="003A549D" w:rsidRPr="003A549D" w14:paraId="01DA8346" w14:textId="77777777" w:rsidTr="00F62C9B">
        <w:tc>
          <w:tcPr>
            <w:tcW w:w="1301" w:type="pct"/>
            <w:shd w:val="clear" w:color="auto" w:fill="F6FDE9"/>
          </w:tcPr>
          <w:p w14:paraId="3FFF3F2B" w14:textId="77777777" w:rsidR="003A549D" w:rsidRPr="003A549D" w:rsidRDefault="003A549D" w:rsidP="003A549D">
            <w:pPr>
              <w:spacing w:after="0"/>
              <w:rPr>
                <w:rFonts w:cs="Arial"/>
                <w:sz w:val="20"/>
              </w:rPr>
            </w:pPr>
            <w:r w:rsidRPr="003A549D">
              <w:rPr>
                <w:rFonts w:eastAsia="Calibri" w:cs="Arial"/>
                <w:b/>
                <w:bCs/>
                <w:sz w:val="20"/>
              </w:rPr>
              <w:t>Funding / conflicts of interest</w:t>
            </w:r>
          </w:p>
        </w:tc>
        <w:tc>
          <w:tcPr>
            <w:tcW w:w="3699" w:type="pct"/>
          </w:tcPr>
          <w:p w14:paraId="3E2739A0" w14:textId="77777777" w:rsidR="003A549D" w:rsidRPr="003A549D" w:rsidRDefault="003A549D" w:rsidP="003A549D">
            <w:pPr>
              <w:spacing w:after="0"/>
              <w:rPr>
                <w:rFonts w:cs="Arial"/>
                <w:sz w:val="20"/>
              </w:rPr>
            </w:pPr>
            <w:r w:rsidRPr="003A549D">
              <w:rPr>
                <w:rFonts w:cs="Arial"/>
                <w:sz w:val="20"/>
              </w:rPr>
              <w:t>Funded internally by Takeda Pharmaceutical Company Limited. All authors are employees of Takeda Pharmaceutical Company. No external funding declared.</w:t>
            </w:r>
          </w:p>
        </w:tc>
      </w:tr>
    </w:tbl>
    <w:p w14:paraId="36EAC73B" w14:textId="77777777" w:rsidR="003A549D" w:rsidRPr="003A549D" w:rsidRDefault="003A549D" w:rsidP="003A549D">
      <w:pPr>
        <w:rPr>
          <w:rFonts w:eastAsia="Times New Roman" w:cs="Times New Roman"/>
        </w:rPr>
      </w:pPr>
      <w:r w:rsidRPr="003A549D">
        <w:rPr>
          <w:rFonts w:eastAsia="Calibri" w:cs="Arial"/>
          <w:b/>
          <w:bCs/>
          <w:sz w:val="20"/>
        </w:rPr>
        <w:t>Population</w:t>
      </w:r>
    </w:p>
    <w:tbl>
      <w:tblPr>
        <w:tblStyle w:val="SLROption1"/>
        <w:tblW w:w="5000" w:type="pct"/>
        <w:tblLook w:val="0000" w:firstRow="0" w:lastRow="0" w:firstColumn="0" w:lastColumn="0" w:noHBand="0" w:noVBand="0"/>
      </w:tblPr>
      <w:tblGrid>
        <w:gridCol w:w="3628"/>
        <w:gridCol w:w="10316"/>
      </w:tblGrid>
      <w:tr w:rsidR="003A549D" w:rsidRPr="003A549D" w14:paraId="5EEC099A" w14:textId="77777777" w:rsidTr="00F62C9B">
        <w:tc>
          <w:tcPr>
            <w:tcW w:w="1301" w:type="pct"/>
            <w:shd w:val="clear" w:color="auto" w:fill="3C533C"/>
          </w:tcPr>
          <w:p w14:paraId="67EA021E"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17602805"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25DC92CC" w14:textId="77777777" w:rsidTr="00F62C9B">
        <w:tc>
          <w:tcPr>
            <w:tcW w:w="1301" w:type="pct"/>
            <w:shd w:val="clear" w:color="auto" w:fill="F6FDE9"/>
          </w:tcPr>
          <w:p w14:paraId="20394538" w14:textId="77777777" w:rsidR="003A549D" w:rsidRPr="003A549D" w:rsidRDefault="003A549D" w:rsidP="003A549D">
            <w:pPr>
              <w:spacing w:after="0"/>
              <w:rPr>
                <w:rFonts w:cs="Arial"/>
                <w:sz w:val="20"/>
              </w:rPr>
            </w:pPr>
            <w:r w:rsidRPr="003A549D">
              <w:rPr>
                <w:rFonts w:eastAsia="Calibri" w:cs="Arial"/>
                <w:b/>
                <w:bCs/>
                <w:sz w:val="20"/>
              </w:rPr>
              <w:t>Sample size</w:t>
            </w:r>
          </w:p>
        </w:tc>
        <w:tc>
          <w:tcPr>
            <w:tcW w:w="3699" w:type="pct"/>
          </w:tcPr>
          <w:p w14:paraId="50213AE0" w14:textId="77777777" w:rsidR="003A549D" w:rsidRPr="003A549D" w:rsidRDefault="003A549D" w:rsidP="003A549D">
            <w:pPr>
              <w:spacing w:after="0"/>
              <w:rPr>
                <w:rFonts w:cs="Arial"/>
                <w:sz w:val="20"/>
              </w:rPr>
            </w:pPr>
            <w:r w:rsidRPr="003A549D">
              <w:rPr>
                <w:rFonts w:cs="Arial"/>
                <w:sz w:val="20"/>
              </w:rPr>
              <w:t>48 male Sprague Dawley rats total; allocated to 12 groups of n=4 per group</w:t>
            </w:r>
          </w:p>
        </w:tc>
      </w:tr>
      <w:tr w:rsidR="003A549D" w:rsidRPr="003A549D" w14:paraId="537DE012" w14:textId="77777777" w:rsidTr="00F62C9B">
        <w:tc>
          <w:tcPr>
            <w:tcW w:w="1301" w:type="pct"/>
            <w:shd w:val="clear" w:color="auto" w:fill="F6FDE9"/>
          </w:tcPr>
          <w:p w14:paraId="19F85369" w14:textId="77777777" w:rsidR="003A549D" w:rsidRPr="003A549D" w:rsidRDefault="003A549D" w:rsidP="003A549D">
            <w:pPr>
              <w:spacing w:after="0"/>
              <w:rPr>
                <w:rFonts w:cs="Arial"/>
                <w:sz w:val="20"/>
              </w:rPr>
            </w:pPr>
            <w:r w:rsidRPr="003A549D">
              <w:rPr>
                <w:rFonts w:eastAsia="Calibri" w:cs="Arial"/>
                <w:b/>
                <w:bCs/>
                <w:sz w:val="20"/>
              </w:rPr>
              <w:lastRenderedPageBreak/>
              <w:t>Patient (test animal) characteristics</w:t>
            </w:r>
          </w:p>
        </w:tc>
        <w:tc>
          <w:tcPr>
            <w:tcW w:w="3699" w:type="pct"/>
          </w:tcPr>
          <w:p w14:paraId="66A49891" w14:textId="77777777" w:rsidR="003A549D" w:rsidRPr="003A549D" w:rsidRDefault="003A549D" w:rsidP="003A549D">
            <w:pPr>
              <w:spacing w:before="120" w:after="0"/>
              <w:rPr>
                <w:rFonts w:cs="Arial"/>
                <w:sz w:val="20"/>
              </w:rPr>
            </w:pPr>
            <w:r w:rsidRPr="003A549D">
              <w:rPr>
                <w:rFonts w:cs="Arial"/>
                <w:sz w:val="20"/>
              </w:rPr>
              <w:t>Male Sprague Dawley rats (Charles River Laboratories Japan), body weight 207–260 g at study start; selected using standardised normal values based on body weight</w:t>
            </w:r>
          </w:p>
        </w:tc>
      </w:tr>
      <w:tr w:rsidR="003A549D" w:rsidRPr="003A549D" w14:paraId="5D031F19" w14:textId="77777777" w:rsidTr="00F62C9B">
        <w:tc>
          <w:tcPr>
            <w:tcW w:w="1301" w:type="pct"/>
            <w:shd w:val="clear" w:color="auto" w:fill="F6FDE9"/>
          </w:tcPr>
          <w:p w14:paraId="1F09F3E0" w14:textId="77777777" w:rsidR="003A549D" w:rsidRPr="003A549D" w:rsidRDefault="003A549D" w:rsidP="003A549D">
            <w:pPr>
              <w:spacing w:after="0"/>
              <w:rPr>
                <w:rFonts w:cs="Arial"/>
                <w:sz w:val="20"/>
              </w:rPr>
            </w:pPr>
            <w:r w:rsidRPr="003A549D">
              <w:rPr>
                <w:rFonts w:eastAsia="Calibri" w:cs="Arial"/>
                <w:b/>
                <w:bCs/>
                <w:sz w:val="20"/>
              </w:rPr>
              <w:t>Inclusion/exclusion of alternative causes</w:t>
            </w:r>
          </w:p>
        </w:tc>
        <w:tc>
          <w:tcPr>
            <w:tcW w:w="3699" w:type="pct"/>
          </w:tcPr>
          <w:p w14:paraId="5BDD89FA" w14:textId="77777777" w:rsidR="003A549D" w:rsidRPr="003A549D" w:rsidRDefault="003A549D" w:rsidP="003A549D">
            <w:pPr>
              <w:spacing w:after="0"/>
              <w:rPr>
                <w:rFonts w:cs="Arial"/>
                <w:sz w:val="20"/>
              </w:rPr>
            </w:pPr>
            <w:r w:rsidRPr="003A549D">
              <w:rPr>
                <w:rFonts w:cs="Arial"/>
                <w:sz w:val="20"/>
              </w:rPr>
              <w:t>Not applicable (controlled experimental design). Animals individually housed under standardised conditions (20–26°C, 40–70% humidity, 12-h light/dark cycle, ad libitum diet and water). Spontaneous focal necrosis noted in one pyridoxine animal (day 2) and noted as incidental finding.</w:t>
            </w:r>
          </w:p>
        </w:tc>
      </w:tr>
    </w:tbl>
    <w:p w14:paraId="5BCCF5C5" w14:textId="77777777" w:rsidR="003A549D" w:rsidRPr="003A549D" w:rsidRDefault="003A549D" w:rsidP="003A549D">
      <w:pPr>
        <w:rPr>
          <w:rFonts w:eastAsia="Times New Roman" w:cs="Times New Roman"/>
          <w:b/>
          <w:bCs/>
        </w:rPr>
      </w:pPr>
      <w:r w:rsidRPr="003A549D">
        <w:rPr>
          <w:rFonts w:eastAsia="Times New Roman" w:cs="Times New Roman"/>
          <w:b/>
          <w:bCs/>
        </w:rPr>
        <w:t>Exposure</w:t>
      </w:r>
    </w:p>
    <w:tbl>
      <w:tblPr>
        <w:tblStyle w:val="SLROption1"/>
        <w:tblW w:w="5000" w:type="pct"/>
        <w:tblLook w:val="0000" w:firstRow="0" w:lastRow="0" w:firstColumn="0" w:lastColumn="0" w:noHBand="0" w:noVBand="0"/>
      </w:tblPr>
      <w:tblGrid>
        <w:gridCol w:w="3628"/>
        <w:gridCol w:w="10316"/>
      </w:tblGrid>
      <w:tr w:rsidR="003A549D" w:rsidRPr="003A549D" w14:paraId="7259FD29" w14:textId="77777777" w:rsidTr="00F62C9B">
        <w:trPr>
          <w:cantSplit/>
          <w:tblHeader/>
        </w:trPr>
        <w:tc>
          <w:tcPr>
            <w:tcW w:w="1301" w:type="pct"/>
            <w:shd w:val="clear" w:color="auto" w:fill="3C533C"/>
          </w:tcPr>
          <w:p w14:paraId="60FD71C9"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76032972"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34608158" w14:textId="77777777" w:rsidTr="00F62C9B">
        <w:tc>
          <w:tcPr>
            <w:tcW w:w="1301" w:type="pct"/>
            <w:shd w:val="clear" w:color="auto" w:fill="F6FDE9"/>
          </w:tcPr>
          <w:p w14:paraId="01520CC1" w14:textId="77777777" w:rsidR="003A549D" w:rsidRPr="003A549D" w:rsidRDefault="003A549D" w:rsidP="003A549D">
            <w:pPr>
              <w:spacing w:after="0"/>
              <w:rPr>
                <w:rFonts w:cs="Arial"/>
                <w:sz w:val="20"/>
              </w:rPr>
            </w:pPr>
            <w:r w:rsidRPr="003A549D">
              <w:rPr>
                <w:rFonts w:eastAsia="Calibri" w:cs="Arial"/>
                <w:b/>
                <w:bCs/>
                <w:sz w:val="20"/>
              </w:rPr>
              <w:t>Exposure characterisation – source</w:t>
            </w:r>
          </w:p>
        </w:tc>
        <w:tc>
          <w:tcPr>
            <w:tcW w:w="3699" w:type="pct"/>
          </w:tcPr>
          <w:p w14:paraId="43BFE928" w14:textId="77777777" w:rsidR="003A549D" w:rsidRPr="003A549D" w:rsidRDefault="003A549D" w:rsidP="003A549D">
            <w:pPr>
              <w:spacing w:after="0"/>
              <w:rPr>
                <w:rFonts w:cs="Arial"/>
                <w:sz w:val="20"/>
              </w:rPr>
            </w:pPr>
            <w:r w:rsidRPr="003A549D">
              <w:rPr>
                <w:rFonts w:cs="Arial"/>
                <w:sz w:val="20"/>
              </w:rPr>
              <w:t>Four neurotoxicant compounds: (1) Trimethyltin (TMT; Tokyo Chemical Industry Co.); (2) Kainic acid (KA; FUJIFILM Wako Pure Chemical); (3) MK-801 (FUJIFILM Wako Pure Chemical); (4) Pyridoxine (Sigma-Aldrich Japan)</w:t>
            </w:r>
          </w:p>
        </w:tc>
      </w:tr>
      <w:tr w:rsidR="003A549D" w:rsidRPr="003A549D" w14:paraId="3773F57D" w14:textId="77777777" w:rsidTr="00F62C9B">
        <w:tc>
          <w:tcPr>
            <w:tcW w:w="1301" w:type="pct"/>
            <w:shd w:val="clear" w:color="auto" w:fill="F6FDE9"/>
          </w:tcPr>
          <w:p w14:paraId="754EDBCA" w14:textId="77777777" w:rsidR="003A549D" w:rsidRPr="003A549D" w:rsidRDefault="003A549D" w:rsidP="003A549D">
            <w:pPr>
              <w:spacing w:after="0"/>
              <w:rPr>
                <w:rFonts w:cs="Arial"/>
                <w:sz w:val="20"/>
              </w:rPr>
            </w:pPr>
            <w:r w:rsidRPr="003A549D">
              <w:rPr>
                <w:rFonts w:eastAsia="Calibri" w:cs="Arial"/>
                <w:b/>
                <w:bCs/>
                <w:sz w:val="20"/>
              </w:rPr>
              <w:t>Exposure characterisation – dose</w:t>
            </w:r>
          </w:p>
        </w:tc>
        <w:tc>
          <w:tcPr>
            <w:tcW w:w="3699" w:type="pct"/>
          </w:tcPr>
          <w:p w14:paraId="6D52D7E1" w14:textId="77777777" w:rsidR="003A549D" w:rsidRPr="00E21479" w:rsidRDefault="003A549D" w:rsidP="003A549D">
            <w:pPr>
              <w:spacing w:before="120" w:after="0"/>
              <w:rPr>
                <w:rFonts w:cs="Arial"/>
                <w:sz w:val="20"/>
                <w:lang w:val="da-DK"/>
              </w:rPr>
            </w:pPr>
            <w:r w:rsidRPr="00E21479">
              <w:rPr>
                <w:rFonts w:cs="Arial"/>
                <w:sz w:val="20"/>
                <w:lang w:val="da-DK"/>
              </w:rPr>
              <w:t xml:space="preserve">TMT: 10 mg/kg oral gavage, single dose; </w:t>
            </w:r>
          </w:p>
          <w:p w14:paraId="1E30CA8D" w14:textId="77777777" w:rsidR="003A549D" w:rsidRPr="003A549D" w:rsidRDefault="003A549D" w:rsidP="003A549D">
            <w:pPr>
              <w:spacing w:before="120" w:after="0"/>
              <w:rPr>
                <w:rFonts w:cs="Arial"/>
                <w:sz w:val="20"/>
              </w:rPr>
            </w:pPr>
            <w:r w:rsidRPr="003A549D">
              <w:rPr>
                <w:rFonts w:cs="Arial"/>
                <w:sz w:val="20"/>
              </w:rPr>
              <w:t xml:space="preserve">KA: 12 mg/kg subcutaneous, single dose; </w:t>
            </w:r>
          </w:p>
          <w:p w14:paraId="50D747C8" w14:textId="77777777" w:rsidR="003A549D" w:rsidRPr="003A549D" w:rsidRDefault="003A549D" w:rsidP="003A549D">
            <w:pPr>
              <w:spacing w:before="120" w:after="0"/>
              <w:rPr>
                <w:rFonts w:cs="Arial"/>
                <w:sz w:val="20"/>
              </w:rPr>
            </w:pPr>
            <w:r w:rsidRPr="003A549D">
              <w:rPr>
                <w:rFonts w:cs="Arial"/>
                <w:sz w:val="20"/>
              </w:rPr>
              <w:t xml:space="preserve">MK-801: 1 mg/kg subcutaneous, single dose; </w:t>
            </w:r>
          </w:p>
          <w:p w14:paraId="6DE9A536" w14:textId="77777777" w:rsidR="003A549D" w:rsidRPr="003A549D" w:rsidRDefault="003A549D" w:rsidP="003A549D">
            <w:pPr>
              <w:spacing w:before="120" w:after="0"/>
              <w:rPr>
                <w:rFonts w:cs="Arial"/>
                <w:sz w:val="20"/>
              </w:rPr>
            </w:pPr>
            <w:r w:rsidRPr="003A549D">
              <w:rPr>
                <w:rFonts w:cs="Arial"/>
                <w:sz w:val="20"/>
              </w:rPr>
              <w:t>Pyridoxine: 1200 mg/kg/day (600 mg/kg BID) for 3 days</w:t>
            </w:r>
          </w:p>
        </w:tc>
      </w:tr>
      <w:tr w:rsidR="003A549D" w:rsidRPr="003A549D" w14:paraId="1E0F4326" w14:textId="77777777" w:rsidTr="00F62C9B">
        <w:tc>
          <w:tcPr>
            <w:tcW w:w="1301" w:type="pct"/>
            <w:shd w:val="clear" w:color="auto" w:fill="F6FDE9"/>
          </w:tcPr>
          <w:p w14:paraId="769D9366" w14:textId="77777777" w:rsidR="003A549D" w:rsidRPr="003A549D" w:rsidRDefault="003A549D" w:rsidP="003A549D">
            <w:pPr>
              <w:spacing w:after="0"/>
              <w:rPr>
                <w:rFonts w:cs="Arial"/>
                <w:sz w:val="20"/>
              </w:rPr>
            </w:pPr>
            <w:r w:rsidRPr="003A549D">
              <w:rPr>
                <w:rFonts w:eastAsia="Calibri" w:cs="Arial"/>
                <w:b/>
                <w:bCs/>
                <w:sz w:val="20"/>
              </w:rPr>
              <w:t>Biomarker of exposure</w:t>
            </w:r>
          </w:p>
        </w:tc>
        <w:tc>
          <w:tcPr>
            <w:tcW w:w="3699" w:type="pct"/>
          </w:tcPr>
          <w:p w14:paraId="162CABD7" w14:textId="77777777" w:rsidR="003A549D" w:rsidRPr="003A549D" w:rsidRDefault="003A549D" w:rsidP="003A549D">
            <w:pPr>
              <w:spacing w:after="0"/>
              <w:rPr>
                <w:rFonts w:cs="Arial"/>
                <w:sz w:val="20"/>
              </w:rPr>
            </w:pPr>
            <w:r w:rsidRPr="003A549D">
              <w:rPr>
                <w:rFonts w:cs="Arial"/>
                <w:sz w:val="20"/>
              </w:rPr>
              <w:t xml:space="preserve">Not applicable (neurotoxicant exposure model, not an exposure biomarker study). </w:t>
            </w:r>
          </w:p>
          <w:p w14:paraId="4AC90D47" w14:textId="77777777" w:rsidR="003A549D" w:rsidRPr="003A549D" w:rsidRDefault="003A549D" w:rsidP="003A549D">
            <w:pPr>
              <w:spacing w:after="0"/>
              <w:rPr>
                <w:rFonts w:cs="Arial"/>
                <w:sz w:val="20"/>
              </w:rPr>
            </w:pPr>
            <w:r w:rsidRPr="003A549D">
              <w:rPr>
                <w:rFonts w:cs="Arial"/>
                <w:sz w:val="20"/>
              </w:rPr>
              <w:t>Outcome biomarker measured: neurofilament light chain (NfL) in serum and erebrospinal fluid (CSF), measured by Simoa SR-X analyser (Quanterix, Simoa NF-light Advantage SR-X Kit)</w:t>
            </w:r>
          </w:p>
        </w:tc>
      </w:tr>
      <w:tr w:rsidR="003A549D" w:rsidRPr="003A549D" w14:paraId="71E79593" w14:textId="77777777" w:rsidTr="00F62C9B">
        <w:tc>
          <w:tcPr>
            <w:tcW w:w="1301" w:type="pct"/>
            <w:shd w:val="clear" w:color="auto" w:fill="F6FDE9"/>
          </w:tcPr>
          <w:p w14:paraId="4A8FC0ED" w14:textId="77777777" w:rsidR="003A549D" w:rsidRPr="003A549D" w:rsidRDefault="003A549D" w:rsidP="003A549D">
            <w:pPr>
              <w:spacing w:after="0"/>
              <w:rPr>
                <w:rFonts w:cs="Arial"/>
                <w:sz w:val="20"/>
              </w:rPr>
            </w:pPr>
            <w:r w:rsidRPr="003A549D">
              <w:rPr>
                <w:rFonts w:eastAsia="Calibri" w:cs="Arial"/>
                <w:b/>
                <w:bCs/>
                <w:sz w:val="20"/>
              </w:rPr>
              <w:t>Duration of exposure</w:t>
            </w:r>
          </w:p>
        </w:tc>
        <w:tc>
          <w:tcPr>
            <w:tcW w:w="3699" w:type="pct"/>
          </w:tcPr>
          <w:p w14:paraId="07E91FD0" w14:textId="77777777" w:rsidR="003A549D" w:rsidRPr="00E21479" w:rsidRDefault="003A549D" w:rsidP="003A549D">
            <w:pPr>
              <w:spacing w:after="0"/>
              <w:rPr>
                <w:rFonts w:cs="Arial"/>
                <w:sz w:val="20"/>
                <w:lang w:val="da-DK"/>
              </w:rPr>
            </w:pPr>
            <w:r w:rsidRPr="00E21479">
              <w:rPr>
                <w:rFonts w:cs="Arial"/>
                <w:sz w:val="20"/>
                <w:lang w:val="da-DK"/>
              </w:rPr>
              <w:t xml:space="preserve">TMT, KA, MK-801: single administration; </w:t>
            </w:r>
          </w:p>
          <w:p w14:paraId="15762EA1" w14:textId="77777777" w:rsidR="003A549D" w:rsidRPr="003A549D" w:rsidRDefault="003A549D" w:rsidP="003A549D">
            <w:pPr>
              <w:spacing w:after="0"/>
              <w:rPr>
                <w:rFonts w:cs="Arial"/>
                <w:sz w:val="20"/>
              </w:rPr>
            </w:pPr>
            <w:r w:rsidRPr="003A549D">
              <w:rPr>
                <w:rFonts w:cs="Arial"/>
                <w:sz w:val="20"/>
              </w:rPr>
              <w:t>Pyridoxine: 3 days (BID dosing). Observation/sacrifice at 1 day (day 2), 3 days (day 4), or 7 days (day 8) after first dose</w:t>
            </w:r>
          </w:p>
        </w:tc>
      </w:tr>
    </w:tbl>
    <w:p w14:paraId="5C62265B" w14:textId="77777777" w:rsidR="003A549D" w:rsidRPr="003A549D" w:rsidRDefault="003A549D" w:rsidP="003A549D">
      <w:pPr>
        <w:rPr>
          <w:rFonts w:eastAsia="Times New Roman" w:cs="Times New Roman"/>
          <w:b/>
          <w:bCs/>
        </w:rPr>
      </w:pPr>
      <w:r w:rsidRPr="003A549D">
        <w:rPr>
          <w:rFonts w:eastAsia="Times New Roman" w:cs="Times New Roman"/>
          <w:b/>
          <w:bCs/>
        </w:rPr>
        <w:t>Outcomes</w:t>
      </w:r>
    </w:p>
    <w:tbl>
      <w:tblPr>
        <w:tblStyle w:val="SLROption1"/>
        <w:tblW w:w="5000" w:type="pct"/>
        <w:tblLook w:val="0000" w:firstRow="0" w:lastRow="0" w:firstColumn="0" w:lastColumn="0" w:noHBand="0" w:noVBand="0"/>
      </w:tblPr>
      <w:tblGrid>
        <w:gridCol w:w="3628"/>
        <w:gridCol w:w="10316"/>
      </w:tblGrid>
      <w:tr w:rsidR="003A549D" w:rsidRPr="003A549D" w14:paraId="1AE72270" w14:textId="77777777" w:rsidTr="00F62C9B">
        <w:tc>
          <w:tcPr>
            <w:tcW w:w="1301" w:type="pct"/>
            <w:shd w:val="clear" w:color="auto" w:fill="3C533C"/>
          </w:tcPr>
          <w:p w14:paraId="3C6657F0"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3D4854B9"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6AE5ADA7" w14:textId="77777777" w:rsidTr="00F62C9B">
        <w:tc>
          <w:tcPr>
            <w:tcW w:w="1301" w:type="pct"/>
            <w:shd w:val="clear" w:color="auto" w:fill="F6FDE9"/>
          </w:tcPr>
          <w:p w14:paraId="3020E560" w14:textId="77777777" w:rsidR="003A549D" w:rsidRPr="003A549D" w:rsidRDefault="003A549D" w:rsidP="003A549D">
            <w:pPr>
              <w:spacing w:after="0"/>
              <w:rPr>
                <w:rFonts w:cs="Arial"/>
                <w:sz w:val="20"/>
              </w:rPr>
            </w:pPr>
            <w:r w:rsidRPr="003A549D">
              <w:rPr>
                <w:rFonts w:eastAsia="Calibri" w:cs="Arial"/>
                <w:b/>
                <w:bCs/>
                <w:sz w:val="20"/>
              </w:rPr>
              <w:t>Primary outcome</w:t>
            </w:r>
          </w:p>
        </w:tc>
        <w:tc>
          <w:tcPr>
            <w:tcW w:w="3699" w:type="pct"/>
          </w:tcPr>
          <w:p w14:paraId="790C60AC" w14:textId="77777777" w:rsidR="003A549D" w:rsidRPr="003A549D" w:rsidRDefault="003A549D" w:rsidP="003A549D">
            <w:pPr>
              <w:spacing w:after="0"/>
              <w:rPr>
                <w:rFonts w:cs="Arial"/>
                <w:sz w:val="20"/>
              </w:rPr>
            </w:pPr>
            <w:r w:rsidRPr="003A549D">
              <w:rPr>
                <w:rFonts w:cs="Arial"/>
                <w:sz w:val="20"/>
              </w:rPr>
              <w:t>Serum and CSF NfL levels as biomarkers of CNS and PNS neurotoxicity; correlation between NfL levels and histopathological evidence of neuronal damage</w:t>
            </w:r>
          </w:p>
        </w:tc>
      </w:tr>
      <w:tr w:rsidR="003A549D" w:rsidRPr="003A549D" w14:paraId="2CAEFFC4" w14:textId="77777777" w:rsidTr="00F62C9B">
        <w:tc>
          <w:tcPr>
            <w:tcW w:w="1301" w:type="pct"/>
            <w:shd w:val="clear" w:color="auto" w:fill="F6FDE9"/>
          </w:tcPr>
          <w:p w14:paraId="0843D396" w14:textId="77777777" w:rsidR="003A549D" w:rsidRPr="003A549D" w:rsidRDefault="003A549D" w:rsidP="003A549D">
            <w:pPr>
              <w:spacing w:after="0"/>
              <w:rPr>
                <w:rFonts w:cs="Arial"/>
                <w:sz w:val="20"/>
              </w:rPr>
            </w:pPr>
            <w:r w:rsidRPr="003A549D">
              <w:rPr>
                <w:rFonts w:eastAsia="Calibri" w:cs="Arial"/>
                <w:b/>
                <w:bCs/>
                <w:sz w:val="20"/>
              </w:rPr>
              <w:t>Outcome assessment</w:t>
            </w:r>
          </w:p>
        </w:tc>
        <w:tc>
          <w:tcPr>
            <w:tcW w:w="3699" w:type="pct"/>
          </w:tcPr>
          <w:p w14:paraId="2D18D4F8" w14:textId="77777777" w:rsidR="003A549D" w:rsidRPr="003A549D" w:rsidRDefault="003A549D" w:rsidP="003A549D">
            <w:pPr>
              <w:spacing w:before="120" w:after="0"/>
              <w:rPr>
                <w:rFonts w:cs="Arial"/>
                <w:sz w:val="20"/>
              </w:rPr>
            </w:pPr>
            <w:r w:rsidRPr="003A549D">
              <w:rPr>
                <w:rFonts w:cs="Arial"/>
                <w:sz w:val="20"/>
              </w:rPr>
              <w:t>Daily clinical signs observation; body weight measured on days 2, 4, and 8; neurological signs recorded (convulsions, tremor, twitch, irritability, wet dog shake, locomotor activity, gait)</w:t>
            </w:r>
          </w:p>
        </w:tc>
      </w:tr>
      <w:tr w:rsidR="003A549D" w:rsidRPr="003A549D" w14:paraId="4A49F52B" w14:textId="77777777" w:rsidTr="00F62C9B">
        <w:tc>
          <w:tcPr>
            <w:tcW w:w="1301" w:type="pct"/>
            <w:shd w:val="clear" w:color="auto" w:fill="F6FDE9"/>
          </w:tcPr>
          <w:p w14:paraId="5096DB98" w14:textId="77777777" w:rsidR="003A549D" w:rsidRPr="003A549D" w:rsidRDefault="003A549D" w:rsidP="003A549D">
            <w:pPr>
              <w:spacing w:after="0"/>
              <w:rPr>
                <w:rFonts w:cs="Arial"/>
                <w:sz w:val="20"/>
              </w:rPr>
            </w:pPr>
            <w:r w:rsidRPr="003A549D">
              <w:rPr>
                <w:rFonts w:eastAsia="Calibri" w:cs="Arial"/>
                <w:b/>
                <w:bCs/>
                <w:sz w:val="20"/>
              </w:rPr>
              <w:lastRenderedPageBreak/>
              <w:t>Outcome assessment – objective testing</w:t>
            </w:r>
          </w:p>
        </w:tc>
        <w:tc>
          <w:tcPr>
            <w:tcW w:w="3699" w:type="pct"/>
          </w:tcPr>
          <w:p w14:paraId="46732472" w14:textId="77777777" w:rsidR="003A549D" w:rsidRPr="003A549D" w:rsidRDefault="003A549D" w:rsidP="003A549D">
            <w:pPr>
              <w:spacing w:after="0"/>
              <w:rPr>
                <w:rFonts w:cs="Arial"/>
                <w:sz w:val="20"/>
              </w:rPr>
            </w:pPr>
            <w:r w:rsidRPr="003A549D">
              <w:rPr>
                <w:rFonts w:cs="Arial"/>
                <w:sz w:val="20"/>
              </w:rPr>
              <w:t>Serum and CSF NfL measured by Simoa (single-molecule array technology); brain and spinal cord histopathology (H&amp;E staining); Fluoro-Jade C staining (neuronal cell death marker); immunohistochemistry (anti-GFAP, anti-Iba1 antibodies for gliosis characterisation)</w:t>
            </w:r>
          </w:p>
        </w:tc>
      </w:tr>
      <w:tr w:rsidR="003A549D" w:rsidRPr="003A549D" w14:paraId="6AB22DBF" w14:textId="77777777" w:rsidTr="00F62C9B">
        <w:tc>
          <w:tcPr>
            <w:tcW w:w="1301" w:type="pct"/>
            <w:shd w:val="clear" w:color="auto" w:fill="F6FDE9"/>
          </w:tcPr>
          <w:p w14:paraId="124F3E9A" w14:textId="77777777" w:rsidR="003A549D" w:rsidRPr="003A549D" w:rsidRDefault="003A549D" w:rsidP="003A549D">
            <w:pPr>
              <w:spacing w:after="0"/>
              <w:rPr>
                <w:rFonts w:cs="Arial"/>
                <w:sz w:val="20"/>
              </w:rPr>
            </w:pPr>
            <w:r w:rsidRPr="003A549D">
              <w:rPr>
                <w:rFonts w:eastAsia="Calibri" w:cs="Arial"/>
                <w:b/>
                <w:bCs/>
                <w:sz w:val="20"/>
              </w:rPr>
              <w:t>Outcome assessment – tools used</w:t>
            </w:r>
          </w:p>
        </w:tc>
        <w:tc>
          <w:tcPr>
            <w:tcW w:w="3699" w:type="pct"/>
          </w:tcPr>
          <w:p w14:paraId="05215478" w14:textId="77777777" w:rsidR="003A549D" w:rsidRPr="003A549D" w:rsidRDefault="003A549D" w:rsidP="003A549D">
            <w:pPr>
              <w:spacing w:after="0"/>
              <w:rPr>
                <w:rFonts w:cs="Arial"/>
                <w:sz w:val="20"/>
              </w:rPr>
            </w:pPr>
            <w:r w:rsidRPr="003A549D">
              <w:rPr>
                <w:rFonts w:cs="Arial"/>
                <w:sz w:val="20"/>
              </w:rPr>
              <w:t>Simoa SR-X analyser with NF-light Advantage Kit; Leica Bond-Rx autostainer (IHC); H&amp;E staining; FJ-C staining; SAS v9.3 for statistical analysis; Pearson's correlation coefficient for CSF-serum NfL correlation; Student's t-test or Aspin-Welch t-test for group comparisons</w:t>
            </w:r>
          </w:p>
        </w:tc>
      </w:tr>
      <w:tr w:rsidR="003A549D" w:rsidRPr="003A549D" w14:paraId="293A0C8F" w14:textId="77777777" w:rsidTr="00F62C9B">
        <w:tc>
          <w:tcPr>
            <w:tcW w:w="1301" w:type="pct"/>
            <w:shd w:val="clear" w:color="auto" w:fill="F6FDE9"/>
          </w:tcPr>
          <w:p w14:paraId="5091F464" w14:textId="77777777" w:rsidR="003A549D" w:rsidRPr="003A549D" w:rsidRDefault="003A549D" w:rsidP="003A549D">
            <w:pPr>
              <w:spacing w:after="0"/>
              <w:rPr>
                <w:rFonts w:cs="Arial"/>
                <w:sz w:val="20"/>
              </w:rPr>
            </w:pPr>
            <w:r w:rsidRPr="003A549D">
              <w:rPr>
                <w:rFonts w:eastAsia="Calibri" w:cs="Arial"/>
                <w:b/>
                <w:bCs/>
                <w:sz w:val="20"/>
              </w:rPr>
              <w:t>Response to withdrawal</w:t>
            </w:r>
          </w:p>
        </w:tc>
        <w:tc>
          <w:tcPr>
            <w:tcW w:w="3699" w:type="pct"/>
          </w:tcPr>
          <w:p w14:paraId="0A5991C6" w14:textId="77777777" w:rsidR="003A549D" w:rsidRPr="003A549D" w:rsidRDefault="003A549D" w:rsidP="003A549D">
            <w:pPr>
              <w:spacing w:after="0"/>
              <w:rPr>
                <w:rFonts w:cs="Arial"/>
                <w:sz w:val="20"/>
              </w:rPr>
            </w:pPr>
            <w:r w:rsidRPr="003A549D">
              <w:rPr>
                <w:rFonts w:cs="Arial"/>
                <w:sz w:val="20"/>
              </w:rPr>
              <w:t>Not assessed (no withdrawal phase; animals sacrificed at designated time points)</w:t>
            </w:r>
          </w:p>
        </w:tc>
      </w:tr>
    </w:tbl>
    <w:p w14:paraId="33008332" w14:textId="77777777" w:rsidR="003A549D" w:rsidRPr="003A549D" w:rsidRDefault="003A549D" w:rsidP="003A549D">
      <w:pPr>
        <w:rPr>
          <w:rFonts w:eastAsia="Times New Roman" w:cs="Times New Roman"/>
          <w:b/>
          <w:bCs/>
        </w:rPr>
      </w:pPr>
      <w:r w:rsidRPr="003A549D">
        <w:rPr>
          <w:rFonts w:eastAsia="Times New Roman" w:cs="Times New Roman"/>
          <w:b/>
          <w:bCs/>
        </w:rPr>
        <w:t>Results and Conclusions</w:t>
      </w:r>
    </w:p>
    <w:tbl>
      <w:tblPr>
        <w:tblStyle w:val="SLROption1"/>
        <w:tblW w:w="5000" w:type="pct"/>
        <w:tblLook w:val="0000" w:firstRow="0" w:lastRow="0" w:firstColumn="0" w:lastColumn="0" w:noHBand="0" w:noVBand="0"/>
      </w:tblPr>
      <w:tblGrid>
        <w:gridCol w:w="3628"/>
        <w:gridCol w:w="10316"/>
      </w:tblGrid>
      <w:tr w:rsidR="003A549D" w:rsidRPr="003A549D" w14:paraId="31F7F658" w14:textId="77777777" w:rsidTr="00F62C9B">
        <w:trPr>
          <w:cantSplit/>
          <w:tblHeader/>
        </w:trPr>
        <w:tc>
          <w:tcPr>
            <w:tcW w:w="1301" w:type="pct"/>
            <w:shd w:val="clear" w:color="auto" w:fill="3C533C"/>
          </w:tcPr>
          <w:p w14:paraId="35B5E650"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1E515A0A"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17A6A3C9" w14:textId="77777777" w:rsidTr="00F62C9B">
        <w:trPr>
          <w:cantSplit/>
        </w:trPr>
        <w:tc>
          <w:tcPr>
            <w:tcW w:w="1301" w:type="pct"/>
            <w:shd w:val="clear" w:color="auto" w:fill="F6FDE9"/>
          </w:tcPr>
          <w:p w14:paraId="10B2571A" w14:textId="77777777" w:rsidR="003A549D" w:rsidRPr="003A549D" w:rsidRDefault="003A549D" w:rsidP="003A549D">
            <w:pPr>
              <w:spacing w:after="0"/>
              <w:rPr>
                <w:rFonts w:cs="Arial"/>
                <w:sz w:val="20"/>
              </w:rPr>
            </w:pPr>
            <w:r w:rsidRPr="003A549D">
              <w:rPr>
                <w:rFonts w:eastAsia="Calibri" w:cs="Arial"/>
                <w:b/>
                <w:bCs/>
                <w:sz w:val="20"/>
              </w:rPr>
              <w:t>Main results</w:t>
            </w:r>
          </w:p>
        </w:tc>
        <w:tc>
          <w:tcPr>
            <w:tcW w:w="3699" w:type="pct"/>
          </w:tcPr>
          <w:p w14:paraId="24C43EB6" w14:textId="21270EE6" w:rsidR="003A549D" w:rsidRPr="003A549D" w:rsidRDefault="0015381F" w:rsidP="003A549D">
            <w:pPr>
              <w:spacing w:before="120" w:after="0"/>
              <w:rPr>
                <w:rFonts w:cs="Arial"/>
                <w:sz w:val="20"/>
              </w:rPr>
            </w:pPr>
            <w:r w:rsidRPr="0015381F">
              <w:rPr>
                <w:rFonts w:cs="Arial"/>
                <w:sz w:val="20"/>
              </w:rPr>
              <w:t>Neurofilament light chain levels increased in serum and cerebrospinal fluid after neurotoxic injury to the central and peripheral nervous systems. Pyridoxine caused damage to dorsal root ganglia and nerve fibres, with clear increases in neurofilament light chain, especially by day 4. Serum and cerebrospinal fluid levels were strongly correlated, and the biomarker performed similarly to histopathology in detecting nerve damage.</w:t>
            </w:r>
          </w:p>
        </w:tc>
      </w:tr>
      <w:tr w:rsidR="003A549D" w:rsidRPr="003A549D" w14:paraId="635FCB81" w14:textId="77777777" w:rsidTr="00F62C9B">
        <w:trPr>
          <w:cantSplit/>
        </w:trPr>
        <w:tc>
          <w:tcPr>
            <w:tcW w:w="1301" w:type="pct"/>
            <w:shd w:val="clear" w:color="auto" w:fill="F6FDE9"/>
          </w:tcPr>
          <w:p w14:paraId="6EE61D6C" w14:textId="77777777" w:rsidR="003A549D" w:rsidRPr="003A549D" w:rsidRDefault="003A549D" w:rsidP="003A549D">
            <w:pPr>
              <w:spacing w:after="0"/>
              <w:rPr>
                <w:rFonts w:cs="Arial"/>
                <w:sz w:val="20"/>
              </w:rPr>
            </w:pPr>
            <w:r w:rsidRPr="003A549D">
              <w:rPr>
                <w:rFonts w:eastAsia="Calibri" w:cs="Arial"/>
                <w:b/>
                <w:bCs/>
                <w:sz w:val="20"/>
              </w:rPr>
              <w:t>Authors' conclusions</w:t>
            </w:r>
          </w:p>
        </w:tc>
        <w:tc>
          <w:tcPr>
            <w:tcW w:w="3699" w:type="pct"/>
          </w:tcPr>
          <w:p w14:paraId="0D03BC69" w14:textId="3AE8CE8D" w:rsidR="003A549D" w:rsidRPr="003A549D" w:rsidRDefault="0015381F" w:rsidP="003A549D">
            <w:pPr>
              <w:spacing w:after="0"/>
              <w:rPr>
                <w:rFonts w:cs="Arial"/>
                <w:sz w:val="20"/>
              </w:rPr>
            </w:pPr>
            <w:r w:rsidRPr="0015381F">
              <w:rPr>
                <w:rFonts w:cs="Arial"/>
                <w:sz w:val="20"/>
              </w:rPr>
              <w:t>Serum neurofilament light chain may be a useful blood biomarker for detecting neurotoxicity in rats. It reflected both brain and peripheral nerve injury and may help identify neurotoxicity risks during nonclinical drug development.</w:t>
            </w:r>
          </w:p>
        </w:tc>
      </w:tr>
      <w:tr w:rsidR="003A549D" w:rsidRPr="003A549D" w14:paraId="34FA659D" w14:textId="77777777" w:rsidTr="00F62C9B">
        <w:trPr>
          <w:cantSplit/>
        </w:trPr>
        <w:tc>
          <w:tcPr>
            <w:tcW w:w="1301" w:type="pct"/>
            <w:shd w:val="clear" w:color="auto" w:fill="F6FDE9"/>
          </w:tcPr>
          <w:p w14:paraId="6D0EF904" w14:textId="77777777" w:rsidR="003A549D" w:rsidRPr="003A549D" w:rsidRDefault="003A549D" w:rsidP="003A549D">
            <w:pPr>
              <w:spacing w:after="0"/>
              <w:rPr>
                <w:rFonts w:cs="Arial"/>
                <w:sz w:val="20"/>
              </w:rPr>
            </w:pPr>
            <w:r w:rsidRPr="003A549D">
              <w:rPr>
                <w:rFonts w:eastAsia="Calibri" w:cs="Arial"/>
                <w:b/>
                <w:bCs/>
                <w:sz w:val="20"/>
              </w:rPr>
              <w:t>Authors' acknowledged limitations</w:t>
            </w:r>
          </w:p>
        </w:tc>
        <w:tc>
          <w:tcPr>
            <w:tcW w:w="3699" w:type="pct"/>
          </w:tcPr>
          <w:p w14:paraId="72D01D21" w14:textId="6F749471" w:rsidR="003A549D" w:rsidRPr="003A549D" w:rsidRDefault="0015381F" w:rsidP="0015381F">
            <w:pPr>
              <w:spacing w:after="0"/>
              <w:contextualSpacing/>
              <w:rPr>
                <w:rFonts w:cs="Arial"/>
                <w:sz w:val="20"/>
              </w:rPr>
            </w:pPr>
            <w:r w:rsidRPr="0015381F">
              <w:rPr>
                <w:rFonts w:cs="Arial"/>
                <w:sz w:val="20"/>
              </w:rPr>
              <w:t>The study used severe neurotoxicity models, so further work is needed with milder effects. It was not clear whether neurofilament light chain can detect damage before obvious tissue injury occurs. Some early increases were not fully explained, and group sizes were small, with four animals per group.</w:t>
            </w:r>
          </w:p>
        </w:tc>
      </w:tr>
    </w:tbl>
    <w:p w14:paraId="0518FDCC" w14:textId="77777777" w:rsidR="003A549D" w:rsidRPr="003A549D" w:rsidRDefault="003A549D" w:rsidP="003A549D">
      <w:pPr>
        <w:rPr>
          <w:rFonts w:eastAsia="Times New Roman" w:cs="Times New Roman"/>
          <w:b/>
          <w:bCs/>
        </w:rPr>
      </w:pPr>
      <w:r w:rsidRPr="003A549D">
        <w:rPr>
          <w:rFonts w:eastAsia="Times New Roman" w:cs="Times New Roman"/>
          <w:b/>
          <w:bCs/>
        </w:rPr>
        <w:t>Contextual information for the AU/NZ UL review</w:t>
      </w:r>
    </w:p>
    <w:tbl>
      <w:tblPr>
        <w:tblStyle w:val="SLROption1"/>
        <w:tblW w:w="5000" w:type="pct"/>
        <w:tblLook w:val="0000" w:firstRow="0" w:lastRow="0" w:firstColumn="0" w:lastColumn="0" w:noHBand="0" w:noVBand="0"/>
      </w:tblPr>
      <w:tblGrid>
        <w:gridCol w:w="3628"/>
        <w:gridCol w:w="10316"/>
      </w:tblGrid>
      <w:tr w:rsidR="003A549D" w:rsidRPr="003A549D" w14:paraId="4D5D9EA2" w14:textId="77777777" w:rsidTr="00F62C9B">
        <w:tc>
          <w:tcPr>
            <w:tcW w:w="1301" w:type="pct"/>
            <w:shd w:val="clear" w:color="auto" w:fill="F6FDE9"/>
          </w:tcPr>
          <w:p w14:paraId="2ACD32B5" w14:textId="77777777" w:rsidR="003A549D" w:rsidRPr="003A549D" w:rsidRDefault="003A549D" w:rsidP="003A549D">
            <w:pPr>
              <w:spacing w:after="0"/>
              <w:rPr>
                <w:rFonts w:cs="Arial"/>
                <w:sz w:val="20"/>
              </w:rPr>
            </w:pPr>
            <w:r w:rsidRPr="003A549D">
              <w:rPr>
                <w:rFonts w:eastAsia="Calibri" w:cs="Arial"/>
                <w:b/>
                <w:bCs/>
                <w:sz w:val="20"/>
              </w:rPr>
              <w:t>Generalisability to AU/NZ</w:t>
            </w:r>
          </w:p>
        </w:tc>
        <w:tc>
          <w:tcPr>
            <w:tcW w:w="3699" w:type="pct"/>
          </w:tcPr>
          <w:p w14:paraId="1D1F1B0E" w14:textId="77777777" w:rsidR="003A549D" w:rsidRPr="003A549D" w:rsidRDefault="003A549D" w:rsidP="003A549D">
            <w:pPr>
              <w:spacing w:after="0"/>
              <w:rPr>
                <w:rFonts w:cs="Arial"/>
                <w:sz w:val="20"/>
              </w:rPr>
            </w:pPr>
            <w:r w:rsidRPr="003A549D">
              <w:rPr>
                <w:rFonts w:cs="Arial"/>
                <w:sz w:val="20"/>
              </w:rPr>
              <w:t>Animal study is relevant. However, the dose used was far above dietary or therapeutic exposure levels, and the acute/subacute animal model is not directly applicable to human AU/NZ UL risk assessment without dose conversion and careful extrapolation.</w:t>
            </w:r>
          </w:p>
        </w:tc>
      </w:tr>
    </w:tbl>
    <w:p w14:paraId="1B9B8FAF" w14:textId="5DAE691A" w:rsidR="003A549D" w:rsidRPr="003A549D" w:rsidRDefault="003A549D" w:rsidP="00834C85">
      <w:pPr>
        <w:pStyle w:val="Heading9"/>
      </w:pPr>
      <w:r w:rsidRPr="003A549D">
        <w:t>Schellack et al. 2025</w:t>
      </w:r>
    </w:p>
    <w:p w14:paraId="39E3F674" w14:textId="77777777" w:rsidR="003A549D" w:rsidRPr="003A549D" w:rsidRDefault="003A549D" w:rsidP="003A549D">
      <w:pPr>
        <w:keepNext/>
        <w:spacing w:before="240"/>
        <w:ind w:left="1080" w:hanging="1080"/>
        <w:rPr>
          <w:rFonts w:eastAsia="Calibri" w:cs="Arial"/>
          <w:b/>
          <w:bCs/>
          <w:sz w:val="20"/>
        </w:rPr>
      </w:pPr>
      <w:r w:rsidRPr="003A549D">
        <w:rPr>
          <w:rFonts w:eastAsia="Calibri" w:cs="Arial"/>
          <w:b/>
          <w:bCs/>
          <w:sz w:val="20"/>
        </w:rPr>
        <w:t>Study identification and design</w:t>
      </w:r>
    </w:p>
    <w:tbl>
      <w:tblPr>
        <w:tblStyle w:val="SLROption1"/>
        <w:tblW w:w="5000" w:type="pct"/>
        <w:tblLook w:val="0000" w:firstRow="0" w:lastRow="0" w:firstColumn="0" w:lastColumn="0" w:noHBand="0" w:noVBand="0"/>
      </w:tblPr>
      <w:tblGrid>
        <w:gridCol w:w="3628"/>
        <w:gridCol w:w="10316"/>
      </w:tblGrid>
      <w:tr w:rsidR="003A549D" w:rsidRPr="003A549D" w14:paraId="1F83707C" w14:textId="77777777" w:rsidTr="00F62C9B">
        <w:tc>
          <w:tcPr>
            <w:tcW w:w="1301" w:type="pct"/>
            <w:shd w:val="clear" w:color="auto" w:fill="3C533C"/>
          </w:tcPr>
          <w:p w14:paraId="79729DB9"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3D19BD64"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7D1BE7B2" w14:textId="77777777" w:rsidTr="00F62C9B">
        <w:tc>
          <w:tcPr>
            <w:tcW w:w="1301" w:type="pct"/>
            <w:shd w:val="clear" w:color="auto" w:fill="F6FDE9"/>
          </w:tcPr>
          <w:p w14:paraId="107EFFA5" w14:textId="77777777" w:rsidR="003A549D" w:rsidRPr="003A549D" w:rsidRDefault="003A549D" w:rsidP="003A549D">
            <w:pPr>
              <w:spacing w:after="0"/>
              <w:rPr>
                <w:rFonts w:cs="Arial"/>
                <w:sz w:val="20"/>
              </w:rPr>
            </w:pPr>
            <w:r w:rsidRPr="003A549D">
              <w:rPr>
                <w:rFonts w:eastAsia="Calibri" w:cs="Arial"/>
                <w:b/>
                <w:bCs/>
                <w:sz w:val="20"/>
              </w:rPr>
              <w:lastRenderedPageBreak/>
              <w:t>Citation</w:t>
            </w:r>
          </w:p>
        </w:tc>
        <w:tc>
          <w:tcPr>
            <w:tcW w:w="3699" w:type="pct"/>
          </w:tcPr>
          <w:p w14:paraId="73221210" w14:textId="77777777" w:rsidR="003A549D" w:rsidRPr="003A549D" w:rsidRDefault="003A549D" w:rsidP="003A549D">
            <w:pPr>
              <w:spacing w:after="0"/>
              <w:rPr>
                <w:rFonts w:cs="Arial"/>
                <w:sz w:val="20"/>
              </w:rPr>
            </w:pPr>
            <w:r w:rsidRPr="003A549D">
              <w:rPr>
                <w:rFonts w:cs="Arial"/>
                <w:sz w:val="20"/>
              </w:rPr>
              <w:t xml:space="preserve">Schellack N, Yotsombut K, Sabet A, Nafach J, Hiew FL, Kulkantrakorn K. Expert consensus on vitamin B6 therapeutic use for patients: guidance on safe dosage, duration and clinical management. </w:t>
            </w:r>
            <w:r w:rsidRPr="003A549D">
              <w:rPr>
                <w:rFonts w:cs="Arial"/>
                <w:i/>
                <w:iCs/>
                <w:sz w:val="20"/>
              </w:rPr>
              <w:t>Drug, Healthcare and Patient Safety</w:t>
            </w:r>
            <w:r w:rsidRPr="003A549D">
              <w:rPr>
                <w:rFonts w:cs="Arial"/>
                <w:sz w:val="20"/>
              </w:rPr>
              <w:t xml:space="preserve"> 2025;17:97–108. </w:t>
            </w:r>
            <w:hyperlink r:id="rId199" w:history="1">
              <w:r w:rsidRPr="003A549D">
                <w:rPr>
                  <w:rFonts w:cs="Arial"/>
                  <w:color w:val="4E5768"/>
                  <w:sz w:val="20"/>
                  <w:u w:val="single"/>
                </w:rPr>
                <w:t>https://doi.org/10.2147/DHPS.S499941</w:t>
              </w:r>
            </w:hyperlink>
          </w:p>
        </w:tc>
      </w:tr>
      <w:tr w:rsidR="003A549D" w:rsidRPr="003A549D" w14:paraId="3074250B" w14:textId="77777777" w:rsidTr="00F62C9B">
        <w:tc>
          <w:tcPr>
            <w:tcW w:w="1301" w:type="pct"/>
            <w:shd w:val="clear" w:color="auto" w:fill="F6FDE9"/>
          </w:tcPr>
          <w:p w14:paraId="3294897B" w14:textId="77777777" w:rsidR="003A549D" w:rsidRPr="003A549D" w:rsidRDefault="003A549D" w:rsidP="003A549D">
            <w:pPr>
              <w:spacing w:after="0"/>
              <w:rPr>
                <w:rFonts w:cs="Arial"/>
                <w:sz w:val="20"/>
              </w:rPr>
            </w:pPr>
            <w:r w:rsidRPr="003A549D">
              <w:rPr>
                <w:rFonts w:eastAsia="Calibri" w:cs="Arial"/>
                <w:b/>
                <w:bCs/>
                <w:sz w:val="20"/>
              </w:rPr>
              <w:t>Publication status</w:t>
            </w:r>
          </w:p>
        </w:tc>
        <w:tc>
          <w:tcPr>
            <w:tcW w:w="3699" w:type="pct"/>
          </w:tcPr>
          <w:p w14:paraId="076B0A3B" w14:textId="77777777" w:rsidR="003A549D" w:rsidRPr="003A549D" w:rsidRDefault="003A549D" w:rsidP="003A549D">
            <w:pPr>
              <w:spacing w:after="0"/>
              <w:rPr>
                <w:rFonts w:cs="Arial"/>
                <w:sz w:val="20"/>
              </w:rPr>
            </w:pPr>
            <w:r w:rsidRPr="003A549D">
              <w:rPr>
                <w:rFonts w:cs="Arial"/>
                <w:sz w:val="20"/>
              </w:rPr>
              <w:t>Published, peer-reviewed open-access journal article (received October 2024, accepted March 2025, published April 2025)</w:t>
            </w:r>
          </w:p>
        </w:tc>
      </w:tr>
      <w:tr w:rsidR="003A549D" w:rsidRPr="003A549D" w14:paraId="21463EDD" w14:textId="77777777" w:rsidTr="00F62C9B">
        <w:tc>
          <w:tcPr>
            <w:tcW w:w="1301" w:type="pct"/>
            <w:shd w:val="clear" w:color="auto" w:fill="F6FDE9"/>
          </w:tcPr>
          <w:p w14:paraId="72BDE5E5" w14:textId="77777777" w:rsidR="003A549D" w:rsidRPr="003A549D" w:rsidRDefault="003A549D" w:rsidP="003A549D">
            <w:pPr>
              <w:spacing w:after="0"/>
              <w:rPr>
                <w:rFonts w:cs="Arial"/>
                <w:sz w:val="20"/>
              </w:rPr>
            </w:pPr>
            <w:r w:rsidRPr="003A549D">
              <w:rPr>
                <w:rFonts w:eastAsia="Calibri" w:cs="Arial"/>
                <w:b/>
                <w:bCs/>
                <w:sz w:val="20"/>
              </w:rPr>
              <w:t>Country / setting</w:t>
            </w:r>
          </w:p>
        </w:tc>
        <w:tc>
          <w:tcPr>
            <w:tcW w:w="3699" w:type="pct"/>
          </w:tcPr>
          <w:p w14:paraId="7A29664B" w14:textId="77777777" w:rsidR="003A549D" w:rsidRPr="003A549D" w:rsidRDefault="003A549D" w:rsidP="003A549D">
            <w:pPr>
              <w:spacing w:after="0"/>
              <w:rPr>
                <w:rFonts w:cs="Arial"/>
                <w:sz w:val="20"/>
              </w:rPr>
            </w:pPr>
            <w:r w:rsidRPr="003A549D">
              <w:rPr>
                <w:rFonts w:cs="Arial"/>
                <w:sz w:val="20"/>
              </w:rPr>
              <w:t xml:space="preserve">International; expert panel from 5 countries (Australia, Malaysia, Thailand, UAE, South Africa). </w:t>
            </w:r>
            <w:r w:rsidRPr="003A549D">
              <w:rPr>
                <w:rFonts w:cs="Arial"/>
                <w:b/>
                <w:bCs/>
                <w:sz w:val="20"/>
              </w:rPr>
              <w:t>Clinical guidance document, not a primary study</w:t>
            </w:r>
          </w:p>
        </w:tc>
      </w:tr>
      <w:tr w:rsidR="003A549D" w:rsidRPr="003A549D" w14:paraId="3F7954AC" w14:textId="77777777" w:rsidTr="00F62C9B">
        <w:tc>
          <w:tcPr>
            <w:tcW w:w="1301" w:type="pct"/>
            <w:shd w:val="clear" w:color="auto" w:fill="F6FDE9"/>
          </w:tcPr>
          <w:p w14:paraId="1EE66241" w14:textId="77777777" w:rsidR="003A549D" w:rsidRPr="003A549D" w:rsidRDefault="003A549D" w:rsidP="003A549D">
            <w:pPr>
              <w:spacing w:after="0"/>
              <w:rPr>
                <w:rFonts w:cs="Arial"/>
                <w:sz w:val="20"/>
              </w:rPr>
            </w:pPr>
            <w:r w:rsidRPr="003A549D">
              <w:rPr>
                <w:rFonts w:eastAsia="Calibri" w:cs="Arial"/>
                <w:b/>
                <w:bCs/>
                <w:sz w:val="20"/>
              </w:rPr>
              <w:t>Study design</w:t>
            </w:r>
          </w:p>
        </w:tc>
        <w:tc>
          <w:tcPr>
            <w:tcW w:w="3699" w:type="pct"/>
          </w:tcPr>
          <w:p w14:paraId="07541369" w14:textId="77777777" w:rsidR="003A549D" w:rsidRPr="003A549D" w:rsidRDefault="003A549D" w:rsidP="003A549D">
            <w:pPr>
              <w:spacing w:after="0"/>
              <w:rPr>
                <w:rFonts w:cs="Arial"/>
                <w:sz w:val="20"/>
              </w:rPr>
            </w:pPr>
            <w:r w:rsidRPr="003A549D">
              <w:rPr>
                <w:rFonts w:cs="Arial"/>
                <w:sz w:val="20"/>
              </w:rPr>
              <w:t>Expert consensus statement using a modified two-round Delphi approach, including targeted literature review (58 articles), two anonymous online surveys, and a virtual expert roundtable. GRADE used to assess evidence quality</w:t>
            </w:r>
          </w:p>
        </w:tc>
      </w:tr>
      <w:tr w:rsidR="003A549D" w:rsidRPr="003A549D" w14:paraId="6284FF6F" w14:textId="77777777" w:rsidTr="00F62C9B">
        <w:tc>
          <w:tcPr>
            <w:tcW w:w="1301" w:type="pct"/>
            <w:shd w:val="clear" w:color="auto" w:fill="F6FDE9"/>
          </w:tcPr>
          <w:p w14:paraId="2CB226CC" w14:textId="77777777" w:rsidR="003A549D" w:rsidRPr="003A549D" w:rsidRDefault="003A549D" w:rsidP="003A549D">
            <w:pPr>
              <w:spacing w:after="0"/>
              <w:rPr>
                <w:rFonts w:cs="Arial"/>
                <w:sz w:val="20"/>
              </w:rPr>
            </w:pPr>
            <w:r w:rsidRPr="003A549D">
              <w:rPr>
                <w:rFonts w:eastAsia="Calibri" w:cs="Arial"/>
                <w:b/>
                <w:bCs/>
                <w:sz w:val="20"/>
              </w:rPr>
              <w:t>Funding / conflicts of interest</w:t>
            </w:r>
          </w:p>
        </w:tc>
        <w:tc>
          <w:tcPr>
            <w:tcW w:w="3699" w:type="pct"/>
          </w:tcPr>
          <w:p w14:paraId="4987318E" w14:textId="77777777" w:rsidR="003A549D" w:rsidRPr="003A549D" w:rsidRDefault="003A549D" w:rsidP="003A549D">
            <w:pPr>
              <w:spacing w:after="0"/>
              <w:rPr>
                <w:rFonts w:cs="Arial"/>
                <w:sz w:val="20"/>
              </w:rPr>
            </w:pPr>
            <w:r w:rsidRPr="003A549D">
              <w:rPr>
                <w:rFonts w:cs="Arial"/>
                <w:sz w:val="20"/>
              </w:rPr>
              <w:t xml:space="preserve">Funded by P&amp;G Health, Singapore. No conflict of interest. </w:t>
            </w:r>
          </w:p>
        </w:tc>
      </w:tr>
    </w:tbl>
    <w:p w14:paraId="23481FEA" w14:textId="77777777" w:rsidR="003A549D" w:rsidRPr="003A549D" w:rsidRDefault="003A549D" w:rsidP="003A549D">
      <w:pPr>
        <w:rPr>
          <w:rFonts w:eastAsia="Times New Roman" w:cs="Times New Roman"/>
        </w:rPr>
      </w:pPr>
      <w:r w:rsidRPr="003A549D">
        <w:rPr>
          <w:rFonts w:eastAsia="Calibri" w:cs="Arial"/>
          <w:b/>
          <w:bCs/>
          <w:sz w:val="20"/>
        </w:rPr>
        <w:t>Population</w:t>
      </w:r>
    </w:p>
    <w:tbl>
      <w:tblPr>
        <w:tblStyle w:val="SLROption1"/>
        <w:tblW w:w="5000" w:type="pct"/>
        <w:tblLook w:val="0000" w:firstRow="0" w:lastRow="0" w:firstColumn="0" w:lastColumn="0" w:noHBand="0" w:noVBand="0"/>
      </w:tblPr>
      <w:tblGrid>
        <w:gridCol w:w="3628"/>
        <w:gridCol w:w="10316"/>
      </w:tblGrid>
      <w:tr w:rsidR="003A549D" w:rsidRPr="003A549D" w14:paraId="2787C973" w14:textId="77777777" w:rsidTr="00F62C9B">
        <w:tc>
          <w:tcPr>
            <w:tcW w:w="1301" w:type="pct"/>
            <w:shd w:val="clear" w:color="auto" w:fill="3C533C"/>
          </w:tcPr>
          <w:p w14:paraId="20FD1EA3"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298D29C2"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2ED1B4E5" w14:textId="77777777" w:rsidTr="00F62C9B">
        <w:tc>
          <w:tcPr>
            <w:tcW w:w="1301" w:type="pct"/>
            <w:shd w:val="clear" w:color="auto" w:fill="F6FDE9"/>
          </w:tcPr>
          <w:p w14:paraId="1F480FAE" w14:textId="77777777" w:rsidR="003A549D" w:rsidRPr="003A549D" w:rsidRDefault="003A549D" w:rsidP="003A549D">
            <w:pPr>
              <w:spacing w:after="0"/>
              <w:rPr>
                <w:rFonts w:cs="Arial"/>
                <w:sz w:val="20"/>
              </w:rPr>
            </w:pPr>
            <w:r w:rsidRPr="003A549D">
              <w:rPr>
                <w:rFonts w:eastAsia="Calibri" w:cs="Arial"/>
                <w:b/>
                <w:bCs/>
                <w:sz w:val="20"/>
              </w:rPr>
              <w:t>Sample size</w:t>
            </w:r>
          </w:p>
        </w:tc>
        <w:tc>
          <w:tcPr>
            <w:tcW w:w="3699" w:type="pct"/>
          </w:tcPr>
          <w:p w14:paraId="2A8E43F4" w14:textId="77777777" w:rsidR="003A549D" w:rsidRPr="003A549D" w:rsidRDefault="003A549D" w:rsidP="003A549D">
            <w:pPr>
              <w:spacing w:after="0"/>
              <w:rPr>
                <w:rFonts w:cs="Arial"/>
                <w:sz w:val="20"/>
              </w:rPr>
            </w:pPr>
            <w:r w:rsidRPr="003A549D">
              <w:rPr>
                <w:rFonts w:cs="Arial"/>
                <w:sz w:val="20"/>
              </w:rPr>
              <w:t>No patient sample</w:t>
            </w:r>
          </w:p>
        </w:tc>
      </w:tr>
      <w:tr w:rsidR="003A549D" w:rsidRPr="003A549D" w14:paraId="31BA78F0" w14:textId="77777777" w:rsidTr="00F62C9B">
        <w:tc>
          <w:tcPr>
            <w:tcW w:w="1301" w:type="pct"/>
            <w:shd w:val="clear" w:color="auto" w:fill="F6FDE9"/>
          </w:tcPr>
          <w:p w14:paraId="3E157315" w14:textId="77777777" w:rsidR="003A549D" w:rsidRPr="003A549D" w:rsidRDefault="003A549D" w:rsidP="003A549D">
            <w:pPr>
              <w:spacing w:after="0"/>
              <w:rPr>
                <w:rFonts w:cs="Arial"/>
                <w:sz w:val="20"/>
              </w:rPr>
            </w:pPr>
            <w:r w:rsidRPr="003A549D">
              <w:rPr>
                <w:rFonts w:eastAsia="Calibri" w:cs="Arial"/>
                <w:b/>
                <w:bCs/>
                <w:sz w:val="20"/>
              </w:rPr>
              <w:t>Patient (test animal) characteristics</w:t>
            </w:r>
          </w:p>
        </w:tc>
        <w:tc>
          <w:tcPr>
            <w:tcW w:w="3699" w:type="pct"/>
          </w:tcPr>
          <w:p w14:paraId="57ECC7D1" w14:textId="77777777" w:rsidR="003A549D" w:rsidRPr="003A549D" w:rsidRDefault="003A549D" w:rsidP="003A549D">
            <w:pPr>
              <w:spacing w:before="120" w:after="0"/>
              <w:rPr>
                <w:rFonts w:cs="Arial"/>
                <w:sz w:val="20"/>
              </w:rPr>
            </w:pPr>
            <w:r w:rsidRPr="003A549D">
              <w:rPr>
                <w:rFonts w:cs="Arial"/>
                <w:sz w:val="20"/>
              </w:rPr>
              <w:t>Guidance applies to adult patients indicated for vitamin B6 therapy. Explicitly excludes children, pregnant women, and lactating women.</w:t>
            </w:r>
          </w:p>
        </w:tc>
      </w:tr>
      <w:tr w:rsidR="003A549D" w:rsidRPr="003A549D" w14:paraId="6ECBC34E" w14:textId="77777777" w:rsidTr="00F62C9B">
        <w:tc>
          <w:tcPr>
            <w:tcW w:w="1301" w:type="pct"/>
            <w:shd w:val="clear" w:color="auto" w:fill="F6FDE9"/>
          </w:tcPr>
          <w:p w14:paraId="59BE6B20" w14:textId="77777777" w:rsidR="003A549D" w:rsidRPr="003A549D" w:rsidRDefault="003A549D" w:rsidP="003A549D">
            <w:pPr>
              <w:spacing w:after="0"/>
              <w:rPr>
                <w:rFonts w:cs="Arial"/>
                <w:sz w:val="20"/>
              </w:rPr>
            </w:pPr>
            <w:r w:rsidRPr="003A549D">
              <w:rPr>
                <w:rFonts w:eastAsia="Calibri" w:cs="Arial"/>
                <w:b/>
                <w:bCs/>
                <w:sz w:val="20"/>
              </w:rPr>
              <w:t>Inclusion/exclusion of alternative causes</w:t>
            </w:r>
          </w:p>
        </w:tc>
        <w:tc>
          <w:tcPr>
            <w:tcW w:w="3699" w:type="pct"/>
          </w:tcPr>
          <w:p w14:paraId="79207F97" w14:textId="77777777" w:rsidR="003A549D" w:rsidRPr="003A549D" w:rsidRDefault="003A549D" w:rsidP="003A549D">
            <w:pPr>
              <w:spacing w:after="0"/>
              <w:rPr>
                <w:rFonts w:cs="Arial"/>
                <w:sz w:val="20"/>
              </w:rPr>
            </w:pPr>
            <w:r w:rsidRPr="003A549D">
              <w:rPr>
                <w:rFonts w:cs="Arial"/>
                <w:sz w:val="20"/>
              </w:rPr>
              <w:t>Not applicable (consensus/guidance document)</w:t>
            </w:r>
          </w:p>
        </w:tc>
      </w:tr>
    </w:tbl>
    <w:p w14:paraId="1A10867E" w14:textId="77777777" w:rsidR="003A549D" w:rsidRPr="003A549D" w:rsidRDefault="003A549D" w:rsidP="003A549D">
      <w:pPr>
        <w:rPr>
          <w:rFonts w:eastAsia="Times New Roman" w:cs="Times New Roman"/>
          <w:b/>
          <w:bCs/>
        </w:rPr>
      </w:pPr>
      <w:r w:rsidRPr="003A549D">
        <w:rPr>
          <w:rFonts w:eastAsia="Times New Roman" w:cs="Times New Roman"/>
          <w:b/>
          <w:bCs/>
        </w:rPr>
        <w:t>Exposure</w:t>
      </w:r>
    </w:p>
    <w:tbl>
      <w:tblPr>
        <w:tblStyle w:val="SLROption1"/>
        <w:tblW w:w="5000" w:type="pct"/>
        <w:tblLook w:val="0000" w:firstRow="0" w:lastRow="0" w:firstColumn="0" w:lastColumn="0" w:noHBand="0" w:noVBand="0"/>
      </w:tblPr>
      <w:tblGrid>
        <w:gridCol w:w="3628"/>
        <w:gridCol w:w="10316"/>
      </w:tblGrid>
      <w:tr w:rsidR="003A549D" w:rsidRPr="003A549D" w14:paraId="313BB859" w14:textId="77777777" w:rsidTr="00F62C9B">
        <w:trPr>
          <w:cantSplit/>
          <w:tblHeader/>
        </w:trPr>
        <w:tc>
          <w:tcPr>
            <w:tcW w:w="1301" w:type="pct"/>
            <w:shd w:val="clear" w:color="auto" w:fill="3C533C"/>
          </w:tcPr>
          <w:p w14:paraId="07044CB2"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4AFEEFA0"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15862578" w14:textId="77777777" w:rsidTr="00F62C9B">
        <w:tc>
          <w:tcPr>
            <w:tcW w:w="1301" w:type="pct"/>
            <w:shd w:val="clear" w:color="auto" w:fill="F6FDE9"/>
          </w:tcPr>
          <w:p w14:paraId="5B1C0566" w14:textId="77777777" w:rsidR="003A549D" w:rsidRPr="003A549D" w:rsidRDefault="003A549D" w:rsidP="003A549D">
            <w:pPr>
              <w:spacing w:after="0"/>
              <w:rPr>
                <w:rFonts w:cs="Arial"/>
                <w:sz w:val="20"/>
              </w:rPr>
            </w:pPr>
            <w:r w:rsidRPr="003A549D">
              <w:rPr>
                <w:rFonts w:eastAsia="Calibri" w:cs="Arial"/>
                <w:b/>
                <w:bCs/>
                <w:sz w:val="20"/>
              </w:rPr>
              <w:t>Exposure characterisation – source</w:t>
            </w:r>
          </w:p>
        </w:tc>
        <w:tc>
          <w:tcPr>
            <w:tcW w:w="3699" w:type="pct"/>
          </w:tcPr>
          <w:p w14:paraId="5D07F671" w14:textId="77777777" w:rsidR="003A549D" w:rsidRPr="003A549D" w:rsidRDefault="003A549D" w:rsidP="003A549D">
            <w:pPr>
              <w:spacing w:after="0"/>
              <w:rPr>
                <w:rFonts w:cs="Arial"/>
                <w:sz w:val="20"/>
              </w:rPr>
            </w:pPr>
            <w:r w:rsidRPr="003A549D">
              <w:rPr>
                <w:rFonts w:cs="Arial"/>
                <w:sz w:val="20"/>
              </w:rPr>
              <w:t>Vitamin B6 (pyridoxine) - oral therapeutic supplementation and/or dietary intake</w:t>
            </w:r>
          </w:p>
        </w:tc>
      </w:tr>
      <w:tr w:rsidR="003A549D" w:rsidRPr="003A549D" w14:paraId="0F702A34" w14:textId="77777777" w:rsidTr="00F62C9B">
        <w:tc>
          <w:tcPr>
            <w:tcW w:w="1301" w:type="pct"/>
            <w:shd w:val="clear" w:color="auto" w:fill="F6FDE9"/>
          </w:tcPr>
          <w:p w14:paraId="56582CF5" w14:textId="77777777" w:rsidR="003A549D" w:rsidRPr="003A549D" w:rsidRDefault="003A549D" w:rsidP="003A549D">
            <w:pPr>
              <w:spacing w:after="0"/>
              <w:rPr>
                <w:rFonts w:cs="Arial"/>
                <w:sz w:val="20"/>
              </w:rPr>
            </w:pPr>
            <w:r w:rsidRPr="003A549D">
              <w:rPr>
                <w:rFonts w:eastAsia="Calibri" w:cs="Arial"/>
                <w:b/>
                <w:bCs/>
                <w:sz w:val="20"/>
              </w:rPr>
              <w:t>Exposure characterisation – dose</w:t>
            </w:r>
          </w:p>
        </w:tc>
        <w:tc>
          <w:tcPr>
            <w:tcW w:w="3699" w:type="pct"/>
          </w:tcPr>
          <w:p w14:paraId="0FC18DF8" w14:textId="77777777" w:rsidR="003A549D" w:rsidRPr="003A549D" w:rsidRDefault="003A549D" w:rsidP="003A549D">
            <w:pPr>
              <w:spacing w:before="120" w:after="0"/>
              <w:rPr>
                <w:rFonts w:cs="Arial"/>
                <w:sz w:val="20"/>
              </w:rPr>
            </w:pPr>
            <w:r w:rsidRPr="003A549D">
              <w:rPr>
                <w:rFonts w:cs="Arial"/>
                <w:sz w:val="20"/>
              </w:rPr>
              <w:t>Consensus tolerable (maximum) doses for peripheral neuropathy patients: 50 mg/day (long-term possible); 100 mg/day (up to 5 years); 200 mg/day (up to 200 days); up to 600 mg/day (up to 18 weeks). RDA for adults: 1.3–1.7 mg/day. Note: PN risk reported even at 50–100 mg/day in susceptible individuals</w:t>
            </w:r>
          </w:p>
        </w:tc>
      </w:tr>
      <w:tr w:rsidR="003A549D" w:rsidRPr="003A549D" w14:paraId="076FD195" w14:textId="77777777" w:rsidTr="00F62C9B">
        <w:tc>
          <w:tcPr>
            <w:tcW w:w="1301" w:type="pct"/>
            <w:shd w:val="clear" w:color="auto" w:fill="F6FDE9"/>
          </w:tcPr>
          <w:p w14:paraId="5D0FCED3" w14:textId="77777777" w:rsidR="003A549D" w:rsidRPr="003A549D" w:rsidRDefault="003A549D" w:rsidP="003A549D">
            <w:pPr>
              <w:spacing w:after="0"/>
              <w:rPr>
                <w:rFonts w:cs="Arial"/>
                <w:sz w:val="20"/>
              </w:rPr>
            </w:pPr>
            <w:r w:rsidRPr="003A549D">
              <w:rPr>
                <w:rFonts w:eastAsia="Calibri" w:cs="Arial"/>
                <w:b/>
                <w:bCs/>
                <w:sz w:val="20"/>
              </w:rPr>
              <w:t>Biomarker of exposure</w:t>
            </w:r>
          </w:p>
        </w:tc>
        <w:tc>
          <w:tcPr>
            <w:tcW w:w="3699" w:type="pct"/>
          </w:tcPr>
          <w:p w14:paraId="427E6EDC" w14:textId="77777777" w:rsidR="003A549D" w:rsidRPr="003A549D" w:rsidRDefault="003A549D" w:rsidP="003A549D">
            <w:pPr>
              <w:spacing w:after="0"/>
              <w:rPr>
                <w:rFonts w:cs="Arial"/>
                <w:sz w:val="20"/>
              </w:rPr>
            </w:pPr>
            <w:r w:rsidRPr="003A549D">
              <w:rPr>
                <w:rFonts w:cs="Arial"/>
                <w:sz w:val="20"/>
              </w:rPr>
              <w:t>Plasma pyridoxine, PLP (reference: 5–50 mcg/L), and pyridoxic acid (reference: 3–30 mcg/L); serum pyridoxine (reference: 51–183 nmol/L). Fasting ≥12 hours required before sampling</w:t>
            </w:r>
          </w:p>
        </w:tc>
      </w:tr>
      <w:tr w:rsidR="003A549D" w:rsidRPr="003A549D" w14:paraId="493284F9" w14:textId="77777777" w:rsidTr="00F62C9B">
        <w:tc>
          <w:tcPr>
            <w:tcW w:w="1301" w:type="pct"/>
            <w:shd w:val="clear" w:color="auto" w:fill="F6FDE9"/>
          </w:tcPr>
          <w:p w14:paraId="67C7E491" w14:textId="77777777" w:rsidR="003A549D" w:rsidRPr="003A549D" w:rsidRDefault="003A549D" w:rsidP="003A549D">
            <w:pPr>
              <w:spacing w:after="0"/>
              <w:rPr>
                <w:rFonts w:cs="Arial"/>
                <w:sz w:val="20"/>
              </w:rPr>
            </w:pPr>
            <w:r w:rsidRPr="003A549D">
              <w:rPr>
                <w:rFonts w:eastAsia="Calibri" w:cs="Arial"/>
                <w:b/>
                <w:bCs/>
                <w:sz w:val="20"/>
              </w:rPr>
              <w:t>Duration of exposure</w:t>
            </w:r>
          </w:p>
        </w:tc>
        <w:tc>
          <w:tcPr>
            <w:tcW w:w="3699" w:type="pct"/>
          </w:tcPr>
          <w:p w14:paraId="7A988BA7" w14:textId="77777777" w:rsidR="003A549D" w:rsidRPr="003A549D" w:rsidRDefault="003A549D" w:rsidP="003A549D">
            <w:pPr>
              <w:spacing w:after="0"/>
              <w:rPr>
                <w:rFonts w:cs="Arial"/>
                <w:sz w:val="20"/>
              </w:rPr>
            </w:pPr>
            <w:r w:rsidRPr="003A549D">
              <w:rPr>
                <w:rFonts w:cs="Arial"/>
                <w:sz w:val="20"/>
              </w:rPr>
              <w:t>Varies by dose (see above); monitoring recommended for use &gt;6 months at &gt;50 mg/day</w:t>
            </w:r>
          </w:p>
        </w:tc>
      </w:tr>
    </w:tbl>
    <w:p w14:paraId="32240F50" w14:textId="77777777" w:rsidR="003A549D" w:rsidRPr="003A549D" w:rsidRDefault="003A549D" w:rsidP="003A549D">
      <w:pPr>
        <w:rPr>
          <w:rFonts w:eastAsia="Times New Roman" w:cs="Times New Roman"/>
          <w:b/>
          <w:bCs/>
        </w:rPr>
      </w:pPr>
      <w:r w:rsidRPr="003A549D">
        <w:rPr>
          <w:rFonts w:eastAsia="Times New Roman" w:cs="Times New Roman"/>
          <w:b/>
          <w:bCs/>
        </w:rPr>
        <w:t>Outcomes</w:t>
      </w:r>
    </w:p>
    <w:tbl>
      <w:tblPr>
        <w:tblStyle w:val="SLROption1"/>
        <w:tblW w:w="5000" w:type="pct"/>
        <w:tblLook w:val="0000" w:firstRow="0" w:lastRow="0" w:firstColumn="0" w:lastColumn="0" w:noHBand="0" w:noVBand="0"/>
      </w:tblPr>
      <w:tblGrid>
        <w:gridCol w:w="3628"/>
        <w:gridCol w:w="10316"/>
      </w:tblGrid>
      <w:tr w:rsidR="003A549D" w:rsidRPr="003A549D" w14:paraId="7D928A87" w14:textId="77777777" w:rsidTr="00F62C9B">
        <w:tc>
          <w:tcPr>
            <w:tcW w:w="1301" w:type="pct"/>
            <w:shd w:val="clear" w:color="auto" w:fill="3C533C"/>
          </w:tcPr>
          <w:p w14:paraId="2C6C3526"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4E3FB86A"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0F407EBA" w14:textId="77777777" w:rsidTr="00F62C9B">
        <w:tc>
          <w:tcPr>
            <w:tcW w:w="1301" w:type="pct"/>
            <w:shd w:val="clear" w:color="auto" w:fill="F6FDE9"/>
          </w:tcPr>
          <w:p w14:paraId="79D95CF1" w14:textId="77777777" w:rsidR="003A549D" w:rsidRPr="003A549D" w:rsidRDefault="003A549D" w:rsidP="003A549D">
            <w:pPr>
              <w:spacing w:after="0"/>
              <w:rPr>
                <w:rFonts w:cs="Arial"/>
                <w:sz w:val="20"/>
              </w:rPr>
            </w:pPr>
            <w:r w:rsidRPr="003A549D">
              <w:rPr>
                <w:rFonts w:eastAsia="Calibri" w:cs="Arial"/>
                <w:b/>
                <w:bCs/>
                <w:sz w:val="20"/>
              </w:rPr>
              <w:lastRenderedPageBreak/>
              <w:t>Primary outcome</w:t>
            </w:r>
          </w:p>
        </w:tc>
        <w:tc>
          <w:tcPr>
            <w:tcW w:w="3699" w:type="pct"/>
          </w:tcPr>
          <w:p w14:paraId="22CF8C27" w14:textId="77777777" w:rsidR="003A549D" w:rsidRPr="003A549D" w:rsidRDefault="003A549D" w:rsidP="003A549D">
            <w:pPr>
              <w:spacing w:after="0"/>
              <w:rPr>
                <w:rFonts w:cs="Arial"/>
                <w:sz w:val="20"/>
              </w:rPr>
            </w:pPr>
            <w:r w:rsidRPr="003A549D">
              <w:rPr>
                <w:rFonts w:cs="Arial"/>
                <w:sz w:val="20"/>
              </w:rPr>
              <w:t>Peripheral neuropathy and other neurological adverse effects from high-dose/long-term vitamin B6; guidance on safe dosing and monitoring</w:t>
            </w:r>
          </w:p>
        </w:tc>
      </w:tr>
      <w:tr w:rsidR="003A549D" w:rsidRPr="003A549D" w14:paraId="1437A847" w14:textId="77777777" w:rsidTr="00F62C9B">
        <w:tc>
          <w:tcPr>
            <w:tcW w:w="1301" w:type="pct"/>
            <w:shd w:val="clear" w:color="auto" w:fill="F6FDE9"/>
          </w:tcPr>
          <w:p w14:paraId="384A4EC8" w14:textId="77777777" w:rsidR="003A549D" w:rsidRPr="003A549D" w:rsidRDefault="003A549D" w:rsidP="003A549D">
            <w:pPr>
              <w:spacing w:after="0"/>
              <w:rPr>
                <w:rFonts w:cs="Arial"/>
                <w:sz w:val="20"/>
              </w:rPr>
            </w:pPr>
            <w:r w:rsidRPr="003A549D">
              <w:rPr>
                <w:rFonts w:eastAsia="Calibri" w:cs="Arial"/>
                <w:b/>
                <w:bCs/>
                <w:sz w:val="20"/>
              </w:rPr>
              <w:t>Outcome assessment</w:t>
            </w:r>
          </w:p>
        </w:tc>
        <w:tc>
          <w:tcPr>
            <w:tcW w:w="3699" w:type="pct"/>
          </w:tcPr>
          <w:p w14:paraId="15BD24C0" w14:textId="77777777" w:rsidR="003A549D" w:rsidRPr="003A549D" w:rsidRDefault="003A549D" w:rsidP="003A549D">
            <w:pPr>
              <w:spacing w:before="120" w:after="0"/>
              <w:rPr>
                <w:rFonts w:cs="Arial"/>
                <w:sz w:val="20"/>
              </w:rPr>
            </w:pPr>
            <w:r w:rsidRPr="003A549D">
              <w:rPr>
                <w:rFonts w:cs="Arial"/>
                <w:sz w:val="20"/>
              </w:rPr>
              <w:t>Neurological examination (numbness, tingling, weakness in extremities); clinical signs of deficiency (seborrhoea, glossitis, anaemia)</w:t>
            </w:r>
          </w:p>
        </w:tc>
      </w:tr>
      <w:tr w:rsidR="003A549D" w:rsidRPr="003A549D" w14:paraId="670366EE" w14:textId="77777777" w:rsidTr="00F62C9B">
        <w:tc>
          <w:tcPr>
            <w:tcW w:w="1301" w:type="pct"/>
            <w:shd w:val="clear" w:color="auto" w:fill="F6FDE9"/>
          </w:tcPr>
          <w:p w14:paraId="363F6D0E" w14:textId="77777777" w:rsidR="003A549D" w:rsidRPr="003A549D" w:rsidRDefault="003A549D" w:rsidP="003A549D">
            <w:pPr>
              <w:spacing w:after="0"/>
              <w:rPr>
                <w:rFonts w:cs="Arial"/>
                <w:sz w:val="20"/>
              </w:rPr>
            </w:pPr>
            <w:r w:rsidRPr="003A549D">
              <w:rPr>
                <w:rFonts w:eastAsia="Calibri" w:cs="Arial"/>
                <w:b/>
                <w:bCs/>
                <w:sz w:val="20"/>
              </w:rPr>
              <w:t>Outcome assessment – objective testing</w:t>
            </w:r>
          </w:p>
        </w:tc>
        <w:tc>
          <w:tcPr>
            <w:tcW w:w="3699" w:type="pct"/>
          </w:tcPr>
          <w:p w14:paraId="3A4793F1" w14:textId="77777777" w:rsidR="003A549D" w:rsidRPr="003A549D" w:rsidRDefault="003A549D" w:rsidP="003A549D">
            <w:pPr>
              <w:spacing w:after="0"/>
              <w:rPr>
                <w:rFonts w:cs="Arial"/>
                <w:sz w:val="20"/>
              </w:rPr>
            </w:pPr>
            <w:r w:rsidRPr="003A549D">
              <w:rPr>
                <w:rFonts w:cs="Arial"/>
                <w:sz w:val="20"/>
              </w:rPr>
              <w:t>Blood tests for pyridoxine, PLP, pyridoxic acid levels; complete blood count; metabolic panels for haematological/hepatic monitoring</w:t>
            </w:r>
          </w:p>
        </w:tc>
      </w:tr>
      <w:tr w:rsidR="003A549D" w:rsidRPr="003A549D" w14:paraId="6F63EAAB" w14:textId="77777777" w:rsidTr="00F62C9B">
        <w:tc>
          <w:tcPr>
            <w:tcW w:w="1301" w:type="pct"/>
            <w:shd w:val="clear" w:color="auto" w:fill="F6FDE9"/>
          </w:tcPr>
          <w:p w14:paraId="0890A543" w14:textId="77777777" w:rsidR="003A549D" w:rsidRPr="003A549D" w:rsidRDefault="003A549D" w:rsidP="003A549D">
            <w:pPr>
              <w:spacing w:after="0"/>
              <w:rPr>
                <w:rFonts w:cs="Arial"/>
                <w:sz w:val="20"/>
              </w:rPr>
            </w:pPr>
            <w:r w:rsidRPr="003A549D">
              <w:rPr>
                <w:rFonts w:eastAsia="Calibri" w:cs="Arial"/>
                <w:b/>
                <w:bCs/>
                <w:sz w:val="20"/>
              </w:rPr>
              <w:t>Outcome assessment – tools used</w:t>
            </w:r>
          </w:p>
        </w:tc>
        <w:tc>
          <w:tcPr>
            <w:tcW w:w="3699" w:type="pct"/>
          </w:tcPr>
          <w:p w14:paraId="3020A4ED" w14:textId="77777777" w:rsidR="003A549D" w:rsidRPr="003A549D" w:rsidRDefault="003A549D" w:rsidP="003A549D">
            <w:pPr>
              <w:spacing w:after="0"/>
              <w:rPr>
                <w:rFonts w:cs="Arial"/>
                <w:sz w:val="20"/>
              </w:rPr>
            </w:pPr>
            <w:r w:rsidRPr="003A549D">
              <w:rPr>
                <w:rFonts w:cs="Arial"/>
                <w:sz w:val="20"/>
              </w:rPr>
              <w:t>Clinical judgement, history-taking of B6 intake, periodic laboratory testing; GRADE framework for evidence assessment</w:t>
            </w:r>
          </w:p>
        </w:tc>
      </w:tr>
      <w:tr w:rsidR="003A549D" w:rsidRPr="003A549D" w14:paraId="010CF17E" w14:textId="77777777" w:rsidTr="00F62C9B">
        <w:tc>
          <w:tcPr>
            <w:tcW w:w="1301" w:type="pct"/>
            <w:shd w:val="clear" w:color="auto" w:fill="F6FDE9"/>
          </w:tcPr>
          <w:p w14:paraId="672E8267" w14:textId="77777777" w:rsidR="003A549D" w:rsidRPr="003A549D" w:rsidRDefault="003A549D" w:rsidP="003A549D">
            <w:pPr>
              <w:spacing w:after="0"/>
              <w:rPr>
                <w:rFonts w:cs="Arial"/>
                <w:sz w:val="20"/>
              </w:rPr>
            </w:pPr>
            <w:r w:rsidRPr="003A549D">
              <w:rPr>
                <w:rFonts w:eastAsia="Calibri" w:cs="Arial"/>
                <w:b/>
                <w:bCs/>
                <w:sz w:val="20"/>
              </w:rPr>
              <w:t>Response to withdrawal</w:t>
            </w:r>
          </w:p>
        </w:tc>
        <w:tc>
          <w:tcPr>
            <w:tcW w:w="3699" w:type="pct"/>
          </w:tcPr>
          <w:p w14:paraId="7E4D92FD" w14:textId="77777777" w:rsidR="003A549D" w:rsidRPr="003A549D" w:rsidRDefault="003A549D" w:rsidP="003A549D">
            <w:pPr>
              <w:spacing w:after="0"/>
              <w:rPr>
                <w:rFonts w:cs="Arial"/>
                <w:sz w:val="20"/>
              </w:rPr>
            </w:pPr>
            <w:r w:rsidRPr="003A549D">
              <w:rPr>
                <w:rFonts w:cs="Arial"/>
                <w:sz w:val="20"/>
              </w:rPr>
              <w:t>Adverse effects generally reversible on cessation when detected early. Recovery reported at 3 months to 2 years depending on dose and duration. Panel recommends washout of 20–40 days (3–6 weeks) before considering resuming; up to 3–6 months for prolonged symptoms. Calculated based on PLP half-life (36–95 hours) using 10× half-life approach</w:t>
            </w:r>
          </w:p>
        </w:tc>
      </w:tr>
    </w:tbl>
    <w:p w14:paraId="689932BB" w14:textId="77777777" w:rsidR="003A549D" w:rsidRPr="003A549D" w:rsidRDefault="003A549D" w:rsidP="003A549D">
      <w:pPr>
        <w:rPr>
          <w:rFonts w:eastAsia="Times New Roman" w:cs="Times New Roman"/>
          <w:b/>
          <w:bCs/>
        </w:rPr>
      </w:pPr>
      <w:r w:rsidRPr="003A549D">
        <w:rPr>
          <w:rFonts w:eastAsia="Times New Roman" w:cs="Times New Roman"/>
          <w:b/>
          <w:bCs/>
        </w:rPr>
        <w:t>Results and Conclusions</w:t>
      </w:r>
    </w:p>
    <w:tbl>
      <w:tblPr>
        <w:tblStyle w:val="SLROption1"/>
        <w:tblW w:w="5000" w:type="pct"/>
        <w:tblLook w:val="0000" w:firstRow="0" w:lastRow="0" w:firstColumn="0" w:lastColumn="0" w:noHBand="0" w:noVBand="0"/>
      </w:tblPr>
      <w:tblGrid>
        <w:gridCol w:w="3628"/>
        <w:gridCol w:w="10316"/>
      </w:tblGrid>
      <w:tr w:rsidR="003A549D" w:rsidRPr="003A549D" w14:paraId="15F99FAD" w14:textId="77777777" w:rsidTr="00F62C9B">
        <w:trPr>
          <w:cantSplit/>
          <w:tblHeader/>
        </w:trPr>
        <w:tc>
          <w:tcPr>
            <w:tcW w:w="1301" w:type="pct"/>
            <w:shd w:val="clear" w:color="auto" w:fill="3C533C"/>
          </w:tcPr>
          <w:p w14:paraId="583C2678"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169CBC89"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76499D22" w14:textId="77777777" w:rsidTr="00F62C9B">
        <w:trPr>
          <w:cantSplit/>
        </w:trPr>
        <w:tc>
          <w:tcPr>
            <w:tcW w:w="1301" w:type="pct"/>
            <w:shd w:val="clear" w:color="auto" w:fill="F6FDE9"/>
          </w:tcPr>
          <w:p w14:paraId="246F6366" w14:textId="77777777" w:rsidR="003A549D" w:rsidRPr="003A549D" w:rsidRDefault="003A549D" w:rsidP="003A549D">
            <w:pPr>
              <w:spacing w:after="0"/>
              <w:rPr>
                <w:rFonts w:cs="Arial"/>
                <w:sz w:val="20"/>
              </w:rPr>
            </w:pPr>
            <w:r w:rsidRPr="003A549D">
              <w:rPr>
                <w:rFonts w:eastAsia="Calibri" w:cs="Arial"/>
                <w:b/>
                <w:bCs/>
                <w:sz w:val="20"/>
              </w:rPr>
              <w:t>Main results</w:t>
            </w:r>
          </w:p>
        </w:tc>
        <w:tc>
          <w:tcPr>
            <w:tcW w:w="3699" w:type="pct"/>
          </w:tcPr>
          <w:p w14:paraId="604518B1" w14:textId="77777777" w:rsidR="003A549D" w:rsidRPr="003A549D" w:rsidRDefault="003A549D" w:rsidP="003A549D">
            <w:pPr>
              <w:spacing w:before="120" w:after="0"/>
              <w:rPr>
                <w:rFonts w:cs="Arial"/>
                <w:sz w:val="20"/>
              </w:rPr>
            </w:pPr>
            <w:r w:rsidRPr="003A549D">
              <w:rPr>
                <w:rFonts w:cs="Arial"/>
                <w:sz w:val="20"/>
              </w:rPr>
              <w:t>Five consensus statements endorsed:</w:t>
            </w:r>
          </w:p>
          <w:p w14:paraId="55D139EE" w14:textId="77777777" w:rsidR="003A549D" w:rsidRPr="003A549D" w:rsidRDefault="003A549D" w:rsidP="00F84245">
            <w:pPr>
              <w:numPr>
                <w:ilvl w:val="0"/>
                <w:numId w:val="17"/>
              </w:numPr>
              <w:spacing w:after="0"/>
              <w:contextualSpacing/>
              <w:rPr>
                <w:rFonts w:cs="Arial"/>
                <w:sz w:val="20"/>
              </w:rPr>
            </w:pPr>
            <w:r w:rsidRPr="003A549D">
              <w:rPr>
                <w:rFonts w:cs="Arial"/>
                <w:sz w:val="20"/>
              </w:rPr>
              <w:t xml:space="preserve">vitamin B6 essential for neurotransmitter synthesis (strength of recommendation 9.8/10); </w:t>
            </w:r>
          </w:p>
          <w:p w14:paraId="56A8546C" w14:textId="77777777" w:rsidR="003A549D" w:rsidRPr="003A549D" w:rsidRDefault="003A549D" w:rsidP="00F84245">
            <w:pPr>
              <w:numPr>
                <w:ilvl w:val="0"/>
                <w:numId w:val="17"/>
              </w:numPr>
              <w:spacing w:after="0"/>
              <w:contextualSpacing/>
              <w:rPr>
                <w:rFonts w:cs="Arial"/>
                <w:sz w:val="20"/>
              </w:rPr>
            </w:pPr>
            <w:r w:rsidRPr="003A549D">
              <w:rPr>
                <w:rFonts w:cs="Arial"/>
                <w:sz w:val="20"/>
              </w:rPr>
              <w:t xml:space="preserve">deficiency causes peripheral neuropathy, anaemia, seizures, etc. (strength of recommendation 9.2/10); </w:t>
            </w:r>
          </w:p>
          <w:p w14:paraId="12BBA1D5" w14:textId="77777777" w:rsidR="003A549D" w:rsidRPr="003A549D" w:rsidRDefault="003A549D" w:rsidP="00F84245">
            <w:pPr>
              <w:numPr>
                <w:ilvl w:val="0"/>
                <w:numId w:val="17"/>
              </w:numPr>
              <w:spacing w:after="0"/>
              <w:contextualSpacing/>
              <w:rPr>
                <w:rFonts w:cs="Arial"/>
                <w:sz w:val="20"/>
              </w:rPr>
            </w:pPr>
            <w:r w:rsidRPr="003A549D">
              <w:rPr>
                <w:rFonts w:cs="Arial"/>
                <w:sz w:val="20"/>
              </w:rPr>
              <w:t xml:space="preserve">no clear dose/duration guidelines established; tolerable maximum doses proposed (strength of recommendation 8.3/10); </w:t>
            </w:r>
          </w:p>
          <w:p w14:paraId="433C1FC0" w14:textId="77777777" w:rsidR="003A549D" w:rsidRPr="003A549D" w:rsidRDefault="003A549D" w:rsidP="00F84245">
            <w:pPr>
              <w:numPr>
                <w:ilvl w:val="0"/>
                <w:numId w:val="17"/>
              </w:numPr>
              <w:spacing w:after="0"/>
              <w:contextualSpacing/>
              <w:rPr>
                <w:rFonts w:cs="Arial"/>
                <w:sz w:val="20"/>
              </w:rPr>
            </w:pPr>
            <w:r w:rsidRPr="003A549D">
              <w:rPr>
                <w:rFonts w:cs="Arial"/>
                <w:sz w:val="20"/>
              </w:rPr>
              <w:t xml:space="preserve">neurological adverse events rare but reported at high doses/long-term use, reversible if caught early (strength of recommendation 9.2/10); </w:t>
            </w:r>
          </w:p>
          <w:p w14:paraId="749AEB81" w14:textId="77777777" w:rsidR="003A549D" w:rsidRPr="003A549D" w:rsidRDefault="003A549D" w:rsidP="00F84245">
            <w:pPr>
              <w:numPr>
                <w:ilvl w:val="0"/>
                <w:numId w:val="17"/>
              </w:numPr>
              <w:spacing w:after="0"/>
              <w:contextualSpacing/>
              <w:rPr>
                <w:rFonts w:cs="Arial"/>
                <w:sz w:val="20"/>
              </w:rPr>
            </w:pPr>
            <w:r w:rsidRPr="003A549D">
              <w:rPr>
                <w:rFonts w:cs="Arial"/>
                <w:sz w:val="20"/>
              </w:rPr>
              <w:t>monitoring recommended for &gt;6 months/&gt;50 mg/day use; washout of 20–40 days proposed (strength of recommendation 7.3/10)</w:t>
            </w:r>
          </w:p>
        </w:tc>
      </w:tr>
      <w:tr w:rsidR="003A549D" w:rsidRPr="003A549D" w14:paraId="6D5F73A5" w14:textId="77777777" w:rsidTr="00F62C9B">
        <w:trPr>
          <w:cantSplit/>
        </w:trPr>
        <w:tc>
          <w:tcPr>
            <w:tcW w:w="1301" w:type="pct"/>
            <w:shd w:val="clear" w:color="auto" w:fill="F6FDE9"/>
          </w:tcPr>
          <w:p w14:paraId="011E2980" w14:textId="77777777" w:rsidR="003A549D" w:rsidRPr="003A549D" w:rsidRDefault="003A549D" w:rsidP="003A549D">
            <w:pPr>
              <w:spacing w:after="0"/>
              <w:rPr>
                <w:rFonts w:cs="Arial"/>
                <w:sz w:val="20"/>
              </w:rPr>
            </w:pPr>
            <w:r w:rsidRPr="003A549D">
              <w:rPr>
                <w:rFonts w:eastAsia="Calibri" w:cs="Arial"/>
                <w:b/>
                <w:bCs/>
                <w:sz w:val="20"/>
              </w:rPr>
              <w:t>Authors' conclusions</w:t>
            </w:r>
          </w:p>
        </w:tc>
        <w:tc>
          <w:tcPr>
            <w:tcW w:w="3699" w:type="pct"/>
          </w:tcPr>
          <w:p w14:paraId="7D2AC89F" w14:textId="77777777" w:rsidR="003A549D" w:rsidRPr="003A549D" w:rsidRDefault="003A549D" w:rsidP="003A549D">
            <w:pPr>
              <w:spacing w:after="0"/>
              <w:rPr>
                <w:rFonts w:cs="Arial"/>
                <w:sz w:val="20"/>
              </w:rPr>
            </w:pPr>
            <w:r w:rsidRPr="003A549D">
              <w:rPr>
                <w:rFonts w:cs="Arial"/>
                <w:sz w:val="20"/>
              </w:rPr>
              <w:t>Vitamin B6 has important therapeutic uses but carries risk of neurological adverse effects at high doses with long-term use. Individualised dosing, monitoring, and early detection are key. A washout period of 20–40 days is recommended upon development of side effects. Further large-scale controlled trials are needed.</w:t>
            </w:r>
          </w:p>
        </w:tc>
      </w:tr>
      <w:tr w:rsidR="003A549D" w:rsidRPr="003A549D" w14:paraId="3AC06BF4" w14:textId="77777777" w:rsidTr="00F62C9B">
        <w:trPr>
          <w:cantSplit/>
        </w:trPr>
        <w:tc>
          <w:tcPr>
            <w:tcW w:w="1301" w:type="pct"/>
            <w:shd w:val="clear" w:color="auto" w:fill="F6FDE9"/>
          </w:tcPr>
          <w:p w14:paraId="01E47E4D" w14:textId="77777777" w:rsidR="003A549D" w:rsidRPr="003A549D" w:rsidRDefault="003A549D" w:rsidP="003A549D">
            <w:pPr>
              <w:spacing w:after="0"/>
              <w:rPr>
                <w:rFonts w:cs="Arial"/>
                <w:sz w:val="20"/>
              </w:rPr>
            </w:pPr>
            <w:r w:rsidRPr="003A549D">
              <w:rPr>
                <w:rFonts w:eastAsia="Calibri" w:cs="Arial"/>
                <w:b/>
                <w:bCs/>
                <w:sz w:val="20"/>
              </w:rPr>
              <w:t>Authors' acknowledged limitations</w:t>
            </w:r>
          </w:p>
        </w:tc>
        <w:tc>
          <w:tcPr>
            <w:tcW w:w="3699" w:type="pct"/>
          </w:tcPr>
          <w:p w14:paraId="35CDFF1A" w14:textId="77777777" w:rsidR="003A549D" w:rsidRPr="003A549D" w:rsidRDefault="003A549D" w:rsidP="003A549D">
            <w:pPr>
              <w:spacing w:after="0"/>
              <w:rPr>
                <w:rFonts w:cs="Arial"/>
                <w:sz w:val="20"/>
              </w:rPr>
            </w:pPr>
            <w:r w:rsidRPr="003A549D">
              <w:rPr>
                <w:rFonts w:cs="Arial"/>
                <w:sz w:val="20"/>
              </w:rPr>
              <w:t>Inconclusive data on well-tolerated dose/duration; limited post-marketing surveillance detail; guidance applies to adults only (not children, pregnant/lactating women); small expert panel size; evidence base largely low quality (lack of RCTs).</w:t>
            </w:r>
          </w:p>
        </w:tc>
      </w:tr>
    </w:tbl>
    <w:p w14:paraId="02FA4284" w14:textId="77777777" w:rsidR="003A549D" w:rsidRPr="003A549D" w:rsidRDefault="003A549D" w:rsidP="003A549D">
      <w:pPr>
        <w:rPr>
          <w:rFonts w:eastAsia="Times New Roman" w:cs="Times New Roman"/>
          <w:b/>
          <w:bCs/>
        </w:rPr>
      </w:pPr>
      <w:r w:rsidRPr="003A549D">
        <w:rPr>
          <w:rFonts w:eastAsia="Times New Roman" w:cs="Times New Roman"/>
          <w:b/>
          <w:bCs/>
        </w:rPr>
        <w:t>Contextual information for the AU/NZ UL review</w:t>
      </w:r>
    </w:p>
    <w:tbl>
      <w:tblPr>
        <w:tblStyle w:val="SLROption1"/>
        <w:tblW w:w="5000" w:type="pct"/>
        <w:tblLook w:val="0000" w:firstRow="0" w:lastRow="0" w:firstColumn="0" w:lastColumn="0" w:noHBand="0" w:noVBand="0"/>
      </w:tblPr>
      <w:tblGrid>
        <w:gridCol w:w="3628"/>
        <w:gridCol w:w="10316"/>
      </w:tblGrid>
      <w:tr w:rsidR="003A549D" w:rsidRPr="003A549D" w14:paraId="1020B727" w14:textId="77777777" w:rsidTr="00F62C9B">
        <w:tc>
          <w:tcPr>
            <w:tcW w:w="1301" w:type="pct"/>
            <w:shd w:val="clear" w:color="auto" w:fill="F6FDE9"/>
          </w:tcPr>
          <w:p w14:paraId="55D67162" w14:textId="77777777" w:rsidR="003A549D" w:rsidRPr="003A549D" w:rsidRDefault="003A549D" w:rsidP="003A549D">
            <w:pPr>
              <w:spacing w:after="0"/>
              <w:rPr>
                <w:rFonts w:cs="Arial"/>
                <w:sz w:val="20"/>
              </w:rPr>
            </w:pPr>
            <w:r w:rsidRPr="003A549D">
              <w:rPr>
                <w:rFonts w:eastAsia="Calibri" w:cs="Arial"/>
                <w:b/>
                <w:bCs/>
                <w:sz w:val="20"/>
              </w:rPr>
              <w:lastRenderedPageBreak/>
              <w:t>Generalisability to AU/NZ</w:t>
            </w:r>
          </w:p>
        </w:tc>
        <w:tc>
          <w:tcPr>
            <w:tcW w:w="3699" w:type="pct"/>
          </w:tcPr>
          <w:p w14:paraId="1EC8959F" w14:textId="77777777" w:rsidR="003A549D" w:rsidRPr="003A549D" w:rsidRDefault="003A549D" w:rsidP="003A549D">
            <w:pPr>
              <w:spacing w:after="0"/>
              <w:rPr>
                <w:rFonts w:cs="Arial"/>
                <w:sz w:val="20"/>
              </w:rPr>
            </w:pPr>
            <w:r w:rsidRPr="003A549D">
              <w:rPr>
                <w:rFonts w:cs="Arial"/>
                <w:sz w:val="20"/>
              </w:rPr>
              <w:t>Directly relevant.</w:t>
            </w:r>
          </w:p>
        </w:tc>
      </w:tr>
    </w:tbl>
    <w:p w14:paraId="521F0418" w14:textId="77777777" w:rsidR="003A549D" w:rsidRPr="003A549D" w:rsidRDefault="003A549D" w:rsidP="003A549D"/>
    <w:p w14:paraId="0AECFE04" w14:textId="77777777" w:rsidR="003A549D" w:rsidRPr="003A549D" w:rsidRDefault="003A549D" w:rsidP="003A549D">
      <w:pPr>
        <w:keepNext/>
        <w:numPr>
          <w:ilvl w:val="2"/>
          <w:numId w:val="2"/>
        </w:numPr>
        <w:spacing w:before="240"/>
        <w:outlineLvl w:val="8"/>
        <w:rPr>
          <w:b/>
          <w:iCs/>
          <w:noProof/>
          <w:color w:val="667545" w:themeColor="accent3"/>
          <w:sz w:val="24"/>
        </w:rPr>
      </w:pPr>
      <w:r w:rsidRPr="003A549D">
        <w:rPr>
          <w:b/>
          <w:iCs/>
          <w:noProof/>
          <w:color w:val="667545" w:themeColor="accent3"/>
          <w:sz w:val="24"/>
        </w:rPr>
        <w:t>Stewart et al. 2022</w:t>
      </w:r>
    </w:p>
    <w:p w14:paraId="40D98524" w14:textId="77777777" w:rsidR="003A549D" w:rsidRPr="003A549D" w:rsidRDefault="003A549D" w:rsidP="003A549D">
      <w:pPr>
        <w:keepNext/>
        <w:spacing w:before="240"/>
        <w:ind w:left="1080" w:hanging="1080"/>
        <w:rPr>
          <w:rFonts w:eastAsia="Calibri" w:cs="Arial"/>
          <w:b/>
          <w:bCs/>
          <w:sz w:val="20"/>
        </w:rPr>
      </w:pPr>
      <w:r w:rsidRPr="003A549D">
        <w:rPr>
          <w:rFonts w:eastAsia="Calibri" w:cs="Arial"/>
          <w:b/>
          <w:bCs/>
          <w:sz w:val="20"/>
        </w:rPr>
        <w:t>Study identification and design</w:t>
      </w:r>
    </w:p>
    <w:tbl>
      <w:tblPr>
        <w:tblStyle w:val="SLROption1"/>
        <w:tblW w:w="5000" w:type="pct"/>
        <w:tblLook w:val="0000" w:firstRow="0" w:lastRow="0" w:firstColumn="0" w:lastColumn="0" w:noHBand="0" w:noVBand="0"/>
      </w:tblPr>
      <w:tblGrid>
        <w:gridCol w:w="3628"/>
        <w:gridCol w:w="10316"/>
      </w:tblGrid>
      <w:tr w:rsidR="003A549D" w:rsidRPr="003A549D" w14:paraId="78876503" w14:textId="77777777" w:rsidTr="00F62C9B">
        <w:tc>
          <w:tcPr>
            <w:tcW w:w="1301" w:type="pct"/>
            <w:shd w:val="clear" w:color="auto" w:fill="3C533C"/>
          </w:tcPr>
          <w:p w14:paraId="73D59DED"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651883DB"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527BF558" w14:textId="77777777" w:rsidTr="00F62C9B">
        <w:tc>
          <w:tcPr>
            <w:tcW w:w="1301" w:type="pct"/>
            <w:shd w:val="clear" w:color="auto" w:fill="F6FDE9"/>
          </w:tcPr>
          <w:p w14:paraId="7D3B18F9" w14:textId="77777777" w:rsidR="003A549D" w:rsidRPr="003A549D" w:rsidRDefault="003A549D" w:rsidP="003A549D">
            <w:pPr>
              <w:spacing w:after="0"/>
              <w:rPr>
                <w:rFonts w:cs="Arial"/>
                <w:sz w:val="20"/>
              </w:rPr>
            </w:pPr>
            <w:r w:rsidRPr="003A549D">
              <w:rPr>
                <w:rFonts w:eastAsia="Calibri" w:cs="Arial"/>
                <w:b/>
                <w:bCs/>
                <w:sz w:val="20"/>
              </w:rPr>
              <w:t>Citation</w:t>
            </w:r>
          </w:p>
        </w:tc>
        <w:tc>
          <w:tcPr>
            <w:tcW w:w="3699" w:type="pct"/>
          </w:tcPr>
          <w:p w14:paraId="5F3A1672" w14:textId="77777777" w:rsidR="003A549D" w:rsidRPr="003A549D" w:rsidRDefault="003A549D" w:rsidP="003A549D">
            <w:pPr>
              <w:spacing w:after="0"/>
              <w:rPr>
                <w:rFonts w:cs="Arial"/>
                <w:sz w:val="20"/>
              </w:rPr>
            </w:pPr>
            <w:r w:rsidRPr="003A549D">
              <w:rPr>
                <w:rFonts w:cs="Arial"/>
                <w:sz w:val="20"/>
              </w:rPr>
              <w:t xml:space="preserve">Stewart SL, Thomas S, Höke E, Simpson D, Singleton JR, Höke A. Vitamin B6 levels do not correlate with severity of neuropathy in chronic idiopathic axonal polyneuropathy. </w:t>
            </w:r>
            <w:r w:rsidRPr="003A549D">
              <w:rPr>
                <w:rFonts w:cs="Arial"/>
                <w:i/>
                <w:iCs/>
                <w:sz w:val="20"/>
              </w:rPr>
              <w:t>J Peripher Nerv Syst.</w:t>
            </w:r>
            <w:r w:rsidRPr="003A549D">
              <w:rPr>
                <w:rFonts w:cs="Arial"/>
                <w:sz w:val="20"/>
              </w:rPr>
              <w:t xml:space="preserve"> 2022;27(1):31–37. doi:10.1111/jns.12480</w:t>
            </w:r>
          </w:p>
        </w:tc>
      </w:tr>
      <w:tr w:rsidR="003A549D" w:rsidRPr="003A549D" w14:paraId="40B87BD8" w14:textId="77777777" w:rsidTr="00F62C9B">
        <w:tc>
          <w:tcPr>
            <w:tcW w:w="1301" w:type="pct"/>
            <w:shd w:val="clear" w:color="auto" w:fill="F6FDE9"/>
          </w:tcPr>
          <w:p w14:paraId="78801A51" w14:textId="77777777" w:rsidR="003A549D" w:rsidRPr="003A549D" w:rsidRDefault="003A549D" w:rsidP="003A549D">
            <w:pPr>
              <w:spacing w:after="0"/>
              <w:rPr>
                <w:rFonts w:cs="Arial"/>
                <w:sz w:val="20"/>
              </w:rPr>
            </w:pPr>
            <w:r w:rsidRPr="003A549D">
              <w:rPr>
                <w:rFonts w:eastAsia="Calibri" w:cs="Arial"/>
                <w:b/>
                <w:bCs/>
                <w:sz w:val="20"/>
              </w:rPr>
              <w:t>Publication status</w:t>
            </w:r>
          </w:p>
        </w:tc>
        <w:tc>
          <w:tcPr>
            <w:tcW w:w="3699" w:type="pct"/>
          </w:tcPr>
          <w:p w14:paraId="657E7E19" w14:textId="77777777" w:rsidR="003A549D" w:rsidRPr="003A549D" w:rsidRDefault="003A549D" w:rsidP="003A549D">
            <w:pPr>
              <w:spacing w:after="0"/>
              <w:rPr>
                <w:rFonts w:cs="Arial"/>
                <w:sz w:val="20"/>
              </w:rPr>
            </w:pPr>
            <w:r w:rsidRPr="003A549D">
              <w:rPr>
                <w:rFonts w:cs="Arial"/>
                <w:sz w:val="20"/>
              </w:rPr>
              <w:t>Published, peer-reviewed journal article (received/revised/accepted December 2021)</w:t>
            </w:r>
          </w:p>
        </w:tc>
      </w:tr>
      <w:tr w:rsidR="003A549D" w:rsidRPr="003A549D" w14:paraId="6984647A" w14:textId="77777777" w:rsidTr="00F62C9B">
        <w:tc>
          <w:tcPr>
            <w:tcW w:w="1301" w:type="pct"/>
            <w:shd w:val="clear" w:color="auto" w:fill="F6FDE9"/>
          </w:tcPr>
          <w:p w14:paraId="0073E37E" w14:textId="77777777" w:rsidR="003A549D" w:rsidRPr="003A549D" w:rsidRDefault="003A549D" w:rsidP="003A549D">
            <w:pPr>
              <w:spacing w:after="0"/>
              <w:rPr>
                <w:rFonts w:cs="Arial"/>
                <w:sz w:val="20"/>
              </w:rPr>
            </w:pPr>
            <w:r w:rsidRPr="003A549D">
              <w:rPr>
                <w:rFonts w:eastAsia="Calibri" w:cs="Arial"/>
                <w:b/>
                <w:bCs/>
                <w:sz w:val="20"/>
              </w:rPr>
              <w:t>Country / setting</w:t>
            </w:r>
          </w:p>
        </w:tc>
        <w:tc>
          <w:tcPr>
            <w:tcW w:w="3699" w:type="pct"/>
          </w:tcPr>
          <w:p w14:paraId="78EAF9F7" w14:textId="77777777" w:rsidR="003A549D" w:rsidRPr="003A549D" w:rsidRDefault="003A549D" w:rsidP="003A549D">
            <w:pPr>
              <w:spacing w:after="0"/>
              <w:rPr>
                <w:rFonts w:cs="Arial"/>
                <w:sz w:val="20"/>
              </w:rPr>
            </w:pPr>
            <w:r w:rsidRPr="003A549D">
              <w:rPr>
                <w:rFonts w:cs="Arial"/>
                <w:sz w:val="20"/>
              </w:rPr>
              <w:t>USA; three academic neurology centres (Johns Hopkins, Mount Sinai, University of Utah). Cross-sectional analysis of a prospective registry</w:t>
            </w:r>
          </w:p>
        </w:tc>
      </w:tr>
      <w:tr w:rsidR="003A549D" w:rsidRPr="003A549D" w14:paraId="17357C14" w14:textId="77777777" w:rsidTr="00F62C9B">
        <w:tc>
          <w:tcPr>
            <w:tcW w:w="1301" w:type="pct"/>
            <w:shd w:val="clear" w:color="auto" w:fill="F6FDE9"/>
          </w:tcPr>
          <w:p w14:paraId="170F8958" w14:textId="77777777" w:rsidR="003A549D" w:rsidRPr="003A549D" w:rsidRDefault="003A549D" w:rsidP="003A549D">
            <w:pPr>
              <w:spacing w:after="0"/>
              <w:rPr>
                <w:rFonts w:cs="Arial"/>
                <w:sz w:val="20"/>
              </w:rPr>
            </w:pPr>
            <w:r w:rsidRPr="003A549D">
              <w:rPr>
                <w:rFonts w:eastAsia="Calibri" w:cs="Arial"/>
                <w:b/>
                <w:bCs/>
                <w:sz w:val="20"/>
              </w:rPr>
              <w:t>Study design</w:t>
            </w:r>
          </w:p>
        </w:tc>
        <w:tc>
          <w:tcPr>
            <w:tcW w:w="3699" w:type="pct"/>
          </w:tcPr>
          <w:p w14:paraId="4A14B375" w14:textId="77777777" w:rsidR="003A549D" w:rsidRPr="003A549D" w:rsidRDefault="003A549D" w:rsidP="003A549D">
            <w:pPr>
              <w:spacing w:after="0"/>
              <w:rPr>
                <w:rFonts w:cs="Arial"/>
                <w:sz w:val="20"/>
              </w:rPr>
            </w:pPr>
            <w:r w:rsidRPr="003A549D">
              <w:rPr>
                <w:rFonts w:cs="Arial"/>
                <w:sz w:val="20"/>
              </w:rPr>
              <w:t>Cross-sectional observational study using data from the Peripheral Neuropathy Research Registry (PNRR), a multicentre prospective cohort</w:t>
            </w:r>
          </w:p>
        </w:tc>
      </w:tr>
      <w:tr w:rsidR="003A549D" w:rsidRPr="003A549D" w14:paraId="30935D16" w14:textId="77777777" w:rsidTr="00F62C9B">
        <w:tc>
          <w:tcPr>
            <w:tcW w:w="1301" w:type="pct"/>
            <w:shd w:val="clear" w:color="auto" w:fill="F6FDE9"/>
          </w:tcPr>
          <w:p w14:paraId="79E5C64E" w14:textId="77777777" w:rsidR="003A549D" w:rsidRPr="003A549D" w:rsidRDefault="003A549D" w:rsidP="003A549D">
            <w:pPr>
              <w:spacing w:after="0"/>
              <w:rPr>
                <w:rFonts w:cs="Arial"/>
                <w:sz w:val="20"/>
              </w:rPr>
            </w:pPr>
            <w:r w:rsidRPr="003A549D">
              <w:rPr>
                <w:rFonts w:eastAsia="Calibri" w:cs="Arial"/>
                <w:b/>
                <w:bCs/>
                <w:sz w:val="20"/>
              </w:rPr>
              <w:t>Funding / conflicts of interest</w:t>
            </w:r>
          </w:p>
        </w:tc>
        <w:tc>
          <w:tcPr>
            <w:tcW w:w="3699" w:type="pct"/>
          </w:tcPr>
          <w:p w14:paraId="7EF5A3A1" w14:textId="77777777" w:rsidR="003A549D" w:rsidRPr="003A549D" w:rsidRDefault="003A549D" w:rsidP="003A549D">
            <w:pPr>
              <w:spacing w:after="0"/>
              <w:rPr>
                <w:rFonts w:cs="Arial"/>
                <w:sz w:val="20"/>
              </w:rPr>
            </w:pPr>
            <w:r w:rsidRPr="003A549D">
              <w:rPr>
                <w:rFonts w:cs="Arial"/>
                <w:sz w:val="20"/>
              </w:rPr>
              <w:t>Funded by the Foundation for Peripheral Neuropathy (FPN).</w:t>
            </w:r>
            <w:r w:rsidRPr="003A549D">
              <w:t xml:space="preserve"> </w:t>
            </w:r>
            <w:r w:rsidRPr="003A549D">
              <w:rPr>
                <w:rFonts w:cs="Arial"/>
                <w:sz w:val="20"/>
              </w:rPr>
              <w:t>Senior author (A. Höke) chairs the FPN Scientific Advisory Board but FPN had no role in study conduct or writing. No other conflicts declared.</w:t>
            </w:r>
          </w:p>
        </w:tc>
      </w:tr>
    </w:tbl>
    <w:p w14:paraId="2066E9BD" w14:textId="77777777" w:rsidR="003A549D" w:rsidRPr="003A549D" w:rsidRDefault="003A549D" w:rsidP="003A549D">
      <w:pPr>
        <w:rPr>
          <w:rFonts w:eastAsia="Times New Roman" w:cs="Times New Roman"/>
        </w:rPr>
      </w:pPr>
      <w:r w:rsidRPr="003A549D">
        <w:rPr>
          <w:rFonts w:eastAsia="Calibri" w:cs="Arial"/>
          <w:b/>
          <w:bCs/>
          <w:sz w:val="20"/>
        </w:rPr>
        <w:t>Population</w:t>
      </w:r>
    </w:p>
    <w:tbl>
      <w:tblPr>
        <w:tblStyle w:val="SLROption1"/>
        <w:tblW w:w="5000" w:type="pct"/>
        <w:tblLook w:val="0000" w:firstRow="0" w:lastRow="0" w:firstColumn="0" w:lastColumn="0" w:noHBand="0" w:noVBand="0"/>
      </w:tblPr>
      <w:tblGrid>
        <w:gridCol w:w="3628"/>
        <w:gridCol w:w="10316"/>
      </w:tblGrid>
      <w:tr w:rsidR="003A549D" w:rsidRPr="003A549D" w14:paraId="580FFFF9" w14:textId="77777777" w:rsidTr="00F62C9B">
        <w:tc>
          <w:tcPr>
            <w:tcW w:w="1301" w:type="pct"/>
            <w:shd w:val="clear" w:color="auto" w:fill="3C533C"/>
          </w:tcPr>
          <w:p w14:paraId="2721BBD9"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5430328C"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171360B2" w14:textId="77777777" w:rsidTr="00F62C9B">
        <w:tc>
          <w:tcPr>
            <w:tcW w:w="1301" w:type="pct"/>
            <w:shd w:val="clear" w:color="auto" w:fill="F6FDE9"/>
          </w:tcPr>
          <w:p w14:paraId="78DBC87F" w14:textId="77777777" w:rsidR="003A549D" w:rsidRPr="003A549D" w:rsidRDefault="003A549D" w:rsidP="003A549D">
            <w:pPr>
              <w:spacing w:after="0"/>
              <w:rPr>
                <w:rFonts w:cs="Arial"/>
                <w:sz w:val="20"/>
              </w:rPr>
            </w:pPr>
            <w:r w:rsidRPr="003A549D">
              <w:rPr>
                <w:rFonts w:eastAsia="Calibri" w:cs="Arial"/>
                <w:b/>
                <w:bCs/>
                <w:sz w:val="20"/>
              </w:rPr>
              <w:t>Sample size</w:t>
            </w:r>
          </w:p>
        </w:tc>
        <w:tc>
          <w:tcPr>
            <w:tcW w:w="3699" w:type="pct"/>
          </w:tcPr>
          <w:p w14:paraId="22A7B68F" w14:textId="77777777" w:rsidR="003A549D" w:rsidRPr="003A549D" w:rsidRDefault="003A549D" w:rsidP="003A549D">
            <w:pPr>
              <w:spacing w:after="0"/>
              <w:rPr>
                <w:rFonts w:cs="Arial"/>
                <w:sz w:val="20"/>
              </w:rPr>
            </w:pPr>
            <w:r w:rsidRPr="003A549D">
              <w:rPr>
                <w:rFonts w:cs="Arial"/>
                <w:sz w:val="20"/>
              </w:rPr>
              <w:t>261 Chronic idiopathic axonal polyneuropathy (CIAP) patients with complete dataset including plasma B6 value, enrolled prior to December 2020</w:t>
            </w:r>
          </w:p>
        </w:tc>
      </w:tr>
      <w:tr w:rsidR="003A549D" w:rsidRPr="003A549D" w14:paraId="6E4CBAC1" w14:textId="77777777" w:rsidTr="00F62C9B">
        <w:tc>
          <w:tcPr>
            <w:tcW w:w="1301" w:type="pct"/>
            <w:shd w:val="clear" w:color="auto" w:fill="F6FDE9"/>
          </w:tcPr>
          <w:p w14:paraId="5D7150D9" w14:textId="77777777" w:rsidR="003A549D" w:rsidRPr="003A549D" w:rsidRDefault="003A549D" w:rsidP="003A549D">
            <w:pPr>
              <w:spacing w:after="0"/>
              <w:rPr>
                <w:rFonts w:cs="Arial"/>
                <w:sz w:val="20"/>
              </w:rPr>
            </w:pPr>
            <w:r w:rsidRPr="003A549D">
              <w:rPr>
                <w:rFonts w:eastAsia="Calibri" w:cs="Arial"/>
                <w:b/>
                <w:bCs/>
                <w:sz w:val="20"/>
              </w:rPr>
              <w:t>Patient (test animal) characteristics</w:t>
            </w:r>
          </w:p>
        </w:tc>
        <w:tc>
          <w:tcPr>
            <w:tcW w:w="3699" w:type="pct"/>
          </w:tcPr>
          <w:p w14:paraId="5F3779E9" w14:textId="77777777" w:rsidR="003A549D" w:rsidRPr="003A549D" w:rsidRDefault="003A549D" w:rsidP="003A549D">
            <w:pPr>
              <w:spacing w:before="120" w:after="0"/>
              <w:rPr>
                <w:rFonts w:cs="Arial"/>
                <w:sz w:val="20"/>
              </w:rPr>
            </w:pPr>
            <w:r w:rsidRPr="003A549D">
              <w:rPr>
                <w:rFonts w:cs="Arial"/>
                <w:sz w:val="20"/>
              </w:rPr>
              <w:t>Mean age 61.2 years (±13.6); 56% male; 93% white; mean neuropathy duration 5.8 years; 74.7% had painful PN. Mean plasma B6 57.7 microgram/L. 67.8% had normal B6 (5–50 microgram /L), 32.2% elevated (&gt;50 microgram /L)</w:t>
            </w:r>
          </w:p>
        </w:tc>
      </w:tr>
      <w:tr w:rsidR="003A549D" w:rsidRPr="003A549D" w14:paraId="780D5818" w14:textId="77777777" w:rsidTr="00F62C9B">
        <w:tc>
          <w:tcPr>
            <w:tcW w:w="1301" w:type="pct"/>
            <w:shd w:val="clear" w:color="auto" w:fill="F6FDE9"/>
          </w:tcPr>
          <w:p w14:paraId="10A57986" w14:textId="77777777" w:rsidR="003A549D" w:rsidRPr="003A549D" w:rsidRDefault="003A549D" w:rsidP="003A549D">
            <w:pPr>
              <w:spacing w:after="0"/>
              <w:rPr>
                <w:rFonts w:cs="Arial"/>
                <w:sz w:val="20"/>
              </w:rPr>
            </w:pPr>
            <w:r w:rsidRPr="003A549D">
              <w:rPr>
                <w:rFonts w:eastAsia="Calibri" w:cs="Arial"/>
                <w:b/>
                <w:bCs/>
                <w:sz w:val="20"/>
              </w:rPr>
              <w:t>Inclusion/exclusion of alternative causes</w:t>
            </w:r>
          </w:p>
        </w:tc>
        <w:tc>
          <w:tcPr>
            <w:tcW w:w="3699" w:type="pct"/>
          </w:tcPr>
          <w:p w14:paraId="3733C373" w14:textId="77777777" w:rsidR="003A549D" w:rsidRPr="003A549D" w:rsidRDefault="003A549D" w:rsidP="003A549D">
            <w:pPr>
              <w:spacing w:after="0"/>
              <w:rPr>
                <w:rFonts w:cs="Arial"/>
                <w:sz w:val="20"/>
              </w:rPr>
            </w:pPr>
            <w:r w:rsidRPr="003A549D">
              <w:rPr>
                <w:rFonts w:cs="Arial"/>
                <w:sz w:val="20"/>
              </w:rPr>
              <w:t xml:space="preserve">Inclusion: confirmed CIAP diagnosis; negative testing for other common PN aetiologies; plasma B6 value available within 3 years of enrolment. </w:t>
            </w:r>
          </w:p>
          <w:p w14:paraId="57DDEE57" w14:textId="77777777" w:rsidR="003A549D" w:rsidRPr="003A549D" w:rsidRDefault="003A549D" w:rsidP="003A549D">
            <w:pPr>
              <w:spacing w:after="0"/>
              <w:rPr>
                <w:rFonts w:cs="Arial"/>
                <w:sz w:val="20"/>
              </w:rPr>
            </w:pPr>
            <w:r w:rsidRPr="003A549D">
              <w:rPr>
                <w:rFonts w:cs="Arial"/>
                <w:sz w:val="20"/>
              </w:rPr>
              <w:t>Exclusion: B6 deficiency (0–4.9 microgram/L); incomplete dataset</w:t>
            </w:r>
          </w:p>
        </w:tc>
      </w:tr>
    </w:tbl>
    <w:p w14:paraId="32F97E6A" w14:textId="77777777" w:rsidR="003A549D" w:rsidRPr="003A549D" w:rsidRDefault="003A549D" w:rsidP="003A549D">
      <w:pPr>
        <w:rPr>
          <w:rFonts w:eastAsia="Times New Roman" w:cs="Times New Roman"/>
          <w:b/>
          <w:bCs/>
        </w:rPr>
      </w:pPr>
      <w:r w:rsidRPr="003A549D">
        <w:rPr>
          <w:rFonts w:eastAsia="Times New Roman" w:cs="Times New Roman"/>
          <w:b/>
          <w:bCs/>
        </w:rPr>
        <w:t>Exposure</w:t>
      </w:r>
    </w:p>
    <w:tbl>
      <w:tblPr>
        <w:tblStyle w:val="SLROption1"/>
        <w:tblW w:w="5000" w:type="pct"/>
        <w:tblLook w:val="0000" w:firstRow="0" w:lastRow="0" w:firstColumn="0" w:lastColumn="0" w:noHBand="0" w:noVBand="0"/>
      </w:tblPr>
      <w:tblGrid>
        <w:gridCol w:w="3628"/>
        <w:gridCol w:w="10316"/>
      </w:tblGrid>
      <w:tr w:rsidR="003A549D" w:rsidRPr="003A549D" w14:paraId="22280E21" w14:textId="77777777" w:rsidTr="00F62C9B">
        <w:trPr>
          <w:cantSplit/>
          <w:tblHeader/>
        </w:trPr>
        <w:tc>
          <w:tcPr>
            <w:tcW w:w="1301" w:type="pct"/>
            <w:shd w:val="clear" w:color="auto" w:fill="3C533C"/>
          </w:tcPr>
          <w:p w14:paraId="28737F5A" w14:textId="77777777" w:rsidR="003A549D" w:rsidRPr="003A549D" w:rsidRDefault="003A549D" w:rsidP="003A549D">
            <w:pPr>
              <w:spacing w:after="0"/>
              <w:rPr>
                <w:rFonts w:cs="Arial"/>
                <w:sz w:val="20"/>
              </w:rPr>
            </w:pPr>
            <w:r w:rsidRPr="003A549D">
              <w:rPr>
                <w:rFonts w:eastAsia="Calibri" w:cs="Arial"/>
                <w:b/>
                <w:bCs/>
                <w:color w:val="FFFFFF"/>
                <w:sz w:val="20"/>
              </w:rPr>
              <w:lastRenderedPageBreak/>
              <w:t>Field</w:t>
            </w:r>
          </w:p>
        </w:tc>
        <w:tc>
          <w:tcPr>
            <w:tcW w:w="3699" w:type="pct"/>
            <w:shd w:val="clear" w:color="auto" w:fill="3C533C"/>
          </w:tcPr>
          <w:p w14:paraId="71E9672D"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654E5CF6" w14:textId="77777777" w:rsidTr="00F62C9B">
        <w:tc>
          <w:tcPr>
            <w:tcW w:w="1301" w:type="pct"/>
            <w:shd w:val="clear" w:color="auto" w:fill="F6FDE9"/>
          </w:tcPr>
          <w:p w14:paraId="75B2C74D" w14:textId="77777777" w:rsidR="003A549D" w:rsidRPr="003A549D" w:rsidRDefault="003A549D" w:rsidP="003A549D">
            <w:pPr>
              <w:spacing w:after="0"/>
              <w:rPr>
                <w:rFonts w:cs="Arial"/>
                <w:sz w:val="20"/>
              </w:rPr>
            </w:pPr>
            <w:r w:rsidRPr="003A549D">
              <w:rPr>
                <w:rFonts w:eastAsia="Calibri" w:cs="Arial"/>
                <w:b/>
                <w:bCs/>
                <w:sz w:val="20"/>
              </w:rPr>
              <w:t>Exposure characterisation – source</w:t>
            </w:r>
          </w:p>
        </w:tc>
        <w:tc>
          <w:tcPr>
            <w:tcW w:w="3699" w:type="pct"/>
          </w:tcPr>
          <w:p w14:paraId="6694C177" w14:textId="77777777" w:rsidR="003A549D" w:rsidRPr="003A549D" w:rsidRDefault="003A549D" w:rsidP="003A549D">
            <w:pPr>
              <w:spacing w:after="0"/>
              <w:rPr>
                <w:rFonts w:cs="Arial"/>
                <w:sz w:val="20"/>
              </w:rPr>
            </w:pPr>
            <w:r w:rsidRPr="003A549D">
              <w:rPr>
                <w:rFonts w:cs="Arial"/>
                <w:sz w:val="20"/>
              </w:rPr>
              <w:t xml:space="preserve">Plasma vitamin B6 level (from dietary intake and/or supplementation: B6 supplements, B-complex, or multivitamins). </w:t>
            </w:r>
          </w:p>
          <w:p w14:paraId="73CEF308" w14:textId="77777777" w:rsidR="003A549D" w:rsidRPr="003A549D" w:rsidRDefault="003A549D" w:rsidP="003A549D">
            <w:pPr>
              <w:spacing w:after="0"/>
              <w:rPr>
                <w:rFonts w:cs="Arial"/>
                <w:sz w:val="20"/>
              </w:rPr>
            </w:pPr>
            <w:r w:rsidRPr="003A549D">
              <w:rPr>
                <w:rFonts w:cs="Arial"/>
                <w:sz w:val="20"/>
              </w:rPr>
              <w:t>Exact dose and duration of supplementation not recorded for all patients.</w:t>
            </w:r>
          </w:p>
        </w:tc>
      </w:tr>
      <w:tr w:rsidR="003A549D" w:rsidRPr="003A549D" w14:paraId="4E38A16C" w14:textId="77777777" w:rsidTr="00F62C9B">
        <w:tc>
          <w:tcPr>
            <w:tcW w:w="1301" w:type="pct"/>
            <w:shd w:val="clear" w:color="auto" w:fill="F6FDE9"/>
          </w:tcPr>
          <w:p w14:paraId="0A51284E" w14:textId="77777777" w:rsidR="003A549D" w:rsidRPr="003A549D" w:rsidRDefault="003A549D" w:rsidP="003A549D">
            <w:pPr>
              <w:spacing w:after="0"/>
              <w:rPr>
                <w:rFonts w:cs="Arial"/>
                <w:sz w:val="20"/>
              </w:rPr>
            </w:pPr>
            <w:r w:rsidRPr="003A549D">
              <w:rPr>
                <w:rFonts w:eastAsia="Calibri" w:cs="Arial"/>
                <w:b/>
                <w:bCs/>
                <w:sz w:val="20"/>
              </w:rPr>
              <w:t>Exposure characterisation – dose</w:t>
            </w:r>
          </w:p>
        </w:tc>
        <w:tc>
          <w:tcPr>
            <w:tcW w:w="3699" w:type="pct"/>
          </w:tcPr>
          <w:p w14:paraId="6683F121" w14:textId="77777777" w:rsidR="003A549D" w:rsidRPr="003A549D" w:rsidRDefault="003A549D" w:rsidP="003A549D">
            <w:pPr>
              <w:spacing w:before="120" w:after="0"/>
              <w:rPr>
                <w:rFonts w:cs="Arial"/>
                <w:sz w:val="20"/>
              </w:rPr>
            </w:pPr>
            <w:r w:rsidRPr="003A549D">
              <w:rPr>
                <w:rFonts w:cs="Arial"/>
                <w:sz w:val="20"/>
              </w:rPr>
              <w:t xml:space="preserve">Categorised as normal (5–50 microgram/L), mildly elevated (50–99.9 microgram/L), elevated (100–199.9 microgram/L), very elevated (200–299.9 microgram/L), extremely elevated (≥300 microgram/L; n=6, too small for analysis). </w:t>
            </w:r>
          </w:p>
          <w:p w14:paraId="6EC6730D" w14:textId="77777777" w:rsidR="003A549D" w:rsidRPr="003A549D" w:rsidRDefault="003A549D" w:rsidP="003A549D">
            <w:pPr>
              <w:spacing w:before="120" w:after="0"/>
              <w:rPr>
                <w:rFonts w:cs="Arial"/>
                <w:sz w:val="20"/>
              </w:rPr>
            </w:pPr>
            <w:r w:rsidRPr="003A549D">
              <w:rPr>
                <w:rFonts w:cs="Arial"/>
                <w:sz w:val="20"/>
              </w:rPr>
              <w:t>Those taking B6 supplements had mean plasma level 115.4 microgram/L vs 54.7 microgram/L in non-supplement takers.</w:t>
            </w:r>
          </w:p>
        </w:tc>
      </w:tr>
      <w:tr w:rsidR="003A549D" w:rsidRPr="003A549D" w14:paraId="52669313" w14:textId="77777777" w:rsidTr="00F62C9B">
        <w:tc>
          <w:tcPr>
            <w:tcW w:w="1301" w:type="pct"/>
            <w:shd w:val="clear" w:color="auto" w:fill="F6FDE9"/>
          </w:tcPr>
          <w:p w14:paraId="6D95950E" w14:textId="77777777" w:rsidR="003A549D" w:rsidRPr="003A549D" w:rsidRDefault="003A549D" w:rsidP="003A549D">
            <w:pPr>
              <w:spacing w:after="0"/>
              <w:rPr>
                <w:rFonts w:cs="Arial"/>
                <w:sz w:val="20"/>
              </w:rPr>
            </w:pPr>
            <w:r w:rsidRPr="003A549D">
              <w:rPr>
                <w:rFonts w:eastAsia="Calibri" w:cs="Arial"/>
                <w:b/>
                <w:bCs/>
                <w:sz w:val="20"/>
              </w:rPr>
              <w:t>Biomarker of exposure</w:t>
            </w:r>
          </w:p>
        </w:tc>
        <w:tc>
          <w:tcPr>
            <w:tcW w:w="3699" w:type="pct"/>
          </w:tcPr>
          <w:p w14:paraId="1E843EB6" w14:textId="77777777" w:rsidR="003A549D" w:rsidRPr="003A549D" w:rsidRDefault="003A549D" w:rsidP="003A549D">
            <w:pPr>
              <w:spacing w:after="0"/>
              <w:rPr>
                <w:rFonts w:cs="Arial"/>
                <w:sz w:val="20"/>
              </w:rPr>
            </w:pPr>
            <w:r w:rsidRPr="003A549D">
              <w:rPr>
                <w:rFonts w:cs="Arial"/>
                <w:sz w:val="20"/>
              </w:rPr>
              <w:t>Plasma PLP (normal 5–50 mcg/L) or total pyridoxine (normal 3–30 mcg/L), per Mayo Clinic reference ranges.</w:t>
            </w:r>
          </w:p>
        </w:tc>
      </w:tr>
      <w:tr w:rsidR="003A549D" w:rsidRPr="003A549D" w14:paraId="29A5EE4A" w14:textId="77777777" w:rsidTr="00F62C9B">
        <w:tc>
          <w:tcPr>
            <w:tcW w:w="1301" w:type="pct"/>
            <w:shd w:val="clear" w:color="auto" w:fill="F6FDE9"/>
          </w:tcPr>
          <w:p w14:paraId="44251A44" w14:textId="77777777" w:rsidR="003A549D" w:rsidRPr="003A549D" w:rsidRDefault="003A549D" w:rsidP="003A549D">
            <w:pPr>
              <w:spacing w:after="0"/>
              <w:rPr>
                <w:rFonts w:cs="Arial"/>
                <w:sz w:val="20"/>
              </w:rPr>
            </w:pPr>
            <w:r w:rsidRPr="003A549D">
              <w:rPr>
                <w:rFonts w:eastAsia="Calibri" w:cs="Arial"/>
                <w:b/>
                <w:bCs/>
                <w:sz w:val="20"/>
              </w:rPr>
              <w:t>Duration of exposure</w:t>
            </w:r>
          </w:p>
        </w:tc>
        <w:tc>
          <w:tcPr>
            <w:tcW w:w="3699" w:type="pct"/>
          </w:tcPr>
          <w:p w14:paraId="5E6D7ECA" w14:textId="77777777" w:rsidR="003A549D" w:rsidRPr="003A549D" w:rsidRDefault="003A549D" w:rsidP="003A549D">
            <w:pPr>
              <w:spacing w:after="0"/>
              <w:rPr>
                <w:rFonts w:cs="Arial"/>
                <w:sz w:val="20"/>
              </w:rPr>
            </w:pPr>
            <w:r w:rsidRPr="003A549D">
              <w:rPr>
                <w:rFonts w:cs="Arial"/>
                <w:sz w:val="20"/>
              </w:rPr>
              <w:t>Not systematically recorded; cross-sectional single plasma measurement used as proxy for cumulative exposure.</w:t>
            </w:r>
          </w:p>
        </w:tc>
      </w:tr>
    </w:tbl>
    <w:p w14:paraId="5DB35DBB" w14:textId="77777777" w:rsidR="003A549D" w:rsidRPr="003A549D" w:rsidRDefault="003A549D" w:rsidP="003A549D">
      <w:pPr>
        <w:rPr>
          <w:rFonts w:eastAsia="Times New Roman" w:cs="Times New Roman"/>
          <w:b/>
          <w:bCs/>
        </w:rPr>
      </w:pPr>
      <w:r w:rsidRPr="003A549D">
        <w:rPr>
          <w:rFonts w:eastAsia="Times New Roman" w:cs="Times New Roman"/>
          <w:b/>
          <w:bCs/>
        </w:rPr>
        <w:t>Outcomes</w:t>
      </w:r>
    </w:p>
    <w:tbl>
      <w:tblPr>
        <w:tblStyle w:val="SLROption1"/>
        <w:tblW w:w="5000" w:type="pct"/>
        <w:tblLook w:val="0000" w:firstRow="0" w:lastRow="0" w:firstColumn="0" w:lastColumn="0" w:noHBand="0" w:noVBand="0"/>
      </w:tblPr>
      <w:tblGrid>
        <w:gridCol w:w="3628"/>
        <w:gridCol w:w="10316"/>
      </w:tblGrid>
      <w:tr w:rsidR="003A549D" w:rsidRPr="003A549D" w14:paraId="1DA42CE2" w14:textId="77777777" w:rsidTr="00F62C9B">
        <w:tc>
          <w:tcPr>
            <w:tcW w:w="1301" w:type="pct"/>
            <w:shd w:val="clear" w:color="auto" w:fill="3C533C"/>
          </w:tcPr>
          <w:p w14:paraId="451FA866"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6A8C263F"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2E314DC7" w14:textId="77777777" w:rsidTr="00F62C9B">
        <w:tc>
          <w:tcPr>
            <w:tcW w:w="1301" w:type="pct"/>
            <w:shd w:val="clear" w:color="auto" w:fill="F6FDE9"/>
          </w:tcPr>
          <w:p w14:paraId="3E5AA674" w14:textId="77777777" w:rsidR="003A549D" w:rsidRPr="003A549D" w:rsidRDefault="003A549D" w:rsidP="003A549D">
            <w:pPr>
              <w:spacing w:after="0"/>
              <w:rPr>
                <w:rFonts w:cs="Arial"/>
                <w:sz w:val="20"/>
              </w:rPr>
            </w:pPr>
            <w:r w:rsidRPr="003A549D">
              <w:rPr>
                <w:rFonts w:eastAsia="Calibri" w:cs="Arial"/>
                <w:b/>
                <w:bCs/>
                <w:sz w:val="20"/>
              </w:rPr>
              <w:t>Primary outcome</w:t>
            </w:r>
          </w:p>
        </w:tc>
        <w:tc>
          <w:tcPr>
            <w:tcW w:w="3699" w:type="pct"/>
          </w:tcPr>
          <w:p w14:paraId="36B08D81" w14:textId="77777777" w:rsidR="003A549D" w:rsidRPr="003A549D" w:rsidRDefault="003A549D" w:rsidP="003A549D">
            <w:pPr>
              <w:spacing w:after="0"/>
              <w:rPr>
                <w:rFonts w:cs="Arial"/>
                <w:sz w:val="20"/>
              </w:rPr>
            </w:pPr>
            <w:r w:rsidRPr="003A549D">
              <w:rPr>
                <w:rFonts w:cs="Arial"/>
                <w:sz w:val="20"/>
              </w:rPr>
              <w:t>Relationship between elevated plasma B6 level and neuropathy severity in CIAP patients.</w:t>
            </w:r>
          </w:p>
        </w:tc>
      </w:tr>
      <w:tr w:rsidR="003A549D" w:rsidRPr="003A549D" w14:paraId="4A607BF5" w14:textId="77777777" w:rsidTr="00F62C9B">
        <w:tc>
          <w:tcPr>
            <w:tcW w:w="1301" w:type="pct"/>
            <w:shd w:val="clear" w:color="auto" w:fill="F6FDE9"/>
          </w:tcPr>
          <w:p w14:paraId="3481A2CF" w14:textId="77777777" w:rsidR="003A549D" w:rsidRPr="003A549D" w:rsidRDefault="003A549D" w:rsidP="003A549D">
            <w:pPr>
              <w:spacing w:after="0"/>
              <w:rPr>
                <w:rFonts w:cs="Arial"/>
                <w:sz w:val="20"/>
              </w:rPr>
            </w:pPr>
            <w:r w:rsidRPr="003A549D">
              <w:rPr>
                <w:rFonts w:eastAsia="Calibri" w:cs="Arial"/>
                <w:b/>
                <w:bCs/>
                <w:sz w:val="20"/>
              </w:rPr>
              <w:t>Outcome assessment</w:t>
            </w:r>
          </w:p>
        </w:tc>
        <w:tc>
          <w:tcPr>
            <w:tcW w:w="3699" w:type="pct"/>
          </w:tcPr>
          <w:p w14:paraId="6C4FBF08" w14:textId="77777777" w:rsidR="003A549D" w:rsidRPr="003A549D" w:rsidRDefault="003A549D" w:rsidP="003A549D">
            <w:pPr>
              <w:spacing w:before="120" w:after="0"/>
              <w:rPr>
                <w:rFonts w:cs="Arial"/>
                <w:sz w:val="20"/>
              </w:rPr>
            </w:pPr>
            <w:r w:rsidRPr="003A549D">
              <w:rPr>
                <w:rFonts w:cs="Arial"/>
                <w:sz w:val="20"/>
              </w:rPr>
              <w:t>Neurological exam: muscle strength (finger, ankle, toe), deep tendon reflexes, vibration sense (Rydel fork), joint position sense, gait, Romberg test.</w:t>
            </w:r>
          </w:p>
        </w:tc>
      </w:tr>
      <w:tr w:rsidR="003A549D" w:rsidRPr="003A549D" w14:paraId="25ED8751" w14:textId="77777777" w:rsidTr="00F62C9B">
        <w:tc>
          <w:tcPr>
            <w:tcW w:w="1301" w:type="pct"/>
            <w:shd w:val="clear" w:color="auto" w:fill="F6FDE9"/>
          </w:tcPr>
          <w:p w14:paraId="72804F20" w14:textId="77777777" w:rsidR="003A549D" w:rsidRPr="003A549D" w:rsidRDefault="003A549D" w:rsidP="003A549D">
            <w:pPr>
              <w:spacing w:after="0"/>
              <w:rPr>
                <w:rFonts w:cs="Arial"/>
                <w:sz w:val="20"/>
              </w:rPr>
            </w:pPr>
            <w:r w:rsidRPr="003A549D">
              <w:rPr>
                <w:rFonts w:eastAsia="Calibri" w:cs="Arial"/>
                <w:b/>
                <w:bCs/>
                <w:sz w:val="20"/>
              </w:rPr>
              <w:t>Outcome assessment – objective testing</w:t>
            </w:r>
          </w:p>
        </w:tc>
        <w:tc>
          <w:tcPr>
            <w:tcW w:w="3699" w:type="pct"/>
          </w:tcPr>
          <w:p w14:paraId="3F6878C2" w14:textId="77777777" w:rsidR="003A549D" w:rsidRPr="003A549D" w:rsidRDefault="003A549D" w:rsidP="003A549D">
            <w:pPr>
              <w:spacing w:after="0"/>
              <w:rPr>
                <w:rFonts w:cs="Arial"/>
                <w:sz w:val="20"/>
              </w:rPr>
            </w:pPr>
            <w:r w:rsidRPr="003A549D">
              <w:rPr>
                <w:rFonts w:cs="Arial"/>
                <w:sz w:val="20"/>
              </w:rPr>
              <w:t>Nerve conduction studies (peroneal motor, sural sensory - velocity and amplitude); intra-epidermal nerve fibre density (IENFD) by skin biopsy (Johns Hopkins patients only); TNSr score.</w:t>
            </w:r>
          </w:p>
        </w:tc>
      </w:tr>
      <w:tr w:rsidR="003A549D" w:rsidRPr="003A549D" w14:paraId="01DFA14C" w14:textId="77777777" w:rsidTr="00F62C9B">
        <w:tc>
          <w:tcPr>
            <w:tcW w:w="1301" w:type="pct"/>
            <w:shd w:val="clear" w:color="auto" w:fill="F6FDE9"/>
          </w:tcPr>
          <w:p w14:paraId="246CE3ED" w14:textId="77777777" w:rsidR="003A549D" w:rsidRPr="003A549D" w:rsidRDefault="003A549D" w:rsidP="003A549D">
            <w:pPr>
              <w:spacing w:after="0"/>
              <w:rPr>
                <w:rFonts w:cs="Arial"/>
                <w:sz w:val="20"/>
              </w:rPr>
            </w:pPr>
            <w:r w:rsidRPr="003A549D">
              <w:rPr>
                <w:rFonts w:eastAsia="Calibri" w:cs="Arial"/>
                <w:b/>
                <w:bCs/>
                <w:sz w:val="20"/>
              </w:rPr>
              <w:t>Outcome assessment – tools used</w:t>
            </w:r>
          </w:p>
        </w:tc>
        <w:tc>
          <w:tcPr>
            <w:tcW w:w="3699" w:type="pct"/>
          </w:tcPr>
          <w:p w14:paraId="0070C91A" w14:textId="77777777" w:rsidR="003A549D" w:rsidRPr="003A549D" w:rsidRDefault="003A549D" w:rsidP="003A549D">
            <w:pPr>
              <w:spacing w:after="0"/>
              <w:rPr>
                <w:rFonts w:cs="Arial"/>
                <w:sz w:val="20"/>
              </w:rPr>
            </w:pPr>
            <w:r w:rsidRPr="003A549D">
              <w:rPr>
                <w:rFonts w:cs="Arial"/>
                <w:sz w:val="20"/>
              </w:rPr>
              <w:t>Total Neuropathy Score-reduced (TNSr); NCS; IENFD; patient-reported questionnaire (pain intensity 0–10, numbness, paresthesia type); logistic regression and chi-square analyses adjusted for age and neuropathy duration; STATA</w:t>
            </w:r>
          </w:p>
        </w:tc>
      </w:tr>
      <w:tr w:rsidR="003A549D" w:rsidRPr="003A549D" w14:paraId="6292EF97" w14:textId="77777777" w:rsidTr="00F62C9B">
        <w:tc>
          <w:tcPr>
            <w:tcW w:w="1301" w:type="pct"/>
            <w:shd w:val="clear" w:color="auto" w:fill="F6FDE9"/>
          </w:tcPr>
          <w:p w14:paraId="7B3B9296" w14:textId="77777777" w:rsidR="003A549D" w:rsidRPr="003A549D" w:rsidRDefault="003A549D" w:rsidP="003A549D">
            <w:pPr>
              <w:spacing w:after="0"/>
              <w:rPr>
                <w:rFonts w:cs="Arial"/>
                <w:sz w:val="20"/>
              </w:rPr>
            </w:pPr>
            <w:r w:rsidRPr="003A549D">
              <w:rPr>
                <w:rFonts w:eastAsia="Calibri" w:cs="Arial"/>
                <w:b/>
                <w:bCs/>
                <w:sz w:val="20"/>
              </w:rPr>
              <w:t>Response to withdrawal</w:t>
            </w:r>
          </w:p>
        </w:tc>
        <w:tc>
          <w:tcPr>
            <w:tcW w:w="3699" w:type="pct"/>
          </w:tcPr>
          <w:p w14:paraId="37736FC0" w14:textId="77777777" w:rsidR="003A549D" w:rsidRPr="003A549D" w:rsidRDefault="003A549D" w:rsidP="003A549D">
            <w:pPr>
              <w:spacing w:after="0"/>
              <w:rPr>
                <w:rFonts w:cs="Arial"/>
                <w:sz w:val="20"/>
              </w:rPr>
            </w:pPr>
            <w:r w:rsidRPr="003A549D">
              <w:rPr>
                <w:rFonts w:cs="Arial"/>
                <w:sz w:val="20"/>
              </w:rPr>
              <w:t>Not assessed (cross-sectional design; no intervention or withdrawal).</w:t>
            </w:r>
          </w:p>
        </w:tc>
      </w:tr>
    </w:tbl>
    <w:p w14:paraId="39FE61B3" w14:textId="77777777" w:rsidR="003A549D" w:rsidRPr="003A549D" w:rsidRDefault="003A549D" w:rsidP="003A549D">
      <w:pPr>
        <w:rPr>
          <w:rFonts w:eastAsia="Times New Roman" w:cs="Times New Roman"/>
          <w:b/>
          <w:bCs/>
        </w:rPr>
      </w:pPr>
      <w:r w:rsidRPr="003A549D">
        <w:rPr>
          <w:rFonts w:eastAsia="Times New Roman" w:cs="Times New Roman"/>
          <w:b/>
          <w:bCs/>
        </w:rPr>
        <w:t>Results and Conclusions</w:t>
      </w:r>
    </w:p>
    <w:tbl>
      <w:tblPr>
        <w:tblStyle w:val="SLROption1"/>
        <w:tblW w:w="5000" w:type="pct"/>
        <w:tblLook w:val="0000" w:firstRow="0" w:lastRow="0" w:firstColumn="0" w:lastColumn="0" w:noHBand="0" w:noVBand="0"/>
      </w:tblPr>
      <w:tblGrid>
        <w:gridCol w:w="3628"/>
        <w:gridCol w:w="10316"/>
      </w:tblGrid>
      <w:tr w:rsidR="003A549D" w:rsidRPr="003A549D" w14:paraId="77257636" w14:textId="77777777" w:rsidTr="00F62C9B">
        <w:trPr>
          <w:cantSplit/>
          <w:tblHeader/>
        </w:trPr>
        <w:tc>
          <w:tcPr>
            <w:tcW w:w="1301" w:type="pct"/>
            <w:shd w:val="clear" w:color="auto" w:fill="3C533C"/>
          </w:tcPr>
          <w:p w14:paraId="6EF6F4CE" w14:textId="77777777" w:rsidR="003A549D" w:rsidRPr="003A549D" w:rsidRDefault="003A549D" w:rsidP="003A549D">
            <w:pPr>
              <w:spacing w:after="0"/>
              <w:rPr>
                <w:rFonts w:cs="Arial"/>
                <w:sz w:val="20"/>
              </w:rPr>
            </w:pPr>
            <w:r w:rsidRPr="003A549D">
              <w:rPr>
                <w:rFonts w:eastAsia="Calibri" w:cs="Arial"/>
                <w:b/>
                <w:bCs/>
                <w:color w:val="FFFFFF"/>
                <w:sz w:val="20"/>
              </w:rPr>
              <w:lastRenderedPageBreak/>
              <w:t>Field</w:t>
            </w:r>
          </w:p>
        </w:tc>
        <w:tc>
          <w:tcPr>
            <w:tcW w:w="3699" w:type="pct"/>
            <w:shd w:val="clear" w:color="auto" w:fill="3C533C"/>
          </w:tcPr>
          <w:p w14:paraId="131A6871"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08ED67B0" w14:textId="77777777" w:rsidTr="00F62C9B">
        <w:trPr>
          <w:cantSplit/>
        </w:trPr>
        <w:tc>
          <w:tcPr>
            <w:tcW w:w="1301" w:type="pct"/>
            <w:shd w:val="clear" w:color="auto" w:fill="F6FDE9"/>
          </w:tcPr>
          <w:p w14:paraId="7334FA8A" w14:textId="77777777" w:rsidR="003A549D" w:rsidRPr="003A549D" w:rsidRDefault="003A549D" w:rsidP="003A549D">
            <w:pPr>
              <w:spacing w:after="0"/>
              <w:rPr>
                <w:rFonts w:cs="Arial"/>
                <w:sz w:val="20"/>
              </w:rPr>
            </w:pPr>
            <w:r w:rsidRPr="003A549D">
              <w:rPr>
                <w:rFonts w:eastAsia="Calibri" w:cs="Arial"/>
                <w:b/>
                <w:bCs/>
                <w:sz w:val="20"/>
              </w:rPr>
              <w:t>Main results</w:t>
            </w:r>
          </w:p>
        </w:tc>
        <w:tc>
          <w:tcPr>
            <w:tcW w:w="3699" w:type="pct"/>
          </w:tcPr>
          <w:p w14:paraId="527C62F6" w14:textId="3B031FF3" w:rsidR="003A549D" w:rsidRPr="003A549D" w:rsidRDefault="0015381F" w:rsidP="003A549D">
            <w:pPr>
              <w:spacing w:before="120" w:after="0"/>
              <w:rPr>
                <w:rFonts w:cs="Arial"/>
                <w:sz w:val="20"/>
              </w:rPr>
            </w:pPr>
            <w:r w:rsidRPr="0015381F">
              <w:rPr>
                <w:rFonts w:cs="Arial"/>
                <w:sz w:val="20"/>
              </w:rPr>
              <w:t>Elevated plasma vitamin B6 was not associated with worse neuropathy signs or symptoms. There were no meaningful differences in clinical scores, vibration sense, reflexes, strength, gait, skin biopsy findings, nerve conduction studies, pain, or numbness between patients with normal and elevated vitamin B6 levels. People taking vitamin B6 supplements had higher plasma levels, but not worse symptoms. Very high levels were uncommon, with only 2.3% of patients having plasma vitamin B6 ≥300 microgram/L.</w:t>
            </w:r>
          </w:p>
        </w:tc>
      </w:tr>
      <w:tr w:rsidR="003A549D" w:rsidRPr="003A549D" w14:paraId="325E3677" w14:textId="77777777" w:rsidTr="00F62C9B">
        <w:trPr>
          <w:cantSplit/>
        </w:trPr>
        <w:tc>
          <w:tcPr>
            <w:tcW w:w="1301" w:type="pct"/>
            <w:shd w:val="clear" w:color="auto" w:fill="F6FDE9"/>
          </w:tcPr>
          <w:p w14:paraId="16AF8921" w14:textId="77777777" w:rsidR="003A549D" w:rsidRPr="003A549D" w:rsidRDefault="003A549D" w:rsidP="003A549D">
            <w:pPr>
              <w:spacing w:after="0"/>
              <w:rPr>
                <w:rFonts w:cs="Arial"/>
                <w:sz w:val="20"/>
              </w:rPr>
            </w:pPr>
            <w:r w:rsidRPr="003A549D">
              <w:rPr>
                <w:rFonts w:eastAsia="Calibri" w:cs="Arial"/>
                <w:b/>
                <w:bCs/>
                <w:sz w:val="20"/>
              </w:rPr>
              <w:t>Authors' conclusions</w:t>
            </w:r>
          </w:p>
        </w:tc>
        <w:tc>
          <w:tcPr>
            <w:tcW w:w="3699" w:type="pct"/>
          </w:tcPr>
          <w:p w14:paraId="672C87AF" w14:textId="63E684EE" w:rsidR="003A549D" w:rsidRPr="003A549D" w:rsidRDefault="0015381F" w:rsidP="003A549D">
            <w:pPr>
              <w:spacing w:after="0"/>
              <w:rPr>
                <w:rFonts w:cs="Arial"/>
                <w:sz w:val="20"/>
              </w:rPr>
            </w:pPr>
            <w:r w:rsidRPr="0015381F">
              <w:rPr>
                <w:rFonts w:cs="Arial"/>
                <w:sz w:val="20"/>
              </w:rPr>
              <w:t>Moderately elevated plasma vitamin B6, including levels of 100–200 microgram/L, was not linked to worse neuropathy in patients with chronic idiopathic axonal polyneuropathy. Standard vitamin B6 supplementation did not appear to have a major harmful effect, although the study could not assess whether stopping supplements would improve symptoms.</w:t>
            </w:r>
          </w:p>
        </w:tc>
      </w:tr>
      <w:tr w:rsidR="003A549D" w:rsidRPr="003A549D" w14:paraId="05D534C3" w14:textId="77777777" w:rsidTr="00F62C9B">
        <w:trPr>
          <w:cantSplit/>
        </w:trPr>
        <w:tc>
          <w:tcPr>
            <w:tcW w:w="1301" w:type="pct"/>
            <w:shd w:val="clear" w:color="auto" w:fill="F6FDE9"/>
          </w:tcPr>
          <w:p w14:paraId="635C50AA" w14:textId="77777777" w:rsidR="003A549D" w:rsidRPr="003A549D" w:rsidRDefault="003A549D" w:rsidP="003A549D">
            <w:pPr>
              <w:spacing w:after="0"/>
              <w:rPr>
                <w:rFonts w:cs="Arial"/>
                <w:sz w:val="20"/>
              </w:rPr>
            </w:pPr>
            <w:r w:rsidRPr="003A549D">
              <w:rPr>
                <w:rFonts w:eastAsia="Calibri" w:cs="Arial"/>
                <w:b/>
                <w:bCs/>
                <w:sz w:val="20"/>
              </w:rPr>
              <w:t>Authors' acknowledged limitations</w:t>
            </w:r>
          </w:p>
        </w:tc>
        <w:tc>
          <w:tcPr>
            <w:tcW w:w="3699" w:type="pct"/>
          </w:tcPr>
          <w:p w14:paraId="678F7700" w14:textId="616DC017" w:rsidR="003A549D" w:rsidRPr="003A549D" w:rsidRDefault="0015381F" w:rsidP="003A549D">
            <w:pPr>
              <w:spacing w:after="0"/>
              <w:rPr>
                <w:rFonts w:cs="Arial"/>
                <w:sz w:val="20"/>
              </w:rPr>
            </w:pPr>
            <w:r w:rsidRPr="0015381F">
              <w:rPr>
                <w:rFonts w:cs="Arial"/>
                <w:sz w:val="20"/>
              </w:rPr>
              <w:t>The study could not assess symptoms before, during and after supplementation. Vitamin B6 results were only available for a subset of registry patients, which may have introduced bias. Supplement dose and duration were not available for all patients. Plasma vitamin B6 was used as a proxy for intake, and very high vitamin B6 levels were too uncommon for meaningful analysis.</w:t>
            </w:r>
          </w:p>
        </w:tc>
      </w:tr>
    </w:tbl>
    <w:p w14:paraId="5F55D6AF" w14:textId="77777777" w:rsidR="003A549D" w:rsidRPr="003A549D" w:rsidRDefault="003A549D" w:rsidP="003A549D">
      <w:pPr>
        <w:rPr>
          <w:rFonts w:eastAsia="Times New Roman" w:cs="Times New Roman"/>
          <w:b/>
          <w:bCs/>
        </w:rPr>
      </w:pPr>
      <w:r w:rsidRPr="003A549D">
        <w:rPr>
          <w:rFonts w:eastAsia="Times New Roman" w:cs="Times New Roman"/>
          <w:b/>
          <w:bCs/>
        </w:rPr>
        <w:t>Contextual information for the AU/NZ UL review</w:t>
      </w:r>
    </w:p>
    <w:tbl>
      <w:tblPr>
        <w:tblStyle w:val="SLROption1"/>
        <w:tblW w:w="5000" w:type="pct"/>
        <w:tblLook w:val="0000" w:firstRow="0" w:lastRow="0" w:firstColumn="0" w:lastColumn="0" w:noHBand="0" w:noVBand="0"/>
      </w:tblPr>
      <w:tblGrid>
        <w:gridCol w:w="3628"/>
        <w:gridCol w:w="10316"/>
      </w:tblGrid>
      <w:tr w:rsidR="003A549D" w:rsidRPr="003A549D" w14:paraId="54B33691" w14:textId="77777777" w:rsidTr="00F62C9B">
        <w:tc>
          <w:tcPr>
            <w:tcW w:w="1301" w:type="pct"/>
            <w:shd w:val="clear" w:color="auto" w:fill="F6FDE9"/>
          </w:tcPr>
          <w:p w14:paraId="7B19DA1A" w14:textId="77777777" w:rsidR="003A549D" w:rsidRPr="003A549D" w:rsidRDefault="003A549D" w:rsidP="003A549D">
            <w:pPr>
              <w:spacing w:after="0"/>
              <w:rPr>
                <w:rFonts w:cs="Arial"/>
                <w:sz w:val="20"/>
              </w:rPr>
            </w:pPr>
            <w:r w:rsidRPr="003A549D">
              <w:rPr>
                <w:rFonts w:eastAsia="Calibri" w:cs="Arial"/>
                <w:b/>
                <w:bCs/>
                <w:sz w:val="20"/>
              </w:rPr>
              <w:t>Generalisability to AU/NZ</w:t>
            </w:r>
          </w:p>
        </w:tc>
        <w:tc>
          <w:tcPr>
            <w:tcW w:w="3699" w:type="pct"/>
          </w:tcPr>
          <w:p w14:paraId="29D1122E" w14:textId="3629B600" w:rsidR="003A549D" w:rsidRPr="003A549D" w:rsidRDefault="003A549D" w:rsidP="003A549D">
            <w:pPr>
              <w:spacing w:after="0"/>
              <w:rPr>
                <w:rFonts w:cs="Arial"/>
                <w:sz w:val="20"/>
              </w:rPr>
            </w:pPr>
            <w:r w:rsidRPr="003A549D">
              <w:rPr>
                <w:rFonts w:cs="Arial"/>
                <w:sz w:val="20"/>
              </w:rPr>
              <w:t>US-based study; population were dominantly white (93%); findings are relevant to the Australian context regrading the supplement consumption and dose ranges.</w:t>
            </w:r>
            <w:r w:rsidR="00C06E5B">
              <w:rPr>
                <w:rFonts w:cs="Arial"/>
                <w:sz w:val="20"/>
              </w:rPr>
              <w:t xml:space="preserve"> </w:t>
            </w:r>
            <w:r w:rsidRPr="003A549D">
              <w:rPr>
                <w:rFonts w:cs="Arial"/>
                <w:sz w:val="20"/>
              </w:rPr>
              <w:t xml:space="preserve"> </w:t>
            </w:r>
          </w:p>
        </w:tc>
      </w:tr>
    </w:tbl>
    <w:p w14:paraId="7A4139EE" w14:textId="77777777" w:rsidR="003A549D" w:rsidRPr="003A549D" w:rsidRDefault="003A549D" w:rsidP="003A549D"/>
    <w:p w14:paraId="335856D3" w14:textId="77777777" w:rsidR="003A549D" w:rsidRPr="003A549D" w:rsidRDefault="003A549D" w:rsidP="003A549D">
      <w:pPr>
        <w:keepNext/>
        <w:numPr>
          <w:ilvl w:val="2"/>
          <w:numId w:val="2"/>
        </w:numPr>
        <w:spacing w:before="240"/>
        <w:outlineLvl w:val="8"/>
        <w:rPr>
          <w:b/>
          <w:iCs/>
          <w:noProof/>
          <w:color w:val="667545" w:themeColor="accent3"/>
          <w:sz w:val="24"/>
        </w:rPr>
      </w:pPr>
      <w:r w:rsidRPr="003A549D">
        <w:rPr>
          <w:b/>
          <w:iCs/>
          <w:noProof/>
          <w:color w:val="667545" w:themeColor="accent3"/>
          <w:sz w:val="24"/>
        </w:rPr>
        <w:t>Stolwijk et al 2025</w:t>
      </w:r>
    </w:p>
    <w:p w14:paraId="5F079DC3" w14:textId="77777777" w:rsidR="003A549D" w:rsidRPr="003A549D" w:rsidRDefault="003A549D" w:rsidP="003A549D">
      <w:pPr>
        <w:keepNext/>
        <w:spacing w:before="240"/>
        <w:ind w:left="1080" w:hanging="1080"/>
        <w:rPr>
          <w:rFonts w:eastAsia="Calibri" w:cs="Arial"/>
          <w:b/>
          <w:bCs/>
          <w:sz w:val="20"/>
        </w:rPr>
      </w:pPr>
      <w:r w:rsidRPr="003A549D">
        <w:rPr>
          <w:rFonts w:eastAsia="Calibri" w:cs="Arial"/>
          <w:b/>
          <w:bCs/>
          <w:sz w:val="20"/>
        </w:rPr>
        <w:t>Study identification and design</w:t>
      </w:r>
    </w:p>
    <w:tbl>
      <w:tblPr>
        <w:tblStyle w:val="SLROption1"/>
        <w:tblW w:w="5000" w:type="pct"/>
        <w:tblLook w:val="0000" w:firstRow="0" w:lastRow="0" w:firstColumn="0" w:lastColumn="0" w:noHBand="0" w:noVBand="0"/>
      </w:tblPr>
      <w:tblGrid>
        <w:gridCol w:w="3628"/>
        <w:gridCol w:w="10316"/>
      </w:tblGrid>
      <w:tr w:rsidR="003A549D" w:rsidRPr="003A549D" w14:paraId="4960D926" w14:textId="77777777" w:rsidTr="00F62C9B">
        <w:tc>
          <w:tcPr>
            <w:tcW w:w="1301" w:type="pct"/>
            <w:shd w:val="clear" w:color="auto" w:fill="3C533C"/>
          </w:tcPr>
          <w:p w14:paraId="423C3C1F"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1BDB5BE3"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46908794" w14:textId="77777777" w:rsidTr="00F62C9B">
        <w:tc>
          <w:tcPr>
            <w:tcW w:w="1301" w:type="pct"/>
            <w:shd w:val="clear" w:color="auto" w:fill="F6FDE9"/>
          </w:tcPr>
          <w:p w14:paraId="23775DCC" w14:textId="77777777" w:rsidR="003A549D" w:rsidRPr="003A549D" w:rsidRDefault="003A549D" w:rsidP="003A549D">
            <w:pPr>
              <w:spacing w:after="0"/>
              <w:rPr>
                <w:rFonts w:cs="Arial"/>
                <w:sz w:val="20"/>
              </w:rPr>
            </w:pPr>
            <w:r w:rsidRPr="003A549D">
              <w:rPr>
                <w:rFonts w:eastAsia="Calibri" w:cs="Arial"/>
                <w:b/>
                <w:bCs/>
                <w:sz w:val="20"/>
              </w:rPr>
              <w:t>Citation</w:t>
            </w:r>
          </w:p>
        </w:tc>
        <w:tc>
          <w:tcPr>
            <w:tcW w:w="3699" w:type="pct"/>
          </w:tcPr>
          <w:p w14:paraId="35563087" w14:textId="77777777" w:rsidR="003A549D" w:rsidRPr="003A549D" w:rsidRDefault="003A549D" w:rsidP="003A549D">
            <w:pPr>
              <w:spacing w:after="0"/>
              <w:rPr>
                <w:rFonts w:cs="Arial"/>
                <w:sz w:val="20"/>
              </w:rPr>
            </w:pPr>
            <w:r w:rsidRPr="003A549D">
              <w:rPr>
                <w:rFonts w:cs="Arial"/>
                <w:sz w:val="20"/>
              </w:rPr>
              <w:t xml:space="preserve">Stolwijk NN, van Dussen L, Reijnhout ND, Brands MMMG, Jaeger B, Clayton PT, Hollak CEM, Bosch AM. Effectiveness of pyridoxal-5′-phosphate in PNPO deficiency: a systematic review. </w:t>
            </w:r>
            <w:r w:rsidRPr="003A549D">
              <w:rPr>
                <w:rFonts w:cs="Arial"/>
                <w:i/>
                <w:iCs/>
                <w:sz w:val="20"/>
              </w:rPr>
              <w:t>J Inherit Metab Dis.</w:t>
            </w:r>
            <w:r w:rsidRPr="003A549D">
              <w:rPr>
                <w:rFonts w:cs="Arial"/>
                <w:sz w:val="20"/>
              </w:rPr>
              <w:t xml:space="preserve"> 2025;48:e70074. </w:t>
            </w:r>
            <w:hyperlink r:id="rId200" w:history="1">
              <w:r w:rsidRPr="003A549D">
                <w:rPr>
                  <w:rFonts w:cs="Arial"/>
                  <w:color w:val="4E5768"/>
                  <w:sz w:val="20"/>
                  <w:u w:val="single"/>
                </w:rPr>
                <w:t>https://doi.org/10.1002/jimd.70074</w:t>
              </w:r>
            </w:hyperlink>
          </w:p>
        </w:tc>
      </w:tr>
      <w:tr w:rsidR="003A549D" w:rsidRPr="003A549D" w14:paraId="33D1AB51" w14:textId="77777777" w:rsidTr="00F62C9B">
        <w:tc>
          <w:tcPr>
            <w:tcW w:w="1301" w:type="pct"/>
            <w:shd w:val="clear" w:color="auto" w:fill="F6FDE9"/>
          </w:tcPr>
          <w:p w14:paraId="31AE1F1E" w14:textId="77777777" w:rsidR="003A549D" w:rsidRPr="003A549D" w:rsidRDefault="003A549D" w:rsidP="003A549D">
            <w:pPr>
              <w:spacing w:after="0"/>
              <w:rPr>
                <w:rFonts w:cs="Arial"/>
                <w:sz w:val="20"/>
              </w:rPr>
            </w:pPr>
            <w:r w:rsidRPr="003A549D">
              <w:rPr>
                <w:rFonts w:eastAsia="Calibri" w:cs="Arial"/>
                <w:b/>
                <w:bCs/>
                <w:sz w:val="20"/>
              </w:rPr>
              <w:t>Publication status</w:t>
            </w:r>
          </w:p>
        </w:tc>
        <w:tc>
          <w:tcPr>
            <w:tcW w:w="3699" w:type="pct"/>
          </w:tcPr>
          <w:p w14:paraId="7FECA061" w14:textId="77777777" w:rsidR="003A549D" w:rsidRPr="003A549D" w:rsidRDefault="003A549D" w:rsidP="003A549D">
            <w:pPr>
              <w:spacing w:after="0"/>
              <w:rPr>
                <w:rFonts w:cs="Arial"/>
                <w:sz w:val="20"/>
              </w:rPr>
            </w:pPr>
            <w:r w:rsidRPr="003A549D">
              <w:rPr>
                <w:rFonts w:cs="Arial"/>
                <w:sz w:val="20"/>
              </w:rPr>
              <w:t>Published, peer-reviewed open-access journal article (received May 2025, accepted July 2025)</w:t>
            </w:r>
          </w:p>
        </w:tc>
      </w:tr>
      <w:tr w:rsidR="003A549D" w:rsidRPr="003A549D" w14:paraId="6C3CA7E0" w14:textId="77777777" w:rsidTr="00F62C9B">
        <w:tc>
          <w:tcPr>
            <w:tcW w:w="1301" w:type="pct"/>
            <w:shd w:val="clear" w:color="auto" w:fill="F6FDE9"/>
          </w:tcPr>
          <w:p w14:paraId="0DA6027E" w14:textId="77777777" w:rsidR="003A549D" w:rsidRPr="003A549D" w:rsidRDefault="003A549D" w:rsidP="003A549D">
            <w:pPr>
              <w:spacing w:after="0"/>
              <w:rPr>
                <w:rFonts w:cs="Arial"/>
                <w:sz w:val="20"/>
              </w:rPr>
            </w:pPr>
            <w:r w:rsidRPr="003A549D">
              <w:rPr>
                <w:rFonts w:eastAsia="Calibri" w:cs="Arial"/>
                <w:b/>
                <w:bCs/>
                <w:sz w:val="20"/>
              </w:rPr>
              <w:t>Country / setting</w:t>
            </w:r>
          </w:p>
        </w:tc>
        <w:tc>
          <w:tcPr>
            <w:tcW w:w="3699" w:type="pct"/>
          </w:tcPr>
          <w:p w14:paraId="34BA5ADD" w14:textId="77777777" w:rsidR="003A549D" w:rsidRPr="003A549D" w:rsidRDefault="003A549D" w:rsidP="003A549D">
            <w:pPr>
              <w:spacing w:after="0"/>
              <w:rPr>
                <w:rFonts w:cs="Arial"/>
                <w:sz w:val="20"/>
              </w:rPr>
            </w:pPr>
            <w:r w:rsidRPr="003A549D">
              <w:rPr>
                <w:rFonts w:cs="Arial"/>
                <w:sz w:val="20"/>
              </w:rPr>
              <w:t>Netherlands/international; systematic review of published case reports and case series. PROSPERO registered (CRD42024542199). Search conducted April 2024</w:t>
            </w:r>
          </w:p>
        </w:tc>
      </w:tr>
      <w:tr w:rsidR="003A549D" w:rsidRPr="003A549D" w14:paraId="2DB42838" w14:textId="77777777" w:rsidTr="00F62C9B">
        <w:tc>
          <w:tcPr>
            <w:tcW w:w="1301" w:type="pct"/>
            <w:shd w:val="clear" w:color="auto" w:fill="F6FDE9"/>
          </w:tcPr>
          <w:p w14:paraId="6E01232D" w14:textId="77777777" w:rsidR="003A549D" w:rsidRPr="003A549D" w:rsidRDefault="003A549D" w:rsidP="003A549D">
            <w:pPr>
              <w:spacing w:after="0"/>
              <w:rPr>
                <w:rFonts w:cs="Arial"/>
                <w:sz w:val="20"/>
              </w:rPr>
            </w:pPr>
            <w:r w:rsidRPr="003A549D">
              <w:rPr>
                <w:rFonts w:eastAsia="Calibri" w:cs="Arial"/>
                <w:b/>
                <w:bCs/>
                <w:sz w:val="20"/>
              </w:rPr>
              <w:lastRenderedPageBreak/>
              <w:t>Study design</w:t>
            </w:r>
          </w:p>
        </w:tc>
        <w:tc>
          <w:tcPr>
            <w:tcW w:w="3699" w:type="pct"/>
          </w:tcPr>
          <w:p w14:paraId="3CAF5748" w14:textId="77777777" w:rsidR="003A549D" w:rsidRPr="002F3314" w:rsidRDefault="003A549D" w:rsidP="003A549D">
            <w:pPr>
              <w:spacing w:after="0"/>
              <w:rPr>
                <w:rFonts w:cs="Arial"/>
                <w:b/>
                <w:bCs/>
                <w:sz w:val="20"/>
              </w:rPr>
            </w:pPr>
            <w:r w:rsidRPr="002F3314">
              <w:rPr>
                <w:rFonts w:cs="Arial"/>
                <w:b/>
                <w:bCs/>
                <w:sz w:val="20"/>
              </w:rPr>
              <w:t>Systematic review (PRISMA) with narrative synthesis; 30 included studies, all case reports or case series. Risk of bias assessed using Murad et al. tool</w:t>
            </w:r>
          </w:p>
        </w:tc>
      </w:tr>
      <w:tr w:rsidR="003A549D" w:rsidRPr="003A549D" w14:paraId="01777105" w14:textId="77777777" w:rsidTr="00F62C9B">
        <w:tc>
          <w:tcPr>
            <w:tcW w:w="1301" w:type="pct"/>
            <w:shd w:val="clear" w:color="auto" w:fill="F6FDE9"/>
          </w:tcPr>
          <w:p w14:paraId="7377B59F" w14:textId="77777777" w:rsidR="003A549D" w:rsidRPr="003A549D" w:rsidRDefault="003A549D" w:rsidP="003A549D">
            <w:pPr>
              <w:spacing w:after="0"/>
              <w:rPr>
                <w:rFonts w:cs="Arial"/>
                <w:sz w:val="20"/>
              </w:rPr>
            </w:pPr>
            <w:r w:rsidRPr="003A549D">
              <w:rPr>
                <w:rFonts w:eastAsia="Calibri" w:cs="Arial"/>
                <w:b/>
                <w:bCs/>
                <w:sz w:val="20"/>
              </w:rPr>
              <w:t>Funding / conflicts of interest</w:t>
            </w:r>
          </w:p>
        </w:tc>
        <w:tc>
          <w:tcPr>
            <w:tcW w:w="3699" w:type="pct"/>
          </w:tcPr>
          <w:p w14:paraId="527F8754" w14:textId="77777777" w:rsidR="003A549D" w:rsidRPr="003A549D" w:rsidRDefault="003A549D" w:rsidP="003A549D">
            <w:pPr>
              <w:spacing w:after="0"/>
              <w:rPr>
                <w:rFonts w:cs="Arial"/>
                <w:sz w:val="20"/>
              </w:rPr>
            </w:pPr>
            <w:r w:rsidRPr="003A549D">
              <w:rPr>
                <w:rFonts w:cs="Arial"/>
                <w:sz w:val="20"/>
              </w:rPr>
              <w:t>Funded by Postcodeloterij (Dutch postcode lottery) via the Medicines for Society platform. Three authors are members of Medicines for Society, which advocates for PLP access. One author (CEMH) chairs that platform. One author (NDR) previously held a position at IQVIA. No other conflicts declared.</w:t>
            </w:r>
          </w:p>
        </w:tc>
      </w:tr>
    </w:tbl>
    <w:p w14:paraId="5E377593" w14:textId="77777777" w:rsidR="003A549D" w:rsidRPr="003A549D" w:rsidRDefault="003A549D" w:rsidP="003A549D">
      <w:pPr>
        <w:rPr>
          <w:rFonts w:eastAsia="Times New Roman" w:cs="Times New Roman"/>
        </w:rPr>
      </w:pPr>
      <w:r w:rsidRPr="003A549D">
        <w:rPr>
          <w:rFonts w:eastAsia="Calibri" w:cs="Arial"/>
          <w:b/>
          <w:bCs/>
          <w:sz w:val="20"/>
        </w:rPr>
        <w:t>Population</w:t>
      </w:r>
    </w:p>
    <w:tbl>
      <w:tblPr>
        <w:tblStyle w:val="SLROption1"/>
        <w:tblW w:w="5000" w:type="pct"/>
        <w:tblLook w:val="0000" w:firstRow="0" w:lastRow="0" w:firstColumn="0" w:lastColumn="0" w:noHBand="0" w:noVBand="0"/>
      </w:tblPr>
      <w:tblGrid>
        <w:gridCol w:w="3628"/>
        <w:gridCol w:w="10316"/>
      </w:tblGrid>
      <w:tr w:rsidR="003A549D" w:rsidRPr="003A549D" w14:paraId="75655448" w14:textId="77777777" w:rsidTr="00F62C9B">
        <w:tc>
          <w:tcPr>
            <w:tcW w:w="1301" w:type="pct"/>
            <w:shd w:val="clear" w:color="auto" w:fill="3C533C"/>
          </w:tcPr>
          <w:p w14:paraId="10A6816A"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5EBF8BDC"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17FEC0D0" w14:textId="77777777" w:rsidTr="00F62C9B">
        <w:tc>
          <w:tcPr>
            <w:tcW w:w="1301" w:type="pct"/>
            <w:shd w:val="clear" w:color="auto" w:fill="F6FDE9"/>
          </w:tcPr>
          <w:p w14:paraId="4B5F346F" w14:textId="77777777" w:rsidR="003A549D" w:rsidRPr="003A549D" w:rsidRDefault="003A549D" w:rsidP="003A549D">
            <w:pPr>
              <w:spacing w:after="0"/>
              <w:rPr>
                <w:rFonts w:cs="Arial"/>
                <w:sz w:val="20"/>
              </w:rPr>
            </w:pPr>
            <w:r w:rsidRPr="003A549D">
              <w:rPr>
                <w:rFonts w:eastAsia="Calibri" w:cs="Arial"/>
                <w:b/>
                <w:bCs/>
                <w:sz w:val="20"/>
              </w:rPr>
              <w:t>Sample size</w:t>
            </w:r>
          </w:p>
        </w:tc>
        <w:tc>
          <w:tcPr>
            <w:tcW w:w="3699" w:type="pct"/>
          </w:tcPr>
          <w:p w14:paraId="1E6B5DEB" w14:textId="77777777" w:rsidR="003A549D" w:rsidRPr="003A549D" w:rsidRDefault="003A549D" w:rsidP="003A549D">
            <w:pPr>
              <w:spacing w:after="0"/>
              <w:rPr>
                <w:rFonts w:cs="Arial"/>
                <w:sz w:val="20"/>
              </w:rPr>
            </w:pPr>
            <w:r w:rsidRPr="003A549D">
              <w:rPr>
                <w:rFonts w:cs="Arial"/>
                <w:sz w:val="20"/>
              </w:rPr>
              <w:t>49 patients with Pyridox(am)ine 5′-phosphate oxidase (PNPO) deficiency treated with pyridoxal-5′-phosphate (PLP) across 30 studies.</w:t>
            </w:r>
          </w:p>
        </w:tc>
      </w:tr>
      <w:tr w:rsidR="003A549D" w:rsidRPr="003A549D" w14:paraId="6D1579EA" w14:textId="77777777" w:rsidTr="00F62C9B">
        <w:tc>
          <w:tcPr>
            <w:tcW w:w="1301" w:type="pct"/>
            <w:shd w:val="clear" w:color="auto" w:fill="F6FDE9"/>
          </w:tcPr>
          <w:p w14:paraId="2337A722" w14:textId="77777777" w:rsidR="003A549D" w:rsidRPr="003A549D" w:rsidRDefault="003A549D" w:rsidP="003A549D">
            <w:pPr>
              <w:spacing w:after="0"/>
              <w:rPr>
                <w:rFonts w:cs="Arial"/>
                <w:sz w:val="20"/>
              </w:rPr>
            </w:pPr>
            <w:r w:rsidRPr="003A549D">
              <w:rPr>
                <w:rFonts w:eastAsia="Calibri" w:cs="Arial"/>
                <w:b/>
                <w:bCs/>
                <w:sz w:val="20"/>
              </w:rPr>
              <w:t>Patient (test animal) characteristics</w:t>
            </w:r>
          </w:p>
        </w:tc>
        <w:tc>
          <w:tcPr>
            <w:tcW w:w="3699" w:type="pct"/>
          </w:tcPr>
          <w:p w14:paraId="29138657" w14:textId="77777777" w:rsidR="003A549D" w:rsidRPr="003A549D" w:rsidRDefault="003A549D" w:rsidP="003A549D">
            <w:pPr>
              <w:spacing w:before="120" w:after="0"/>
              <w:rPr>
                <w:rFonts w:cs="Arial"/>
                <w:sz w:val="20"/>
              </w:rPr>
            </w:pPr>
            <w:r w:rsidRPr="003A549D">
              <w:rPr>
                <w:rFonts w:cs="Arial"/>
                <w:sz w:val="20"/>
              </w:rPr>
              <w:t>Predominantly male (70.2%, n=33/47). Mostly neonatal onset: median seizure onset day 1 of life (range 0.5 hours to 17 months). Median age at last follow-up 3 years (range 48 days to 21 years). Mean PLP use duration 3 years (range 6 days to 11 years). 45/49 had biallelic PNPO variants confirmed.</w:t>
            </w:r>
          </w:p>
        </w:tc>
      </w:tr>
      <w:tr w:rsidR="003A549D" w:rsidRPr="003A549D" w14:paraId="526FA0C6" w14:textId="77777777" w:rsidTr="00F62C9B">
        <w:tc>
          <w:tcPr>
            <w:tcW w:w="1301" w:type="pct"/>
            <w:shd w:val="clear" w:color="auto" w:fill="F6FDE9"/>
          </w:tcPr>
          <w:p w14:paraId="6BF2FCB1" w14:textId="77777777" w:rsidR="003A549D" w:rsidRPr="003A549D" w:rsidRDefault="003A549D" w:rsidP="003A549D">
            <w:pPr>
              <w:spacing w:after="0"/>
              <w:rPr>
                <w:rFonts w:cs="Arial"/>
                <w:sz w:val="20"/>
              </w:rPr>
            </w:pPr>
            <w:r w:rsidRPr="003A549D">
              <w:rPr>
                <w:rFonts w:eastAsia="Calibri" w:cs="Arial"/>
                <w:b/>
                <w:bCs/>
                <w:sz w:val="20"/>
              </w:rPr>
              <w:t>Inclusion/exclusion of alternative causes</w:t>
            </w:r>
          </w:p>
        </w:tc>
        <w:tc>
          <w:tcPr>
            <w:tcW w:w="3699" w:type="pct"/>
          </w:tcPr>
          <w:p w14:paraId="63D507B6" w14:textId="77777777" w:rsidR="003A549D" w:rsidRPr="003A549D" w:rsidRDefault="003A549D" w:rsidP="003A549D">
            <w:pPr>
              <w:spacing w:after="0"/>
              <w:rPr>
                <w:rFonts w:cs="Arial"/>
                <w:sz w:val="20"/>
              </w:rPr>
            </w:pPr>
            <w:r w:rsidRPr="003A549D">
              <w:rPr>
                <w:rFonts w:cs="Arial"/>
                <w:sz w:val="20"/>
              </w:rPr>
              <w:t xml:space="preserve">Included: PNPO deficiency patients treated with PLP with efficacy/safety data reported; single heterozygous PNPO variant cases included. </w:t>
            </w:r>
          </w:p>
          <w:p w14:paraId="7E95C33B" w14:textId="77777777" w:rsidR="003A549D" w:rsidRPr="003A549D" w:rsidRDefault="003A549D" w:rsidP="003A549D">
            <w:pPr>
              <w:spacing w:after="0"/>
              <w:rPr>
                <w:rFonts w:cs="Arial"/>
                <w:sz w:val="20"/>
              </w:rPr>
            </w:pPr>
            <w:r w:rsidRPr="003A549D">
              <w:rPr>
                <w:rFonts w:cs="Arial"/>
                <w:sz w:val="20"/>
              </w:rPr>
              <w:t>Excluded: patients with B6-responsive epilepsy but negative PNPO sequencing; non-English publications; conference abstracts; studies published before 2005.</w:t>
            </w:r>
          </w:p>
        </w:tc>
      </w:tr>
    </w:tbl>
    <w:p w14:paraId="1F77ACF7" w14:textId="77777777" w:rsidR="003A549D" w:rsidRPr="003A549D" w:rsidRDefault="003A549D" w:rsidP="003A549D">
      <w:pPr>
        <w:rPr>
          <w:rFonts w:eastAsia="Times New Roman" w:cs="Times New Roman"/>
          <w:b/>
          <w:bCs/>
        </w:rPr>
      </w:pPr>
      <w:r w:rsidRPr="003A549D">
        <w:rPr>
          <w:rFonts w:eastAsia="Times New Roman" w:cs="Times New Roman"/>
          <w:b/>
          <w:bCs/>
        </w:rPr>
        <w:t>Exposure</w:t>
      </w:r>
    </w:p>
    <w:tbl>
      <w:tblPr>
        <w:tblStyle w:val="SLROption1"/>
        <w:tblW w:w="5000" w:type="pct"/>
        <w:tblLook w:val="0000" w:firstRow="0" w:lastRow="0" w:firstColumn="0" w:lastColumn="0" w:noHBand="0" w:noVBand="0"/>
      </w:tblPr>
      <w:tblGrid>
        <w:gridCol w:w="3628"/>
        <w:gridCol w:w="10316"/>
      </w:tblGrid>
      <w:tr w:rsidR="003A549D" w:rsidRPr="003A549D" w14:paraId="070273EB" w14:textId="77777777" w:rsidTr="00F62C9B">
        <w:trPr>
          <w:cantSplit/>
          <w:tblHeader/>
        </w:trPr>
        <w:tc>
          <w:tcPr>
            <w:tcW w:w="1301" w:type="pct"/>
            <w:shd w:val="clear" w:color="auto" w:fill="3C533C"/>
          </w:tcPr>
          <w:p w14:paraId="4D333BD3"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418ADB0E"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38535750" w14:textId="77777777" w:rsidTr="00F62C9B">
        <w:tc>
          <w:tcPr>
            <w:tcW w:w="1301" w:type="pct"/>
            <w:shd w:val="clear" w:color="auto" w:fill="F6FDE9"/>
          </w:tcPr>
          <w:p w14:paraId="0425AAF5" w14:textId="77777777" w:rsidR="003A549D" w:rsidRPr="003A549D" w:rsidRDefault="003A549D" w:rsidP="003A549D">
            <w:pPr>
              <w:spacing w:after="0"/>
              <w:rPr>
                <w:rFonts w:cs="Arial"/>
                <w:sz w:val="20"/>
              </w:rPr>
            </w:pPr>
            <w:r w:rsidRPr="003A549D">
              <w:rPr>
                <w:rFonts w:eastAsia="Calibri" w:cs="Arial"/>
                <w:b/>
                <w:bCs/>
                <w:sz w:val="20"/>
              </w:rPr>
              <w:t>Exposure characterisation – source</w:t>
            </w:r>
          </w:p>
        </w:tc>
        <w:tc>
          <w:tcPr>
            <w:tcW w:w="3699" w:type="pct"/>
          </w:tcPr>
          <w:p w14:paraId="341C2F67" w14:textId="77777777" w:rsidR="003A549D" w:rsidRPr="003A549D" w:rsidRDefault="003A549D" w:rsidP="003A549D">
            <w:pPr>
              <w:spacing w:after="0"/>
              <w:rPr>
                <w:rFonts w:cs="Arial"/>
                <w:sz w:val="20"/>
              </w:rPr>
            </w:pPr>
            <w:r w:rsidRPr="003A549D">
              <w:rPr>
                <w:rFonts w:cs="Arial"/>
                <w:sz w:val="20"/>
              </w:rPr>
              <w:t>Pyridoxal-5′-phosphate (PLP), the active form of vitamin B6, administered therapeutically for seizure control in PNPO deficiency. PLP is not authorised as a medicinal product; patients rely on food supplements</w:t>
            </w:r>
          </w:p>
        </w:tc>
      </w:tr>
      <w:tr w:rsidR="003A549D" w:rsidRPr="003A549D" w14:paraId="589AEB95" w14:textId="77777777" w:rsidTr="00F62C9B">
        <w:tc>
          <w:tcPr>
            <w:tcW w:w="1301" w:type="pct"/>
            <w:shd w:val="clear" w:color="auto" w:fill="F6FDE9"/>
          </w:tcPr>
          <w:p w14:paraId="70496A2E" w14:textId="77777777" w:rsidR="003A549D" w:rsidRPr="003A549D" w:rsidRDefault="003A549D" w:rsidP="003A549D">
            <w:pPr>
              <w:spacing w:after="0"/>
              <w:rPr>
                <w:rFonts w:cs="Arial"/>
                <w:sz w:val="20"/>
              </w:rPr>
            </w:pPr>
            <w:r w:rsidRPr="003A549D">
              <w:rPr>
                <w:rFonts w:eastAsia="Calibri" w:cs="Arial"/>
                <w:b/>
                <w:bCs/>
                <w:sz w:val="20"/>
              </w:rPr>
              <w:t>Exposure characterisation – dose</w:t>
            </w:r>
          </w:p>
        </w:tc>
        <w:tc>
          <w:tcPr>
            <w:tcW w:w="3699" w:type="pct"/>
          </w:tcPr>
          <w:p w14:paraId="4B7B69E9" w14:textId="77777777" w:rsidR="003A549D" w:rsidRPr="003A549D" w:rsidRDefault="003A549D" w:rsidP="003A549D">
            <w:pPr>
              <w:spacing w:before="120" w:after="0"/>
              <w:rPr>
                <w:rFonts w:cs="Arial"/>
                <w:sz w:val="20"/>
              </w:rPr>
            </w:pPr>
            <w:r w:rsidRPr="003A549D">
              <w:rPr>
                <w:rFonts w:cs="Arial"/>
                <w:sz w:val="20"/>
              </w:rPr>
              <w:t>Median PLP dose in responsive patients: 35.5 mg/kg/day (range 10–74 mg/kg/day). Cirrhosis cases required 50–100 mg/kg/day. One PLP intoxication occurred at 74 mg/kg/day due to supplement mislabelling.</w:t>
            </w:r>
          </w:p>
        </w:tc>
      </w:tr>
      <w:tr w:rsidR="003A549D" w:rsidRPr="003A549D" w14:paraId="352970B3" w14:textId="77777777" w:rsidTr="00F62C9B">
        <w:tc>
          <w:tcPr>
            <w:tcW w:w="1301" w:type="pct"/>
            <w:shd w:val="clear" w:color="auto" w:fill="F6FDE9"/>
          </w:tcPr>
          <w:p w14:paraId="4A4C8819" w14:textId="77777777" w:rsidR="003A549D" w:rsidRPr="003A549D" w:rsidRDefault="003A549D" w:rsidP="003A549D">
            <w:pPr>
              <w:spacing w:after="0"/>
              <w:rPr>
                <w:rFonts w:cs="Arial"/>
                <w:sz w:val="20"/>
              </w:rPr>
            </w:pPr>
            <w:r w:rsidRPr="003A549D">
              <w:rPr>
                <w:rFonts w:eastAsia="Calibri" w:cs="Arial"/>
                <w:b/>
                <w:bCs/>
                <w:sz w:val="20"/>
              </w:rPr>
              <w:t>Biomarker of exposure</w:t>
            </w:r>
          </w:p>
        </w:tc>
        <w:tc>
          <w:tcPr>
            <w:tcW w:w="3699" w:type="pct"/>
          </w:tcPr>
          <w:p w14:paraId="750E002B" w14:textId="77777777" w:rsidR="003A549D" w:rsidRPr="003A549D" w:rsidRDefault="003A549D" w:rsidP="003A549D">
            <w:pPr>
              <w:spacing w:after="0"/>
              <w:rPr>
                <w:rFonts w:cs="Arial"/>
                <w:sz w:val="20"/>
              </w:rPr>
            </w:pPr>
            <w:r w:rsidRPr="003A549D">
              <w:rPr>
                <w:rFonts w:cs="Arial"/>
                <w:sz w:val="20"/>
              </w:rPr>
              <w:t>Plasma B6 vitamer profiles (LC-MS/MS) noted as a potential monitoring tool, but validated reference ranges not yet established for clinical use.</w:t>
            </w:r>
          </w:p>
        </w:tc>
      </w:tr>
      <w:tr w:rsidR="003A549D" w:rsidRPr="003A549D" w14:paraId="445999AE" w14:textId="77777777" w:rsidTr="00F62C9B">
        <w:tc>
          <w:tcPr>
            <w:tcW w:w="1301" w:type="pct"/>
            <w:shd w:val="clear" w:color="auto" w:fill="F6FDE9"/>
          </w:tcPr>
          <w:p w14:paraId="11D55F44" w14:textId="77777777" w:rsidR="003A549D" w:rsidRPr="003A549D" w:rsidRDefault="003A549D" w:rsidP="003A549D">
            <w:pPr>
              <w:spacing w:after="0"/>
              <w:rPr>
                <w:rFonts w:cs="Arial"/>
                <w:sz w:val="20"/>
              </w:rPr>
            </w:pPr>
            <w:r w:rsidRPr="003A549D">
              <w:rPr>
                <w:rFonts w:eastAsia="Calibri" w:cs="Arial"/>
                <w:b/>
                <w:bCs/>
                <w:sz w:val="20"/>
              </w:rPr>
              <w:t>Duration of exposure</w:t>
            </w:r>
          </w:p>
        </w:tc>
        <w:tc>
          <w:tcPr>
            <w:tcW w:w="3699" w:type="pct"/>
          </w:tcPr>
          <w:p w14:paraId="41B47E2F" w14:textId="77777777" w:rsidR="003A549D" w:rsidRPr="003A549D" w:rsidRDefault="003A549D" w:rsidP="003A549D">
            <w:pPr>
              <w:spacing w:after="0"/>
              <w:rPr>
                <w:rFonts w:cs="Arial"/>
                <w:sz w:val="20"/>
              </w:rPr>
            </w:pPr>
            <w:r w:rsidRPr="003A549D">
              <w:rPr>
                <w:rFonts w:cs="Arial"/>
                <w:sz w:val="20"/>
              </w:rPr>
              <w:t>Mean 3 years (range 6 days to 11 years); most hepatotoxicity cases had &gt;1 year of PLP therapy</w:t>
            </w:r>
          </w:p>
        </w:tc>
      </w:tr>
    </w:tbl>
    <w:p w14:paraId="3C69826D" w14:textId="77777777" w:rsidR="003A549D" w:rsidRPr="003A549D" w:rsidRDefault="003A549D" w:rsidP="003A549D">
      <w:pPr>
        <w:rPr>
          <w:rFonts w:eastAsia="Times New Roman" w:cs="Times New Roman"/>
          <w:b/>
          <w:bCs/>
        </w:rPr>
      </w:pPr>
      <w:r w:rsidRPr="003A549D">
        <w:rPr>
          <w:rFonts w:eastAsia="Times New Roman" w:cs="Times New Roman"/>
          <w:b/>
          <w:bCs/>
        </w:rPr>
        <w:t>Outcomes</w:t>
      </w:r>
    </w:p>
    <w:tbl>
      <w:tblPr>
        <w:tblStyle w:val="SLROption1"/>
        <w:tblW w:w="5000" w:type="pct"/>
        <w:tblLook w:val="0000" w:firstRow="0" w:lastRow="0" w:firstColumn="0" w:lastColumn="0" w:noHBand="0" w:noVBand="0"/>
      </w:tblPr>
      <w:tblGrid>
        <w:gridCol w:w="3628"/>
        <w:gridCol w:w="10316"/>
      </w:tblGrid>
      <w:tr w:rsidR="003A549D" w:rsidRPr="003A549D" w14:paraId="4F0B7EDE" w14:textId="77777777" w:rsidTr="00F62C9B">
        <w:tc>
          <w:tcPr>
            <w:tcW w:w="1301" w:type="pct"/>
            <w:shd w:val="clear" w:color="auto" w:fill="3C533C"/>
          </w:tcPr>
          <w:p w14:paraId="36BD5DC0"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19C25389"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1FF40C4A" w14:textId="77777777" w:rsidTr="00F62C9B">
        <w:tc>
          <w:tcPr>
            <w:tcW w:w="1301" w:type="pct"/>
            <w:shd w:val="clear" w:color="auto" w:fill="F6FDE9"/>
          </w:tcPr>
          <w:p w14:paraId="070EEB29" w14:textId="77777777" w:rsidR="003A549D" w:rsidRPr="003A549D" w:rsidRDefault="003A549D" w:rsidP="003A549D">
            <w:pPr>
              <w:spacing w:after="0"/>
              <w:rPr>
                <w:rFonts w:cs="Arial"/>
                <w:sz w:val="20"/>
              </w:rPr>
            </w:pPr>
            <w:r w:rsidRPr="003A549D">
              <w:rPr>
                <w:rFonts w:eastAsia="Calibri" w:cs="Arial"/>
                <w:b/>
                <w:bCs/>
                <w:sz w:val="20"/>
              </w:rPr>
              <w:t>Primary outcome</w:t>
            </w:r>
          </w:p>
        </w:tc>
        <w:tc>
          <w:tcPr>
            <w:tcW w:w="3699" w:type="pct"/>
          </w:tcPr>
          <w:p w14:paraId="62603592" w14:textId="77777777" w:rsidR="003A549D" w:rsidRPr="003A549D" w:rsidRDefault="003A549D" w:rsidP="003A549D">
            <w:pPr>
              <w:spacing w:after="0"/>
              <w:rPr>
                <w:rFonts w:cs="Arial"/>
                <w:sz w:val="20"/>
              </w:rPr>
            </w:pPr>
            <w:r w:rsidRPr="003A549D">
              <w:rPr>
                <w:rFonts w:cs="Arial"/>
                <w:sz w:val="20"/>
              </w:rPr>
              <w:t>Clinical seizure responsiveness to PLP therapy; survival; safety/adverse events.</w:t>
            </w:r>
          </w:p>
        </w:tc>
      </w:tr>
      <w:tr w:rsidR="003A549D" w:rsidRPr="003A549D" w14:paraId="0B748B67" w14:textId="77777777" w:rsidTr="00F62C9B">
        <w:tc>
          <w:tcPr>
            <w:tcW w:w="1301" w:type="pct"/>
            <w:shd w:val="clear" w:color="auto" w:fill="F6FDE9"/>
          </w:tcPr>
          <w:p w14:paraId="70883C16" w14:textId="77777777" w:rsidR="003A549D" w:rsidRPr="003A549D" w:rsidRDefault="003A549D" w:rsidP="003A549D">
            <w:pPr>
              <w:spacing w:after="0"/>
              <w:rPr>
                <w:rFonts w:cs="Arial"/>
                <w:sz w:val="20"/>
              </w:rPr>
            </w:pPr>
            <w:r w:rsidRPr="003A549D">
              <w:rPr>
                <w:rFonts w:eastAsia="Calibri" w:cs="Arial"/>
                <w:b/>
                <w:bCs/>
                <w:sz w:val="20"/>
              </w:rPr>
              <w:lastRenderedPageBreak/>
              <w:t>Outcome assessment</w:t>
            </w:r>
          </w:p>
        </w:tc>
        <w:tc>
          <w:tcPr>
            <w:tcW w:w="3699" w:type="pct"/>
          </w:tcPr>
          <w:p w14:paraId="35760397" w14:textId="77777777" w:rsidR="003A549D" w:rsidRPr="003A549D" w:rsidRDefault="003A549D" w:rsidP="003A549D">
            <w:pPr>
              <w:spacing w:before="120" w:after="0"/>
              <w:rPr>
                <w:rFonts w:cs="Arial"/>
                <w:sz w:val="20"/>
              </w:rPr>
            </w:pPr>
            <w:r w:rsidRPr="003A549D">
              <w:rPr>
                <w:rFonts w:cs="Arial"/>
                <w:sz w:val="20"/>
              </w:rPr>
              <w:t>Seizure frequency and type (neurological assessment); developmental outcomes (categorised by reporting authors as normal, minor/moderate delay, severe delay).</w:t>
            </w:r>
          </w:p>
        </w:tc>
      </w:tr>
      <w:tr w:rsidR="003A549D" w:rsidRPr="003A549D" w14:paraId="79F2D30B" w14:textId="77777777" w:rsidTr="00F62C9B">
        <w:tc>
          <w:tcPr>
            <w:tcW w:w="1301" w:type="pct"/>
            <w:shd w:val="clear" w:color="auto" w:fill="F6FDE9"/>
          </w:tcPr>
          <w:p w14:paraId="1114B634" w14:textId="77777777" w:rsidR="003A549D" w:rsidRPr="003A549D" w:rsidRDefault="003A549D" w:rsidP="003A549D">
            <w:pPr>
              <w:spacing w:after="0"/>
              <w:rPr>
                <w:rFonts w:cs="Arial"/>
                <w:sz w:val="20"/>
              </w:rPr>
            </w:pPr>
            <w:r w:rsidRPr="003A549D">
              <w:rPr>
                <w:rFonts w:eastAsia="Calibri" w:cs="Arial"/>
                <w:b/>
                <w:bCs/>
                <w:sz w:val="20"/>
              </w:rPr>
              <w:t>Outcome assessment – objective testing</w:t>
            </w:r>
          </w:p>
        </w:tc>
        <w:tc>
          <w:tcPr>
            <w:tcW w:w="3699" w:type="pct"/>
          </w:tcPr>
          <w:p w14:paraId="629E9CD0" w14:textId="77777777" w:rsidR="003A549D" w:rsidRPr="003A549D" w:rsidRDefault="003A549D" w:rsidP="003A549D">
            <w:pPr>
              <w:spacing w:after="0"/>
              <w:rPr>
                <w:rFonts w:cs="Arial"/>
                <w:sz w:val="20"/>
              </w:rPr>
            </w:pPr>
            <w:r w:rsidRPr="003A549D">
              <w:rPr>
                <w:rFonts w:cs="Arial"/>
                <w:sz w:val="20"/>
              </w:rPr>
              <w:t>EEG; liver function tests (transaminases); liver biopsy (for cirrhosis confirmation in 2 cases); Kaplan–Meier survival analysis comparing PLP-treated patients vs untreated siblings.</w:t>
            </w:r>
          </w:p>
        </w:tc>
      </w:tr>
      <w:tr w:rsidR="003A549D" w:rsidRPr="003A549D" w14:paraId="2743B59A" w14:textId="77777777" w:rsidTr="00F62C9B">
        <w:tc>
          <w:tcPr>
            <w:tcW w:w="1301" w:type="pct"/>
            <w:shd w:val="clear" w:color="auto" w:fill="F6FDE9"/>
          </w:tcPr>
          <w:p w14:paraId="73973405" w14:textId="77777777" w:rsidR="003A549D" w:rsidRPr="003A549D" w:rsidRDefault="003A549D" w:rsidP="003A549D">
            <w:pPr>
              <w:spacing w:after="0"/>
              <w:rPr>
                <w:rFonts w:cs="Arial"/>
                <w:sz w:val="20"/>
              </w:rPr>
            </w:pPr>
            <w:r w:rsidRPr="003A549D">
              <w:rPr>
                <w:rFonts w:eastAsia="Calibri" w:cs="Arial"/>
                <w:b/>
                <w:bCs/>
                <w:sz w:val="20"/>
              </w:rPr>
              <w:t>Outcome assessment – tools used</w:t>
            </w:r>
          </w:p>
        </w:tc>
        <w:tc>
          <w:tcPr>
            <w:tcW w:w="3699" w:type="pct"/>
          </w:tcPr>
          <w:p w14:paraId="0AB39ABB" w14:textId="77777777" w:rsidR="003A549D" w:rsidRPr="003A549D" w:rsidRDefault="003A549D" w:rsidP="003A549D">
            <w:pPr>
              <w:spacing w:after="0"/>
              <w:rPr>
                <w:rFonts w:cs="Arial"/>
                <w:sz w:val="20"/>
              </w:rPr>
            </w:pPr>
            <w:r w:rsidRPr="003A549D">
              <w:rPr>
                <w:rFonts w:cs="Arial"/>
                <w:sz w:val="20"/>
              </w:rPr>
              <w:t>5-point seizure response scale (no response, complete cessation, improvement, stabilisation, worsening); CTCAE v5.0 for adverse event scoring; Kaplan–Meier/log-rank test for survival.</w:t>
            </w:r>
          </w:p>
        </w:tc>
      </w:tr>
      <w:tr w:rsidR="003A549D" w:rsidRPr="003A549D" w14:paraId="6C7F384D" w14:textId="77777777" w:rsidTr="00F62C9B">
        <w:tc>
          <w:tcPr>
            <w:tcW w:w="1301" w:type="pct"/>
            <w:shd w:val="clear" w:color="auto" w:fill="F6FDE9"/>
          </w:tcPr>
          <w:p w14:paraId="6B9A9B3A" w14:textId="77777777" w:rsidR="003A549D" w:rsidRPr="003A549D" w:rsidRDefault="003A549D" w:rsidP="003A549D">
            <w:pPr>
              <w:spacing w:after="0"/>
              <w:rPr>
                <w:rFonts w:cs="Arial"/>
                <w:sz w:val="20"/>
              </w:rPr>
            </w:pPr>
            <w:r w:rsidRPr="003A549D">
              <w:rPr>
                <w:rFonts w:eastAsia="Calibri" w:cs="Arial"/>
                <w:b/>
                <w:bCs/>
                <w:sz w:val="20"/>
              </w:rPr>
              <w:t>Response to withdrawal</w:t>
            </w:r>
          </w:p>
        </w:tc>
        <w:tc>
          <w:tcPr>
            <w:tcW w:w="3699" w:type="pct"/>
          </w:tcPr>
          <w:p w14:paraId="2541E873" w14:textId="77777777" w:rsidR="003A549D" w:rsidRPr="003A549D" w:rsidRDefault="003A549D" w:rsidP="003A549D">
            <w:pPr>
              <w:spacing w:after="0"/>
              <w:rPr>
                <w:rFonts w:cs="Arial"/>
                <w:sz w:val="20"/>
              </w:rPr>
            </w:pPr>
            <w:r w:rsidRPr="003A549D">
              <w:rPr>
                <w:rFonts w:cs="Arial"/>
                <w:sz w:val="20"/>
              </w:rPr>
              <w:t>Challenge–rechallenge documented in 7 patients: seizure recurrence following PLP withdrawal, with control regained on reintroduction. Seizure recurrence also noted at end of dosing intervals or after single missed doses.</w:t>
            </w:r>
          </w:p>
        </w:tc>
      </w:tr>
    </w:tbl>
    <w:p w14:paraId="679FC879" w14:textId="77777777" w:rsidR="003A549D" w:rsidRPr="003A549D" w:rsidRDefault="003A549D" w:rsidP="003A549D">
      <w:pPr>
        <w:rPr>
          <w:rFonts w:eastAsia="Times New Roman" w:cs="Times New Roman"/>
          <w:b/>
          <w:bCs/>
        </w:rPr>
      </w:pPr>
      <w:r w:rsidRPr="003A549D">
        <w:rPr>
          <w:rFonts w:eastAsia="Times New Roman" w:cs="Times New Roman"/>
          <w:b/>
          <w:bCs/>
        </w:rPr>
        <w:t>Results and Conclusions</w:t>
      </w:r>
    </w:p>
    <w:tbl>
      <w:tblPr>
        <w:tblStyle w:val="SLROption1"/>
        <w:tblW w:w="5000" w:type="pct"/>
        <w:tblLook w:val="0000" w:firstRow="0" w:lastRow="0" w:firstColumn="0" w:lastColumn="0" w:noHBand="0" w:noVBand="0"/>
      </w:tblPr>
      <w:tblGrid>
        <w:gridCol w:w="3628"/>
        <w:gridCol w:w="10316"/>
      </w:tblGrid>
      <w:tr w:rsidR="003A549D" w:rsidRPr="003A549D" w14:paraId="60D75914" w14:textId="77777777" w:rsidTr="00F62C9B">
        <w:trPr>
          <w:cantSplit/>
          <w:tblHeader/>
        </w:trPr>
        <w:tc>
          <w:tcPr>
            <w:tcW w:w="1301" w:type="pct"/>
            <w:shd w:val="clear" w:color="auto" w:fill="3C533C"/>
          </w:tcPr>
          <w:p w14:paraId="77DAB660"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1C937AB6"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2D60DA11" w14:textId="77777777" w:rsidTr="00F62C9B">
        <w:trPr>
          <w:cantSplit/>
        </w:trPr>
        <w:tc>
          <w:tcPr>
            <w:tcW w:w="1301" w:type="pct"/>
            <w:shd w:val="clear" w:color="auto" w:fill="F6FDE9"/>
          </w:tcPr>
          <w:p w14:paraId="4081409D" w14:textId="77777777" w:rsidR="003A549D" w:rsidRPr="003A549D" w:rsidRDefault="003A549D" w:rsidP="003A549D">
            <w:pPr>
              <w:spacing w:after="0"/>
              <w:rPr>
                <w:rFonts w:cs="Arial"/>
                <w:sz w:val="20"/>
              </w:rPr>
            </w:pPr>
            <w:r w:rsidRPr="003A549D">
              <w:rPr>
                <w:rFonts w:eastAsia="Calibri" w:cs="Arial"/>
                <w:b/>
                <w:bCs/>
                <w:sz w:val="20"/>
              </w:rPr>
              <w:t>Main results</w:t>
            </w:r>
          </w:p>
        </w:tc>
        <w:tc>
          <w:tcPr>
            <w:tcW w:w="3699" w:type="pct"/>
          </w:tcPr>
          <w:p w14:paraId="3998938A" w14:textId="3CD412B4" w:rsidR="003A549D" w:rsidRPr="003A549D" w:rsidRDefault="0015381F" w:rsidP="003A549D">
            <w:pPr>
              <w:spacing w:before="120" w:after="0"/>
              <w:rPr>
                <w:rFonts w:cs="Arial"/>
                <w:sz w:val="20"/>
              </w:rPr>
            </w:pPr>
            <w:r w:rsidRPr="0015381F">
              <w:rPr>
                <w:rFonts w:cs="Arial"/>
                <w:sz w:val="20"/>
              </w:rPr>
              <w:t>Most patients with pyridoxamine 5'-phosphate oxidase deficiency responded to pyridoxal 5'-phosphate treatment, with improved seizure control and survival compared with untreated siblings. Pyridoxine was usually ineffective. Some patients had normal neurodevelopment, but developmental delay remained common. Adverse effects occurred in about one-third of patients, mainly liver toxicity after long-term treatment.</w:t>
            </w:r>
          </w:p>
        </w:tc>
      </w:tr>
      <w:tr w:rsidR="003A549D" w:rsidRPr="003A549D" w14:paraId="7ED4060A" w14:textId="77777777" w:rsidTr="00F62C9B">
        <w:trPr>
          <w:cantSplit/>
        </w:trPr>
        <w:tc>
          <w:tcPr>
            <w:tcW w:w="1301" w:type="pct"/>
            <w:shd w:val="clear" w:color="auto" w:fill="F6FDE9"/>
          </w:tcPr>
          <w:p w14:paraId="779A9C35" w14:textId="77777777" w:rsidR="003A549D" w:rsidRPr="003A549D" w:rsidRDefault="003A549D" w:rsidP="003A549D">
            <w:pPr>
              <w:spacing w:after="0"/>
              <w:rPr>
                <w:rFonts w:cs="Arial"/>
                <w:sz w:val="20"/>
              </w:rPr>
            </w:pPr>
            <w:r w:rsidRPr="003A549D">
              <w:rPr>
                <w:rFonts w:eastAsia="Calibri" w:cs="Arial"/>
                <w:b/>
                <w:bCs/>
                <w:sz w:val="20"/>
              </w:rPr>
              <w:t>Authors' conclusions</w:t>
            </w:r>
          </w:p>
        </w:tc>
        <w:tc>
          <w:tcPr>
            <w:tcW w:w="3699" w:type="pct"/>
          </w:tcPr>
          <w:p w14:paraId="01679BE3" w14:textId="438D494A" w:rsidR="003A549D" w:rsidRPr="003A549D" w:rsidRDefault="0015381F" w:rsidP="003A549D">
            <w:pPr>
              <w:spacing w:after="0"/>
              <w:rPr>
                <w:rFonts w:cs="Arial"/>
                <w:sz w:val="20"/>
              </w:rPr>
            </w:pPr>
            <w:r w:rsidRPr="0015381F">
              <w:rPr>
                <w:rFonts w:cs="Arial"/>
                <w:sz w:val="20"/>
              </w:rPr>
              <w:t>Pyridoxal 5'-phosphate is the main effective treatment for most patients with this condition, but the safe dose range is narrow. Long-term or high-dose use may cause liver toxicity, so regular liver monitoring is recommended. The authors also noted the need for an authorised, high-quality pyridoxal 5'-phosphate medicine to improve dosing accuracy and safety monitoring.</w:t>
            </w:r>
          </w:p>
        </w:tc>
      </w:tr>
      <w:tr w:rsidR="003A549D" w:rsidRPr="003A549D" w14:paraId="54878FF5" w14:textId="77777777" w:rsidTr="00F62C9B">
        <w:trPr>
          <w:cantSplit/>
        </w:trPr>
        <w:tc>
          <w:tcPr>
            <w:tcW w:w="1301" w:type="pct"/>
            <w:shd w:val="clear" w:color="auto" w:fill="F6FDE9"/>
          </w:tcPr>
          <w:p w14:paraId="26F89EC7" w14:textId="77777777" w:rsidR="003A549D" w:rsidRPr="003A549D" w:rsidRDefault="003A549D" w:rsidP="003A549D">
            <w:pPr>
              <w:spacing w:after="0"/>
              <w:rPr>
                <w:rFonts w:cs="Arial"/>
                <w:sz w:val="20"/>
              </w:rPr>
            </w:pPr>
            <w:r w:rsidRPr="003A549D">
              <w:rPr>
                <w:rFonts w:eastAsia="Calibri" w:cs="Arial"/>
                <w:b/>
                <w:bCs/>
                <w:sz w:val="20"/>
              </w:rPr>
              <w:t>Authors' acknowledged limitations</w:t>
            </w:r>
          </w:p>
        </w:tc>
        <w:tc>
          <w:tcPr>
            <w:tcW w:w="3699" w:type="pct"/>
          </w:tcPr>
          <w:p w14:paraId="2AF001F3" w14:textId="4BE73327" w:rsidR="003A549D" w:rsidRPr="003A549D" w:rsidRDefault="0015381F" w:rsidP="003A549D">
            <w:pPr>
              <w:spacing w:after="0"/>
              <w:rPr>
                <w:rFonts w:cs="Arial"/>
                <w:sz w:val="20"/>
              </w:rPr>
            </w:pPr>
            <w:r w:rsidRPr="0015381F">
              <w:rPr>
                <w:rFonts w:cs="Arial"/>
                <w:sz w:val="20"/>
              </w:rPr>
              <w:t>The evidence was based on small case reports and case series, with variable risk of bias. Dosing, treatment timing and follow-up were incomplete for some patients. Developmental outcomes may have been affected by prior seizures and birth complications. Follow-up may have been too short to detect long-term adverse effects, and serious adverse events may have been underreported.</w:t>
            </w:r>
          </w:p>
        </w:tc>
      </w:tr>
    </w:tbl>
    <w:p w14:paraId="6FAA8B2F" w14:textId="77777777" w:rsidR="003A549D" w:rsidRPr="003A549D" w:rsidRDefault="003A549D" w:rsidP="003A549D">
      <w:pPr>
        <w:rPr>
          <w:rFonts w:eastAsia="Times New Roman" w:cs="Times New Roman"/>
          <w:b/>
          <w:bCs/>
        </w:rPr>
      </w:pPr>
      <w:r w:rsidRPr="003A549D">
        <w:rPr>
          <w:rFonts w:eastAsia="Times New Roman" w:cs="Times New Roman"/>
          <w:b/>
          <w:bCs/>
        </w:rPr>
        <w:t>Contextual information for the AU/NZ UL review</w:t>
      </w:r>
    </w:p>
    <w:tbl>
      <w:tblPr>
        <w:tblStyle w:val="SLROption1"/>
        <w:tblW w:w="5000" w:type="pct"/>
        <w:tblLook w:val="0000" w:firstRow="0" w:lastRow="0" w:firstColumn="0" w:lastColumn="0" w:noHBand="0" w:noVBand="0"/>
      </w:tblPr>
      <w:tblGrid>
        <w:gridCol w:w="3628"/>
        <w:gridCol w:w="10316"/>
      </w:tblGrid>
      <w:tr w:rsidR="003A549D" w:rsidRPr="003A549D" w14:paraId="49C142C4" w14:textId="77777777" w:rsidTr="00F62C9B">
        <w:tc>
          <w:tcPr>
            <w:tcW w:w="1301" w:type="pct"/>
            <w:shd w:val="clear" w:color="auto" w:fill="F6FDE9"/>
          </w:tcPr>
          <w:p w14:paraId="7CAA7A77" w14:textId="77777777" w:rsidR="003A549D" w:rsidRPr="003A549D" w:rsidRDefault="003A549D" w:rsidP="003A549D">
            <w:pPr>
              <w:spacing w:after="0"/>
              <w:rPr>
                <w:rFonts w:cs="Arial"/>
                <w:sz w:val="20"/>
              </w:rPr>
            </w:pPr>
            <w:r w:rsidRPr="003A549D">
              <w:rPr>
                <w:rFonts w:eastAsia="Calibri" w:cs="Arial"/>
                <w:b/>
                <w:bCs/>
                <w:sz w:val="20"/>
              </w:rPr>
              <w:t>Generalisability to AU/NZ</w:t>
            </w:r>
          </w:p>
        </w:tc>
        <w:tc>
          <w:tcPr>
            <w:tcW w:w="3699" w:type="pct"/>
          </w:tcPr>
          <w:p w14:paraId="332912C1" w14:textId="77777777" w:rsidR="003A549D" w:rsidRPr="003A549D" w:rsidRDefault="003A549D" w:rsidP="003A549D">
            <w:pPr>
              <w:spacing w:after="0"/>
              <w:rPr>
                <w:rFonts w:cs="Arial"/>
                <w:sz w:val="20"/>
              </w:rPr>
            </w:pPr>
            <w:r w:rsidRPr="003A549D">
              <w:rPr>
                <w:rFonts w:cs="Arial"/>
                <w:sz w:val="20"/>
              </w:rPr>
              <w:t>Relevant – provides mechanistic context. it demonstrates that high-dose PLP (the active form of B6) can cause hepatotoxicity, and that the dose-toxicity relationship for B6 vitamers in a therapeutic context is real and clinically significant.</w:t>
            </w:r>
          </w:p>
        </w:tc>
      </w:tr>
    </w:tbl>
    <w:p w14:paraId="162B2C14" w14:textId="77777777" w:rsidR="003A549D" w:rsidRPr="003A549D" w:rsidRDefault="003A549D" w:rsidP="003A549D"/>
    <w:p w14:paraId="1146AAB3" w14:textId="77777777" w:rsidR="003A549D" w:rsidRPr="003A549D" w:rsidRDefault="003A549D" w:rsidP="003A549D">
      <w:pPr>
        <w:keepNext/>
        <w:numPr>
          <w:ilvl w:val="2"/>
          <w:numId w:val="2"/>
        </w:numPr>
        <w:spacing w:before="240"/>
        <w:outlineLvl w:val="8"/>
        <w:rPr>
          <w:b/>
          <w:iCs/>
          <w:noProof/>
          <w:color w:val="667545" w:themeColor="accent3"/>
          <w:sz w:val="24"/>
        </w:rPr>
      </w:pPr>
      <w:r w:rsidRPr="003A549D">
        <w:rPr>
          <w:b/>
          <w:iCs/>
          <w:noProof/>
          <w:color w:val="667545" w:themeColor="accent3"/>
          <w:sz w:val="24"/>
        </w:rPr>
        <w:lastRenderedPageBreak/>
        <w:t>Sun et al. 2025</w:t>
      </w:r>
    </w:p>
    <w:p w14:paraId="5F0F47AD" w14:textId="77777777" w:rsidR="003A549D" w:rsidRPr="003A549D" w:rsidRDefault="003A549D" w:rsidP="003A549D">
      <w:pPr>
        <w:keepNext/>
        <w:spacing w:before="240"/>
        <w:ind w:left="1080" w:hanging="1080"/>
        <w:rPr>
          <w:rFonts w:eastAsia="Calibri" w:cs="Arial"/>
          <w:b/>
          <w:bCs/>
          <w:sz w:val="20"/>
        </w:rPr>
      </w:pPr>
      <w:r w:rsidRPr="003A549D">
        <w:rPr>
          <w:rFonts w:eastAsia="Calibri" w:cs="Arial"/>
          <w:b/>
          <w:bCs/>
          <w:sz w:val="20"/>
        </w:rPr>
        <w:t>Study identification and design</w:t>
      </w:r>
    </w:p>
    <w:tbl>
      <w:tblPr>
        <w:tblStyle w:val="SLROption1"/>
        <w:tblW w:w="5000" w:type="pct"/>
        <w:tblLook w:val="0000" w:firstRow="0" w:lastRow="0" w:firstColumn="0" w:lastColumn="0" w:noHBand="0" w:noVBand="0"/>
      </w:tblPr>
      <w:tblGrid>
        <w:gridCol w:w="3628"/>
        <w:gridCol w:w="10316"/>
      </w:tblGrid>
      <w:tr w:rsidR="003A549D" w:rsidRPr="003A549D" w14:paraId="4C29FBE4" w14:textId="77777777" w:rsidTr="00F62C9B">
        <w:tc>
          <w:tcPr>
            <w:tcW w:w="1301" w:type="pct"/>
            <w:shd w:val="clear" w:color="auto" w:fill="3C533C"/>
          </w:tcPr>
          <w:p w14:paraId="683DAFF5"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21942A5D"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0C5AAB26" w14:textId="77777777" w:rsidTr="00F62C9B">
        <w:tc>
          <w:tcPr>
            <w:tcW w:w="1301" w:type="pct"/>
            <w:shd w:val="clear" w:color="auto" w:fill="F6FDE9"/>
          </w:tcPr>
          <w:p w14:paraId="01B125F6" w14:textId="77777777" w:rsidR="003A549D" w:rsidRPr="003A549D" w:rsidRDefault="003A549D" w:rsidP="003A549D">
            <w:pPr>
              <w:spacing w:after="0"/>
              <w:rPr>
                <w:rFonts w:cs="Arial"/>
                <w:sz w:val="20"/>
              </w:rPr>
            </w:pPr>
            <w:r w:rsidRPr="003A549D">
              <w:rPr>
                <w:rFonts w:eastAsia="Calibri" w:cs="Arial"/>
                <w:b/>
                <w:bCs/>
                <w:sz w:val="20"/>
              </w:rPr>
              <w:t>Citation</w:t>
            </w:r>
          </w:p>
        </w:tc>
        <w:tc>
          <w:tcPr>
            <w:tcW w:w="3699" w:type="pct"/>
          </w:tcPr>
          <w:p w14:paraId="0409F077" w14:textId="77777777" w:rsidR="003A549D" w:rsidRPr="003A549D" w:rsidRDefault="003A549D" w:rsidP="003A549D">
            <w:pPr>
              <w:spacing w:after="0"/>
              <w:rPr>
                <w:rFonts w:cs="Arial"/>
                <w:sz w:val="20"/>
              </w:rPr>
            </w:pPr>
            <w:r w:rsidRPr="003A549D">
              <w:rPr>
                <w:rFonts w:cs="Arial"/>
                <w:sz w:val="20"/>
              </w:rPr>
              <w:t xml:space="preserve">Sun Y, Yu X, Teng Y, Sun Y. Toxic effects of excess vitamins A, B6, and folic acid on the nervous system. </w:t>
            </w:r>
            <w:r w:rsidRPr="003A549D">
              <w:rPr>
                <w:rFonts w:cs="Arial"/>
                <w:i/>
                <w:iCs/>
                <w:sz w:val="20"/>
              </w:rPr>
              <w:t>Behavioural Neurology.</w:t>
            </w:r>
            <w:r w:rsidRPr="003A549D">
              <w:rPr>
                <w:rFonts w:cs="Arial"/>
                <w:sz w:val="20"/>
              </w:rPr>
              <w:t xml:space="preserve"> 2025;2025:7888243. </w:t>
            </w:r>
            <w:hyperlink r:id="rId201" w:history="1">
              <w:r w:rsidRPr="003A549D">
                <w:rPr>
                  <w:rFonts w:cs="Arial"/>
                  <w:color w:val="4E5768"/>
                  <w:sz w:val="20"/>
                  <w:u w:val="single"/>
                </w:rPr>
                <w:t>https://doi.org/10.1155/bn/7888243</w:t>
              </w:r>
            </w:hyperlink>
          </w:p>
        </w:tc>
      </w:tr>
      <w:tr w:rsidR="003A549D" w:rsidRPr="003A549D" w14:paraId="0922B9A5" w14:textId="77777777" w:rsidTr="00F62C9B">
        <w:tc>
          <w:tcPr>
            <w:tcW w:w="1301" w:type="pct"/>
            <w:shd w:val="clear" w:color="auto" w:fill="F6FDE9"/>
          </w:tcPr>
          <w:p w14:paraId="0D6497D5" w14:textId="77777777" w:rsidR="003A549D" w:rsidRPr="003A549D" w:rsidRDefault="003A549D" w:rsidP="003A549D">
            <w:pPr>
              <w:spacing w:after="0"/>
              <w:rPr>
                <w:rFonts w:cs="Arial"/>
                <w:sz w:val="20"/>
              </w:rPr>
            </w:pPr>
            <w:r w:rsidRPr="003A549D">
              <w:rPr>
                <w:rFonts w:eastAsia="Calibri" w:cs="Arial"/>
                <w:b/>
                <w:bCs/>
                <w:sz w:val="20"/>
              </w:rPr>
              <w:t>Publication status</w:t>
            </w:r>
          </w:p>
        </w:tc>
        <w:tc>
          <w:tcPr>
            <w:tcW w:w="3699" w:type="pct"/>
          </w:tcPr>
          <w:p w14:paraId="67217217" w14:textId="77777777" w:rsidR="003A549D" w:rsidRPr="003A549D" w:rsidRDefault="003A549D" w:rsidP="003A549D">
            <w:pPr>
              <w:spacing w:after="0"/>
              <w:rPr>
                <w:rFonts w:cs="Arial"/>
                <w:sz w:val="20"/>
              </w:rPr>
            </w:pPr>
            <w:r w:rsidRPr="003A549D">
              <w:rPr>
                <w:rFonts w:cs="Arial"/>
                <w:sz w:val="20"/>
              </w:rPr>
              <w:t>Published, peer-reviewed open-access journal article (received January 2025, accepted July 2025)</w:t>
            </w:r>
          </w:p>
        </w:tc>
      </w:tr>
      <w:tr w:rsidR="003A549D" w:rsidRPr="003A549D" w14:paraId="3D1E43E8" w14:textId="77777777" w:rsidTr="00F62C9B">
        <w:tc>
          <w:tcPr>
            <w:tcW w:w="1301" w:type="pct"/>
            <w:shd w:val="clear" w:color="auto" w:fill="F6FDE9"/>
          </w:tcPr>
          <w:p w14:paraId="1438A7E4" w14:textId="77777777" w:rsidR="003A549D" w:rsidRPr="003A549D" w:rsidRDefault="003A549D" w:rsidP="003A549D">
            <w:pPr>
              <w:spacing w:after="0"/>
              <w:rPr>
                <w:rFonts w:cs="Arial"/>
                <w:sz w:val="20"/>
              </w:rPr>
            </w:pPr>
            <w:r w:rsidRPr="003A549D">
              <w:rPr>
                <w:rFonts w:eastAsia="Calibri" w:cs="Arial"/>
                <w:b/>
                <w:bCs/>
                <w:sz w:val="20"/>
              </w:rPr>
              <w:t>Country / setting</w:t>
            </w:r>
          </w:p>
        </w:tc>
        <w:tc>
          <w:tcPr>
            <w:tcW w:w="3699" w:type="pct"/>
          </w:tcPr>
          <w:p w14:paraId="5C8D8B1A" w14:textId="77777777" w:rsidR="003A549D" w:rsidRPr="002F3314" w:rsidRDefault="003A549D" w:rsidP="003A549D">
            <w:pPr>
              <w:spacing w:after="0"/>
              <w:rPr>
                <w:rFonts w:cs="Arial"/>
                <w:b/>
                <w:bCs/>
                <w:sz w:val="20"/>
              </w:rPr>
            </w:pPr>
            <w:r w:rsidRPr="002F3314">
              <w:rPr>
                <w:rFonts w:cs="Arial"/>
                <w:b/>
                <w:bCs/>
                <w:sz w:val="20"/>
              </w:rPr>
              <w:t>China (Qingdao); narrative review article, no primary data</w:t>
            </w:r>
          </w:p>
        </w:tc>
      </w:tr>
      <w:tr w:rsidR="003A549D" w:rsidRPr="003A549D" w14:paraId="61F3FA3B" w14:textId="77777777" w:rsidTr="00F62C9B">
        <w:tc>
          <w:tcPr>
            <w:tcW w:w="1301" w:type="pct"/>
            <w:shd w:val="clear" w:color="auto" w:fill="F6FDE9"/>
          </w:tcPr>
          <w:p w14:paraId="4D1FDE7E" w14:textId="77777777" w:rsidR="003A549D" w:rsidRPr="003A549D" w:rsidRDefault="003A549D" w:rsidP="003A549D">
            <w:pPr>
              <w:spacing w:after="0"/>
              <w:rPr>
                <w:rFonts w:cs="Arial"/>
                <w:sz w:val="20"/>
              </w:rPr>
            </w:pPr>
            <w:r w:rsidRPr="003A549D">
              <w:rPr>
                <w:rFonts w:eastAsia="Calibri" w:cs="Arial"/>
                <w:b/>
                <w:bCs/>
                <w:sz w:val="20"/>
              </w:rPr>
              <w:t>Study design</w:t>
            </w:r>
          </w:p>
        </w:tc>
        <w:tc>
          <w:tcPr>
            <w:tcW w:w="3699" w:type="pct"/>
          </w:tcPr>
          <w:p w14:paraId="5AA75EFD" w14:textId="77777777" w:rsidR="003A549D" w:rsidRPr="003A549D" w:rsidRDefault="003A549D" w:rsidP="003A549D">
            <w:pPr>
              <w:spacing w:after="0"/>
              <w:rPr>
                <w:rFonts w:cs="Arial"/>
                <w:sz w:val="20"/>
              </w:rPr>
            </w:pPr>
            <w:r w:rsidRPr="003A549D">
              <w:rPr>
                <w:rFonts w:cs="Arial"/>
                <w:sz w:val="20"/>
              </w:rPr>
              <w:t>Narrative review of the toxic neurological effects of excess vitamins A, B6, and folic acid. The B6 section summarises mechanistic hypotheses and clinical case literature</w:t>
            </w:r>
          </w:p>
        </w:tc>
      </w:tr>
      <w:tr w:rsidR="003A549D" w:rsidRPr="003A549D" w14:paraId="4D63B8F5" w14:textId="77777777" w:rsidTr="00F62C9B">
        <w:tc>
          <w:tcPr>
            <w:tcW w:w="1301" w:type="pct"/>
            <w:shd w:val="clear" w:color="auto" w:fill="F6FDE9"/>
          </w:tcPr>
          <w:p w14:paraId="67D39FF8" w14:textId="77777777" w:rsidR="003A549D" w:rsidRPr="003A549D" w:rsidRDefault="003A549D" w:rsidP="003A549D">
            <w:pPr>
              <w:spacing w:after="0"/>
              <w:rPr>
                <w:rFonts w:cs="Arial"/>
                <w:sz w:val="20"/>
              </w:rPr>
            </w:pPr>
            <w:r w:rsidRPr="003A549D">
              <w:rPr>
                <w:rFonts w:eastAsia="Calibri" w:cs="Arial"/>
                <w:b/>
                <w:bCs/>
                <w:sz w:val="20"/>
              </w:rPr>
              <w:t>Funding / conflicts of interest</w:t>
            </w:r>
          </w:p>
        </w:tc>
        <w:tc>
          <w:tcPr>
            <w:tcW w:w="3699" w:type="pct"/>
          </w:tcPr>
          <w:p w14:paraId="3CACD492" w14:textId="77777777" w:rsidR="003A549D" w:rsidRPr="003A549D" w:rsidRDefault="003A549D" w:rsidP="003A549D">
            <w:pPr>
              <w:spacing w:after="0"/>
              <w:rPr>
                <w:rFonts w:cs="Arial"/>
                <w:sz w:val="20"/>
              </w:rPr>
            </w:pPr>
            <w:r w:rsidRPr="003A549D">
              <w:rPr>
                <w:rFonts w:cs="Arial"/>
                <w:sz w:val="20"/>
              </w:rPr>
              <w:t xml:space="preserve">None. </w:t>
            </w:r>
          </w:p>
        </w:tc>
      </w:tr>
    </w:tbl>
    <w:p w14:paraId="05BB79A1" w14:textId="77777777" w:rsidR="003A549D" w:rsidRPr="003A549D" w:rsidRDefault="003A549D" w:rsidP="003A549D">
      <w:pPr>
        <w:rPr>
          <w:rFonts w:eastAsia="Times New Roman" w:cs="Times New Roman"/>
        </w:rPr>
      </w:pPr>
      <w:r w:rsidRPr="003A549D">
        <w:rPr>
          <w:rFonts w:eastAsia="Calibri" w:cs="Arial"/>
          <w:b/>
          <w:bCs/>
          <w:sz w:val="20"/>
        </w:rPr>
        <w:t>Population</w:t>
      </w:r>
    </w:p>
    <w:tbl>
      <w:tblPr>
        <w:tblStyle w:val="SLROption1"/>
        <w:tblW w:w="5000" w:type="pct"/>
        <w:tblLook w:val="0000" w:firstRow="0" w:lastRow="0" w:firstColumn="0" w:lastColumn="0" w:noHBand="0" w:noVBand="0"/>
      </w:tblPr>
      <w:tblGrid>
        <w:gridCol w:w="3628"/>
        <w:gridCol w:w="10316"/>
      </w:tblGrid>
      <w:tr w:rsidR="003A549D" w:rsidRPr="003A549D" w14:paraId="498D353D" w14:textId="77777777" w:rsidTr="00F62C9B">
        <w:tc>
          <w:tcPr>
            <w:tcW w:w="1301" w:type="pct"/>
            <w:shd w:val="clear" w:color="auto" w:fill="3C533C"/>
          </w:tcPr>
          <w:p w14:paraId="0435DB2D"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2125FDFA"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4AAFE7F0" w14:textId="77777777" w:rsidTr="00F62C9B">
        <w:tc>
          <w:tcPr>
            <w:tcW w:w="1301" w:type="pct"/>
            <w:shd w:val="clear" w:color="auto" w:fill="F6FDE9"/>
          </w:tcPr>
          <w:p w14:paraId="494041B2" w14:textId="77777777" w:rsidR="003A549D" w:rsidRPr="003A549D" w:rsidRDefault="003A549D" w:rsidP="003A549D">
            <w:pPr>
              <w:spacing w:after="0"/>
              <w:rPr>
                <w:rFonts w:cs="Arial"/>
                <w:sz w:val="20"/>
              </w:rPr>
            </w:pPr>
            <w:r w:rsidRPr="003A549D">
              <w:rPr>
                <w:rFonts w:eastAsia="Calibri" w:cs="Arial"/>
                <w:b/>
                <w:bCs/>
                <w:sz w:val="20"/>
              </w:rPr>
              <w:t>Sample size</w:t>
            </w:r>
          </w:p>
        </w:tc>
        <w:tc>
          <w:tcPr>
            <w:tcW w:w="3699" w:type="pct"/>
          </w:tcPr>
          <w:p w14:paraId="41253004" w14:textId="77777777" w:rsidR="003A549D" w:rsidRPr="003A549D" w:rsidRDefault="003A549D" w:rsidP="003A549D">
            <w:pPr>
              <w:spacing w:after="0"/>
              <w:rPr>
                <w:rFonts w:cs="Arial"/>
                <w:sz w:val="20"/>
              </w:rPr>
            </w:pPr>
            <w:r w:rsidRPr="003A549D">
              <w:rPr>
                <w:rFonts w:cs="Arial"/>
                <w:sz w:val="20"/>
              </w:rPr>
              <w:t>Not applicable — review article. Draws on multiple published case reports and studies (no systematic search reported).</w:t>
            </w:r>
          </w:p>
        </w:tc>
      </w:tr>
      <w:tr w:rsidR="003A549D" w:rsidRPr="003A549D" w14:paraId="5C7BB0A3" w14:textId="77777777" w:rsidTr="00F62C9B">
        <w:tc>
          <w:tcPr>
            <w:tcW w:w="1301" w:type="pct"/>
            <w:shd w:val="clear" w:color="auto" w:fill="F6FDE9"/>
          </w:tcPr>
          <w:p w14:paraId="5961BDE6" w14:textId="77777777" w:rsidR="003A549D" w:rsidRPr="003A549D" w:rsidRDefault="003A549D" w:rsidP="003A549D">
            <w:pPr>
              <w:spacing w:after="0"/>
              <w:rPr>
                <w:rFonts w:cs="Arial"/>
                <w:sz w:val="20"/>
              </w:rPr>
            </w:pPr>
            <w:r w:rsidRPr="003A549D">
              <w:rPr>
                <w:rFonts w:eastAsia="Calibri" w:cs="Arial"/>
                <w:b/>
                <w:bCs/>
                <w:sz w:val="20"/>
              </w:rPr>
              <w:t>Patient (test animal) characteristics</w:t>
            </w:r>
          </w:p>
        </w:tc>
        <w:tc>
          <w:tcPr>
            <w:tcW w:w="3699" w:type="pct"/>
          </w:tcPr>
          <w:p w14:paraId="15BF06FC" w14:textId="77777777" w:rsidR="003A549D" w:rsidRPr="003A549D" w:rsidRDefault="003A549D" w:rsidP="003A549D">
            <w:pPr>
              <w:spacing w:before="120" w:after="0"/>
              <w:rPr>
                <w:rFonts w:cs="Arial"/>
                <w:sz w:val="20"/>
              </w:rPr>
            </w:pPr>
            <w:r w:rsidRPr="003A549D">
              <w:rPr>
                <w:rFonts w:cs="Arial"/>
                <w:sz w:val="20"/>
              </w:rPr>
              <w:t>Various - review covers general healthy adults, pregnant/breastfeeding women, neonates, elderly, and animal models. Specific cases cited include neonates, a 54-year-old male, a 92-year-old female, and an adult multivitamin user.</w:t>
            </w:r>
          </w:p>
        </w:tc>
      </w:tr>
      <w:tr w:rsidR="003A549D" w:rsidRPr="003A549D" w14:paraId="08AAB426" w14:textId="77777777" w:rsidTr="00F62C9B">
        <w:tc>
          <w:tcPr>
            <w:tcW w:w="1301" w:type="pct"/>
            <w:shd w:val="clear" w:color="auto" w:fill="F6FDE9"/>
          </w:tcPr>
          <w:p w14:paraId="103434CF" w14:textId="77777777" w:rsidR="003A549D" w:rsidRPr="003A549D" w:rsidRDefault="003A549D" w:rsidP="003A549D">
            <w:pPr>
              <w:spacing w:after="0"/>
              <w:rPr>
                <w:rFonts w:cs="Arial"/>
                <w:sz w:val="20"/>
              </w:rPr>
            </w:pPr>
            <w:r w:rsidRPr="003A549D">
              <w:rPr>
                <w:rFonts w:eastAsia="Calibri" w:cs="Arial"/>
                <w:b/>
                <w:bCs/>
                <w:sz w:val="20"/>
              </w:rPr>
              <w:t>Inclusion/exclusion of alternative causes</w:t>
            </w:r>
          </w:p>
        </w:tc>
        <w:tc>
          <w:tcPr>
            <w:tcW w:w="3699" w:type="pct"/>
          </w:tcPr>
          <w:p w14:paraId="3DDAA9A3" w14:textId="77777777" w:rsidR="003A549D" w:rsidRPr="003A549D" w:rsidRDefault="003A549D" w:rsidP="003A549D">
            <w:pPr>
              <w:spacing w:after="0"/>
              <w:rPr>
                <w:rFonts w:cs="Arial"/>
                <w:sz w:val="20"/>
              </w:rPr>
            </w:pPr>
            <w:r w:rsidRPr="003A549D">
              <w:rPr>
                <w:rFonts w:cs="Arial"/>
                <w:sz w:val="20"/>
              </w:rPr>
              <w:t>Not applicable - narrative review with no formal inclusion/exclusion criteria reported.</w:t>
            </w:r>
          </w:p>
        </w:tc>
      </w:tr>
    </w:tbl>
    <w:p w14:paraId="17CDD8CB" w14:textId="77777777" w:rsidR="003A549D" w:rsidRPr="003A549D" w:rsidRDefault="003A549D" w:rsidP="003A549D">
      <w:pPr>
        <w:rPr>
          <w:rFonts w:eastAsia="Times New Roman" w:cs="Times New Roman"/>
          <w:b/>
          <w:bCs/>
        </w:rPr>
      </w:pPr>
      <w:r w:rsidRPr="003A549D">
        <w:rPr>
          <w:rFonts w:eastAsia="Times New Roman" w:cs="Times New Roman"/>
          <w:b/>
          <w:bCs/>
        </w:rPr>
        <w:t>Exposure</w:t>
      </w:r>
    </w:p>
    <w:tbl>
      <w:tblPr>
        <w:tblStyle w:val="SLROption1"/>
        <w:tblW w:w="5000" w:type="pct"/>
        <w:tblLook w:val="0000" w:firstRow="0" w:lastRow="0" w:firstColumn="0" w:lastColumn="0" w:noHBand="0" w:noVBand="0"/>
      </w:tblPr>
      <w:tblGrid>
        <w:gridCol w:w="3628"/>
        <w:gridCol w:w="10316"/>
      </w:tblGrid>
      <w:tr w:rsidR="003A549D" w:rsidRPr="003A549D" w14:paraId="037F43FC" w14:textId="77777777" w:rsidTr="00F62C9B">
        <w:trPr>
          <w:cantSplit/>
          <w:tblHeader/>
        </w:trPr>
        <w:tc>
          <w:tcPr>
            <w:tcW w:w="1301" w:type="pct"/>
            <w:shd w:val="clear" w:color="auto" w:fill="3C533C"/>
          </w:tcPr>
          <w:p w14:paraId="4F02A60F"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33A95DC6"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2AA59040" w14:textId="77777777" w:rsidTr="00F62C9B">
        <w:tc>
          <w:tcPr>
            <w:tcW w:w="1301" w:type="pct"/>
            <w:shd w:val="clear" w:color="auto" w:fill="F6FDE9"/>
          </w:tcPr>
          <w:p w14:paraId="445FBFDC" w14:textId="77777777" w:rsidR="003A549D" w:rsidRPr="003A549D" w:rsidRDefault="003A549D" w:rsidP="003A549D">
            <w:pPr>
              <w:spacing w:after="0"/>
              <w:rPr>
                <w:rFonts w:cs="Arial"/>
                <w:sz w:val="20"/>
              </w:rPr>
            </w:pPr>
            <w:r w:rsidRPr="003A549D">
              <w:rPr>
                <w:rFonts w:eastAsia="Calibri" w:cs="Arial"/>
                <w:b/>
                <w:bCs/>
                <w:sz w:val="20"/>
              </w:rPr>
              <w:t>Exposure characterisation – source</w:t>
            </w:r>
          </w:p>
        </w:tc>
        <w:tc>
          <w:tcPr>
            <w:tcW w:w="3699" w:type="pct"/>
          </w:tcPr>
          <w:p w14:paraId="2850464C" w14:textId="77777777" w:rsidR="003A549D" w:rsidRPr="003A549D" w:rsidRDefault="003A549D" w:rsidP="003A549D">
            <w:pPr>
              <w:spacing w:after="0"/>
              <w:rPr>
                <w:rFonts w:cs="Arial"/>
                <w:sz w:val="20"/>
              </w:rPr>
            </w:pPr>
            <w:r w:rsidRPr="003A549D">
              <w:rPr>
                <w:rFonts w:cs="Arial"/>
                <w:sz w:val="20"/>
              </w:rPr>
              <w:t>Vitamin B6 (predominantly pyridoxine/PN) via dietary supplements; also food sources. Review notes pyridoxine (PN) is the inactive form most common in supplements.</w:t>
            </w:r>
          </w:p>
        </w:tc>
      </w:tr>
      <w:tr w:rsidR="003A549D" w:rsidRPr="003A549D" w14:paraId="1FEEB33F" w14:textId="77777777" w:rsidTr="00F62C9B">
        <w:tc>
          <w:tcPr>
            <w:tcW w:w="1301" w:type="pct"/>
            <w:shd w:val="clear" w:color="auto" w:fill="F6FDE9"/>
          </w:tcPr>
          <w:p w14:paraId="2C9BBB65" w14:textId="77777777" w:rsidR="003A549D" w:rsidRPr="003A549D" w:rsidRDefault="003A549D" w:rsidP="003A549D">
            <w:pPr>
              <w:spacing w:after="0"/>
              <w:rPr>
                <w:rFonts w:cs="Arial"/>
                <w:sz w:val="20"/>
              </w:rPr>
            </w:pPr>
            <w:r w:rsidRPr="003A549D">
              <w:rPr>
                <w:rFonts w:eastAsia="Calibri" w:cs="Arial"/>
                <w:b/>
                <w:bCs/>
                <w:sz w:val="20"/>
              </w:rPr>
              <w:t>Exposure characterisation – dose</w:t>
            </w:r>
          </w:p>
        </w:tc>
        <w:tc>
          <w:tcPr>
            <w:tcW w:w="3699" w:type="pct"/>
          </w:tcPr>
          <w:p w14:paraId="6D70EADB" w14:textId="77777777" w:rsidR="003A549D" w:rsidRPr="003A549D" w:rsidRDefault="003A549D" w:rsidP="003A549D">
            <w:pPr>
              <w:spacing w:before="120" w:after="0"/>
              <w:rPr>
                <w:rFonts w:cs="Arial"/>
                <w:sz w:val="20"/>
              </w:rPr>
            </w:pPr>
            <w:r w:rsidRPr="003A549D">
              <w:rPr>
                <w:rFonts w:cs="Arial"/>
                <w:sz w:val="20"/>
              </w:rPr>
              <w:t>Range discussed: as low as 6 mg/day (single case report of neuropathy after 10 years); IoM UL 100 mg/day; EFSA UL 12 mg/day (2023). Higher doses (&gt;1000 mg/day) historically associated with sensory neuropathy; 960 mg/day associated with sensorimotor neuropathy.</w:t>
            </w:r>
          </w:p>
        </w:tc>
      </w:tr>
      <w:tr w:rsidR="003A549D" w:rsidRPr="003A549D" w14:paraId="0FE7284D" w14:textId="77777777" w:rsidTr="00F62C9B">
        <w:tc>
          <w:tcPr>
            <w:tcW w:w="1301" w:type="pct"/>
            <w:shd w:val="clear" w:color="auto" w:fill="F6FDE9"/>
          </w:tcPr>
          <w:p w14:paraId="235F29B7" w14:textId="77777777" w:rsidR="003A549D" w:rsidRPr="003A549D" w:rsidRDefault="003A549D" w:rsidP="003A549D">
            <w:pPr>
              <w:spacing w:after="0"/>
              <w:rPr>
                <w:rFonts w:cs="Arial"/>
                <w:sz w:val="20"/>
              </w:rPr>
            </w:pPr>
            <w:r w:rsidRPr="003A549D">
              <w:rPr>
                <w:rFonts w:eastAsia="Calibri" w:cs="Arial"/>
                <w:b/>
                <w:bCs/>
                <w:sz w:val="20"/>
              </w:rPr>
              <w:t>Biomarker of exposure</w:t>
            </w:r>
          </w:p>
        </w:tc>
        <w:tc>
          <w:tcPr>
            <w:tcW w:w="3699" w:type="pct"/>
          </w:tcPr>
          <w:p w14:paraId="14D0234E" w14:textId="77777777" w:rsidR="003A549D" w:rsidRPr="003A549D" w:rsidRDefault="003A549D" w:rsidP="003A549D">
            <w:pPr>
              <w:spacing w:after="0"/>
              <w:rPr>
                <w:rFonts w:cs="Arial"/>
                <w:sz w:val="20"/>
              </w:rPr>
            </w:pPr>
            <w:r w:rsidRPr="003A549D">
              <w:rPr>
                <w:rFonts w:cs="Arial"/>
                <w:sz w:val="20"/>
              </w:rPr>
              <w:t>Not discussed for B6 specifically.</w:t>
            </w:r>
          </w:p>
        </w:tc>
      </w:tr>
      <w:tr w:rsidR="003A549D" w:rsidRPr="003A549D" w14:paraId="5DBBA629" w14:textId="77777777" w:rsidTr="00F62C9B">
        <w:tc>
          <w:tcPr>
            <w:tcW w:w="1301" w:type="pct"/>
            <w:shd w:val="clear" w:color="auto" w:fill="F6FDE9"/>
          </w:tcPr>
          <w:p w14:paraId="3201D7F5" w14:textId="77777777" w:rsidR="003A549D" w:rsidRPr="003A549D" w:rsidRDefault="003A549D" w:rsidP="003A549D">
            <w:pPr>
              <w:spacing w:after="0"/>
              <w:rPr>
                <w:rFonts w:cs="Arial"/>
                <w:sz w:val="20"/>
              </w:rPr>
            </w:pPr>
            <w:r w:rsidRPr="003A549D">
              <w:rPr>
                <w:rFonts w:eastAsia="Calibri" w:cs="Arial"/>
                <w:b/>
                <w:bCs/>
                <w:sz w:val="20"/>
              </w:rPr>
              <w:lastRenderedPageBreak/>
              <w:t>Duration of exposure</w:t>
            </w:r>
          </w:p>
        </w:tc>
        <w:tc>
          <w:tcPr>
            <w:tcW w:w="3699" w:type="pct"/>
          </w:tcPr>
          <w:p w14:paraId="0BC69E82" w14:textId="77777777" w:rsidR="003A549D" w:rsidRPr="003A549D" w:rsidRDefault="003A549D" w:rsidP="003A549D">
            <w:pPr>
              <w:spacing w:after="0"/>
              <w:rPr>
                <w:rFonts w:cs="Arial"/>
                <w:sz w:val="20"/>
              </w:rPr>
            </w:pPr>
            <w:r w:rsidRPr="003A549D">
              <w:rPr>
                <w:rFonts w:cs="Arial"/>
                <w:sz w:val="20"/>
              </w:rPr>
              <w:t>Ranges from long-term chronic use (10 years at low dose) to shorter-term high-dose exposure; duration noted as a modifying factor alongside dose.</w:t>
            </w:r>
          </w:p>
        </w:tc>
      </w:tr>
    </w:tbl>
    <w:p w14:paraId="02E250EF" w14:textId="77777777" w:rsidR="003A549D" w:rsidRPr="003A549D" w:rsidRDefault="003A549D" w:rsidP="003A549D">
      <w:pPr>
        <w:rPr>
          <w:rFonts w:eastAsia="Times New Roman" w:cs="Times New Roman"/>
          <w:b/>
          <w:bCs/>
        </w:rPr>
      </w:pPr>
      <w:r w:rsidRPr="003A549D">
        <w:rPr>
          <w:rFonts w:eastAsia="Times New Roman" w:cs="Times New Roman"/>
          <w:b/>
          <w:bCs/>
        </w:rPr>
        <w:t>Outcomes</w:t>
      </w:r>
    </w:p>
    <w:tbl>
      <w:tblPr>
        <w:tblStyle w:val="SLROption1"/>
        <w:tblW w:w="5000" w:type="pct"/>
        <w:tblLook w:val="0000" w:firstRow="0" w:lastRow="0" w:firstColumn="0" w:lastColumn="0" w:noHBand="0" w:noVBand="0"/>
      </w:tblPr>
      <w:tblGrid>
        <w:gridCol w:w="3628"/>
        <w:gridCol w:w="10316"/>
      </w:tblGrid>
      <w:tr w:rsidR="003A549D" w:rsidRPr="003A549D" w14:paraId="78313DA0" w14:textId="77777777" w:rsidTr="00F62C9B">
        <w:tc>
          <w:tcPr>
            <w:tcW w:w="1301" w:type="pct"/>
            <w:shd w:val="clear" w:color="auto" w:fill="3C533C"/>
          </w:tcPr>
          <w:p w14:paraId="3F4792BA"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37D4C25D"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61053D3E" w14:textId="77777777" w:rsidTr="00F62C9B">
        <w:tc>
          <w:tcPr>
            <w:tcW w:w="1301" w:type="pct"/>
            <w:shd w:val="clear" w:color="auto" w:fill="F6FDE9"/>
          </w:tcPr>
          <w:p w14:paraId="14162D25" w14:textId="77777777" w:rsidR="003A549D" w:rsidRPr="003A549D" w:rsidRDefault="003A549D" w:rsidP="003A549D">
            <w:pPr>
              <w:spacing w:after="0"/>
              <w:rPr>
                <w:rFonts w:cs="Arial"/>
                <w:sz w:val="20"/>
              </w:rPr>
            </w:pPr>
            <w:r w:rsidRPr="003A549D">
              <w:rPr>
                <w:rFonts w:eastAsia="Calibri" w:cs="Arial"/>
                <w:b/>
                <w:bCs/>
                <w:sz w:val="20"/>
              </w:rPr>
              <w:t>Primary outcome</w:t>
            </w:r>
          </w:p>
        </w:tc>
        <w:tc>
          <w:tcPr>
            <w:tcW w:w="3699" w:type="pct"/>
          </w:tcPr>
          <w:p w14:paraId="31CEAE66" w14:textId="77777777" w:rsidR="003A549D" w:rsidRPr="003A549D" w:rsidRDefault="003A549D" w:rsidP="003A549D">
            <w:pPr>
              <w:spacing w:after="0"/>
              <w:rPr>
                <w:rFonts w:cs="Arial"/>
                <w:sz w:val="20"/>
              </w:rPr>
            </w:pPr>
            <w:r w:rsidRPr="003A549D">
              <w:rPr>
                <w:rFonts w:cs="Arial"/>
                <w:sz w:val="20"/>
              </w:rPr>
              <w:t>Neurological adverse effects of excessive vitamin B6 intake, particularly peripheral neuropathy.</w:t>
            </w:r>
          </w:p>
        </w:tc>
      </w:tr>
      <w:tr w:rsidR="003A549D" w:rsidRPr="003A549D" w14:paraId="287A4541" w14:textId="77777777" w:rsidTr="00F62C9B">
        <w:tc>
          <w:tcPr>
            <w:tcW w:w="1301" w:type="pct"/>
            <w:shd w:val="clear" w:color="auto" w:fill="F6FDE9"/>
          </w:tcPr>
          <w:p w14:paraId="210B6A96" w14:textId="77777777" w:rsidR="003A549D" w:rsidRPr="003A549D" w:rsidRDefault="003A549D" w:rsidP="003A549D">
            <w:pPr>
              <w:spacing w:after="0"/>
              <w:rPr>
                <w:rFonts w:cs="Arial"/>
                <w:sz w:val="20"/>
              </w:rPr>
            </w:pPr>
            <w:r w:rsidRPr="003A549D">
              <w:rPr>
                <w:rFonts w:eastAsia="Calibri" w:cs="Arial"/>
                <w:b/>
                <w:bCs/>
                <w:sz w:val="20"/>
              </w:rPr>
              <w:t>Outcome assessment</w:t>
            </w:r>
          </w:p>
        </w:tc>
        <w:tc>
          <w:tcPr>
            <w:tcW w:w="3699" w:type="pct"/>
          </w:tcPr>
          <w:p w14:paraId="4E04C805" w14:textId="77777777" w:rsidR="003A549D" w:rsidRPr="003A549D" w:rsidRDefault="003A549D" w:rsidP="003A549D">
            <w:pPr>
              <w:spacing w:before="120" w:after="0"/>
              <w:rPr>
                <w:rFonts w:cs="Arial"/>
                <w:sz w:val="20"/>
              </w:rPr>
            </w:pPr>
            <w:r w:rsidRPr="003A549D">
              <w:rPr>
                <w:rFonts w:cs="Arial"/>
                <w:sz w:val="20"/>
              </w:rPr>
              <w:t>Sensory neuropathy (ataxia, sensory dysfunction, stocking-glove paresthesia); motor neuropathy (first reported 1993); gait abnormalities; tremor in neonate; sensory ganglionopathy; autonomic neuropathy; demyelinating features.</w:t>
            </w:r>
          </w:p>
        </w:tc>
      </w:tr>
      <w:tr w:rsidR="003A549D" w:rsidRPr="003A549D" w14:paraId="3FA2CDB0" w14:textId="77777777" w:rsidTr="00F62C9B">
        <w:tc>
          <w:tcPr>
            <w:tcW w:w="1301" w:type="pct"/>
            <w:shd w:val="clear" w:color="auto" w:fill="F6FDE9"/>
          </w:tcPr>
          <w:p w14:paraId="75BF957E" w14:textId="77777777" w:rsidR="003A549D" w:rsidRPr="003A549D" w:rsidRDefault="003A549D" w:rsidP="003A549D">
            <w:pPr>
              <w:spacing w:after="0"/>
              <w:rPr>
                <w:rFonts w:cs="Arial"/>
                <w:sz w:val="20"/>
              </w:rPr>
            </w:pPr>
            <w:r w:rsidRPr="003A549D">
              <w:rPr>
                <w:rFonts w:eastAsia="Calibri" w:cs="Arial"/>
                <w:b/>
                <w:bCs/>
                <w:sz w:val="20"/>
              </w:rPr>
              <w:t>Outcome assessment – objective testing</w:t>
            </w:r>
          </w:p>
        </w:tc>
        <w:tc>
          <w:tcPr>
            <w:tcW w:w="3699" w:type="pct"/>
          </w:tcPr>
          <w:p w14:paraId="51D6FC88" w14:textId="77777777" w:rsidR="003A549D" w:rsidRPr="003A549D" w:rsidRDefault="003A549D" w:rsidP="003A549D">
            <w:pPr>
              <w:spacing w:after="0"/>
              <w:rPr>
                <w:rFonts w:cs="Arial"/>
                <w:sz w:val="20"/>
              </w:rPr>
            </w:pPr>
            <w:r w:rsidRPr="003A549D">
              <w:rPr>
                <w:rFonts w:cs="Arial"/>
                <w:sz w:val="20"/>
              </w:rPr>
              <w:t>Electrophysiologic studies cited (nerve conduction) in individual cases; no systematic objective testing across the review.</w:t>
            </w:r>
          </w:p>
        </w:tc>
      </w:tr>
      <w:tr w:rsidR="003A549D" w:rsidRPr="003A549D" w14:paraId="08944946" w14:textId="77777777" w:rsidTr="00F62C9B">
        <w:tc>
          <w:tcPr>
            <w:tcW w:w="1301" w:type="pct"/>
            <w:shd w:val="clear" w:color="auto" w:fill="F6FDE9"/>
          </w:tcPr>
          <w:p w14:paraId="63B9C26F" w14:textId="77777777" w:rsidR="003A549D" w:rsidRPr="003A549D" w:rsidRDefault="003A549D" w:rsidP="003A549D">
            <w:pPr>
              <w:spacing w:after="0"/>
              <w:rPr>
                <w:rFonts w:cs="Arial"/>
                <w:sz w:val="20"/>
              </w:rPr>
            </w:pPr>
            <w:r w:rsidRPr="003A549D">
              <w:rPr>
                <w:rFonts w:eastAsia="Calibri" w:cs="Arial"/>
                <w:b/>
                <w:bCs/>
                <w:sz w:val="20"/>
              </w:rPr>
              <w:t>Outcome assessment – tools used</w:t>
            </w:r>
          </w:p>
        </w:tc>
        <w:tc>
          <w:tcPr>
            <w:tcW w:w="3699" w:type="pct"/>
          </w:tcPr>
          <w:p w14:paraId="686512EF" w14:textId="77777777" w:rsidR="003A549D" w:rsidRPr="003A549D" w:rsidRDefault="003A549D" w:rsidP="003A549D">
            <w:pPr>
              <w:spacing w:after="0"/>
              <w:rPr>
                <w:rFonts w:cs="Arial"/>
                <w:sz w:val="20"/>
              </w:rPr>
            </w:pPr>
            <w:r w:rsidRPr="003A549D">
              <w:rPr>
                <w:rFonts w:cs="Arial"/>
                <w:sz w:val="20"/>
              </w:rPr>
              <w:t>Narrative synthesis of case reports and existing literature; no formal rating tools applied.</w:t>
            </w:r>
          </w:p>
        </w:tc>
      </w:tr>
      <w:tr w:rsidR="003A549D" w:rsidRPr="003A549D" w14:paraId="354F3AAF" w14:textId="77777777" w:rsidTr="00F62C9B">
        <w:tc>
          <w:tcPr>
            <w:tcW w:w="1301" w:type="pct"/>
            <w:shd w:val="clear" w:color="auto" w:fill="F6FDE9"/>
          </w:tcPr>
          <w:p w14:paraId="3BCBABDE" w14:textId="77777777" w:rsidR="003A549D" w:rsidRPr="003A549D" w:rsidRDefault="003A549D" w:rsidP="003A549D">
            <w:pPr>
              <w:spacing w:after="0"/>
              <w:rPr>
                <w:rFonts w:cs="Arial"/>
                <w:sz w:val="20"/>
              </w:rPr>
            </w:pPr>
            <w:r w:rsidRPr="003A549D">
              <w:rPr>
                <w:rFonts w:eastAsia="Calibri" w:cs="Arial"/>
                <w:b/>
                <w:bCs/>
                <w:sz w:val="20"/>
              </w:rPr>
              <w:t>Response to withdrawal</w:t>
            </w:r>
          </w:p>
        </w:tc>
        <w:tc>
          <w:tcPr>
            <w:tcW w:w="3699" w:type="pct"/>
          </w:tcPr>
          <w:p w14:paraId="0F8D2849" w14:textId="77777777" w:rsidR="003A549D" w:rsidRPr="003A549D" w:rsidRDefault="003A549D" w:rsidP="003A549D">
            <w:pPr>
              <w:spacing w:after="0"/>
              <w:rPr>
                <w:rFonts w:cs="Arial"/>
                <w:sz w:val="20"/>
              </w:rPr>
            </w:pPr>
            <w:r w:rsidRPr="003A549D">
              <w:rPr>
                <w:rFonts w:cs="Arial"/>
                <w:sz w:val="20"/>
              </w:rPr>
              <w:t>Condition generally improves after stopping high-dose B6 but may continue to worsen for 2–3 weeks after cessation; some patients have persistent sensory deficits (possibly dose-related). Neonatal tremor and canine neuropathy noted as reversible.</w:t>
            </w:r>
          </w:p>
        </w:tc>
      </w:tr>
    </w:tbl>
    <w:p w14:paraId="3B8B0DF6" w14:textId="77777777" w:rsidR="003A549D" w:rsidRPr="003A549D" w:rsidRDefault="003A549D" w:rsidP="003A549D">
      <w:pPr>
        <w:rPr>
          <w:rFonts w:eastAsia="Times New Roman" w:cs="Times New Roman"/>
          <w:b/>
          <w:bCs/>
        </w:rPr>
      </w:pPr>
      <w:r w:rsidRPr="003A549D">
        <w:rPr>
          <w:rFonts w:eastAsia="Times New Roman" w:cs="Times New Roman"/>
          <w:b/>
          <w:bCs/>
        </w:rPr>
        <w:t>Results and Conclusions</w:t>
      </w:r>
    </w:p>
    <w:tbl>
      <w:tblPr>
        <w:tblStyle w:val="SLROption1"/>
        <w:tblW w:w="5000" w:type="pct"/>
        <w:tblLook w:val="0000" w:firstRow="0" w:lastRow="0" w:firstColumn="0" w:lastColumn="0" w:noHBand="0" w:noVBand="0"/>
      </w:tblPr>
      <w:tblGrid>
        <w:gridCol w:w="3628"/>
        <w:gridCol w:w="10316"/>
      </w:tblGrid>
      <w:tr w:rsidR="003A549D" w:rsidRPr="003A549D" w14:paraId="7B2FB734" w14:textId="77777777" w:rsidTr="00F62C9B">
        <w:trPr>
          <w:cantSplit/>
          <w:tblHeader/>
        </w:trPr>
        <w:tc>
          <w:tcPr>
            <w:tcW w:w="1301" w:type="pct"/>
            <w:shd w:val="clear" w:color="auto" w:fill="3C533C"/>
          </w:tcPr>
          <w:p w14:paraId="60A36DA8"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78B2B752"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07512236" w14:textId="77777777" w:rsidTr="00F62C9B">
        <w:trPr>
          <w:cantSplit/>
        </w:trPr>
        <w:tc>
          <w:tcPr>
            <w:tcW w:w="1301" w:type="pct"/>
            <w:shd w:val="clear" w:color="auto" w:fill="F6FDE9"/>
          </w:tcPr>
          <w:p w14:paraId="70942DD0" w14:textId="77777777" w:rsidR="003A549D" w:rsidRPr="003A549D" w:rsidRDefault="003A549D" w:rsidP="003A549D">
            <w:pPr>
              <w:spacing w:after="0"/>
              <w:rPr>
                <w:rFonts w:cs="Arial"/>
                <w:sz w:val="20"/>
              </w:rPr>
            </w:pPr>
            <w:r w:rsidRPr="003A549D">
              <w:rPr>
                <w:rFonts w:eastAsia="Calibri" w:cs="Arial"/>
                <w:b/>
                <w:bCs/>
                <w:sz w:val="20"/>
              </w:rPr>
              <w:t>Main results</w:t>
            </w:r>
          </w:p>
        </w:tc>
        <w:tc>
          <w:tcPr>
            <w:tcW w:w="3699" w:type="pct"/>
          </w:tcPr>
          <w:p w14:paraId="7FAE825D" w14:textId="77777777" w:rsidR="003A549D" w:rsidRPr="003A549D" w:rsidRDefault="003A549D" w:rsidP="003A549D">
            <w:pPr>
              <w:spacing w:before="120" w:after="0"/>
              <w:rPr>
                <w:rFonts w:cs="Arial"/>
                <w:sz w:val="20"/>
              </w:rPr>
            </w:pPr>
            <w:r w:rsidRPr="003A549D">
              <w:rPr>
                <w:rFonts w:cs="Arial"/>
                <w:sz w:val="20"/>
              </w:rPr>
              <w:t xml:space="preserve">Excess B6 (mainly as PN) causes peripheral neuropathy; sensory neuropathy predominates, with motor and autonomic involvement at higher doses. </w:t>
            </w:r>
          </w:p>
          <w:p w14:paraId="64CC2916" w14:textId="77777777" w:rsidR="003A549D" w:rsidRPr="003A549D" w:rsidRDefault="003A549D" w:rsidP="003A549D">
            <w:pPr>
              <w:spacing w:before="120" w:after="0"/>
              <w:rPr>
                <w:rFonts w:cs="Arial"/>
                <w:sz w:val="20"/>
              </w:rPr>
            </w:pPr>
            <w:r w:rsidRPr="003A549D">
              <w:rPr>
                <w:rFonts w:cs="Arial"/>
                <w:sz w:val="20"/>
              </w:rPr>
              <w:t xml:space="preserve">Two main mechanistic hypotheses: (1) PN accumulation competitively inhibits PLP-dependent enzymes, producing a functional B6 deficiency-like state; (2) PDXK inhibition disrupts GABA neurotransmission and peripheral sensory neurons. Accumulation of neurotoxic 3-hydroxykynurenine also proposed. Individual variation in B6 metabolism is significant - toxicity can occur at doses well below the IoM UL (e.g. 6 mg/day over 10 years). </w:t>
            </w:r>
          </w:p>
        </w:tc>
      </w:tr>
      <w:tr w:rsidR="003A549D" w:rsidRPr="003A549D" w14:paraId="39C99906" w14:textId="77777777" w:rsidTr="00F62C9B">
        <w:trPr>
          <w:cantSplit/>
        </w:trPr>
        <w:tc>
          <w:tcPr>
            <w:tcW w:w="1301" w:type="pct"/>
            <w:shd w:val="clear" w:color="auto" w:fill="F6FDE9"/>
          </w:tcPr>
          <w:p w14:paraId="4E9A36B3" w14:textId="77777777" w:rsidR="003A549D" w:rsidRPr="003A549D" w:rsidRDefault="003A549D" w:rsidP="003A549D">
            <w:pPr>
              <w:spacing w:after="0"/>
              <w:rPr>
                <w:rFonts w:cs="Arial"/>
                <w:sz w:val="20"/>
              </w:rPr>
            </w:pPr>
            <w:r w:rsidRPr="003A549D">
              <w:rPr>
                <w:rFonts w:eastAsia="Calibri" w:cs="Arial"/>
                <w:b/>
                <w:bCs/>
                <w:sz w:val="20"/>
              </w:rPr>
              <w:t>Authors' conclusions</w:t>
            </w:r>
          </w:p>
        </w:tc>
        <w:tc>
          <w:tcPr>
            <w:tcW w:w="3699" w:type="pct"/>
          </w:tcPr>
          <w:p w14:paraId="0D315D01" w14:textId="77777777" w:rsidR="003A549D" w:rsidRPr="003A549D" w:rsidRDefault="003A549D" w:rsidP="003A549D">
            <w:pPr>
              <w:spacing w:after="0"/>
              <w:rPr>
                <w:rFonts w:cs="Arial"/>
                <w:sz w:val="20"/>
              </w:rPr>
            </w:pPr>
            <w:r w:rsidRPr="003A549D">
              <w:rPr>
                <w:rFonts w:cs="Arial"/>
                <w:sz w:val="20"/>
              </w:rPr>
              <w:t>No clear consensus on the toxic exposure threshold for B6; EFSA's 12 mg/day UL is recommended for generally healthy adults. Particular care needed for pregnant/breastfeeding women and those with metabolic disorders. Long-term supplementation should be medically monitored; supplementation should cease if neurological symptoms emerge. More long-term, large-sample clinical studies needed to confirm precise safe intake thresholds.</w:t>
            </w:r>
          </w:p>
        </w:tc>
      </w:tr>
      <w:tr w:rsidR="003A549D" w:rsidRPr="003A549D" w14:paraId="197D573D" w14:textId="77777777" w:rsidTr="00F62C9B">
        <w:trPr>
          <w:cantSplit/>
        </w:trPr>
        <w:tc>
          <w:tcPr>
            <w:tcW w:w="1301" w:type="pct"/>
            <w:shd w:val="clear" w:color="auto" w:fill="F6FDE9"/>
          </w:tcPr>
          <w:p w14:paraId="060054B9" w14:textId="77777777" w:rsidR="003A549D" w:rsidRPr="003A549D" w:rsidRDefault="003A549D" w:rsidP="003A549D">
            <w:pPr>
              <w:spacing w:after="0"/>
              <w:rPr>
                <w:rFonts w:cs="Arial"/>
                <w:sz w:val="20"/>
              </w:rPr>
            </w:pPr>
            <w:r w:rsidRPr="003A549D">
              <w:rPr>
                <w:rFonts w:eastAsia="Calibri" w:cs="Arial"/>
                <w:b/>
                <w:bCs/>
                <w:sz w:val="20"/>
              </w:rPr>
              <w:lastRenderedPageBreak/>
              <w:t>Authors' acknowledged limitations</w:t>
            </w:r>
          </w:p>
        </w:tc>
        <w:tc>
          <w:tcPr>
            <w:tcW w:w="3699" w:type="pct"/>
          </w:tcPr>
          <w:p w14:paraId="55BEF301" w14:textId="77777777" w:rsidR="003A549D" w:rsidRPr="003A549D" w:rsidRDefault="003A549D" w:rsidP="003A549D">
            <w:pPr>
              <w:spacing w:after="0"/>
              <w:rPr>
                <w:rFonts w:cs="Arial"/>
                <w:sz w:val="20"/>
              </w:rPr>
            </w:pPr>
            <w:r w:rsidRPr="003A549D">
              <w:rPr>
                <w:rFonts w:cs="Arial"/>
                <w:sz w:val="20"/>
              </w:rPr>
              <w:t>Narrative review only; no systematic search or quality assessment of included evidence. Mechanistic hypotheses for B6 toxicity remain unconfirmed. Dose–response relationship for individual susceptibility is unclear. No formal assessment of evidence quality.</w:t>
            </w:r>
          </w:p>
        </w:tc>
      </w:tr>
    </w:tbl>
    <w:p w14:paraId="78888BE2" w14:textId="77777777" w:rsidR="003A549D" w:rsidRPr="003A549D" w:rsidRDefault="003A549D" w:rsidP="003A549D">
      <w:pPr>
        <w:rPr>
          <w:rFonts w:eastAsia="Times New Roman" w:cs="Times New Roman"/>
          <w:b/>
          <w:bCs/>
        </w:rPr>
      </w:pPr>
      <w:r w:rsidRPr="003A549D">
        <w:rPr>
          <w:rFonts w:eastAsia="Times New Roman" w:cs="Times New Roman"/>
          <w:b/>
          <w:bCs/>
        </w:rPr>
        <w:t>Contextual information for the AU/NZ UL review</w:t>
      </w:r>
    </w:p>
    <w:tbl>
      <w:tblPr>
        <w:tblStyle w:val="SLROption1"/>
        <w:tblW w:w="5000" w:type="pct"/>
        <w:tblLook w:val="0000" w:firstRow="0" w:lastRow="0" w:firstColumn="0" w:lastColumn="0" w:noHBand="0" w:noVBand="0"/>
      </w:tblPr>
      <w:tblGrid>
        <w:gridCol w:w="3628"/>
        <w:gridCol w:w="10316"/>
      </w:tblGrid>
      <w:tr w:rsidR="003A549D" w:rsidRPr="003A549D" w14:paraId="423844FD" w14:textId="77777777" w:rsidTr="00F62C9B">
        <w:tc>
          <w:tcPr>
            <w:tcW w:w="1301" w:type="pct"/>
            <w:shd w:val="clear" w:color="auto" w:fill="F6FDE9"/>
          </w:tcPr>
          <w:p w14:paraId="296B5D4E" w14:textId="77777777" w:rsidR="003A549D" w:rsidRPr="003A549D" w:rsidRDefault="003A549D" w:rsidP="003A549D">
            <w:pPr>
              <w:spacing w:after="0"/>
              <w:rPr>
                <w:rFonts w:cs="Arial"/>
                <w:sz w:val="20"/>
              </w:rPr>
            </w:pPr>
            <w:r w:rsidRPr="003A549D">
              <w:rPr>
                <w:rFonts w:eastAsia="Calibri" w:cs="Arial"/>
                <w:b/>
                <w:bCs/>
                <w:sz w:val="20"/>
              </w:rPr>
              <w:t>Generalisability to AU/NZ</w:t>
            </w:r>
          </w:p>
        </w:tc>
        <w:tc>
          <w:tcPr>
            <w:tcW w:w="3699" w:type="pct"/>
          </w:tcPr>
          <w:p w14:paraId="16E74B16" w14:textId="77777777" w:rsidR="003A549D" w:rsidRPr="003A549D" w:rsidRDefault="003A549D" w:rsidP="003A549D">
            <w:pPr>
              <w:spacing w:after="0"/>
              <w:rPr>
                <w:rFonts w:cs="Arial"/>
                <w:sz w:val="20"/>
              </w:rPr>
            </w:pPr>
            <w:r w:rsidRPr="003A549D">
              <w:rPr>
                <w:rFonts w:cs="Arial"/>
                <w:sz w:val="20"/>
              </w:rPr>
              <w:t>Relevant as a narrative summary of the current mechanistic and clinical evidence base for B6 neurotoxicity.</w:t>
            </w:r>
          </w:p>
        </w:tc>
      </w:tr>
    </w:tbl>
    <w:p w14:paraId="03BB6805" w14:textId="77777777" w:rsidR="003A549D" w:rsidRPr="003A549D" w:rsidRDefault="003A549D" w:rsidP="003A549D"/>
    <w:p w14:paraId="47922D95" w14:textId="77777777" w:rsidR="003A549D" w:rsidRPr="003A549D" w:rsidRDefault="003A549D" w:rsidP="003A549D">
      <w:pPr>
        <w:keepNext/>
        <w:numPr>
          <w:ilvl w:val="2"/>
          <w:numId w:val="2"/>
        </w:numPr>
        <w:spacing w:before="240"/>
        <w:outlineLvl w:val="8"/>
        <w:rPr>
          <w:b/>
          <w:iCs/>
          <w:noProof/>
          <w:color w:val="667545" w:themeColor="accent3"/>
          <w:sz w:val="24"/>
        </w:rPr>
      </w:pPr>
      <w:r w:rsidRPr="003A549D">
        <w:rPr>
          <w:b/>
          <w:iCs/>
          <w:noProof/>
          <w:color w:val="667545" w:themeColor="accent3"/>
          <w:sz w:val="24"/>
        </w:rPr>
        <w:t>Theil et al. 2023</w:t>
      </w:r>
    </w:p>
    <w:p w14:paraId="4DEB7596" w14:textId="77777777" w:rsidR="003A549D" w:rsidRPr="003A549D" w:rsidRDefault="003A549D" w:rsidP="003A549D">
      <w:pPr>
        <w:keepNext/>
        <w:spacing w:before="240"/>
        <w:ind w:left="1080" w:hanging="1080"/>
        <w:rPr>
          <w:rFonts w:eastAsia="Calibri" w:cs="Arial"/>
          <w:b/>
          <w:bCs/>
          <w:sz w:val="20"/>
        </w:rPr>
      </w:pPr>
      <w:r w:rsidRPr="003A549D">
        <w:rPr>
          <w:rFonts w:eastAsia="Calibri" w:cs="Arial"/>
          <w:b/>
          <w:bCs/>
          <w:sz w:val="20"/>
        </w:rPr>
        <w:t>Study identification and design</w:t>
      </w:r>
    </w:p>
    <w:tbl>
      <w:tblPr>
        <w:tblStyle w:val="SLROption1"/>
        <w:tblW w:w="5000" w:type="pct"/>
        <w:tblLook w:val="0000" w:firstRow="0" w:lastRow="0" w:firstColumn="0" w:lastColumn="0" w:noHBand="0" w:noVBand="0"/>
      </w:tblPr>
      <w:tblGrid>
        <w:gridCol w:w="3628"/>
        <w:gridCol w:w="10316"/>
      </w:tblGrid>
      <w:tr w:rsidR="003A549D" w:rsidRPr="003A549D" w14:paraId="3E77EF67" w14:textId="77777777" w:rsidTr="00F62C9B">
        <w:tc>
          <w:tcPr>
            <w:tcW w:w="1301" w:type="pct"/>
            <w:shd w:val="clear" w:color="auto" w:fill="3C533C"/>
          </w:tcPr>
          <w:p w14:paraId="5D0AC7C5"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019EA6F6"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5B3E5ED8" w14:textId="77777777" w:rsidTr="00F62C9B">
        <w:tc>
          <w:tcPr>
            <w:tcW w:w="1301" w:type="pct"/>
            <w:shd w:val="clear" w:color="auto" w:fill="F6FDE9"/>
          </w:tcPr>
          <w:p w14:paraId="1A281990" w14:textId="77777777" w:rsidR="003A549D" w:rsidRPr="003A549D" w:rsidRDefault="003A549D" w:rsidP="003A549D">
            <w:pPr>
              <w:spacing w:after="0"/>
              <w:rPr>
                <w:rFonts w:cs="Arial"/>
                <w:sz w:val="20"/>
              </w:rPr>
            </w:pPr>
            <w:r w:rsidRPr="003A549D">
              <w:rPr>
                <w:rFonts w:eastAsia="Calibri" w:cs="Arial"/>
                <w:b/>
                <w:bCs/>
                <w:sz w:val="20"/>
              </w:rPr>
              <w:t>Citation</w:t>
            </w:r>
          </w:p>
        </w:tc>
        <w:tc>
          <w:tcPr>
            <w:tcW w:w="3699" w:type="pct"/>
          </w:tcPr>
          <w:p w14:paraId="0F6971C5" w14:textId="77777777" w:rsidR="003A549D" w:rsidRPr="003A549D" w:rsidRDefault="003A549D" w:rsidP="003A549D">
            <w:pPr>
              <w:spacing w:after="0"/>
              <w:rPr>
                <w:rFonts w:cs="Arial"/>
                <w:sz w:val="20"/>
              </w:rPr>
            </w:pPr>
            <w:r w:rsidRPr="003A549D">
              <w:rPr>
                <w:rFonts w:cs="Arial"/>
                <w:sz w:val="20"/>
              </w:rPr>
              <w:t xml:space="preserve">Theil D, Kuhle J, Brees D, Tritto E, Pognan F, Frieauff W, Penraat K, Meseck E, Valdez R, Hartmann A. Neurofilament light chain: a translational safety biomarker for drug-induced peripheral neurotoxicity. </w:t>
            </w:r>
            <w:r w:rsidRPr="003A549D">
              <w:rPr>
                <w:rFonts w:cs="Arial"/>
                <w:i/>
                <w:iCs/>
                <w:sz w:val="20"/>
              </w:rPr>
              <w:t>Toxicol Pathol.</w:t>
            </w:r>
            <w:r w:rsidRPr="003A549D">
              <w:rPr>
                <w:rFonts w:cs="Arial"/>
                <w:sz w:val="20"/>
              </w:rPr>
              <w:t xml:space="preserve"> 2023;51(3):135–147. </w:t>
            </w:r>
            <w:hyperlink r:id="rId202" w:history="1">
              <w:r w:rsidRPr="003A549D">
                <w:rPr>
                  <w:rFonts w:cs="Arial"/>
                  <w:color w:val="4E5768"/>
                  <w:sz w:val="20"/>
                  <w:u w:val="single"/>
                </w:rPr>
                <w:t>https://doi.org/10.1177/01926233231180179</w:t>
              </w:r>
            </w:hyperlink>
          </w:p>
        </w:tc>
      </w:tr>
      <w:tr w:rsidR="003A549D" w:rsidRPr="003A549D" w14:paraId="47D9E4EF" w14:textId="77777777" w:rsidTr="00F62C9B">
        <w:tc>
          <w:tcPr>
            <w:tcW w:w="1301" w:type="pct"/>
            <w:shd w:val="clear" w:color="auto" w:fill="F6FDE9"/>
          </w:tcPr>
          <w:p w14:paraId="02C95ADD" w14:textId="77777777" w:rsidR="003A549D" w:rsidRPr="003A549D" w:rsidRDefault="003A549D" w:rsidP="003A549D">
            <w:pPr>
              <w:spacing w:after="0"/>
              <w:rPr>
                <w:rFonts w:cs="Arial"/>
                <w:sz w:val="20"/>
              </w:rPr>
            </w:pPr>
            <w:r w:rsidRPr="003A549D">
              <w:rPr>
                <w:rFonts w:eastAsia="Calibri" w:cs="Arial"/>
                <w:b/>
                <w:bCs/>
                <w:sz w:val="20"/>
              </w:rPr>
              <w:t>Publication status</w:t>
            </w:r>
          </w:p>
        </w:tc>
        <w:tc>
          <w:tcPr>
            <w:tcW w:w="3699" w:type="pct"/>
          </w:tcPr>
          <w:p w14:paraId="01AF9453" w14:textId="77777777" w:rsidR="003A549D" w:rsidRPr="003A549D" w:rsidRDefault="003A549D" w:rsidP="003A549D">
            <w:pPr>
              <w:spacing w:after="0"/>
              <w:rPr>
                <w:rFonts w:cs="Arial"/>
                <w:sz w:val="20"/>
              </w:rPr>
            </w:pPr>
            <w:r w:rsidRPr="003A549D">
              <w:rPr>
                <w:rFonts w:cs="Arial"/>
                <w:sz w:val="20"/>
              </w:rPr>
              <w:t>Published, peer-reviewed journal article</w:t>
            </w:r>
          </w:p>
        </w:tc>
      </w:tr>
      <w:tr w:rsidR="003A549D" w:rsidRPr="003A549D" w14:paraId="30E84E49" w14:textId="77777777" w:rsidTr="00F62C9B">
        <w:tc>
          <w:tcPr>
            <w:tcW w:w="1301" w:type="pct"/>
            <w:shd w:val="clear" w:color="auto" w:fill="F6FDE9"/>
          </w:tcPr>
          <w:p w14:paraId="0D3078D1" w14:textId="77777777" w:rsidR="003A549D" w:rsidRPr="003A549D" w:rsidRDefault="003A549D" w:rsidP="003A549D">
            <w:pPr>
              <w:spacing w:after="0"/>
              <w:rPr>
                <w:rFonts w:cs="Arial"/>
                <w:sz w:val="20"/>
              </w:rPr>
            </w:pPr>
            <w:r w:rsidRPr="003A549D">
              <w:rPr>
                <w:rFonts w:eastAsia="Calibri" w:cs="Arial"/>
                <w:b/>
                <w:bCs/>
                <w:sz w:val="20"/>
              </w:rPr>
              <w:t>Country / setting</w:t>
            </w:r>
          </w:p>
        </w:tc>
        <w:tc>
          <w:tcPr>
            <w:tcW w:w="3699" w:type="pct"/>
          </w:tcPr>
          <w:p w14:paraId="1797AD84" w14:textId="77777777" w:rsidR="003A549D" w:rsidRPr="003A549D" w:rsidRDefault="003A549D" w:rsidP="003A549D">
            <w:pPr>
              <w:spacing w:after="0"/>
              <w:rPr>
                <w:rFonts w:cs="Arial"/>
                <w:sz w:val="20"/>
              </w:rPr>
            </w:pPr>
            <w:r w:rsidRPr="003A549D">
              <w:rPr>
                <w:rFonts w:cs="Arial"/>
                <w:sz w:val="20"/>
              </w:rPr>
              <w:t>Switzerland/USA; preclinical (non-clinical) animal study in juvenile beagle dogs conducted at Charles River Laboratories (Senneville, Canada)</w:t>
            </w:r>
          </w:p>
        </w:tc>
      </w:tr>
      <w:tr w:rsidR="003A549D" w:rsidRPr="003A549D" w14:paraId="7CE5211E" w14:textId="77777777" w:rsidTr="00F62C9B">
        <w:tc>
          <w:tcPr>
            <w:tcW w:w="1301" w:type="pct"/>
            <w:shd w:val="clear" w:color="auto" w:fill="F6FDE9"/>
          </w:tcPr>
          <w:p w14:paraId="5B101C3C" w14:textId="77777777" w:rsidR="003A549D" w:rsidRPr="003A549D" w:rsidRDefault="003A549D" w:rsidP="003A549D">
            <w:pPr>
              <w:spacing w:after="0"/>
              <w:rPr>
                <w:rFonts w:cs="Arial"/>
                <w:sz w:val="20"/>
              </w:rPr>
            </w:pPr>
            <w:r w:rsidRPr="003A549D">
              <w:rPr>
                <w:rFonts w:eastAsia="Calibri" w:cs="Arial"/>
                <w:b/>
                <w:bCs/>
                <w:sz w:val="20"/>
              </w:rPr>
              <w:t>Study design</w:t>
            </w:r>
          </w:p>
        </w:tc>
        <w:tc>
          <w:tcPr>
            <w:tcW w:w="3699" w:type="pct"/>
          </w:tcPr>
          <w:p w14:paraId="14182236" w14:textId="77777777" w:rsidR="003A549D" w:rsidRPr="003A549D" w:rsidRDefault="003A549D" w:rsidP="003A549D">
            <w:pPr>
              <w:spacing w:after="0"/>
              <w:rPr>
                <w:rFonts w:cs="Arial"/>
                <w:sz w:val="20"/>
              </w:rPr>
            </w:pPr>
            <w:r w:rsidRPr="003A549D">
              <w:rPr>
                <w:rFonts w:cs="Arial"/>
                <w:sz w:val="20"/>
              </w:rPr>
              <w:t>Controlled 30-week investigative study in juvenile male beagle dogs. Three treatment groups (vehicle, pyridoxine positive control, branaplam) assessed for neuropathology, morphometry, electrophysiology, gene expression, and serum/CSF NfL levels</w:t>
            </w:r>
          </w:p>
        </w:tc>
      </w:tr>
      <w:tr w:rsidR="003A549D" w:rsidRPr="003A549D" w14:paraId="4F9FFA44" w14:textId="77777777" w:rsidTr="00F62C9B">
        <w:tc>
          <w:tcPr>
            <w:tcW w:w="1301" w:type="pct"/>
            <w:shd w:val="clear" w:color="auto" w:fill="F6FDE9"/>
          </w:tcPr>
          <w:p w14:paraId="7D34823E" w14:textId="77777777" w:rsidR="003A549D" w:rsidRPr="003A549D" w:rsidRDefault="003A549D" w:rsidP="003A549D">
            <w:pPr>
              <w:spacing w:after="0"/>
              <w:rPr>
                <w:rFonts w:cs="Arial"/>
                <w:sz w:val="20"/>
              </w:rPr>
            </w:pPr>
            <w:r w:rsidRPr="003A549D">
              <w:rPr>
                <w:rFonts w:eastAsia="Calibri" w:cs="Arial"/>
                <w:b/>
                <w:bCs/>
                <w:sz w:val="20"/>
              </w:rPr>
              <w:t>Funding / conflicts of interest</w:t>
            </w:r>
          </w:p>
        </w:tc>
        <w:tc>
          <w:tcPr>
            <w:tcW w:w="3699" w:type="pct"/>
          </w:tcPr>
          <w:p w14:paraId="62757896" w14:textId="77777777" w:rsidR="003A549D" w:rsidRPr="003A549D" w:rsidRDefault="003A549D" w:rsidP="003A549D">
            <w:pPr>
              <w:spacing w:after="0"/>
              <w:rPr>
                <w:rFonts w:cs="Arial"/>
                <w:sz w:val="20"/>
              </w:rPr>
            </w:pPr>
            <w:r w:rsidRPr="003A549D">
              <w:rPr>
                <w:rFonts w:cs="Arial"/>
                <w:sz w:val="20"/>
              </w:rPr>
              <w:t xml:space="preserve">Funded by Novartis. Multiple authors are Novartis employees or former employees and hold/held stock options. Author Kuhle is a Novartis consultant. Novartis holds patent rights to branaplam. </w:t>
            </w:r>
          </w:p>
        </w:tc>
      </w:tr>
    </w:tbl>
    <w:p w14:paraId="4750F27F" w14:textId="77777777" w:rsidR="003A549D" w:rsidRPr="003A549D" w:rsidRDefault="003A549D" w:rsidP="003A549D">
      <w:pPr>
        <w:rPr>
          <w:rFonts w:eastAsia="Times New Roman" w:cs="Times New Roman"/>
        </w:rPr>
      </w:pPr>
      <w:r w:rsidRPr="003A549D">
        <w:rPr>
          <w:rFonts w:eastAsia="Calibri" w:cs="Arial"/>
          <w:b/>
          <w:bCs/>
          <w:sz w:val="20"/>
        </w:rPr>
        <w:t>Population</w:t>
      </w:r>
    </w:p>
    <w:tbl>
      <w:tblPr>
        <w:tblStyle w:val="SLROption1"/>
        <w:tblW w:w="5000" w:type="pct"/>
        <w:tblLook w:val="0000" w:firstRow="0" w:lastRow="0" w:firstColumn="0" w:lastColumn="0" w:noHBand="0" w:noVBand="0"/>
      </w:tblPr>
      <w:tblGrid>
        <w:gridCol w:w="3628"/>
        <w:gridCol w:w="10316"/>
      </w:tblGrid>
      <w:tr w:rsidR="003A549D" w:rsidRPr="003A549D" w14:paraId="77F6EDB9" w14:textId="77777777" w:rsidTr="00F62C9B">
        <w:tc>
          <w:tcPr>
            <w:tcW w:w="1301" w:type="pct"/>
            <w:shd w:val="clear" w:color="auto" w:fill="3C533C"/>
          </w:tcPr>
          <w:p w14:paraId="0773CC47"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007086FB"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0E9B1B2A" w14:textId="77777777" w:rsidTr="00F62C9B">
        <w:tc>
          <w:tcPr>
            <w:tcW w:w="1301" w:type="pct"/>
            <w:shd w:val="clear" w:color="auto" w:fill="F6FDE9"/>
          </w:tcPr>
          <w:p w14:paraId="570AC84B" w14:textId="77777777" w:rsidR="003A549D" w:rsidRPr="003A549D" w:rsidRDefault="003A549D" w:rsidP="003A549D">
            <w:pPr>
              <w:spacing w:after="0"/>
              <w:rPr>
                <w:rFonts w:cs="Arial"/>
                <w:sz w:val="20"/>
              </w:rPr>
            </w:pPr>
            <w:r w:rsidRPr="003A549D">
              <w:rPr>
                <w:rFonts w:eastAsia="Calibri" w:cs="Arial"/>
                <w:b/>
                <w:bCs/>
                <w:sz w:val="20"/>
              </w:rPr>
              <w:t>Sample size</w:t>
            </w:r>
          </w:p>
        </w:tc>
        <w:tc>
          <w:tcPr>
            <w:tcW w:w="3699" w:type="pct"/>
          </w:tcPr>
          <w:p w14:paraId="53B2D4D0" w14:textId="77777777" w:rsidR="003A549D" w:rsidRPr="003A549D" w:rsidRDefault="003A549D" w:rsidP="003A549D">
            <w:pPr>
              <w:spacing w:after="0"/>
              <w:rPr>
                <w:rFonts w:cs="Arial"/>
                <w:sz w:val="20"/>
              </w:rPr>
            </w:pPr>
            <w:r w:rsidRPr="003A549D">
              <w:rPr>
                <w:rFonts w:cs="Arial"/>
                <w:sz w:val="20"/>
              </w:rPr>
              <w:t>Juvenile male beagle dogs; n=16 per branaplam group, n=8 pyridoxine group, n=16 vehicle group (approximate, based on necropsy allocations of n=4 per time point).</w:t>
            </w:r>
          </w:p>
        </w:tc>
      </w:tr>
      <w:tr w:rsidR="003A549D" w:rsidRPr="003A549D" w14:paraId="601822D1" w14:textId="77777777" w:rsidTr="00F62C9B">
        <w:tc>
          <w:tcPr>
            <w:tcW w:w="1301" w:type="pct"/>
            <w:shd w:val="clear" w:color="auto" w:fill="F6FDE9"/>
          </w:tcPr>
          <w:p w14:paraId="6F6DC770" w14:textId="77777777" w:rsidR="003A549D" w:rsidRPr="003A549D" w:rsidRDefault="003A549D" w:rsidP="003A549D">
            <w:pPr>
              <w:spacing w:after="0"/>
              <w:rPr>
                <w:rFonts w:cs="Arial"/>
                <w:sz w:val="20"/>
              </w:rPr>
            </w:pPr>
            <w:r w:rsidRPr="003A549D">
              <w:rPr>
                <w:rFonts w:eastAsia="Calibri" w:cs="Arial"/>
                <w:b/>
                <w:bCs/>
                <w:sz w:val="20"/>
              </w:rPr>
              <w:t>Patient (test animal) characteristics</w:t>
            </w:r>
          </w:p>
        </w:tc>
        <w:tc>
          <w:tcPr>
            <w:tcW w:w="3699" w:type="pct"/>
          </w:tcPr>
          <w:p w14:paraId="618901D5" w14:textId="77777777" w:rsidR="003A549D" w:rsidRPr="003A549D" w:rsidRDefault="003A549D" w:rsidP="003A549D">
            <w:pPr>
              <w:spacing w:before="120" w:after="0"/>
              <w:rPr>
                <w:rFonts w:cs="Arial"/>
                <w:sz w:val="20"/>
              </w:rPr>
            </w:pPr>
            <w:r w:rsidRPr="003A549D">
              <w:rPr>
                <w:rFonts w:cs="Arial"/>
                <w:sz w:val="20"/>
              </w:rPr>
              <w:t>Male juvenile beagles, 14–17 weeks old at dosing start, weight 4.1–6.9 kg; acclimatised 5 weeks prior to dosing; group-housed.</w:t>
            </w:r>
          </w:p>
        </w:tc>
      </w:tr>
      <w:tr w:rsidR="003A549D" w:rsidRPr="003A549D" w14:paraId="7FEC2850" w14:textId="77777777" w:rsidTr="00F62C9B">
        <w:tc>
          <w:tcPr>
            <w:tcW w:w="1301" w:type="pct"/>
            <w:shd w:val="clear" w:color="auto" w:fill="F6FDE9"/>
          </w:tcPr>
          <w:p w14:paraId="18FC8EFC" w14:textId="77777777" w:rsidR="003A549D" w:rsidRPr="003A549D" w:rsidRDefault="003A549D" w:rsidP="003A549D">
            <w:pPr>
              <w:spacing w:after="0"/>
              <w:rPr>
                <w:rFonts w:cs="Arial"/>
                <w:sz w:val="20"/>
              </w:rPr>
            </w:pPr>
            <w:r w:rsidRPr="003A549D">
              <w:rPr>
                <w:rFonts w:eastAsia="Calibri" w:cs="Arial"/>
                <w:b/>
                <w:bCs/>
                <w:sz w:val="20"/>
              </w:rPr>
              <w:lastRenderedPageBreak/>
              <w:t>Inclusion/exclusion of alternative causes</w:t>
            </w:r>
          </w:p>
        </w:tc>
        <w:tc>
          <w:tcPr>
            <w:tcW w:w="3699" w:type="pct"/>
          </w:tcPr>
          <w:p w14:paraId="2C0611F8" w14:textId="77777777" w:rsidR="003A549D" w:rsidRPr="003A549D" w:rsidRDefault="003A549D" w:rsidP="003A549D">
            <w:pPr>
              <w:spacing w:after="0"/>
              <w:rPr>
                <w:rFonts w:cs="Arial"/>
                <w:sz w:val="20"/>
              </w:rPr>
            </w:pPr>
            <w:r w:rsidRPr="003A549D">
              <w:rPr>
                <w:rFonts w:cs="Arial"/>
                <w:sz w:val="20"/>
              </w:rPr>
              <w:t>Controlled experimental design; vehicle group served as negative control. CSF not sampled at baseline to avoid lumbar puncture-induced artefactual NfL elevation</w:t>
            </w:r>
          </w:p>
        </w:tc>
      </w:tr>
    </w:tbl>
    <w:p w14:paraId="21D3815F" w14:textId="77777777" w:rsidR="003A549D" w:rsidRPr="003A549D" w:rsidRDefault="003A549D" w:rsidP="003A549D">
      <w:pPr>
        <w:rPr>
          <w:rFonts w:eastAsia="Times New Roman" w:cs="Times New Roman"/>
          <w:b/>
          <w:bCs/>
        </w:rPr>
      </w:pPr>
      <w:r w:rsidRPr="003A549D">
        <w:rPr>
          <w:rFonts w:eastAsia="Times New Roman" w:cs="Times New Roman"/>
          <w:b/>
          <w:bCs/>
        </w:rPr>
        <w:t>Exposure</w:t>
      </w:r>
    </w:p>
    <w:tbl>
      <w:tblPr>
        <w:tblStyle w:val="SLROption1"/>
        <w:tblW w:w="5000" w:type="pct"/>
        <w:tblLook w:val="0000" w:firstRow="0" w:lastRow="0" w:firstColumn="0" w:lastColumn="0" w:noHBand="0" w:noVBand="0"/>
      </w:tblPr>
      <w:tblGrid>
        <w:gridCol w:w="3628"/>
        <w:gridCol w:w="10316"/>
      </w:tblGrid>
      <w:tr w:rsidR="003A549D" w:rsidRPr="003A549D" w14:paraId="093E1547" w14:textId="77777777" w:rsidTr="00F62C9B">
        <w:trPr>
          <w:cantSplit/>
          <w:tblHeader/>
        </w:trPr>
        <w:tc>
          <w:tcPr>
            <w:tcW w:w="1301" w:type="pct"/>
            <w:shd w:val="clear" w:color="auto" w:fill="3C533C"/>
          </w:tcPr>
          <w:p w14:paraId="4A16DA2D"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69BCC0D2"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0A4586C4" w14:textId="77777777" w:rsidTr="00F62C9B">
        <w:tc>
          <w:tcPr>
            <w:tcW w:w="1301" w:type="pct"/>
            <w:shd w:val="clear" w:color="auto" w:fill="F6FDE9"/>
          </w:tcPr>
          <w:p w14:paraId="2DC3083B" w14:textId="77777777" w:rsidR="003A549D" w:rsidRPr="003A549D" w:rsidRDefault="003A549D" w:rsidP="003A549D">
            <w:pPr>
              <w:spacing w:after="0"/>
              <w:rPr>
                <w:rFonts w:cs="Arial"/>
                <w:sz w:val="20"/>
              </w:rPr>
            </w:pPr>
            <w:r w:rsidRPr="003A549D">
              <w:rPr>
                <w:rFonts w:eastAsia="Calibri" w:cs="Arial"/>
                <w:b/>
                <w:bCs/>
                <w:sz w:val="20"/>
              </w:rPr>
              <w:t>Exposure characterisation – source</w:t>
            </w:r>
          </w:p>
        </w:tc>
        <w:tc>
          <w:tcPr>
            <w:tcW w:w="3699" w:type="pct"/>
          </w:tcPr>
          <w:p w14:paraId="2E1F8531" w14:textId="77777777" w:rsidR="003A549D" w:rsidRPr="003A549D" w:rsidRDefault="003A549D" w:rsidP="003A549D">
            <w:pPr>
              <w:spacing w:after="0"/>
              <w:rPr>
                <w:rFonts w:cs="Arial"/>
                <w:sz w:val="20"/>
              </w:rPr>
            </w:pPr>
            <w:r w:rsidRPr="003A549D">
              <w:rPr>
                <w:rFonts w:cs="Arial"/>
                <w:sz w:val="20"/>
              </w:rPr>
              <w:t>Pyridoxine (positive control; Sigma-Aldrich) administered by daily oral gavage; branaplam (investigational drug, Novartis) by daily oral gavage</w:t>
            </w:r>
          </w:p>
        </w:tc>
      </w:tr>
      <w:tr w:rsidR="003A549D" w:rsidRPr="003A549D" w14:paraId="6A2A23F4" w14:textId="77777777" w:rsidTr="00F62C9B">
        <w:tc>
          <w:tcPr>
            <w:tcW w:w="1301" w:type="pct"/>
            <w:shd w:val="clear" w:color="auto" w:fill="F6FDE9"/>
          </w:tcPr>
          <w:p w14:paraId="284FB824" w14:textId="77777777" w:rsidR="003A549D" w:rsidRPr="003A549D" w:rsidRDefault="003A549D" w:rsidP="003A549D">
            <w:pPr>
              <w:spacing w:after="0"/>
              <w:rPr>
                <w:rFonts w:cs="Arial"/>
                <w:sz w:val="20"/>
              </w:rPr>
            </w:pPr>
            <w:r w:rsidRPr="003A549D">
              <w:rPr>
                <w:rFonts w:eastAsia="Calibri" w:cs="Arial"/>
                <w:b/>
                <w:bCs/>
                <w:sz w:val="20"/>
              </w:rPr>
              <w:t>Exposure characterisation – dose</w:t>
            </w:r>
          </w:p>
        </w:tc>
        <w:tc>
          <w:tcPr>
            <w:tcW w:w="3699" w:type="pct"/>
          </w:tcPr>
          <w:p w14:paraId="1557F3A1" w14:textId="77777777" w:rsidR="003A549D" w:rsidRPr="003A549D" w:rsidRDefault="003A549D" w:rsidP="003A549D">
            <w:pPr>
              <w:spacing w:before="120" w:after="0"/>
              <w:rPr>
                <w:rFonts w:cs="Arial"/>
                <w:sz w:val="20"/>
              </w:rPr>
            </w:pPr>
            <w:r w:rsidRPr="003A549D">
              <w:rPr>
                <w:rFonts w:cs="Arial"/>
                <w:sz w:val="20"/>
              </w:rPr>
              <w:t>Pyridoxine: escalating doses up to 100–150 mg/kg/day for weeks 1–5, then 2-week drug-free period, then 50 mg/kg/day from week 8 to end of week 13, then discontinued. Branaplam: 2 mg/kg/day weeks 1–5, then reduced to 1 mg/kg/day weeks 8–30 (continuous) or intermittent cycles</w:t>
            </w:r>
          </w:p>
        </w:tc>
      </w:tr>
      <w:tr w:rsidR="003A549D" w:rsidRPr="003A549D" w14:paraId="276B52D5" w14:textId="77777777" w:rsidTr="00F62C9B">
        <w:tc>
          <w:tcPr>
            <w:tcW w:w="1301" w:type="pct"/>
            <w:shd w:val="clear" w:color="auto" w:fill="F6FDE9"/>
          </w:tcPr>
          <w:p w14:paraId="6DB237E1" w14:textId="77777777" w:rsidR="003A549D" w:rsidRPr="003A549D" w:rsidRDefault="003A549D" w:rsidP="003A549D">
            <w:pPr>
              <w:spacing w:after="0"/>
              <w:rPr>
                <w:rFonts w:cs="Arial"/>
                <w:sz w:val="20"/>
              </w:rPr>
            </w:pPr>
            <w:r w:rsidRPr="003A549D">
              <w:rPr>
                <w:rFonts w:eastAsia="Calibri" w:cs="Arial"/>
                <w:b/>
                <w:bCs/>
                <w:sz w:val="20"/>
              </w:rPr>
              <w:t>Biomarker of exposure</w:t>
            </w:r>
          </w:p>
        </w:tc>
        <w:tc>
          <w:tcPr>
            <w:tcW w:w="3699" w:type="pct"/>
          </w:tcPr>
          <w:p w14:paraId="6916B6AF" w14:textId="77777777" w:rsidR="003A549D" w:rsidRPr="003A549D" w:rsidRDefault="003A549D" w:rsidP="003A549D">
            <w:pPr>
              <w:spacing w:after="0"/>
              <w:rPr>
                <w:rFonts w:cs="Arial"/>
                <w:sz w:val="20"/>
              </w:rPr>
            </w:pPr>
            <w:r w:rsidRPr="003A549D">
              <w:rPr>
                <w:rFonts w:cs="Arial"/>
                <w:sz w:val="20"/>
              </w:rPr>
              <w:t>Serum NfL and CSF NfL measured by Simoa platform (UmanDiagnostics NF-light assay). Elevated defined as &gt;40 pg/mL (serum) and &gt;650 pg/mL (CSF)</w:t>
            </w:r>
          </w:p>
        </w:tc>
      </w:tr>
      <w:tr w:rsidR="003A549D" w:rsidRPr="003A549D" w14:paraId="4B31BD1B" w14:textId="77777777" w:rsidTr="00F62C9B">
        <w:tc>
          <w:tcPr>
            <w:tcW w:w="1301" w:type="pct"/>
            <w:shd w:val="clear" w:color="auto" w:fill="F6FDE9"/>
          </w:tcPr>
          <w:p w14:paraId="5B558780" w14:textId="77777777" w:rsidR="003A549D" w:rsidRPr="003A549D" w:rsidRDefault="003A549D" w:rsidP="003A549D">
            <w:pPr>
              <w:spacing w:after="0"/>
              <w:rPr>
                <w:rFonts w:cs="Arial"/>
                <w:sz w:val="20"/>
              </w:rPr>
            </w:pPr>
            <w:r w:rsidRPr="003A549D">
              <w:rPr>
                <w:rFonts w:eastAsia="Calibri" w:cs="Arial"/>
                <w:b/>
                <w:bCs/>
                <w:sz w:val="20"/>
              </w:rPr>
              <w:t>Duration of exposure</w:t>
            </w:r>
          </w:p>
        </w:tc>
        <w:tc>
          <w:tcPr>
            <w:tcW w:w="3699" w:type="pct"/>
          </w:tcPr>
          <w:p w14:paraId="7B3C1655" w14:textId="77777777" w:rsidR="003A549D" w:rsidRPr="003A549D" w:rsidRDefault="003A549D" w:rsidP="003A549D">
            <w:pPr>
              <w:spacing w:after="0"/>
              <w:rPr>
                <w:rFonts w:cs="Arial"/>
                <w:sz w:val="20"/>
              </w:rPr>
            </w:pPr>
            <w:r w:rsidRPr="003A549D">
              <w:rPr>
                <w:rFonts w:cs="Arial"/>
                <w:sz w:val="20"/>
              </w:rPr>
              <w:t>Pyridoxine: up to ~13 weeks total dosing (with interruptions); 17-week recovery period to week 30. Branaplam: up to 30 weeks. Necropsies at weeks 13, 17, 21, and 30</w:t>
            </w:r>
          </w:p>
        </w:tc>
      </w:tr>
    </w:tbl>
    <w:p w14:paraId="4E3082F5" w14:textId="77777777" w:rsidR="003A549D" w:rsidRPr="003A549D" w:rsidRDefault="003A549D" w:rsidP="003A549D">
      <w:pPr>
        <w:rPr>
          <w:rFonts w:eastAsia="Times New Roman" w:cs="Times New Roman"/>
          <w:b/>
          <w:bCs/>
        </w:rPr>
      </w:pPr>
      <w:r w:rsidRPr="003A549D">
        <w:rPr>
          <w:rFonts w:eastAsia="Times New Roman" w:cs="Times New Roman"/>
          <w:b/>
          <w:bCs/>
        </w:rPr>
        <w:t>Outcomes</w:t>
      </w:r>
    </w:p>
    <w:tbl>
      <w:tblPr>
        <w:tblStyle w:val="SLROption1"/>
        <w:tblW w:w="5000" w:type="pct"/>
        <w:tblLook w:val="0000" w:firstRow="0" w:lastRow="0" w:firstColumn="0" w:lastColumn="0" w:noHBand="0" w:noVBand="0"/>
      </w:tblPr>
      <w:tblGrid>
        <w:gridCol w:w="3628"/>
        <w:gridCol w:w="10316"/>
      </w:tblGrid>
      <w:tr w:rsidR="003A549D" w:rsidRPr="003A549D" w14:paraId="24E2D536" w14:textId="77777777" w:rsidTr="00F62C9B">
        <w:tc>
          <w:tcPr>
            <w:tcW w:w="1301" w:type="pct"/>
            <w:shd w:val="clear" w:color="auto" w:fill="3C533C"/>
          </w:tcPr>
          <w:p w14:paraId="361CDC27"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0C369445"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2610BE5D" w14:textId="77777777" w:rsidTr="00F62C9B">
        <w:tc>
          <w:tcPr>
            <w:tcW w:w="1301" w:type="pct"/>
            <w:shd w:val="clear" w:color="auto" w:fill="F6FDE9"/>
          </w:tcPr>
          <w:p w14:paraId="2D1A50A9" w14:textId="77777777" w:rsidR="003A549D" w:rsidRPr="003A549D" w:rsidRDefault="003A549D" w:rsidP="003A549D">
            <w:pPr>
              <w:spacing w:after="0"/>
              <w:rPr>
                <w:rFonts w:cs="Arial"/>
                <w:sz w:val="20"/>
              </w:rPr>
            </w:pPr>
            <w:r w:rsidRPr="003A549D">
              <w:rPr>
                <w:rFonts w:eastAsia="Calibri" w:cs="Arial"/>
                <w:b/>
                <w:bCs/>
                <w:sz w:val="20"/>
              </w:rPr>
              <w:t>Primary outcome</w:t>
            </w:r>
          </w:p>
        </w:tc>
        <w:tc>
          <w:tcPr>
            <w:tcW w:w="3699" w:type="pct"/>
          </w:tcPr>
          <w:p w14:paraId="65952747" w14:textId="77777777" w:rsidR="003A549D" w:rsidRPr="003A549D" w:rsidRDefault="003A549D" w:rsidP="003A549D">
            <w:pPr>
              <w:spacing w:after="0"/>
              <w:rPr>
                <w:rFonts w:cs="Arial"/>
                <w:sz w:val="20"/>
              </w:rPr>
            </w:pPr>
            <w:r w:rsidRPr="003A549D">
              <w:rPr>
                <w:rFonts w:cs="Arial"/>
                <w:sz w:val="20"/>
              </w:rPr>
              <w:t>Utility of serum NfL as a biomarker for drug-induced peripheral neurotoxicity; correlation of NfL with histopathological and morphometric nerve damage.</w:t>
            </w:r>
          </w:p>
        </w:tc>
      </w:tr>
      <w:tr w:rsidR="003A549D" w:rsidRPr="003A549D" w14:paraId="6A37F1A4" w14:textId="77777777" w:rsidTr="00F62C9B">
        <w:tc>
          <w:tcPr>
            <w:tcW w:w="1301" w:type="pct"/>
            <w:shd w:val="clear" w:color="auto" w:fill="F6FDE9"/>
          </w:tcPr>
          <w:p w14:paraId="6B63BB04" w14:textId="77777777" w:rsidR="003A549D" w:rsidRPr="003A549D" w:rsidRDefault="003A549D" w:rsidP="003A549D">
            <w:pPr>
              <w:spacing w:after="0"/>
              <w:rPr>
                <w:rFonts w:cs="Arial"/>
                <w:sz w:val="20"/>
              </w:rPr>
            </w:pPr>
            <w:r w:rsidRPr="003A549D">
              <w:rPr>
                <w:rFonts w:eastAsia="Calibri" w:cs="Arial"/>
                <w:b/>
                <w:bCs/>
                <w:sz w:val="20"/>
              </w:rPr>
              <w:t>Outcome assessment</w:t>
            </w:r>
          </w:p>
        </w:tc>
        <w:tc>
          <w:tcPr>
            <w:tcW w:w="3699" w:type="pct"/>
          </w:tcPr>
          <w:p w14:paraId="6C0A825C" w14:textId="77777777" w:rsidR="003A549D" w:rsidRPr="003A549D" w:rsidRDefault="003A549D" w:rsidP="003A549D">
            <w:pPr>
              <w:spacing w:before="120" w:after="0"/>
              <w:rPr>
                <w:rFonts w:cs="Arial"/>
                <w:sz w:val="20"/>
              </w:rPr>
            </w:pPr>
            <w:r w:rsidRPr="003A549D">
              <w:rPr>
                <w:rFonts w:cs="Arial"/>
                <w:sz w:val="20"/>
              </w:rPr>
              <w:t>Twice-daily health checks; neurological examinations at weeks 7, 15, 21, 30 (general attitude, motor function, postural reactions, cranial/spinal nerve function); body weight and food consumption.</w:t>
            </w:r>
          </w:p>
        </w:tc>
      </w:tr>
      <w:tr w:rsidR="003A549D" w:rsidRPr="003A549D" w14:paraId="7FB58719" w14:textId="77777777" w:rsidTr="00F62C9B">
        <w:tc>
          <w:tcPr>
            <w:tcW w:w="1301" w:type="pct"/>
            <w:shd w:val="clear" w:color="auto" w:fill="F6FDE9"/>
          </w:tcPr>
          <w:p w14:paraId="7F3E01E8" w14:textId="77777777" w:rsidR="003A549D" w:rsidRPr="003A549D" w:rsidRDefault="003A549D" w:rsidP="003A549D">
            <w:pPr>
              <w:spacing w:after="0"/>
              <w:rPr>
                <w:rFonts w:cs="Arial"/>
                <w:sz w:val="20"/>
              </w:rPr>
            </w:pPr>
            <w:r w:rsidRPr="003A549D">
              <w:rPr>
                <w:rFonts w:eastAsia="Calibri" w:cs="Arial"/>
                <w:b/>
                <w:bCs/>
                <w:sz w:val="20"/>
              </w:rPr>
              <w:t>Outcome assessment – objective testing</w:t>
            </w:r>
          </w:p>
        </w:tc>
        <w:tc>
          <w:tcPr>
            <w:tcW w:w="3699" w:type="pct"/>
          </w:tcPr>
          <w:p w14:paraId="08DC1F9D" w14:textId="77777777" w:rsidR="003A549D" w:rsidRPr="003A549D" w:rsidRDefault="003A549D" w:rsidP="003A549D">
            <w:pPr>
              <w:spacing w:after="0"/>
              <w:rPr>
                <w:rFonts w:cs="Arial"/>
                <w:sz w:val="20"/>
              </w:rPr>
            </w:pPr>
            <w:r w:rsidRPr="003A549D">
              <w:rPr>
                <w:rFonts w:cs="Arial"/>
                <w:sz w:val="20"/>
              </w:rPr>
              <w:t>Nerve conduction velocity (NCV) and compound action potential amplitude (peroneal motor, sural sensory) at weeks 7, 15, 21; cauda equina latency; histopathology (H&amp;E, toluidine blue on semi-thin sections); morphometry (g-ratio, axon size, myelin size, myelinated fibre density) of sural and ulnar nerves; gene expression profiling (GeneChip microarray, sciatic/sural nerves and DRG)</w:t>
            </w:r>
          </w:p>
        </w:tc>
      </w:tr>
      <w:tr w:rsidR="003A549D" w:rsidRPr="003A549D" w14:paraId="5BEDE0EE" w14:textId="77777777" w:rsidTr="00F62C9B">
        <w:tc>
          <w:tcPr>
            <w:tcW w:w="1301" w:type="pct"/>
            <w:shd w:val="clear" w:color="auto" w:fill="F6FDE9"/>
          </w:tcPr>
          <w:p w14:paraId="720CCBB5" w14:textId="77777777" w:rsidR="003A549D" w:rsidRPr="003A549D" w:rsidRDefault="003A549D" w:rsidP="003A549D">
            <w:pPr>
              <w:spacing w:after="0"/>
              <w:rPr>
                <w:rFonts w:cs="Arial"/>
                <w:sz w:val="20"/>
              </w:rPr>
            </w:pPr>
            <w:r w:rsidRPr="003A549D">
              <w:rPr>
                <w:rFonts w:eastAsia="Calibri" w:cs="Arial"/>
                <w:b/>
                <w:bCs/>
                <w:sz w:val="20"/>
              </w:rPr>
              <w:t>Outcome assessment – tools used</w:t>
            </w:r>
          </w:p>
        </w:tc>
        <w:tc>
          <w:tcPr>
            <w:tcW w:w="3699" w:type="pct"/>
          </w:tcPr>
          <w:p w14:paraId="6FEFC1E2" w14:textId="77777777" w:rsidR="003A549D" w:rsidRPr="003A549D" w:rsidRDefault="003A549D" w:rsidP="003A549D">
            <w:pPr>
              <w:spacing w:after="0"/>
              <w:rPr>
                <w:rFonts w:cs="Arial"/>
                <w:sz w:val="20"/>
              </w:rPr>
            </w:pPr>
            <w:r w:rsidRPr="003A549D">
              <w:rPr>
                <w:rFonts w:cs="Arial"/>
                <w:sz w:val="20"/>
              </w:rPr>
              <w:t>Simoa platform for NfL; Aperio scanner and ImageScope for morphometry; INHAND/STP nomenclature for histopathology severity grading; Pearson correlation for gene signature construction.</w:t>
            </w:r>
          </w:p>
        </w:tc>
      </w:tr>
      <w:tr w:rsidR="003A549D" w:rsidRPr="003A549D" w14:paraId="3CCA36A4" w14:textId="77777777" w:rsidTr="00F62C9B">
        <w:tc>
          <w:tcPr>
            <w:tcW w:w="1301" w:type="pct"/>
            <w:shd w:val="clear" w:color="auto" w:fill="F6FDE9"/>
          </w:tcPr>
          <w:p w14:paraId="4FDADE9B" w14:textId="77777777" w:rsidR="003A549D" w:rsidRPr="003A549D" w:rsidRDefault="003A549D" w:rsidP="003A549D">
            <w:pPr>
              <w:spacing w:after="0"/>
              <w:rPr>
                <w:rFonts w:cs="Arial"/>
                <w:sz w:val="20"/>
              </w:rPr>
            </w:pPr>
            <w:r w:rsidRPr="003A549D">
              <w:rPr>
                <w:rFonts w:eastAsia="Calibri" w:cs="Arial"/>
                <w:b/>
                <w:bCs/>
                <w:sz w:val="20"/>
              </w:rPr>
              <w:t>Response to withdrawal</w:t>
            </w:r>
          </w:p>
        </w:tc>
        <w:tc>
          <w:tcPr>
            <w:tcW w:w="3699" w:type="pct"/>
          </w:tcPr>
          <w:p w14:paraId="1A9AB97A" w14:textId="77777777" w:rsidR="003A549D" w:rsidRPr="003A549D" w:rsidRDefault="003A549D" w:rsidP="003A549D">
            <w:pPr>
              <w:spacing w:after="0"/>
              <w:rPr>
                <w:rFonts w:cs="Arial"/>
                <w:sz w:val="20"/>
              </w:rPr>
            </w:pPr>
            <w:r w:rsidRPr="003A549D">
              <w:rPr>
                <w:rFonts w:cs="Arial"/>
                <w:sz w:val="20"/>
              </w:rPr>
              <w:t>Pyridoxine: neurological signs (ataxia) and NCV deficits reversed by weeks 21–30 after cessation at week 13. Serum NfL returned to normal by week 11 (after last high-dose week 5). Histopathological nerve fiber degeneration reduced at week 30 recovery compared with week 13.</w:t>
            </w:r>
          </w:p>
        </w:tc>
      </w:tr>
    </w:tbl>
    <w:p w14:paraId="349F09B2" w14:textId="77777777" w:rsidR="003A549D" w:rsidRPr="003A549D" w:rsidRDefault="003A549D" w:rsidP="003A549D">
      <w:pPr>
        <w:rPr>
          <w:rFonts w:eastAsia="Times New Roman" w:cs="Times New Roman"/>
          <w:b/>
          <w:bCs/>
        </w:rPr>
      </w:pPr>
      <w:r w:rsidRPr="003A549D">
        <w:rPr>
          <w:rFonts w:eastAsia="Times New Roman" w:cs="Times New Roman"/>
          <w:b/>
          <w:bCs/>
        </w:rPr>
        <w:t>Results and Conclusions</w:t>
      </w:r>
    </w:p>
    <w:tbl>
      <w:tblPr>
        <w:tblStyle w:val="SLROption1"/>
        <w:tblW w:w="5000" w:type="pct"/>
        <w:tblLook w:val="0000" w:firstRow="0" w:lastRow="0" w:firstColumn="0" w:lastColumn="0" w:noHBand="0" w:noVBand="0"/>
      </w:tblPr>
      <w:tblGrid>
        <w:gridCol w:w="3628"/>
        <w:gridCol w:w="10316"/>
      </w:tblGrid>
      <w:tr w:rsidR="003A549D" w:rsidRPr="003A549D" w14:paraId="3F89D807" w14:textId="77777777" w:rsidTr="00F62C9B">
        <w:trPr>
          <w:cantSplit/>
          <w:tblHeader/>
        </w:trPr>
        <w:tc>
          <w:tcPr>
            <w:tcW w:w="1301" w:type="pct"/>
            <w:shd w:val="clear" w:color="auto" w:fill="3C533C"/>
          </w:tcPr>
          <w:p w14:paraId="5443BC84" w14:textId="77777777" w:rsidR="003A549D" w:rsidRPr="003A549D" w:rsidRDefault="003A549D" w:rsidP="003A549D">
            <w:pPr>
              <w:spacing w:after="0"/>
              <w:rPr>
                <w:rFonts w:cs="Arial"/>
                <w:sz w:val="20"/>
              </w:rPr>
            </w:pPr>
            <w:r w:rsidRPr="003A549D">
              <w:rPr>
                <w:rFonts w:eastAsia="Calibri" w:cs="Arial"/>
                <w:b/>
                <w:bCs/>
                <w:color w:val="FFFFFF"/>
                <w:sz w:val="20"/>
              </w:rPr>
              <w:lastRenderedPageBreak/>
              <w:t>Field</w:t>
            </w:r>
          </w:p>
        </w:tc>
        <w:tc>
          <w:tcPr>
            <w:tcW w:w="3699" w:type="pct"/>
            <w:shd w:val="clear" w:color="auto" w:fill="3C533C"/>
          </w:tcPr>
          <w:p w14:paraId="45A3FF66"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599998F3" w14:textId="77777777" w:rsidTr="00F62C9B">
        <w:trPr>
          <w:cantSplit/>
        </w:trPr>
        <w:tc>
          <w:tcPr>
            <w:tcW w:w="1301" w:type="pct"/>
            <w:shd w:val="clear" w:color="auto" w:fill="F6FDE9"/>
          </w:tcPr>
          <w:p w14:paraId="26315491" w14:textId="77777777" w:rsidR="003A549D" w:rsidRPr="003A549D" w:rsidRDefault="003A549D" w:rsidP="003A549D">
            <w:pPr>
              <w:spacing w:after="0"/>
              <w:rPr>
                <w:rFonts w:cs="Arial"/>
                <w:sz w:val="20"/>
              </w:rPr>
            </w:pPr>
            <w:r w:rsidRPr="003A549D">
              <w:rPr>
                <w:rFonts w:eastAsia="Calibri" w:cs="Arial"/>
                <w:b/>
                <w:bCs/>
                <w:sz w:val="20"/>
              </w:rPr>
              <w:t>Main results</w:t>
            </w:r>
          </w:p>
        </w:tc>
        <w:tc>
          <w:tcPr>
            <w:tcW w:w="3699" w:type="pct"/>
          </w:tcPr>
          <w:p w14:paraId="4D861837" w14:textId="77777777" w:rsidR="003A549D" w:rsidRPr="003A549D" w:rsidRDefault="003A549D" w:rsidP="003A549D">
            <w:pPr>
              <w:spacing w:before="120" w:after="0"/>
              <w:rPr>
                <w:rFonts w:cs="Arial"/>
                <w:sz w:val="20"/>
              </w:rPr>
            </w:pPr>
            <w:r w:rsidRPr="003A549D">
              <w:rPr>
                <w:rFonts w:cs="Arial"/>
                <w:sz w:val="20"/>
              </w:rPr>
              <w:t xml:space="preserve">Pyridoxine (100–150 mg/kg/day) produced DRG and peripheral nerve axonal degeneration, clinical ataxia, significant NCV slowing (sural sensory NCV ~38% decrease at week 7), and serum NfL 10- to 450-fold above vehicle at week 5. NfL normalised by week 11. </w:t>
            </w:r>
          </w:p>
          <w:p w14:paraId="2C5BD225" w14:textId="77777777" w:rsidR="003A549D" w:rsidRPr="003A549D" w:rsidRDefault="003A549D" w:rsidP="003A549D">
            <w:pPr>
              <w:spacing w:before="120" w:after="0"/>
              <w:rPr>
                <w:rFonts w:cs="Arial"/>
                <w:sz w:val="20"/>
              </w:rPr>
            </w:pPr>
            <w:r w:rsidRPr="003A549D">
              <w:rPr>
                <w:rFonts w:cs="Arial"/>
                <w:sz w:val="20"/>
              </w:rPr>
              <w:t>Branaplam caused mild-to-moderate peripheral nerve fibre degeneration without clinical or electrophysiological signs, with serum NfL 2- to 20-fold above vehicle from week 11 onward. Moderate severity nerve fibre degeneration always correlated with elevated serum NfL; minimal degeneration did not consistently elevate NfL. CSF NfL was more sensitive for CNS/spinal cord lesions; serum NfL correlated better with peripheral nerve lesions. Gene expression profiling corroborated histopathological differences between the two compounds.</w:t>
            </w:r>
          </w:p>
        </w:tc>
      </w:tr>
      <w:tr w:rsidR="003A549D" w:rsidRPr="003A549D" w14:paraId="321A8C77" w14:textId="77777777" w:rsidTr="00F62C9B">
        <w:trPr>
          <w:cantSplit/>
        </w:trPr>
        <w:tc>
          <w:tcPr>
            <w:tcW w:w="1301" w:type="pct"/>
            <w:shd w:val="clear" w:color="auto" w:fill="F6FDE9"/>
          </w:tcPr>
          <w:p w14:paraId="748D955D" w14:textId="77777777" w:rsidR="003A549D" w:rsidRPr="003A549D" w:rsidRDefault="003A549D" w:rsidP="003A549D">
            <w:pPr>
              <w:spacing w:after="0"/>
              <w:rPr>
                <w:rFonts w:cs="Arial"/>
                <w:sz w:val="20"/>
              </w:rPr>
            </w:pPr>
            <w:r w:rsidRPr="003A549D">
              <w:rPr>
                <w:rFonts w:eastAsia="Calibri" w:cs="Arial"/>
                <w:b/>
                <w:bCs/>
                <w:sz w:val="20"/>
              </w:rPr>
              <w:t>Authors' conclusions</w:t>
            </w:r>
          </w:p>
        </w:tc>
        <w:tc>
          <w:tcPr>
            <w:tcW w:w="3699" w:type="pct"/>
          </w:tcPr>
          <w:p w14:paraId="76A810FC" w14:textId="77777777" w:rsidR="003A549D" w:rsidRPr="003A549D" w:rsidRDefault="003A549D" w:rsidP="003A549D">
            <w:pPr>
              <w:spacing w:after="0"/>
              <w:rPr>
                <w:rFonts w:cs="Arial"/>
                <w:sz w:val="20"/>
              </w:rPr>
            </w:pPr>
            <w:r w:rsidRPr="003A549D">
              <w:rPr>
                <w:rFonts w:cs="Arial"/>
                <w:sz w:val="20"/>
              </w:rPr>
              <w:t xml:space="preserve">Serum NfL is a sensitive, non-invasive biomarker capable of detecting PNS neurotoxicity including subclinical damage without clinical or electrophysiological signs in dogs. </w:t>
            </w:r>
          </w:p>
          <w:p w14:paraId="28A08BA9" w14:textId="77777777" w:rsidR="003A549D" w:rsidRPr="003A549D" w:rsidRDefault="003A549D" w:rsidP="003A549D">
            <w:pPr>
              <w:spacing w:after="0"/>
              <w:rPr>
                <w:rFonts w:cs="Arial"/>
                <w:sz w:val="20"/>
              </w:rPr>
            </w:pPr>
            <w:r w:rsidRPr="003A549D">
              <w:rPr>
                <w:rFonts w:cs="Arial"/>
                <w:sz w:val="20"/>
              </w:rPr>
              <w:t>Pyridoxine served as an effective positive control. NfL monitoring has potential utility in both preclinical and clinical neurotoxicity assessment.</w:t>
            </w:r>
          </w:p>
        </w:tc>
      </w:tr>
      <w:tr w:rsidR="003A549D" w:rsidRPr="003A549D" w14:paraId="7650A2CC" w14:textId="77777777" w:rsidTr="00F62C9B">
        <w:trPr>
          <w:cantSplit/>
        </w:trPr>
        <w:tc>
          <w:tcPr>
            <w:tcW w:w="1301" w:type="pct"/>
            <w:shd w:val="clear" w:color="auto" w:fill="F6FDE9"/>
          </w:tcPr>
          <w:p w14:paraId="3F8B824E" w14:textId="77777777" w:rsidR="003A549D" w:rsidRPr="003A549D" w:rsidRDefault="003A549D" w:rsidP="003A549D">
            <w:pPr>
              <w:spacing w:after="0"/>
              <w:rPr>
                <w:rFonts w:cs="Arial"/>
                <w:sz w:val="20"/>
              </w:rPr>
            </w:pPr>
            <w:r w:rsidRPr="003A549D">
              <w:rPr>
                <w:rFonts w:eastAsia="Calibri" w:cs="Arial"/>
                <w:b/>
                <w:bCs/>
                <w:sz w:val="20"/>
              </w:rPr>
              <w:t>Authors' acknowledged limitations</w:t>
            </w:r>
          </w:p>
        </w:tc>
        <w:tc>
          <w:tcPr>
            <w:tcW w:w="3699" w:type="pct"/>
          </w:tcPr>
          <w:p w14:paraId="6612B257" w14:textId="77777777" w:rsidR="003A549D" w:rsidRPr="003A549D" w:rsidRDefault="003A549D" w:rsidP="003A549D">
            <w:pPr>
              <w:spacing w:after="0"/>
              <w:rPr>
                <w:rFonts w:cs="Arial"/>
                <w:sz w:val="20"/>
              </w:rPr>
            </w:pPr>
            <w:r w:rsidRPr="003A549D">
              <w:rPr>
                <w:rFonts w:cs="Arial"/>
                <w:sz w:val="20"/>
              </w:rPr>
              <w:t>Small group sizes precluded formal statistical comparisons; CSF baseline samples not collected (to avoid puncture artefact); pyridoxine GEP analysis was likely too far from peak toxicity time point for full transcriptional characterisation; NfL elevation without histopathological correlate may reflect sampling limitations of thin-section microscopy rather than absence of lesion.</w:t>
            </w:r>
          </w:p>
        </w:tc>
      </w:tr>
    </w:tbl>
    <w:p w14:paraId="0E825B3B" w14:textId="77777777" w:rsidR="003A549D" w:rsidRPr="003A549D" w:rsidRDefault="003A549D" w:rsidP="003A549D">
      <w:pPr>
        <w:rPr>
          <w:rFonts w:eastAsia="Times New Roman" w:cs="Times New Roman"/>
          <w:b/>
          <w:bCs/>
        </w:rPr>
      </w:pPr>
      <w:r w:rsidRPr="003A549D">
        <w:rPr>
          <w:rFonts w:eastAsia="Times New Roman" w:cs="Times New Roman"/>
          <w:b/>
          <w:bCs/>
        </w:rPr>
        <w:t>Contextual information for the AU/NZ UL review</w:t>
      </w:r>
    </w:p>
    <w:tbl>
      <w:tblPr>
        <w:tblStyle w:val="SLROption1"/>
        <w:tblW w:w="5000" w:type="pct"/>
        <w:tblLook w:val="0000" w:firstRow="0" w:lastRow="0" w:firstColumn="0" w:lastColumn="0" w:noHBand="0" w:noVBand="0"/>
      </w:tblPr>
      <w:tblGrid>
        <w:gridCol w:w="3628"/>
        <w:gridCol w:w="10316"/>
      </w:tblGrid>
      <w:tr w:rsidR="003A549D" w:rsidRPr="003A549D" w14:paraId="0796D4D4" w14:textId="77777777" w:rsidTr="00F62C9B">
        <w:tc>
          <w:tcPr>
            <w:tcW w:w="1301" w:type="pct"/>
            <w:shd w:val="clear" w:color="auto" w:fill="F6FDE9"/>
          </w:tcPr>
          <w:p w14:paraId="39F2A84C" w14:textId="77777777" w:rsidR="003A549D" w:rsidRPr="003A549D" w:rsidRDefault="003A549D" w:rsidP="003A549D">
            <w:pPr>
              <w:spacing w:after="0"/>
              <w:rPr>
                <w:rFonts w:cs="Arial"/>
                <w:sz w:val="20"/>
              </w:rPr>
            </w:pPr>
            <w:r w:rsidRPr="003A549D">
              <w:rPr>
                <w:rFonts w:eastAsia="Calibri" w:cs="Arial"/>
                <w:b/>
                <w:bCs/>
                <w:sz w:val="20"/>
              </w:rPr>
              <w:t>Generalisability to AU/NZ</w:t>
            </w:r>
          </w:p>
        </w:tc>
        <w:tc>
          <w:tcPr>
            <w:tcW w:w="3699" w:type="pct"/>
          </w:tcPr>
          <w:p w14:paraId="2D2F387D" w14:textId="77777777" w:rsidR="003A549D" w:rsidRPr="003A549D" w:rsidRDefault="003A549D" w:rsidP="003A549D">
            <w:pPr>
              <w:spacing w:after="0"/>
              <w:rPr>
                <w:rFonts w:cs="Arial"/>
                <w:sz w:val="20"/>
              </w:rPr>
            </w:pPr>
            <w:r w:rsidRPr="003A549D">
              <w:rPr>
                <w:rFonts w:cs="Arial"/>
                <w:sz w:val="20"/>
              </w:rPr>
              <w:t>Preclinical dog study; not directly applicable to setting a population-level human dietary UL for vitamin B6. However, the pyridoxine arm provides useful mechanistic and dose–response context: 100–150 mg/kg/day in dogs produced rapid, marked axonal degeneration with clinical and electrophysiological signs, and serum NfL elevations up to 450-fold. The dose is far higher than human supplemental intake but the study characterises the neuropathological distribution pattern of pyridoxine toxicity (DRG-predominant, long myelinated fibre degeneration) consistent with the human sensory neuropathy/neuronopathy phenotype. The partial reversibility after cessation (improved NCV and histopathology at week 30) aligns with human clinical data on recovery.</w:t>
            </w:r>
          </w:p>
        </w:tc>
      </w:tr>
    </w:tbl>
    <w:p w14:paraId="406F6C15" w14:textId="77777777" w:rsidR="003A549D" w:rsidRPr="003A549D" w:rsidRDefault="003A549D" w:rsidP="003A549D"/>
    <w:p w14:paraId="0D923BC5" w14:textId="77777777" w:rsidR="003A549D" w:rsidRPr="003A549D" w:rsidRDefault="003A549D" w:rsidP="003A549D">
      <w:pPr>
        <w:keepNext/>
        <w:numPr>
          <w:ilvl w:val="2"/>
          <w:numId w:val="2"/>
        </w:numPr>
        <w:spacing w:before="240"/>
        <w:outlineLvl w:val="8"/>
        <w:rPr>
          <w:b/>
          <w:iCs/>
          <w:noProof/>
          <w:color w:val="667545" w:themeColor="accent3"/>
          <w:sz w:val="24"/>
        </w:rPr>
      </w:pPr>
      <w:r w:rsidRPr="003A549D">
        <w:rPr>
          <w:b/>
          <w:iCs/>
          <w:noProof/>
          <w:color w:val="667545" w:themeColor="accent3"/>
          <w:sz w:val="24"/>
        </w:rPr>
        <w:t>vanHunsel et al. 2025</w:t>
      </w:r>
    </w:p>
    <w:p w14:paraId="3E0BBBC0" w14:textId="77777777" w:rsidR="003A549D" w:rsidRPr="003A549D" w:rsidRDefault="003A549D" w:rsidP="003A549D">
      <w:pPr>
        <w:keepNext/>
        <w:spacing w:before="240"/>
        <w:ind w:left="1080" w:hanging="1080"/>
        <w:rPr>
          <w:rFonts w:eastAsia="Calibri" w:cs="Arial"/>
          <w:b/>
          <w:bCs/>
          <w:sz w:val="20"/>
        </w:rPr>
      </w:pPr>
      <w:r w:rsidRPr="003A549D">
        <w:rPr>
          <w:rFonts w:eastAsia="Calibri" w:cs="Arial"/>
          <w:b/>
          <w:bCs/>
          <w:sz w:val="20"/>
        </w:rPr>
        <w:t>Study identification and design</w:t>
      </w:r>
    </w:p>
    <w:tbl>
      <w:tblPr>
        <w:tblStyle w:val="SLROption1"/>
        <w:tblW w:w="5000" w:type="pct"/>
        <w:tblLook w:val="0000" w:firstRow="0" w:lastRow="0" w:firstColumn="0" w:lastColumn="0" w:noHBand="0" w:noVBand="0"/>
      </w:tblPr>
      <w:tblGrid>
        <w:gridCol w:w="3628"/>
        <w:gridCol w:w="10316"/>
      </w:tblGrid>
      <w:tr w:rsidR="003A549D" w:rsidRPr="003A549D" w14:paraId="10278125" w14:textId="77777777" w:rsidTr="00F62C9B">
        <w:tc>
          <w:tcPr>
            <w:tcW w:w="1301" w:type="pct"/>
            <w:shd w:val="clear" w:color="auto" w:fill="3C533C"/>
          </w:tcPr>
          <w:p w14:paraId="632E7DA7"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099765C2"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3787C9F1" w14:textId="77777777" w:rsidTr="00F62C9B">
        <w:tc>
          <w:tcPr>
            <w:tcW w:w="1301" w:type="pct"/>
            <w:shd w:val="clear" w:color="auto" w:fill="F6FDE9"/>
          </w:tcPr>
          <w:p w14:paraId="56922EB9" w14:textId="77777777" w:rsidR="003A549D" w:rsidRPr="003A549D" w:rsidRDefault="003A549D" w:rsidP="003A549D">
            <w:pPr>
              <w:spacing w:after="0"/>
              <w:rPr>
                <w:rFonts w:cs="Arial"/>
                <w:sz w:val="20"/>
              </w:rPr>
            </w:pPr>
            <w:r w:rsidRPr="003A549D">
              <w:rPr>
                <w:rFonts w:eastAsia="Calibri" w:cs="Arial"/>
                <w:b/>
                <w:bCs/>
                <w:sz w:val="20"/>
              </w:rPr>
              <w:lastRenderedPageBreak/>
              <w:t>Citation</w:t>
            </w:r>
          </w:p>
        </w:tc>
        <w:tc>
          <w:tcPr>
            <w:tcW w:w="3699" w:type="pct"/>
          </w:tcPr>
          <w:p w14:paraId="41175795" w14:textId="77777777" w:rsidR="003A549D" w:rsidRPr="003A549D" w:rsidRDefault="003A549D" w:rsidP="003A549D">
            <w:pPr>
              <w:spacing w:after="0"/>
              <w:rPr>
                <w:rFonts w:cs="Arial"/>
                <w:sz w:val="20"/>
              </w:rPr>
            </w:pPr>
            <w:r w:rsidRPr="003A549D">
              <w:rPr>
                <w:rFonts w:cs="Arial"/>
                <w:sz w:val="20"/>
              </w:rPr>
              <w:t xml:space="preserve">van Hunsel F, Scholl J, Vrolijk M, Ekhart C. Impact of regulatory action on dose maximalization for vitamin B6 dietary supplements on the reporting pattern for neuropathy. </w:t>
            </w:r>
            <w:r w:rsidRPr="003A549D">
              <w:rPr>
                <w:rFonts w:cs="Arial"/>
                <w:i/>
                <w:iCs/>
                <w:sz w:val="20"/>
              </w:rPr>
              <w:t>Pharmacoepidemiol Drug Saf.</w:t>
            </w:r>
            <w:r w:rsidRPr="003A549D">
              <w:rPr>
                <w:rFonts w:cs="Arial"/>
                <w:sz w:val="20"/>
              </w:rPr>
              <w:t xml:space="preserve"> 2025;34:e70108. </w:t>
            </w:r>
            <w:hyperlink r:id="rId203" w:history="1">
              <w:r w:rsidRPr="003A549D">
                <w:rPr>
                  <w:rFonts w:cs="Arial"/>
                  <w:color w:val="4E5768"/>
                  <w:sz w:val="20"/>
                  <w:u w:val="single"/>
                </w:rPr>
                <w:t>https://doi.org/10.1002/pds.70108</w:t>
              </w:r>
            </w:hyperlink>
          </w:p>
        </w:tc>
      </w:tr>
      <w:tr w:rsidR="003A549D" w:rsidRPr="003A549D" w14:paraId="701DFB3A" w14:textId="77777777" w:rsidTr="00F62C9B">
        <w:tc>
          <w:tcPr>
            <w:tcW w:w="1301" w:type="pct"/>
            <w:shd w:val="clear" w:color="auto" w:fill="F6FDE9"/>
          </w:tcPr>
          <w:p w14:paraId="6F5B0215" w14:textId="77777777" w:rsidR="003A549D" w:rsidRPr="003A549D" w:rsidRDefault="003A549D" w:rsidP="003A549D">
            <w:pPr>
              <w:spacing w:after="0"/>
              <w:rPr>
                <w:rFonts w:cs="Arial"/>
                <w:sz w:val="20"/>
              </w:rPr>
            </w:pPr>
            <w:r w:rsidRPr="003A549D">
              <w:rPr>
                <w:rFonts w:eastAsia="Calibri" w:cs="Arial"/>
                <w:b/>
                <w:bCs/>
                <w:sz w:val="20"/>
              </w:rPr>
              <w:t>Publication status</w:t>
            </w:r>
          </w:p>
        </w:tc>
        <w:tc>
          <w:tcPr>
            <w:tcW w:w="3699" w:type="pct"/>
          </w:tcPr>
          <w:p w14:paraId="116BD02D" w14:textId="77777777" w:rsidR="003A549D" w:rsidRPr="003A549D" w:rsidRDefault="003A549D" w:rsidP="003A549D">
            <w:pPr>
              <w:spacing w:after="0"/>
              <w:rPr>
                <w:rFonts w:cs="Arial"/>
                <w:sz w:val="20"/>
              </w:rPr>
            </w:pPr>
            <w:r w:rsidRPr="003A549D">
              <w:rPr>
                <w:rFonts w:cs="Arial"/>
                <w:sz w:val="20"/>
              </w:rPr>
              <w:t>Published, peer-reviewed open-access brief report (received March 2024, accepted January 2025)</w:t>
            </w:r>
          </w:p>
        </w:tc>
      </w:tr>
      <w:tr w:rsidR="003A549D" w:rsidRPr="003A549D" w14:paraId="3AE34A9F" w14:textId="77777777" w:rsidTr="00F62C9B">
        <w:tc>
          <w:tcPr>
            <w:tcW w:w="1301" w:type="pct"/>
            <w:shd w:val="clear" w:color="auto" w:fill="F6FDE9"/>
          </w:tcPr>
          <w:p w14:paraId="493BD8B4" w14:textId="77777777" w:rsidR="003A549D" w:rsidRPr="003A549D" w:rsidRDefault="003A549D" w:rsidP="003A549D">
            <w:pPr>
              <w:spacing w:after="0"/>
              <w:rPr>
                <w:rFonts w:cs="Arial"/>
                <w:sz w:val="20"/>
              </w:rPr>
            </w:pPr>
            <w:r w:rsidRPr="003A549D">
              <w:rPr>
                <w:rFonts w:eastAsia="Calibri" w:cs="Arial"/>
                <w:b/>
                <w:bCs/>
                <w:sz w:val="20"/>
              </w:rPr>
              <w:t>Country / setting</w:t>
            </w:r>
          </w:p>
        </w:tc>
        <w:tc>
          <w:tcPr>
            <w:tcW w:w="3699" w:type="pct"/>
          </w:tcPr>
          <w:p w14:paraId="17F55C51" w14:textId="77777777" w:rsidR="003A549D" w:rsidRPr="003A549D" w:rsidRDefault="003A549D" w:rsidP="003A549D">
            <w:pPr>
              <w:spacing w:after="0"/>
              <w:rPr>
                <w:rFonts w:cs="Arial"/>
                <w:sz w:val="20"/>
              </w:rPr>
            </w:pPr>
            <w:r w:rsidRPr="003A549D">
              <w:rPr>
                <w:rFonts w:cs="Arial"/>
                <w:sz w:val="20"/>
              </w:rPr>
              <w:t>Netherlands; pharmacovigilance analysis of the Dutch Spontaneous Reporting System (SRS) held by Lareb, covering August 2007 to December 2023.</w:t>
            </w:r>
          </w:p>
        </w:tc>
      </w:tr>
      <w:tr w:rsidR="003A549D" w:rsidRPr="003A549D" w14:paraId="54FB46FF" w14:textId="77777777" w:rsidTr="00F62C9B">
        <w:tc>
          <w:tcPr>
            <w:tcW w:w="1301" w:type="pct"/>
            <w:shd w:val="clear" w:color="auto" w:fill="F6FDE9"/>
          </w:tcPr>
          <w:p w14:paraId="3CB27C45" w14:textId="77777777" w:rsidR="003A549D" w:rsidRPr="003A549D" w:rsidRDefault="003A549D" w:rsidP="003A549D">
            <w:pPr>
              <w:spacing w:after="0"/>
              <w:rPr>
                <w:rFonts w:cs="Arial"/>
                <w:sz w:val="20"/>
              </w:rPr>
            </w:pPr>
            <w:r w:rsidRPr="003A549D">
              <w:rPr>
                <w:rFonts w:eastAsia="Calibri" w:cs="Arial"/>
                <w:b/>
                <w:bCs/>
                <w:sz w:val="20"/>
              </w:rPr>
              <w:t>Study design</w:t>
            </w:r>
          </w:p>
        </w:tc>
        <w:tc>
          <w:tcPr>
            <w:tcW w:w="3699" w:type="pct"/>
          </w:tcPr>
          <w:p w14:paraId="265639FC" w14:textId="77777777" w:rsidR="003A549D" w:rsidRPr="003A549D" w:rsidRDefault="003A549D" w:rsidP="003A549D">
            <w:pPr>
              <w:spacing w:after="0"/>
              <w:rPr>
                <w:rFonts w:cs="Arial"/>
                <w:sz w:val="20"/>
              </w:rPr>
            </w:pPr>
            <w:r w:rsidRPr="003A549D">
              <w:rPr>
                <w:rFonts w:cs="Arial"/>
                <w:sz w:val="20"/>
              </w:rPr>
              <w:t>Retrospective descriptive analysis of spontaneous adverse drug reaction (ADR) reports with changepoint analysis of reporting trends over time, before and after a 2018 regulatory dose restriction.</w:t>
            </w:r>
          </w:p>
        </w:tc>
      </w:tr>
      <w:tr w:rsidR="003A549D" w:rsidRPr="003A549D" w14:paraId="6DBC90B6" w14:textId="77777777" w:rsidTr="00F62C9B">
        <w:tc>
          <w:tcPr>
            <w:tcW w:w="1301" w:type="pct"/>
            <w:shd w:val="clear" w:color="auto" w:fill="F6FDE9"/>
          </w:tcPr>
          <w:p w14:paraId="46DF854B" w14:textId="77777777" w:rsidR="003A549D" w:rsidRPr="003A549D" w:rsidRDefault="003A549D" w:rsidP="003A549D">
            <w:pPr>
              <w:spacing w:after="0"/>
              <w:rPr>
                <w:rFonts w:cs="Arial"/>
                <w:sz w:val="20"/>
              </w:rPr>
            </w:pPr>
            <w:r w:rsidRPr="003A549D">
              <w:rPr>
                <w:rFonts w:eastAsia="Calibri" w:cs="Arial"/>
                <w:b/>
                <w:bCs/>
                <w:sz w:val="20"/>
              </w:rPr>
              <w:t>Funding / conflicts of interest</w:t>
            </w:r>
          </w:p>
        </w:tc>
        <w:tc>
          <w:tcPr>
            <w:tcW w:w="3699" w:type="pct"/>
          </w:tcPr>
          <w:p w14:paraId="0809743A" w14:textId="77777777" w:rsidR="003A549D" w:rsidRPr="003A549D" w:rsidRDefault="003A549D" w:rsidP="003A549D">
            <w:pPr>
              <w:spacing w:after="0"/>
              <w:rPr>
                <w:rFonts w:cs="Arial"/>
                <w:sz w:val="20"/>
              </w:rPr>
            </w:pPr>
            <w:r w:rsidRPr="003A549D">
              <w:rPr>
                <w:rFonts w:cs="Arial"/>
                <w:sz w:val="20"/>
              </w:rPr>
              <w:t>None.</w:t>
            </w:r>
          </w:p>
        </w:tc>
      </w:tr>
    </w:tbl>
    <w:p w14:paraId="7608866F" w14:textId="77777777" w:rsidR="003A549D" w:rsidRPr="003A549D" w:rsidRDefault="003A549D" w:rsidP="003A549D">
      <w:pPr>
        <w:rPr>
          <w:rFonts w:eastAsia="Times New Roman" w:cs="Times New Roman"/>
        </w:rPr>
      </w:pPr>
      <w:r w:rsidRPr="003A549D">
        <w:rPr>
          <w:rFonts w:eastAsia="Calibri" w:cs="Arial"/>
          <w:b/>
          <w:bCs/>
          <w:sz w:val="20"/>
        </w:rPr>
        <w:t>Population</w:t>
      </w:r>
    </w:p>
    <w:tbl>
      <w:tblPr>
        <w:tblStyle w:val="SLROption1"/>
        <w:tblW w:w="5000" w:type="pct"/>
        <w:tblLook w:val="0000" w:firstRow="0" w:lastRow="0" w:firstColumn="0" w:lastColumn="0" w:noHBand="0" w:noVBand="0"/>
      </w:tblPr>
      <w:tblGrid>
        <w:gridCol w:w="3628"/>
        <w:gridCol w:w="10316"/>
      </w:tblGrid>
      <w:tr w:rsidR="003A549D" w:rsidRPr="003A549D" w14:paraId="4A7519FA" w14:textId="77777777" w:rsidTr="00F62C9B">
        <w:tc>
          <w:tcPr>
            <w:tcW w:w="1301" w:type="pct"/>
            <w:shd w:val="clear" w:color="auto" w:fill="3C533C"/>
          </w:tcPr>
          <w:p w14:paraId="401A34F4"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486E4C62"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7F3E4FC8" w14:textId="77777777" w:rsidTr="00F62C9B">
        <w:tc>
          <w:tcPr>
            <w:tcW w:w="1301" w:type="pct"/>
            <w:shd w:val="clear" w:color="auto" w:fill="F6FDE9"/>
          </w:tcPr>
          <w:p w14:paraId="09726583" w14:textId="77777777" w:rsidR="003A549D" w:rsidRPr="003A549D" w:rsidRDefault="003A549D" w:rsidP="003A549D">
            <w:pPr>
              <w:spacing w:after="0"/>
              <w:rPr>
                <w:rFonts w:cs="Arial"/>
                <w:sz w:val="20"/>
              </w:rPr>
            </w:pPr>
            <w:r w:rsidRPr="003A549D">
              <w:rPr>
                <w:rFonts w:eastAsia="Calibri" w:cs="Arial"/>
                <w:b/>
                <w:bCs/>
                <w:sz w:val="20"/>
              </w:rPr>
              <w:t>Sample size</w:t>
            </w:r>
          </w:p>
        </w:tc>
        <w:tc>
          <w:tcPr>
            <w:tcW w:w="3699" w:type="pct"/>
          </w:tcPr>
          <w:p w14:paraId="04AD1654" w14:textId="77777777" w:rsidR="003A549D" w:rsidRPr="003A549D" w:rsidRDefault="003A549D" w:rsidP="003A549D">
            <w:pPr>
              <w:spacing w:after="0"/>
              <w:rPr>
                <w:rFonts w:cs="Arial"/>
                <w:sz w:val="20"/>
              </w:rPr>
            </w:pPr>
            <w:r w:rsidRPr="003A549D">
              <w:rPr>
                <w:rFonts w:cs="Arial"/>
                <w:sz w:val="20"/>
              </w:rPr>
              <w:t>224 reports of neuropathy associated with vitamin B6 supplements</w:t>
            </w:r>
          </w:p>
        </w:tc>
      </w:tr>
      <w:tr w:rsidR="003A549D" w:rsidRPr="003A549D" w14:paraId="10036865" w14:textId="77777777" w:rsidTr="00F62C9B">
        <w:tc>
          <w:tcPr>
            <w:tcW w:w="1301" w:type="pct"/>
            <w:shd w:val="clear" w:color="auto" w:fill="F6FDE9"/>
          </w:tcPr>
          <w:p w14:paraId="14879F80" w14:textId="77777777" w:rsidR="003A549D" w:rsidRPr="003A549D" w:rsidRDefault="003A549D" w:rsidP="003A549D">
            <w:pPr>
              <w:spacing w:after="0"/>
              <w:rPr>
                <w:rFonts w:cs="Arial"/>
                <w:sz w:val="20"/>
              </w:rPr>
            </w:pPr>
            <w:r w:rsidRPr="003A549D">
              <w:rPr>
                <w:rFonts w:eastAsia="Calibri" w:cs="Arial"/>
                <w:b/>
                <w:bCs/>
                <w:sz w:val="20"/>
              </w:rPr>
              <w:t>Patient (test animal) characteristics</w:t>
            </w:r>
          </w:p>
        </w:tc>
        <w:tc>
          <w:tcPr>
            <w:tcW w:w="3699" w:type="pct"/>
          </w:tcPr>
          <w:p w14:paraId="31FE9E15" w14:textId="77777777" w:rsidR="003A549D" w:rsidRPr="003A549D" w:rsidRDefault="003A549D" w:rsidP="003A549D">
            <w:pPr>
              <w:spacing w:before="120" w:after="0"/>
              <w:rPr>
                <w:rFonts w:cs="Arial"/>
                <w:sz w:val="20"/>
              </w:rPr>
            </w:pPr>
            <w:r w:rsidRPr="003A549D">
              <w:rPr>
                <w:rFonts w:cs="Arial"/>
                <w:sz w:val="20"/>
              </w:rPr>
              <w:t>75.4% female, 24.6% male. Mean age 52 years (median 53, range 3–92 years). Reporters included consumers/patients and healthcare professionals. Over 90 cases reported concomitant medication use. Potential alternative causes noted in a small number of cases (diabetes n=2, alcohol abuse n=1, Lyme disease n=1, radiotherapy n=1, pre-existing small fibre neuropathy n=1)</w:t>
            </w:r>
          </w:p>
        </w:tc>
      </w:tr>
      <w:tr w:rsidR="003A549D" w:rsidRPr="003A549D" w14:paraId="100C2EDB" w14:textId="77777777" w:rsidTr="00F62C9B">
        <w:tc>
          <w:tcPr>
            <w:tcW w:w="1301" w:type="pct"/>
            <w:shd w:val="clear" w:color="auto" w:fill="F6FDE9"/>
          </w:tcPr>
          <w:p w14:paraId="6DC89938" w14:textId="77777777" w:rsidR="003A549D" w:rsidRPr="003A549D" w:rsidRDefault="003A549D" w:rsidP="003A549D">
            <w:pPr>
              <w:spacing w:after="0"/>
              <w:rPr>
                <w:rFonts w:cs="Arial"/>
                <w:sz w:val="20"/>
              </w:rPr>
            </w:pPr>
            <w:r w:rsidRPr="003A549D">
              <w:rPr>
                <w:rFonts w:eastAsia="Calibri" w:cs="Arial"/>
                <w:b/>
                <w:bCs/>
                <w:sz w:val="20"/>
              </w:rPr>
              <w:t>Inclusion/exclusion of alternative causes</w:t>
            </w:r>
          </w:p>
        </w:tc>
        <w:tc>
          <w:tcPr>
            <w:tcW w:w="3699" w:type="pct"/>
          </w:tcPr>
          <w:p w14:paraId="43AAF1D4" w14:textId="77777777" w:rsidR="003A549D" w:rsidRPr="003A549D" w:rsidRDefault="003A549D" w:rsidP="003A549D">
            <w:pPr>
              <w:spacing w:after="0"/>
              <w:rPr>
                <w:rFonts w:cs="Arial"/>
                <w:sz w:val="20"/>
              </w:rPr>
            </w:pPr>
            <w:r w:rsidRPr="003A549D">
              <w:rPr>
                <w:rFonts w:cs="Arial"/>
                <w:sz w:val="20"/>
              </w:rPr>
              <w:t>Reports selected using MedDRA SMQ (Broad) "peripheral neuropathy" and vitamin B6 product coding. Full individual causality assessment was out of scope; alternative causes not systematically excluded.</w:t>
            </w:r>
          </w:p>
        </w:tc>
      </w:tr>
    </w:tbl>
    <w:p w14:paraId="3E6E3D0F" w14:textId="77777777" w:rsidR="003A549D" w:rsidRPr="003A549D" w:rsidRDefault="003A549D" w:rsidP="003A549D">
      <w:pPr>
        <w:rPr>
          <w:rFonts w:eastAsia="Times New Roman" w:cs="Times New Roman"/>
          <w:b/>
          <w:bCs/>
        </w:rPr>
      </w:pPr>
      <w:r w:rsidRPr="003A549D">
        <w:rPr>
          <w:rFonts w:eastAsia="Times New Roman" w:cs="Times New Roman"/>
          <w:b/>
          <w:bCs/>
        </w:rPr>
        <w:t>Exposure</w:t>
      </w:r>
    </w:p>
    <w:tbl>
      <w:tblPr>
        <w:tblStyle w:val="SLROption1"/>
        <w:tblW w:w="5000" w:type="pct"/>
        <w:tblLook w:val="0000" w:firstRow="0" w:lastRow="0" w:firstColumn="0" w:lastColumn="0" w:noHBand="0" w:noVBand="0"/>
      </w:tblPr>
      <w:tblGrid>
        <w:gridCol w:w="3628"/>
        <w:gridCol w:w="10316"/>
      </w:tblGrid>
      <w:tr w:rsidR="003A549D" w:rsidRPr="003A549D" w14:paraId="19EAE041" w14:textId="77777777" w:rsidTr="00F62C9B">
        <w:trPr>
          <w:cantSplit/>
          <w:tblHeader/>
        </w:trPr>
        <w:tc>
          <w:tcPr>
            <w:tcW w:w="1301" w:type="pct"/>
            <w:shd w:val="clear" w:color="auto" w:fill="3C533C"/>
          </w:tcPr>
          <w:p w14:paraId="26293674"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161AB6FE"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276B604C" w14:textId="77777777" w:rsidTr="00F62C9B">
        <w:tc>
          <w:tcPr>
            <w:tcW w:w="1301" w:type="pct"/>
            <w:shd w:val="clear" w:color="auto" w:fill="F6FDE9"/>
          </w:tcPr>
          <w:p w14:paraId="62A9D702" w14:textId="77777777" w:rsidR="003A549D" w:rsidRPr="003A549D" w:rsidRDefault="003A549D" w:rsidP="003A549D">
            <w:pPr>
              <w:spacing w:after="0"/>
              <w:rPr>
                <w:rFonts w:cs="Arial"/>
                <w:sz w:val="20"/>
              </w:rPr>
            </w:pPr>
            <w:r w:rsidRPr="003A549D">
              <w:rPr>
                <w:rFonts w:eastAsia="Calibri" w:cs="Arial"/>
                <w:b/>
                <w:bCs/>
                <w:sz w:val="20"/>
              </w:rPr>
              <w:t>Exposure characterisation – source</w:t>
            </w:r>
          </w:p>
        </w:tc>
        <w:tc>
          <w:tcPr>
            <w:tcW w:w="3699" w:type="pct"/>
          </w:tcPr>
          <w:p w14:paraId="28AA46D0" w14:textId="77777777" w:rsidR="003A549D" w:rsidRPr="003A549D" w:rsidRDefault="003A549D" w:rsidP="003A549D">
            <w:pPr>
              <w:spacing w:after="0"/>
              <w:rPr>
                <w:rFonts w:cs="Arial"/>
                <w:sz w:val="20"/>
              </w:rPr>
            </w:pPr>
            <w:r w:rsidRPr="003A549D">
              <w:rPr>
                <w:rFonts w:cs="Arial"/>
                <w:sz w:val="20"/>
              </w:rPr>
              <w:t>Dietary supplements containing vitamin B6, not registered medicines. Products varied in vitamer type (not always documented in reports).</w:t>
            </w:r>
          </w:p>
        </w:tc>
      </w:tr>
      <w:tr w:rsidR="003A549D" w:rsidRPr="003A549D" w14:paraId="365010E8" w14:textId="77777777" w:rsidTr="00F62C9B">
        <w:tc>
          <w:tcPr>
            <w:tcW w:w="1301" w:type="pct"/>
            <w:shd w:val="clear" w:color="auto" w:fill="F6FDE9"/>
          </w:tcPr>
          <w:p w14:paraId="5D5A0911" w14:textId="77777777" w:rsidR="003A549D" w:rsidRPr="003A549D" w:rsidRDefault="003A549D" w:rsidP="003A549D">
            <w:pPr>
              <w:spacing w:after="0"/>
              <w:rPr>
                <w:rFonts w:cs="Arial"/>
                <w:sz w:val="20"/>
              </w:rPr>
            </w:pPr>
            <w:r w:rsidRPr="003A549D">
              <w:rPr>
                <w:rFonts w:eastAsia="Calibri" w:cs="Arial"/>
                <w:b/>
                <w:bCs/>
                <w:sz w:val="20"/>
              </w:rPr>
              <w:t>Exposure characterisation – dose</w:t>
            </w:r>
          </w:p>
        </w:tc>
        <w:tc>
          <w:tcPr>
            <w:tcW w:w="3699" w:type="pct"/>
          </w:tcPr>
          <w:p w14:paraId="621AB9A0" w14:textId="77777777" w:rsidR="003A549D" w:rsidRPr="003A549D" w:rsidRDefault="003A549D" w:rsidP="003A549D">
            <w:pPr>
              <w:spacing w:before="120" w:after="0"/>
              <w:rPr>
                <w:rFonts w:cs="Arial"/>
                <w:sz w:val="20"/>
              </w:rPr>
            </w:pPr>
            <w:r w:rsidRPr="003A549D">
              <w:rPr>
                <w:rFonts w:cs="Arial"/>
                <w:sz w:val="20"/>
              </w:rPr>
              <w:t>Daily doses ranged widely; most pre-2018 reports involved higher doses. After the October 2018 regulatory action (max 21 mg/day in the Netherlands), only one report mentioned a dose substantially above this limit (200 mg/day, reported 2020).</w:t>
            </w:r>
          </w:p>
        </w:tc>
      </w:tr>
      <w:tr w:rsidR="003A549D" w:rsidRPr="003A549D" w14:paraId="41EC95EB" w14:textId="77777777" w:rsidTr="00F62C9B">
        <w:tc>
          <w:tcPr>
            <w:tcW w:w="1301" w:type="pct"/>
            <w:shd w:val="clear" w:color="auto" w:fill="F6FDE9"/>
          </w:tcPr>
          <w:p w14:paraId="38A56FB2" w14:textId="77777777" w:rsidR="003A549D" w:rsidRPr="003A549D" w:rsidRDefault="003A549D" w:rsidP="003A549D">
            <w:pPr>
              <w:spacing w:after="0"/>
              <w:rPr>
                <w:rFonts w:cs="Arial"/>
                <w:sz w:val="20"/>
              </w:rPr>
            </w:pPr>
            <w:r w:rsidRPr="003A549D">
              <w:rPr>
                <w:rFonts w:eastAsia="Calibri" w:cs="Arial"/>
                <w:b/>
                <w:bCs/>
                <w:sz w:val="20"/>
              </w:rPr>
              <w:t>Biomarker of exposure</w:t>
            </w:r>
          </w:p>
        </w:tc>
        <w:tc>
          <w:tcPr>
            <w:tcW w:w="3699" w:type="pct"/>
          </w:tcPr>
          <w:p w14:paraId="3DBACA38" w14:textId="77777777" w:rsidR="003A549D" w:rsidRPr="003A549D" w:rsidRDefault="003A549D" w:rsidP="003A549D">
            <w:pPr>
              <w:spacing w:after="0"/>
              <w:rPr>
                <w:rFonts w:cs="Arial"/>
                <w:sz w:val="20"/>
              </w:rPr>
            </w:pPr>
            <w:r w:rsidRPr="003A549D">
              <w:rPr>
                <w:rFonts w:cs="Arial"/>
                <w:sz w:val="20"/>
              </w:rPr>
              <w:t>Plasma vitamin B6 levels recorded in a subset of reports. Only 15% of variance in plasma levels explained by daily dose (R² = 0.15), indicating weak dose–plasma level correlation.</w:t>
            </w:r>
          </w:p>
        </w:tc>
      </w:tr>
      <w:tr w:rsidR="003A549D" w:rsidRPr="003A549D" w14:paraId="73D728BC" w14:textId="77777777" w:rsidTr="00F62C9B">
        <w:tc>
          <w:tcPr>
            <w:tcW w:w="1301" w:type="pct"/>
            <w:shd w:val="clear" w:color="auto" w:fill="F6FDE9"/>
          </w:tcPr>
          <w:p w14:paraId="2C402E77" w14:textId="77777777" w:rsidR="003A549D" w:rsidRPr="003A549D" w:rsidRDefault="003A549D" w:rsidP="003A549D">
            <w:pPr>
              <w:spacing w:after="0"/>
              <w:rPr>
                <w:rFonts w:cs="Arial"/>
                <w:sz w:val="20"/>
              </w:rPr>
            </w:pPr>
            <w:r w:rsidRPr="003A549D">
              <w:rPr>
                <w:rFonts w:eastAsia="Calibri" w:cs="Arial"/>
                <w:b/>
                <w:bCs/>
                <w:sz w:val="20"/>
              </w:rPr>
              <w:t>Duration of exposure</w:t>
            </w:r>
          </w:p>
        </w:tc>
        <w:tc>
          <w:tcPr>
            <w:tcW w:w="3699" w:type="pct"/>
          </w:tcPr>
          <w:p w14:paraId="354359C2" w14:textId="77777777" w:rsidR="003A549D" w:rsidRPr="003A549D" w:rsidRDefault="003A549D" w:rsidP="003A549D">
            <w:pPr>
              <w:spacing w:after="0"/>
              <w:rPr>
                <w:rFonts w:cs="Arial"/>
                <w:sz w:val="20"/>
              </w:rPr>
            </w:pPr>
            <w:r w:rsidRPr="003A549D">
              <w:rPr>
                <w:rFonts w:cs="Arial"/>
                <w:sz w:val="20"/>
              </w:rPr>
              <w:t>Duration of use not always recorded and not included in the trend analysis; noted as a limitation.</w:t>
            </w:r>
          </w:p>
        </w:tc>
      </w:tr>
    </w:tbl>
    <w:p w14:paraId="2042BC85" w14:textId="77777777" w:rsidR="003A549D" w:rsidRPr="003A549D" w:rsidRDefault="003A549D" w:rsidP="003A549D">
      <w:pPr>
        <w:rPr>
          <w:rFonts w:eastAsia="Times New Roman" w:cs="Times New Roman"/>
          <w:b/>
          <w:bCs/>
        </w:rPr>
      </w:pPr>
      <w:r w:rsidRPr="003A549D">
        <w:rPr>
          <w:rFonts w:eastAsia="Times New Roman" w:cs="Times New Roman"/>
          <w:b/>
          <w:bCs/>
        </w:rPr>
        <w:lastRenderedPageBreak/>
        <w:t>Outcomes</w:t>
      </w:r>
    </w:p>
    <w:tbl>
      <w:tblPr>
        <w:tblStyle w:val="SLROption1"/>
        <w:tblW w:w="5000" w:type="pct"/>
        <w:tblLook w:val="0000" w:firstRow="0" w:lastRow="0" w:firstColumn="0" w:lastColumn="0" w:noHBand="0" w:noVBand="0"/>
      </w:tblPr>
      <w:tblGrid>
        <w:gridCol w:w="3628"/>
        <w:gridCol w:w="10316"/>
      </w:tblGrid>
      <w:tr w:rsidR="003A549D" w:rsidRPr="003A549D" w14:paraId="17711B95" w14:textId="77777777" w:rsidTr="00F62C9B">
        <w:tc>
          <w:tcPr>
            <w:tcW w:w="1301" w:type="pct"/>
            <w:shd w:val="clear" w:color="auto" w:fill="3C533C"/>
          </w:tcPr>
          <w:p w14:paraId="3B46F67C"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2C6AC76B"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4DF77F16" w14:textId="77777777" w:rsidTr="00F62C9B">
        <w:tc>
          <w:tcPr>
            <w:tcW w:w="1301" w:type="pct"/>
            <w:shd w:val="clear" w:color="auto" w:fill="F6FDE9"/>
          </w:tcPr>
          <w:p w14:paraId="693BD015" w14:textId="77777777" w:rsidR="003A549D" w:rsidRPr="003A549D" w:rsidRDefault="003A549D" w:rsidP="003A549D">
            <w:pPr>
              <w:spacing w:after="0"/>
              <w:rPr>
                <w:rFonts w:cs="Arial"/>
                <w:sz w:val="20"/>
              </w:rPr>
            </w:pPr>
            <w:r w:rsidRPr="003A549D">
              <w:rPr>
                <w:rFonts w:eastAsia="Calibri" w:cs="Arial"/>
                <w:b/>
                <w:bCs/>
                <w:sz w:val="20"/>
              </w:rPr>
              <w:t>Primary outcome</w:t>
            </w:r>
          </w:p>
        </w:tc>
        <w:tc>
          <w:tcPr>
            <w:tcW w:w="3699" w:type="pct"/>
          </w:tcPr>
          <w:p w14:paraId="36AAB53C" w14:textId="77777777" w:rsidR="003A549D" w:rsidRPr="003A549D" w:rsidRDefault="003A549D" w:rsidP="003A549D">
            <w:pPr>
              <w:spacing w:after="0"/>
              <w:rPr>
                <w:rFonts w:cs="Arial"/>
                <w:sz w:val="20"/>
              </w:rPr>
            </w:pPr>
            <w:r w:rsidRPr="003A549D">
              <w:rPr>
                <w:rFonts w:cs="Arial"/>
                <w:sz w:val="20"/>
              </w:rPr>
              <w:t>Reporting pattern of neuropathy adverse drug reactions (ADRs) associated with vitamin B6 supplements before and after the 2018 Dutch regulatory dose restriction.</w:t>
            </w:r>
          </w:p>
        </w:tc>
      </w:tr>
      <w:tr w:rsidR="003A549D" w:rsidRPr="003A549D" w14:paraId="58F4B9A4" w14:textId="77777777" w:rsidTr="00F62C9B">
        <w:tc>
          <w:tcPr>
            <w:tcW w:w="1301" w:type="pct"/>
            <w:shd w:val="clear" w:color="auto" w:fill="F6FDE9"/>
          </w:tcPr>
          <w:p w14:paraId="2AD342FD" w14:textId="77777777" w:rsidR="003A549D" w:rsidRPr="003A549D" w:rsidRDefault="003A549D" w:rsidP="003A549D">
            <w:pPr>
              <w:spacing w:after="0"/>
              <w:rPr>
                <w:rFonts w:cs="Arial"/>
                <w:sz w:val="20"/>
              </w:rPr>
            </w:pPr>
            <w:r w:rsidRPr="003A549D">
              <w:rPr>
                <w:rFonts w:eastAsia="Calibri" w:cs="Arial"/>
                <w:b/>
                <w:bCs/>
                <w:sz w:val="20"/>
              </w:rPr>
              <w:t>Outcome assessment</w:t>
            </w:r>
          </w:p>
        </w:tc>
        <w:tc>
          <w:tcPr>
            <w:tcW w:w="3699" w:type="pct"/>
          </w:tcPr>
          <w:p w14:paraId="05BDAF24" w14:textId="77777777" w:rsidR="003A549D" w:rsidRPr="003A549D" w:rsidRDefault="003A549D" w:rsidP="003A549D">
            <w:pPr>
              <w:spacing w:before="120" w:after="0"/>
              <w:rPr>
                <w:rFonts w:cs="Arial"/>
                <w:sz w:val="20"/>
              </w:rPr>
            </w:pPr>
            <w:r w:rsidRPr="003A549D">
              <w:rPr>
                <w:rFonts w:cs="Arial"/>
                <w:sz w:val="20"/>
              </w:rPr>
              <w:t>Not applicable — spontaneous reports; neuropathy symptoms as reported by patients/HCPs, coded using MedDRA.</w:t>
            </w:r>
          </w:p>
        </w:tc>
      </w:tr>
      <w:tr w:rsidR="003A549D" w:rsidRPr="003A549D" w14:paraId="33106B7F" w14:textId="77777777" w:rsidTr="00F62C9B">
        <w:tc>
          <w:tcPr>
            <w:tcW w:w="1301" w:type="pct"/>
            <w:shd w:val="clear" w:color="auto" w:fill="F6FDE9"/>
          </w:tcPr>
          <w:p w14:paraId="3F829FF2" w14:textId="77777777" w:rsidR="003A549D" w:rsidRPr="003A549D" w:rsidRDefault="003A549D" w:rsidP="003A549D">
            <w:pPr>
              <w:spacing w:after="0"/>
              <w:rPr>
                <w:rFonts w:cs="Arial"/>
                <w:sz w:val="20"/>
              </w:rPr>
            </w:pPr>
            <w:r w:rsidRPr="003A549D">
              <w:rPr>
                <w:rFonts w:eastAsia="Calibri" w:cs="Arial"/>
                <w:b/>
                <w:bCs/>
                <w:sz w:val="20"/>
              </w:rPr>
              <w:t>Outcome assessment – objective testing</w:t>
            </w:r>
          </w:p>
        </w:tc>
        <w:tc>
          <w:tcPr>
            <w:tcW w:w="3699" w:type="pct"/>
          </w:tcPr>
          <w:p w14:paraId="113ED8D0" w14:textId="77777777" w:rsidR="003A549D" w:rsidRPr="003A549D" w:rsidRDefault="003A549D" w:rsidP="003A549D">
            <w:pPr>
              <w:spacing w:after="0"/>
              <w:rPr>
                <w:rFonts w:cs="Arial"/>
                <w:sz w:val="20"/>
              </w:rPr>
            </w:pPr>
            <w:r w:rsidRPr="003A549D">
              <w:rPr>
                <w:rFonts w:cs="Arial"/>
                <w:sz w:val="20"/>
              </w:rPr>
              <w:t>Plasma vitamin B6 levels reported in a subset of cases (no standardised testing protocol).</w:t>
            </w:r>
          </w:p>
        </w:tc>
      </w:tr>
      <w:tr w:rsidR="003A549D" w:rsidRPr="003A549D" w14:paraId="531E4626" w14:textId="77777777" w:rsidTr="00F62C9B">
        <w:tc>
          <w:tcPr>
            <w:tcW w:w="1301" w:type="pct"/>
            <w:shd w:val="clear" w:color="auto" w:fill="F6FDE9"/>
          </w:tcPr>
          <w:p w14:paraId="17F8A900" w14:textId="77777777" w:rsidR="003A549D" w:rsidRPr="003A549D" w:rsidRDefault="003A549D" w:rsidP="003A549D">
            <w:pPr>
              <w:spacing w:after="0"/>
              <w:rPr>
                <w:rFonts w:cs="Arial"/>
                <w:sz w:val="20"/>
              </w:rPr>
            </w:pPr>
            <w:r w:rsidRPr="003A549D">
              <w:rPr>
                <w:rFonts w:eastAsia="Calibri" w:cs="Arial"/>
                <w:b/>
                <w:bCs/>
                <w:sz w:val="20"/>
              </w:rPr>
              <w:t>Outcome assessment – tools used</w:t>
            </w:r>
          </w:p>
        </w:tc>
        <w:tc>
          <w:tcPr>
            <w:tcW w:w="3699" w:type="pct"/>
          </w:tcPr>
          <w:p w14:paraId="397831E1" w14:textId="77777777" w:rsidR="003A549D" w:rsidRPr="003A549D" w:rsidRDefault="003A549D" w:rsidP="003A549D">
            <w:pPr>
              <w:spacing w:after="0"/>
              <w:rPr>
                <w:rFonts w:cs="Arial"/>
                <w:sz w:val="20"/>
              </w:rPr>
            </w:pPr>
            <w:r w:rsidRPr="003A549D">
              <w:rPr>
                <w:rFonts w:cs="Arial"/>
                <w:sz w:val="20"/>
              </w:rPr>
              <w:t>Changepoint analysis (PELT method, cpt.mean, R v4.3.2); linear trend analysis; coefficient of determination (R²) for dose–plasma level correlation; MedDRA coding</w:t>
            </w:r>
          </w:p>
        </w:tc>
      </w:tr>
      <w:tr w:rsidR="003A549D" w:rsidRPr="003A549D" w14:paraId="60769263" w14:textId="77777777" w:rsidTr="00F62C9B">
        <w:tc>
          <w:tcPr>
            <w:tcW w:w="1301" w:type="pct"/>
            <w:shd w:val="clear" w:color="auto" w:fill="F6FDE9"/>
          </w:tcPr>
          <w:p w14:paraId="4B760F99" w14:textId="77777777" w:rsidR="003A549D" w:rsidRPr="003A549D" w:rsidRDefault="003A549D" w:rsidP="003A549D">
            <w:pPr>
              <w:spacing w:after="0"/>
              <w:rPr>
                <w:rFonts w:cs="Arial"/>
                <w:sz w:val="20"/>
              </w:rPr>
            </w:pPr>
            <w:r w:rsidRPr="003A549D">
              <w:rPr>
                <w:rFonts w:eastAsia="Calibri" w:cs="Arial"/>
                <w:b/>
                <w:bCs/>
                <w:sz w:val="20"/>
              </w:rPr>
              <w:t>Response to withdrawal</w:t>
            </w:r>
          </w:p>
        </w:tc>
        <w:tc>
          <w:tcPr>
            <w:tcW w:w="3699" w:type="pct"/>
          </w:tcPr>
          <w:p w14:paraId="0B413AB9" w14:textId="77777777" w:rsidR="003A549D" w:rsidRPr="003A549D" w:rsidRDefault="003A549D" w:rsidP="003A549D">
            <w:pPr>
              <w:spacing w:after="0"/>
              <w:rPr>
                <w:rFonts w:cs="Arial"/>
                <w:sz w:val="20"/>
              </w:rPr>
            </w:pPr>
            <w:r w:rsidRPr="003A549D">
              <w:rPr>
                <w:rFonts w:cs="Arial"/>
                <w:sz w:val="20"/>
              </w:rPr>
              <w:t>Not formally assessed in this analysis.</w:t>
            </w:r>
          </w:p>
        </w:tc>
      </w:tr>
    </w:tbl>
    <w:p w14:paraId="3FDACF3C" w14:textId="77777777" w:rsidR="003A549D" w:rsidRPr="003A549D" w:rsidRDefault="003A549D" w:rsidP="003A549D">
      <w:pPr>
        <w:rPr>
          <w:rFonts w:eastAsia="Times New Roman" w:cs="Times New Roman"/>
          <w:b/>
          <w:bCs/>
        </w:rPr>
      </w:pPr>
      <w:r w:rsidRPr="003A549D">
        <w:rPr>
          <w:rFonts w:eastAsia="Times New Roman" w:cs="Times New Roman"/>
          <w:b/>
          <w:bCs/>
        </w:rPr>
        <w:t>Results and Conclusions</w:t>
      </w:r>
    </w:p>
    <w:tbl>
      <w:tblPr>
        <w:tblStyle w:val="SLROption1"/>
        <w:tblW w:w="5000" w:type="pct"/>
        <w:tblLook w:val="0000" w:firstRow="0" w:lastRow="0" w:firstColumn="0" w:lastColumn="0" w:noHBand="0" w:noVBand="0"/>
      </w:tblPr>
      <w:tblGrid>
        <w:gridCol w:w="3628"/>
        <w:gridCol w:w="10316"/>
      </w:tblGrid>
      <w:tr w:rsidR="003A549D" w:rsidRPr="003A549D" w14:paraId="72A7669D" w14:textId="77777777" w:rsidTr="00F62C9B">
        <w:trPr>
          <w:cantSplit/>
          <w:tblHeader/>
        </w:trPr>
        <w:tc>
          <w:tcPr>
            <w:tcW w:w="1301" w:type="pct"/>
            <w:shd w:val="clear" w:color="auto" w:fill="3C533C"/>
          </w:tcPr>
          <w:p w14:paraId="484D0085"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4D19D258"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505E1968" w14:textId="77777777" w:rsidTr="00F62C9B">
        <w:trPr>
          <w:cantSplit/>
        </w:trPr>
        <w:tc>
          <w:tcPr>
            <w:tcW w:w="1301" w:type="pct"/>
            <w:shd w:val="clear" w:color="auto" w:fill="F6FDE9"/>
          </w:tcPr>
          <w:p w14:paraId="1B187D6A" w14:textId="77777777" w:rsidR="003A549D" w:rsidRPr="003A549D" w:rsidRDefault="003A549D" w:rsidP="003A549D">
            <w:pPr>
              <w:spacing w:after="0"/>
              <w:rPr>
                <w:rFonts w:cs="Arial"/>
                <w:sz w:val="20"/>
              </w:rPr>
            </w:pPr>
            <w:r w:rsidRPr="003A549D">
              <w:rPr>
                <w:rFonts w:eastAsia="Calibri" w:cs="Arial"/>
                <w:b/>
                <w:bCs/>
                <w:sz w:val="20"/>
              </w:rPr>
              <w:t>Main results</w:t>
            </w:r>
          </w:p>
        </w:tc>
        <w:tc>
          <w:tcPr>
            <w:tcW w:w="3699" w:type="pct"/>
          </w:tcPr>
          <w:p w14:paraId="15900009" w14:textId="77777777" w:rsidR="003A549D" w:rsidRPr="003A549D" w:rsidRDefault="003A549D" w:rsidP="003A549D">
            <w:pPr>
              <w:spacing w:before="120" w:after="0"/>
              <w:rPr>
                <w:rFonts w:cs="Arial"/>
                <w:sz w:val="20"/>
              </w:rPr>
            </w:pPr>
            <w:r w:rsidRPr="003A549D">
              <w:rPr>
                <w:rFonts w:cs="Arial"/>
                <w:sz w:val="20"/>
              </w:rPr>
              <w:t>224 reports included (2007–2023). After October 2018 dose restriction (max 21 mg/day), reported daily doses dropped markedly — only one post-2018 report mentioned a dose above the limit. Twelve changepoints identified in the reporting pattern, notably around 2018 (reflecting both the regulatory action and media attention). From the second half of 2019, report numbers per time period were lower with no further changepoints. Only 15% of plasma level variance explained by daily dose (weak correlation). Some cases of neuropathy at lower doses continued to be reported post-2018; this was raised with NVWA in November 2024.</w:t>
            </w:r>
          </w:p>
        </w:tc>
      </w:tr>
      <w:tr w:rsidR="003A549D" w:rsidRPr="003A549D" w14:paraId="04C6A59A" w14:textId="77777777" w:rsidTr="00F62C9B">
        <w:trPr>
          <w:cantSplit/>
        </w:trPr>
        <w:tc>
          <w:tcPr>
            <w:tcW w:w="1301" w:type="pct"/>
            <w:shd w:val="clear" w:color="auto" w:fill="F6FDE9"/>
          </w:tcPr>
          <w:p w14:paraId="45019734" w14:textId="77777777" w:rsidR="003A549D" w:rsidRPr="003A549D" w:rsidRDefault="003A549D" w:rsidP="003A549D">
            <w:pPr>
              <w:spacing w:after="0"/>
              <w:rPr>
                <w:rFonts w:cs="Arial"/>
                <w:sz w:val="20"/>
              </w:rPr>
            </w:pPr>
            <w:r w:rsidRPr="003A549D">
              <w:rPr>
                <w:rFonts w:eastAsia="Calibri" w:cs="Arial"/>
                <w:b/>
                <w:bCs/>
                <w:sz w:val="20"/>
              </w:rPr>
              <w:t>Authors' conclusions</w:t>
            </w:r>
          </w:p>
        </w:tc>
        <w:tc>
          <w:tcPr>
            <w:tcW w:w="3699" w:type="pct"/>
          </w:tcPr>
          <w:p w14:paraId="6912795C" w14:textId="77777777" w:rsidR="003A549D" w:rsidRPr="003A549D" w:rsidRDefault="003A549D" w:rsidP="003A549D">
            <w:pPr>
              <w:spacing w:after="0"/>
              <w:rPr>
                <w:rFonts w:cs="Arial"/>
                <w:sz w:val="20"/>
              </w:rPr>
            </w:pPr>
            <w:r w:rsidRPr="003A549D">
              <w:rPr>
                <w:rFonts w:cs="Arial"/>
                <w:sz w:val="20"/>
              </w:rPr>
              <w:t>The regulatory dose restriction was associated with a clear reduction in high-dose vitamin B6 use in neuropathy reports. However, neuropathy cases at lower doses continue to be reported, which warrants further investigation. The weak dose–plasma level correlation suggests significant interindividual metabolic variability.</w:t>
            </w:r>
          </w:p>
        </w:tc>
      </w:tr>
      <w:tr w:rsidR="003A549D" w:rsidRPr="003A549D" w14:paraId="034B5101" w14:textId="77777777" w:rsidTr="00F62C9B">
        <w:trPr>
          <w:cantSplit/>
        </w:trPr>
        <w:tc>
          <w:tcPr>
            <w:tcW w:w="1301" w:type="pct"/>
            <w:shd w:val="clear" w:color="auto" w:fill="F6FDE9"/>
          </w:tcPr>
          <w:p w14:paraId="53CBBCFE" w14:textId="77777777" w:rsidR="003A549D" w:rsidRPr="003A549D" w:rsidRDefault="003A549D" w:rsidP="003A549D">
            <w:pPr>
              <w:spacing w:after="0"/>
              <w:rPr>
                <w:rFonts w:cs="Arial"/>
                <w:sz w:val="20"/>
              </w:rPr>
            </w:pPr>
            <w:r w:rsidRPr="003A549D">
              <w:rPr>
                <w:rFonts w:eastAsia="Calibri" w:cs="Arial"/>
                <w:b/>
                <w:bCs/>
                <w:sz w:val="20"/>
              </w:rPr>
              <w:t>Authors' acknowledged limitations</w:t>
            </w:r>
          </w:p>
        </w:tc>
        <w:tc>
          <w:tcPr>
            <w:tcW w:w="3699" w:type="pct"/>
          </w:tcPr>
          <w:p w14:paraId="4A1E3104" w14:textId="77777777" w:rsidR="003A549D" w:rsidRPr="003A549D" w:rsidRDefault="003A549D" w:rsidP="003A549D">
            <w:pPr>
              <w:spacing w:after="0"/>
              <w:rPr>
                <w:rFonts w:cs="Arial"/>
                <w:sz w:val="20"/>
              </w:rPr>
            </w:pPr>
            <w:r w:rsidRPr="003A549D">
              <w:rPr>
                <w:rFonts w:cs="Arial"/>
                <w:sz w:val="20"/>
              </w:rPr>
              <w:t>SRS inherently prone to underreporting and notoriety bias (reporting spikes linked to media coverage); no denominator data so incidence rates cannot be calculated; vitamer type not recorded in many reports; declared supplement doses may be inaccurate; duration of use not always available; no individual causality assessment performed; overall increase in consumer reporting to Lareb over time not accounted for in trend analysis.</w:t>
            </w:r>
          </w:p>
        </w:tc>
      </w:tr>
    </w:tbl>
    <w:p w14:paraId="7B6F5213" w14:textId="77777777" w:rsidR="003A549D" w:rsidRPr="003A549D" w:rsidRDefault="003A549D" w:rsidP="003A549D">
      <w:pPr>
        <w:rPr>
          <w:rFonts w:eastAsia="Times New Roman" w:cs="Times New Roman"/>
          <w:b/>
          <w:bCs/>
        </w:rPr>
      </w:pPr>
      <w:r w:rsidRPr="003A549D">
        <w:rPr>
          <w:rFonts w:eastAsia="Times New Roman" w:cs="Times New Roman"/>
          <w:b/>
          <w:bCs/>
        </w:rPr>
        <w:t>Contextual information for the AU/NZ UL review</w:t>
      </w:r>
    </w:p>
    <w:tbl>
      <w:tblPr>
        <w:tblStyle w:val="SLROption1"/>
        <w:tblW w:w="5000" w:type="pct"/>
        <w:tblLook w:val="0000" w:firstRow="0" w:lastRow="0" w:firstColumn="0" w:lastColumn="0" w:noHBand="0" w:noVBand="0"/>
      </w:tblPr>
      <w:tblGrid>
        <w:gridCol w:w="3628"/>
        <w:gridCol w:w="10316"/>
      </w:tblGrid>
      <w:tr w:rsidR="003A549D" w:rsidRPr="003A549D" w14:paraId="1812EC76" w14:textId="77777777" w:rsidTr="00F62C9B">
        <w:tc>
          <w:tcPr>
            <w:tcW w:w="1301" w:type="pct"/>
            <w:shd w:val="clear" w:color="auto" w:fill="F6FDE9"/>
          </w:tcPr>
          <w:p w14:paraId="78ACA461" w14:textId="77777777" w:rsidR="003A549D" w:rsidRPr="003A549D" w:rsidRDefault="003A549D" w:rsidP="003A549D">
            <w:pPr>
              <w:spacing w:after="0"/>
              <w:rPr>
                <w:rFonts w:cs="Arial"/>
                <w:sz w:val="20"/>
              </w:rPr>
            </w:pPr>
            <w:r w:rsidRPr="003A549D">
              <w:rPr>
                <w:rFonts w:eastAsia="Calibri" w:cs="Arial"/>
                <w:b/>
                <w:bCs/>
                <w:sz w:val="20"/>
              </w:rPr>
              <w:lastRenderedPageBreak/>
              <w:t>Generalisability to AU/NZ</w:t>
            </w:r>
          </w:p>
        </w:tc>
        <w:tc>
          <w:tcPr>
            <w:tcW w:w="3699" w:type="pct"/>
          </w:tcPr>
          <w:p w14:paraId="122B095D" w14:textId="77777777" w:rsidR="003A549D" w:rsidRPr="003A549D" w:rsidRDefault="003A549D" w:rsidP="003A549D">
            <w:pPr>
              <w:spacing w:after="0"/>
              <w:rPr>
                <w:rFonts w:cs="Arial"/>
                <w:sz w:val="20"/>
              </w:rPr>
            </w:pPr>
            <w:r w:rsidRPr="003A549D">
              <w:rPr>
                <w:rFonts w:cs="Arial"/>
                <w:sz w:val="20"/>
              </w:rPr>
              <w:t>Directly relevant. The Dutch regulatory experience provides real-world evidence that lowering the permitted maximum daily dose of B6 in supplements (to 21 mg/day in 2018) was associated with a reduction in high-dose neuropathy reports.</w:t>
            </w:r>
          </w:p>
        </w:tc>
      </w:tr>
    </w:tbl>
    <w:p w14:paraId="29061CC5" w14:textId="77777777" w:rsidR="003A549D" w:rsidRPr="003A549D" w:rsidRDefault="003A549D" w:rsidP="003A549D"/>
    <w:p w14:paraId="6A8A8A5B" w14:textId="77777777" w:rsidR="003A549D" w:rsidRPr="003A549D" w:rsidRDefault="003A549D" w:rsidP="003A549D">
      <w:pPr>
        <w:keepNext/>
        <w:numPr>
          <w:ilvl w:val="2"/>
          <w:numId w:val="2"/>
        </w:numPr>
        <w:spacing w:before="240"/>
        <w:outlineLvl w:val="8"/>
        <w:rPr>
          <w:b/>
          <w:iCs/>
          <w:noProof/>
          <w:color w:val="667545" w:themeColor="accent3"/>
          <w:sz w:val="24"/>
        </w:rPr>
      </w:pPr>
      <w:r w:rsidRPr="003A549D">
        <w:rPr>
          <w:b/>
          <w:iCs/>
          <w:noProof/>
          <w:color w:val="667545" w:themeColor="accent3"/>
          <w:sz w:val="24"/>
        </w:rPr>
        <w:t>Webster et al. 2026</w:t>
      </w:r>
    </w:p>
    <w:p w14:paraId="5FEAA843" w14:textId="77777777" w:rsidR="003A549D" w:rsidRPr="003A549D" w:rsidRDefault="003A549D" w:rsidP="003A549D">
      <w:pPr>
        <w:keepNext/>
        <w:spacing w:before="240"/>
        <w:ind w:left="1080" w:hanging="1080"/>
        <w:rPr>
          <w:rFonts w:eastAsia="Calibri" w:cs="Arial"/>
          <w:b/>
          <w:bCs/>
          <w:sz w:val="20"/>
        </w:rPr>
      </w:pPr>
      <w:r w:rsidRPr="003A549D">
        <w:rPr>
          <w:rFonts w:eastAsia="Calibri" w:cs="Arial"/>
          <w:b/>
          <w:bCs/>
          <w:sz w:val="20"/>
        </w:rPr>
        <w:t>Study identification and design</w:t>
      </w:r>
    </w:p>
    <w:tbl>
      <w:tblPr>
        <w:tblStyle w:val="SLROption1"/>
        <w:tblW w:w="5000" w:type="pct"/>
        <w:tblLook w:val="0000" w:firstRow="0" w:lastRow="0" w:firstColumn="0" w:lastColumn="0" w:noHBand="0" w:noVBand="0"/>
      </w:tblPr>
      <w:tblGrid>
        <w:gridCol w:w="3628"/>
        <w:gridCol w:w="10316"/>
      </w:tblGrid>
      <w:tr w:rsidR="003A549D" w:rsidRPr="003A549D" w14:paraId="5DBB2F70" w14:textId="77777777" w:rsidTr="00F62C9B">
        <w:tc>
          <w:tcPr>
            <w:tcW w:w="1301" w:type="pct"/>
            <w:shd w:val="clear" w:color="auto" w:fill="3C533C"/>
          </w:tcPr>
          <w:p w14:paraId="4845FF10"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4056D1CB"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19774017" w14:textId="77777777" w:rsidTr="00F62C9B">
        <w:tc>
          <w:tcPr>
            <w:tcW w:w="1301" w:type="pct"/>
            <w:shd w:val="clear" w:color="auto" w:fill="F6FDE9"/>
          </w:tcPr>
          <w:p w14:paraId="7117BB98" w14:textId="77777777" w:rsidR="003A549D" w:rsidRPr="003A549D" w:rsidRDefault="003A549D" w:rsidP="003A549D">
            <w:pPr>
              <w:spacing w:after="0"/>
              <w:rPr>
                <w:rFonts w:cs="Arial"/>
                <w:sz w:val="20"/>
              </w:rPr>
            </w:pPr>
            <w:r w:rsidRPr="003A549D">
              <w:rPr>
                <w:rFonts w:eastAsia="Calibri" w:cs="Arial"/>
                <w:b/>
                <w:bCs/>
                <w:sz w:val="20"/>
              </w:rPr>
              <w:t>Citation</w:t>
            </w:r>
          </w:p>
        </w:tc>
        <w:tc>
          <w:tcPr>
            <w:tcW w:w="3699" w:type="pct"/>
          </w:tcPr>
          <w:p w14:paraId="3684A33E" w14:textId="77777777" w:rsidR="003A549D" w:rsidRPr="003A549D" w:rsidRDefault="003A549D" w:rsidP="003A549D">
            <w:pPr>
              <w:spacing w:after="0"/>
              <w:rPr>
                <w:rFonts w:cs="Arial"/>
                <w:sz w:val="20"/>
              </w:rPr>
            </w:pPr>
            <w:r w:rsidRPr="003A549D">
              <w:rPr>
                <w:rFonts w:cs="Arial"/>
                <w:sz w:val="20"/>
              </w:rPr>
              <w:t xml:space="preserve">Webster R, Parayil Sankaran B, Bandodkar S, Stormon M, Thomas G, Shun A, Bowen DG, Fielder T, Barclay P, Khalil Y, Mills P, Clayton P, Bhattacharya K. Liver transplantation in PNPO deficiency: management challenges and biological lessons. </w:t>
            </w:r>
            <w:r w:rsidRPr="003A549D">
              <w:rPr>
                <w:rFonts w:cs="Arial"/>
                <w:i/>
                <w:iCs/>
                <w:sz w:val="20"/>
              </w:rPr>
              <w:t>JIMD Reports.</w:t>
            </w:r>
            <w:r w:rsidRPr="003A549D">
              <w:rPr>
                <w:rFonts w:cs="Arial"/>
                <w:sz w:val="20"/>
              </w:rPr>
              <w:t xml:space="preserve"> 2026;67:e70067. </w:t>
            </w:r>
            <w:hyperlink r:id="rId204" w:history="1">
              <w:r w:rsidRPr="003A549D">
                <w:rPr>
                  <w:rFonts w:cs="Arial"/>
                  <w:color w:val="4E5768"/>
                  <w:sz w:val="20"/>
                  <w:u w:val="single"/>
                </w:rPr>
                <w:t>https://doi.org/10.1002/jmd2.70067</w:t>
              </w:r>
            </w:hyperlink>
          </w:p>
        </w:tc>
      </w:tr>
      <w:tr w:rsidR="003A549D" w:rsidRPr="003A549D" w14:paraId="0E07A29D" w14:textId="77777777" w:rsidTr="00F62C9B">
        <w:tc>
          <w:tcPr>
            <w:tcW w:w="1301" w:type="pct"/>
            <w:shd w:val="clear" w:color="auto" w:fill="F6FDE9"/>
          </w:tcPr>
          <w:p w14:paraId="0EE27F89" w14:textId="77777777" w:rsidR="003A549D" w:rsidRPr="003A549D" w:rsidRDefault="003A549D" w:rsidP="003A549D">
            <w:pPr>
              <w:spacing w:after="0"/>
              <w:rPr>
                <w:rFonts w:cs="Arial"/>
                <w:sz w:val="20"/>
              </w:rPr>
            </w:pPr>
            <w:r w:rsidRPr="003A549D">
              <w:rPr>
                <w:rFonts w:eastAsia="Calibri" w:cs="Arial"/>
                <w:b/>
                <w:bCs/>
                <w:sz w:val="20"/>
              </w:rPr>
              <w:t>Publication status</w:t>
            </w:r>
          </w:p>
        </w:tc>
        <w:tc>
          <w:tcPr>
            <w:tcW w:w="3699" w:type="pct"/>
          </w:tcPr>
          <w:p w14:paraId="224361B2" w14:textId="77777777" w:rsidR="003A549D" w:rsidRPr="003A549D" w:rsidRDefault="003A549D" w:rsidP="003A549D">
            <w:pPr>
              <w:spacing w:after="0"/>
              <w:rPr>
                <w:rFonts w:cs="Arial"/>
                <w:sz w:val="20"/>
              </w:rPr>
            </w:pPr>
            <w:r w:rsidRPr="003A549D">
              <w:rPr>
                <w:rFonts w:cs="Arial"/>
                <w:sz w:val="20"/>
              </w:rPr>
              <w:t>Published, peer-reviewed open-access research report (received May 2025, accepted December 2025)</w:t>
            </w:r>
          </w:p>
        </w:tc>
      </w:tr>
      <w:tr w:rsidR="003A549D" w:rsidRPr="003A549D" w14:paraId="34864C1B" w14:textId="77777777" w:rsidTr="00F62C9B">
        <w:tc>
          <w:tcPr>
            <w:tcW w:w="1301" w:type="pct"/>
            <w:shd w:val="clear" w:color="auto" w:fill="F6FDE9"/>
          </w:tcPr>
          <w:p w14:paraId="55F6164F" w14:textId="77777777" w:rsidR="003A549D" w:rsidRPr="003A549D" w:rsidRDefault="003A549D" w:rsidP="003A549D">
            <w:pPr>
              <w:spacing w:after="0"/>
              <w:rPr>
                <w:rFonts w:cs="Arial"/>
                <w:sz w:val="20"/>
              </w:rPr>
            </w:pPr>
            <w:r w:rsidRPr="003A549D">
              <w:rPr>
                <w:rFonts w:eastAsia="Calibri" w:cs="Arial"/>
                <w:b/>
                <w:bCs/>
                <w:sz w:val="20"/>
              </w:rPr>
              <w:t>Country / setting</w:t>
            </w:r>
          </w:p>
        </w:tc>
        <w:tc>
          <w:tcPr>
            <w:tcW w:w="3699" w:type="pct"/>
          </w:tcPr>
          <w:p w14:paraId="5CC2B428" w14:textId="77777777" w:rsidR="003A549D" w:rsidRPr="003A549D" w:rsidRDefault="003A549D" w:rsidP="003A549D">
            <w:pPr>
              <w:spacing w:after="0"/>
              <w:rPr>
                <w:rFonts w:cs="Arial"/>
                <w:sz w:val="20"/>
              </w:rPr>
            </w:pPr>
            <w:r w:rsidRPr="003A549D">
              <w:rPr>
                <w:rFonts w:cs="Arial"/>
                <w:sz w:val="20"/>
              </w:rPr>
              <w:t>Australia (Children's Hospital at Westmead, Sydney); single patient case report with ethics approval (Sydney Children's Hospital Network, CCR2020/29)</w:t>
            </w:r>
          </w:p>
        </w:tc>
      </w:tr>
      <w:tr w:rsidR="003A549D" w:rsidRPr="003A549D" w14:paraId="26DD6C0A" w14:textId="77777777" w:rsidTr="00F62C9B">
        <w:tc>
          <w:tcPr>
            <w:tcW w:w="1301" w:type="pct"/>
            <w:shd w:val="clear" w:color="auto" w:fill="F6FDE9"/>
          </w:tcPr>
          <w:p w14:paraId="1F227F07" w14:textId="77777777" w:rsidR="003A549D" w:rsidRPr="003A549D" w:rsidRDefault="003A549D" w:rsidP="003A549D">
            <w:pPr>
              <w:spacing w:after="0"/>
              <w:rPr>
                <w:rFonts w:cs="Arial"/>
                <w:sz w:val="20"/>
              </w:rPr>
            </w:pPr>
            <w:r w:rsidRPr="003A549D">
              <w:rPr>
                <w:rFonts w:eastAsia="Calibri" w:cs="Arial"/>
                <w:b/>
                <w:bCs/>
                <w:sz w:val="20"/>
              </w:rPr>
              <w:t>Study design</w:t>
            </w:r>
          </w:p>
        </w:tc>
        <w:tc>
          <w:tcPr>
            <w:tcW w:w="3699" w:type="pct"/>
          </w:tcPr>
          <w:p w14:paraId="096FF382" w14:textId="77777777" w:rsidR="003A549D" w:rsidRPr="003A549D" w:rsidRDefault="003A549D" w:rsidP="003A549D">
            <w:pPr>
              <w:spacing w:after="0"/>
              <w:rPr>
                <w:rFonts w:cs="Arial"/>
                <w:sz w:val="20"/>
              </w:rPr>
            </w:pPr>
            <w:r w:rsidRPr="003A549D">
              <w:rPr>
                <w:rFonts w:cs="Arial"/>
                <w:sz w:val="20"/>
              </w:rPr>
              <w:t>Single case report with detailed longitudinal pharmacokinetic and clinical data spanning ~7 years (from diagnosis to 6 years post-transplant)</w:t>
            </w:r>
          </w:p>
        </w:tc>
      </w:tr>
      <w:tr w:rsidR="003A549D" w:rsidRPr="003A549D" w14:paraId="665CBDF5" w14:textId="77777777" w:rsidTr="00F62C9B">
        <w:tc>
          <w:tcPr>
            <w:tcW w:w="1301" w:type="pct"/>
            <w:shd w:val="clear" w:color="auto" w:fill="F6FDE9"/>
          </w:tcPr>
          <w:p w14:paraId="17867CC0" w14:textId="77777777" w:rsidR="003A549D" w:rsidRPr="003A549D" w:rsidRDefault="003A549D" w:rsidP="003A549D">
            <w:pPr>
              <w:spacing w:after="0"/>
              <w:rPr>
                <w:rFonts w:cs="Arial"/>
                <w:sz w:val="20"/>
              </w:rPr>
            </w:pPr>
            <w:r w:rsidRPr="003A549D">
              <w:rPr>
                <w:rFonts w:eastAsia="Calibri" w:cs="Arial"/>
                <w:b/>
                <w:bCs/>
                <w:sz w:val="20"/>
              </w:rPr>
              <w:t>Funding / conflicts of interest</w:t>
            </w:r>
          </w:p>
        </w:tc>
        <w:tc>
          <w:tcPr>
            <w:tcW w:w="3699" w:type="pct"/>
          </w:tcPr>
          <w:p w14:paraId="1D6C7F4F" w14:textId="77777777" w:rsidR="003A549D" w:rsidRPr="003A549D" w:rsidRDefault="003A549D" w:rsidP="003A549D">
            <w:pPr>
              <w:spacing w:after="0"/>
              <w:rPr>
                <w:rFonts w:cs="Arial"/>
                <w:sz w:val="20"/>
              </w:rPr>
            </w:pPr>
            <w:r w:rsidRPr="003A549D">
              <w:rPr>
                <w:rFonts w:cs="Arial"/>
                <w:sz w:val="20"/>
              </w:rPr>
              <w:t>None.</w:t>
            </w:r>
          </w:p>
        </w:tc>
      </w:tr>
    </w:tbl>
    <w:p w14:paraId="0EF04C0E" w14:textId="77777777" w:rsidR="003A549D" w:rsidRPr="003A549D" w:rsidRDefault="003A549D" w:rsidP="003A549D">
      <w:pPr>
        <w:rPr>
          <w:rFonts w:eastAsia="Times New Roman" w:cs="Times New Roman"/>
        </w:rPr>
      </w:pPr>
      <w:r w:rsidRPr="003A549D">
        <w:rPr>
          <w:rFonts w:eastAsia="Calibri" w:cs="Arial"/>
          <w:b/>
          <w:bCs/>
          <w:sz w:val="20"/>
        </w:rPr>
        <w:t>Population</w:t>
      </w:r>
    </w:p>
    <w:tbl>
      <w:tblPr>
        <w:tblStyle w:val="SLROption1"/>
        <w:tblW w:w="5000" w:type="pct"/>
        <w:tblLook w:val="0000" w:firstRow="0" w:lastRow="0" w:firstColumn="0" w:lastColumn="0" w:noHBand="0" w:noVBand="0"/>
      </w:tblPr>
      <w:tblGrid>
        <w:gridCol w:w="3628"/>
        <w:gridCol w:w="10316"/>
      </w:tblGrid>
      <w:tr w:rsidR="003A549D" w:rsidRPr="003A549D" w14:paraId="3C873E17" w14:textId="77777777" w:rsidTr="00F62C9B">
        <w:tc>
          <w:tcPr>
            <w:tcW w:w="1301" w:type="pct"/>
            <w:shd w:val="clear" w:color="auto" w:fill="3C533C"/>
          </w:tcPr>
          <w:p w14:paraId="33A265B7"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7824F2E5"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4078FDC3" w14:textId="77777777" w:rsidTr="00F62C9B">
        <w:tc>
          <w:tcPr>
            <w:tcW w:w="1301" w:type="pct"/>
            <w:shd w:val="clear" w:color="auto" w:fill="F6FDE9"/>
          </w:tcPr>
          <w:p w14:paraId="2B65DEC9" w14:textId="77777777" w:rsidR="003A549D" w:rsidRPr="003A549D" w:rsidRDefault="003A549D" w:rsidP="003A549D">
            <w:pPr>
              <w:spacing w:after="0"/>
              <w:rPr>
                <w:rFonts w:cs="Arial"/>
                <w:sz w:val="20"/>
              </w:rPr>
            </w:pPr>
            <w:r w:rsidRPr="003A549D">
              <w:rPr>
                <w:rFonts w:eastAsia="Calibri" w:cs="Arial"/>
                <w:b/>
                <w:bCs/>
                <w:sz w:val="20"/>
              </w:rPr>
              <w:t>Sample size</w:t>
            </w:r>
          </w:p>
        </w:tc>
        <w:tc>
          <w:tcPr>
            <w:tcW w:w="3699" w:type="pct"/>
          </w:tcPr>
          <w:p w14:paraId="7E20841B" w14:textId="77777777" w:rsidR="003A549D" w:rsidRPr="003A549D" w:rsidRDefault="003A549D" w:rsidP="003A549D">
            <w:pPr>
              <w:spacing w:after="0"/>
              <w:rPr>
                <w:rFonts w:cs="Arial"/>
                <w:sz w:val="20"/>
              </w:rPr>
            </w:pPr>
            <w:r w:rsidRPr="003A549D">
              <w:rPr>
                <w:rFonts w:cs="Arial"/>
                <w:sz w:val="20"/>
              </w:rPr>
              <w:t>Single patient — a 15-year-old male at time of liver transplantation.</w:t>
            </w:r>
          </w:p>
        </w:tc>
      </w:tr>
      <w:tr w:rsidR="003A549D" w:rsidRPr="003A549D" w14:paraId="525A9777" w14:textId="77777777" w:rsidTr="00F62C9B">
        <w:tc>
          <w:tcPr>
            <w:tcW w:w="1301" w:type="pct"/>
            <w:shd w:val="clear" w:color="auto" w:fill="F6FDE9"/>
          </w:tcPr>
          <w:p w14:paraId="7CAC08B7" w14:textId="77777777" w:rsidR="003A549D" w:rsidRPr="003A549D" w:rsidRDefault="003A549D" w:rsidP="003A549D">
            <w:pPr>
              <w:spacing w:after="0"/>
              <w:rPr>
                <w:rFonts w:cs="Arial"/>
                <w:sz w:val="20"/>
              </w:rPr>
            </w:pPr>
            <w:r w:rsidRPr="003A549D">
              <w:rPr>
                <w:rFonts w:eastAsia="Calibri" w:cs="Arial"/>
                <w:b/>
                <w:bCs/>
                <w:sz w:val="20"/>
              </w:rPr>
              <w:t>Patient (test animal) characteristics</w:t>
            </w:r>
          </w:p>
        </w:tc>
        <w:tc>
          <w:tcPr>
            <w:tcW w:w="3699" w:type="pct"/>
          </w:tcPr>
          <w:p w14:paraId="6ED73D61" w14:textId="77777777" w:rsidR="003A549D" w:rsidRPr="003A549D" w:rsidRDefault="003A549D" w:rsidP="003A549D">
            <w:pPr>
              <w:spacing w:before="120" w:after="0"/>
              <w:rPr>
                <w:rFonts w:cs="Arial"/>
                <w:sz w:val="20"/>
              </w:rPr>
            </w:pPr>
            <w:r w:rsidRPr="003A549D">
              <w:rPr>
                <w:rFonts w:cs="Arial"/>
                <w:sz w:val="20"/>
              </w:rPr>
              <w:t>Male; confirmed PNPO deficiency (heterozygous mutations PNPO c.98A&gt;T, c.246delT); neonatal seizure onset treated with PLP from day 24 of life; cirrhosis diagnosed age 2 years; HCC confirmed age 13 years 8 months; cognitively normal with well-controlled epilepsy pre-transplant on PLP 50 mg/kg/day.</w:t>
            </w:r>
          </w:p>
        </w:tc>
      </w:tr>
      <w:tr w:rsidR="003A549D" w:rsidRPr="003A549D" w14:paraId="7773A0D9" w14:textId="77777777" w:rsidTr="00F62C9B">
        <w:tc>
          <w:tcPr>
            <w:tcW w:w="1301" w:type="pct"/>
            <w:shd w:val="clear" w:color="auto" w:fill="F6FDE9"/>
          </w:tcPr>
          <w:p w14:paraId="7871995A" w14:textId="77777777" w:rsidR="003A549D" w:rsidRPr="003A549D" w:rsidRDefault="003A549D" w:rsidP="003A549D">
            <w:pPr>
              <w:spacing w:after="0"/>
              <w:rPr>
                <w:rFonts w:cs="Arial"/>
                <w:sz w:val="20"/>
              </w:rPr>
            </w:pPr>
            <w:r w:rsidRPr="003A549D">
              <w:rPr>
                <w:rFonts w:eastAsia="Calibri" w:cs="Arial"/>
                <w:b/>
                <w:bCs/>
                <w:sz w:val="20"/>
              </w:rPr>
              <w:t>Inclusion/exclusion of alternative causes</w:t>
            </w:r>
          </w:p>
        </w:tc>
        <w:tc>
          <w:tcPr>
            <w:tcW w:w="3699" w:type="pct"/>
          </w:tcPr>
          <w:p w14:paraId="39150BD4" w14:textId="77777777" w:rsidR="003A549D" w:rsidRPr="003A549D" w:rsidRDefault="003A549D" w:rsidP="003A549D">
            <w:pPr>
              <w:spacing w:after="0"/>
              <w:rPr>
                <w:rFonts w:cs="Arial"/>
                <w:sz w:val="20"/>
              </w:rPr>
            </w:pPr>
            <w:r w:rsidRPr="003A549D">
              <w:rPr>
                <w:rFonts w:cs="Arial"/>
                <w:sz w:val="20"/>
              </w:rPr>
              <w:t xml:space="preserve">Single case, no exclusion criteria applicable. </w:t>
            </w:r>
          </w:p>
        </w:tc>
      </w:tr>
    </w:tbl>
    <w:p w14:paraId="29EEA70F" w14:textId="77777777" w:rsidR="003A549D" w:rsidRPr="003A549D" w:rsidRDefault="003A549D" w:rsidP="003A549D">
      <w:pPr>
        <w:rPr>
          <w:rFonts w:eastAsia="Times New Roman" w:cs="Times New Roman"/>
          <w:b/>
          <w:bCs/>
        </w:rPr>
      </w:pPr>
      <w:r w:rsidRPr="003A549D">
        <w:rPr>
          <w:rFonts w:eastAsia="Times New Roman" w:cs="Times New Roman"/>
          <w:b/>
          <w:bCs/>
        </w:rPr>
        <w:t>Exposure</w:t>
      </w:r>
    </w:p>
    <w:tbl>
      <w:tblPr>
        <w:tblStyle w:val="SLROption1"/>
        <w:tblW w:w="5000" w:type="pct"/>
        <w:tblLook w:val="0000" w:firstRow="0" w:lastRow="0" w:firstColumn="0" w:lastColumn="0" w:noHBand="0" w:noVBand="0"/>
      </w:tblPr>
      <w:tblGrid>
        <w:gridCol w:w="3628"/>
        <w:gridCol w:w="10316"/>
      </w:tblGrid>
      <w:tr w:rsidR="003A549D" w:rsidRPr="003A549D" w14:paraId="40C9C608" w14:textId="77777777" w:rsidTr="00F62C9B">
        <w:trPr>
          <w:cantSplit/>
          <w:tblHeader/>
        </w:trPr>
        <w:tc>
          <w:tcPr>
            <w:tcW w:w="1301" w:type="pct"/>
            <w:shd w:val="clear" w:color="auto" w:fill="3C533C"/>
          </w:tcPr>
          <w:p w14:paraId="438BB899" w14:textId="77777777" w:rsidR="003A549D" w:rsidRPr="003A549D" w:rsidRDefault="003A549D" w:rsidP="003A549D">
            <w:pPr>
              <w:spacing w:after="0"/>
              <w:rPr>
                <w:rFonts w:cs="Arial"/>
                <w:sz w:val="20"/>
              </w:rPr>
            </w:pPr>
            <w:r w:rsidRPr="003A549D">
              <w:rPr>
                <w:rFonts w:eastAsia="Calibri" w:cs="Arial"/>
                <w:b/>
                <w:bCs/>
                <w:color w:val="FFFFFF"/>
                <w:sz w:val="20"/>
              </w:rPr>
              <w:lastRenderedPageBreak/>
              <w:t>Field</w:t>
            </w:r>
          </w:p>
        </w:tc>
        <w:tc>
          <w:tcPr>
            <w:tcW w:w="3699" w:type="pct"/>
            <w:shd w:val="clear" w:color="auto" w:fill="3C533C"/>
          </w:tcPr>
          <w:p w14:paraId="6235B0BA"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1FE2401C" w14:textId="77777777" w:rsidTr="00F62C9B">
        <w:tc>
          <w:tcPr>
            <w:tcW w:w="1301" w:type="pct"/>
            <w:shd w:val="clear" w:color="auto" w:fill="F6FDE9"/>
          </w:tcPr>
          <w:p w14:paraId="17BF016B" w14:textId="77777777" w:rsidR="003A549D" w:rsidRPr="003A549D" w:rsidRDefault="003A549D" w:rsidP="003A549D">
            <w:pPr>
              <w:spacing w:after="0"/>
              <w:rPr>
                <w:rFonts w:cs="Arial"/>
                <w:sz w:val="20"/>
              </w:rPr>
            </w:pPr>
            <w:r w:rsidRPr="003A549D">
              <w:rPr>
                <w:rFonts w:eastAsia="Calibri" w:cs="Arial"/>
                <w:b/>
                <w:bCs/>
                <w:sz w:val="20"/>
              </w:rPr>
              <w:t>Exposure characterisation – source</w:t>
            </w:r>
          </w:p>
        </w:tc>
        <w:tc>
          <w:tcPr>
            <w:tcW w:w="3699" w:type="pct"/>
          </w:tcPr>
          <w:p w14:paraId="15A6178D" w14:textId="77777777" w:rsidR="003A549D" w:rsidRPr="003A549D" w:rsidRDefault="003A549D" w:rsidP="003A549D">
            <w:pPr>
              <w:spacing w:after="0"/>
              <w:rPr>
                <w:rFonts w:cs="Arial"/>
                <w:sz w:val="20"/>
              </w:rPr>
            </w:pPr>
            <w:r w:rsidRPr="003A549D">
              <w:rPr>
                <w:rFonts w:cs="Arial"/>
                <w:sz w:val="20"/>
              </w:rPr>
              <w:t>Pyridoxal 5′-phosphate (PLP) administered therapeutically for PNPO deficiency, via oral, intravenous (continuous infusion and bolus), intranasal, and rectal routes. PLP sourced from TaiyoPharma (Japan) for IV; pharmaceutical grade powder (Medisca/PCCA Australia) for oral capsules.</w:t>
            </w:r>
          </w:p>
        </w:tc>
      </w:tr>
      <w:tr w:rsidR="003A549D" w:rsidRPr="003A549D" w14:paraId="31AD9E81" w14:textId="77777777" w:rsidTr="00F62C9B">
        <w:tc>
          <w:tcPr>
            <w:tcW w:w="1301" w:type="pct"/>
            <w:shd w:val="clear" w:color="auto" w:fill="F6FDE9"/>
          </w:tcPr>
          <w:p w14:paraId="45C23B60" w14:textId="77777777" w:rsidR="003A549D" w:rsidRPr="003A549D" w:rsidRDefault="003A549D" w:rsidP="003A549D">
            <w:pPr>
              <w:spacing w:after="0"/>
              <w:rPr>
                <w:rFonts w:cs="Arial"/>
                <w:sz w:val="20"/>
              </w:rPr>
            </w:pPr>
            <w:r w:rsidRPr="003A549D">
              <w:rPr>
                <w:rFonts w:eastAsia="Calibri" w:cs="Arial"/>
                <w:b/>
                <w:bCs/>
                <w:sz w:val="20"/>
              </w:rPr>
              <w:t>Exposure characterisation – dose</w:t>
            </w:r>
          </w:p>
        </w:tc>
        <w:tc>
          <w:tcPr>
            <w:tcW w:w="3699" w:type="pct"/>
          </w:tcPr>
          <w:p w14:paraId="476CBD79" w14:textId="77777777" w:rsidR="003A549D" w:rsidRPr="003A549D" w:rsidRDefault="003A549D" w:rsidP="003A549D">
            <w:pPr>
              <w:spacing w:before="120" w:after="0"/>
              <w:rPr>
                <w:rFonts w:cs="Arial"/>
                <w:sz w:val="20"/>
              </w:rPr>
            </w:pPr>
            <w:r w:rsidRPr="003A549D">
              <w:rPr>
                <w:rFonts w:cs="Arial"/>
                <w:sz w:val="20"/>
              </w:rPr>
              <w:t>Pre-transplant: 50 mg/kg/day oral PLP. Post-transplant acute phase: IV infusion 26.4 mg/kg/day, reduced to 7.8 mg/kg/day minimum before encephalopathy recurred. High-dose oral trial: escalated to 109 mg/kg/day, caused fulminant hepatotoxicity. Final stable post-transplant dose: 24 mg/kg/day oral PLP (3-hourly dosing). IV dose requirement approximately one third of oral dose.</w:t>
            </w:r>
          </w:p>
        </w:tc>
      </w:tr>
      <w:tr w:rsidR="003A549D" w:rsidRPr="003A549D" w14:paraId="466A82A1" w14:textId="77777777" w:rsidTr="00F62C9B">
        <w:tc>
          <w:tcPr>
            <w:tcW w:w="1301" w:type="pct"/>
            <w:shd w:val="clear" w:color="auto" w:fill="F6FDE9"/>
          </w:tcPr>
          <w:p w14:paraId="6CA682A4" w14:textId="77777777" w:rsidR="003A549D" w:rsidRPr="003A549D" w:rsidRDefault="003A549D" w:rsidP="003A549D">
            <w:pPr>
              <w:spacing w:after="0"/>
              <w:rPr>
                <w:rFonts w:cs="Arial"/>
                <w:sz w:val="20"/>
              </w:rPr>
            </w:pPr>
            <w:r w:rsidRPr="003A549D">
              <w:rPr>
                <w:rFonts w:eastAsia="Calibri" w:cs="Arial"/>
                <w:b/>
                <w:bCs/>
                <w:sz w:val="20"/>
              </w:rPr>
              <w:t>Biomarker of exposure</w:t>
            </w:r>
          </w:p>
        </w:tc>
        <w:tc>
          <w:tcPr>
            <w:tcW w:w="3699" w:type="pct"/>
          </w:tcPr>
          <w:p w14:paraId="4AEECE3B" w14:textId="77777777" w:rsidR="003A549D" w:rsidRPr="003A549D" w:rsidRDefault="003A549D" w:rsidP="003A549D">
            <w:pPr>
              <w:spacing w:after="0"/>
              <w:rPr>
                <w:rFonts w:cs="Arial"/>
                <w:sz w:val="20"/>
              </w:rPr>
            </w:pPr>
            <w:r w:rsidRPr="003A549D">
              <w:rPr>
                <w:rFonts w:cs="Arial"/>
                <w:sz w:val="20"/>
              </w:rPr>
              <w:t>Full plasma B6 vitamer profile (PL, PLP, PM, PN, PNP, PMP, 4-pyridoxic acid) by LC-MS/MS at multiple time points; CSF B6 vitamers measured once during IV infusion; liver function tests (AST, ALT, GGT, bilirubin); alpha-fetoprotein; liver biopsy (Ishak fibrosis staging).</w:t>
            </w:r>
          </w:p>
        </w:tc>
      </w:tr>
      <w:tr w:rsidR="003A549D" w:rsidRPr="003A549D" w14:paraId="6A272378" w14:textId="77777777" w:rsidTr="00F62C9B">
        <w:tc>
          <w:tcPr>
            <w:tcW w:w="1301" w:type="pct"/>
            <w:shd w:val="clear" w:color="auto" w:fill="F6FDE9"/>
          </w:tcPr>
          <w:p w14:paraId="7F22221E" w14:textId="77777777" w:rsidR="003A549D" w:rsidRPr="003A549D" w:rsidRDefault="003A549D" w:rsidP="003A549D">
            <w:pPr>
              <w:spacing w:after="0"/>
              <w:rPr>
                <w:rFonts w:cs="Arial"/>
                <w:sz w:val="20"/>
              </w:rPr>
            </w:pPr>
            <w:r w:rsidRPr="003A549D">
              <w:rPr>
                <w:rFonts w:eastAsia="Calibri" w:cs="Arial"/>
                <w:b/>
                <w:bCs/>
                <w:sz w:val="20"/>
              </w:rPr>
              <w:t>Duration of exposure</w:t>
            </w:r>
          </w:p>
        </w:tc>
        <w:tc>
          <w:tcPr>
            <w:tcW w:w="3699" w:type="pct"/>
          </w:tcPr>
          <w:p w14:paraId="5B83CB9D" w14:textId="77777777" w:rsidR="003A549D" w:rsidRPr="003A549D" w:rsidRDefault="003A549D" w:rsidP="003A549D">
            <w:pPr>
              <w:spacing w:after="0"/>
              <w:rPr>
                <w:rFonts w:cs="Arial"/>
                <w:sz w:val="20"/>
              </w:rPr>
            </w:pPr>
            <w:r w:rsidRPr="003A549D">
              <w:rPr>
                <w:rFonts w:cs="Arial"/>
                <w:sz w:val="20"/>
              </w:rPr>
              <w:t>PLP therapy from neonatal period (day 24) through to at least 6 years post-transplant (~20 years total); post-transplant management period reported spans ~22 months for dose stabilisation, with 6-year follow-up biopsy.</w:t>
            </w:r>
          </w:p>
        </w:tc>
      </w:tr>
    </w:tbl>
    <w:p w14:paraId="7A889FD6" w14:textId="77777777" w:rsidR="003A549D" w:rsidRPr="003A549D" w:rsidRDefault="003A549D" w:rsidP="003A549D">
      <w:pPr>
        <w:rPr>
          <w:rFonts w:eastAsia="Times New Roman" w:cs="Times New Roman"/>
          <w:b/>
          <w:bCs/>
        </w:rPr>
      </w:pPr>
      <w:r w:rsidRPr="003A549D">
        <w:rPr>
          <w:rFonts w:eastAsia="Times New Roman" w:cs="Times New Roman"/>
          <w:b/>
          <w:bCs/>
        </w:rPr>
        <w:t>Outcomes</w:t>
      </w:r>
    </w:p>
    <w:tbl>
      <w:tblPr>
        <w:tblStyle w:val="SLROption1"/>
        <w:tblW w:w="5000" w:type="pct"/>
        <w:tblLook w:val="0000" w:firstRow="0" w:lastRow="0" w:firstColumn="0" w:lastColumn="0" w:noHBand="0" w:noVBand="0"/>
      </w:tblPr>
      <w:tblGrid>
        <w:gridCol w:w="3628"/>
        <w:gridCol w:w="10316"/>
      </w:tblGrid>
      <w:tr w:rsidR="003A549D" w:rsidRPr="003A549D" w14:paraId="3243B628" w14:textId="77777777" w:rsidTr="00F62C9B">
        <w:tc>
          <w:tcPr>
            <w:tcW w:w="1301" w:type="pct"/>
            <w:shd w:val="clear" w:color="auto" w:fill="3C533C"/>
          </w:tcPr>
          <w:p w14:paraId="6668CE80"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5DC6E4C8"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0B8D2E76" w14:textId="77777777" w:rsidTr="00F62C9B">
        <w:tc>
          <w:tcPr>
            <w:tcW w:w="1301" w:type="pct"/>
            <w:shd w:val="clear" w:color="auto" w:fill="F6FDE9"/>
          </w:tcPr>
          <w:p w14:paraId="6AAFECC7" w14:textId="77777777" w:rsidR="003A549D" w:rsidRPr="003A549D" w:rsidRDefault="003A549D" w:rsidP="003A549D">
            <w:pPr>
              <w:spacing w:after="0"/>
              <w:rPr>
                <w:rFonts w:cs="Arial"/>
                <w:sz w:val="20"/>
              </w:rPr>
            </w:pPr>
            <w:r w:rsidRPr="003A549D">
              <w:rPr>
                <w:rFonts w:eastAsia="Calibri" w:cs="Arial"/>
                <w:b/>
                <w:bCs/>
                <w:sz w:val="20"/>
              </w:rPr>
              <w:t>Primary outcome</w:t>
            </w:r>
          </w:p>
        </w:tc>
        <w:tc>
          <w:tcPr>
            <w:tcW w:w="3699" w:type="pct"/>
          </w:tcPr>
          <w:p w14:paraId="7A1B7CBC" w14:textId="77777777" w:rsidR="003A549D" w:rsidRPr="003A549D" w:rsidRDefault="003A549D" w:rsidP="003A549D">
            <w:pPr>
              <w:spacing w:after="0"/>
              <w:rPr>
                <w:rFonts w:cs="Arial"/>
                <w:sz w:val="20"/>
              </w:rPr>
            </w:pPr>
            <w:r w:rsidRPr="003A549D">
              <w:rPr>
                <w:rFonts w:cs="Arial"/>
                <w:sz w:val="20"/>
              </w:rPr>
              <w:t>Feasibility and challenges of managing PNPO deficiency post liver transplantation; PLP-associated hepatotoxicity; pharmacokinetics of different PLP administration routes.</w:t>
            </w:r>
          </w:p>
        </w:tc>
      </w:tr>
      <w:tr w:rsidR="003A549D" w:rsidRPr="003A549D" w14:paraId="29E7C4D2" w14:textId="77777777" w:rsidTr="00F62C9B">
        <w:tc>
          <w:tcPr>
            <w:tcW w:w="1301" w:type="pct"/>
            <w:shd w:val="clear" w:color="auto" w:fill="F6FDE9"/>
          </w:tcPr>
          <w:p w14:paraId="423C2994" w14:textId="77777777" w:rsidR="003A549D" w:rsidRPr="003A549D" w:rsidRDefault="003A549D" w:rsidP="003A549D">
            <w:pPr>
              <w:spacing w:after="0"/>
              <w:rPr>
                <w:rFonts w:cs="Arial"/>
                <w:sz w:val="20"/>
              </w:rPr>
            </w:pPr>
            <w:r w:rsidRPr="003A549D">
              <w:rPr>
                <w:rFonts w:eastAsia="Calibri" w:cs="Arial"/>
                <w:b/>
                <w:bCs/>
                <w:sz w:val="20"/>
              </w:rPr>
              <w:t>Outcome assessment</w:t>
            </w:r>
          </w:p>
        </w:tc>
        <w:tc>
          <w:tcPr>
            <w:tcW w:w="3699" w:type="pct"/>
          </w:tcPr>
          <w:p w14:paraId="1913DBE6" w14:textId="77777777" w:rsidR="003A549D" w:rsidRPr="003A549D" w:rsidRDefault="003A549D" w:rsidP="003A549D">
            <w:pPr>
              <w:spacing w:before="120" w:after="0"/>
              <w:rPr>
                <w:rFonts w:cs="Arial"/>
                <w:sz w:val="20"/>
              </w:rPr>
            </w:pPr>
            <w:r w:rsidRPr="003A549D">
              <w:rPr>
                <w:rFonts w:cs="Arial"/>
                <w:sz w:val="20"/>
              </w:rPr>
              <w:t>Neurological symptoms of PLP deficiency (visual disturbance, altered consciousness, seizures); liver function deterioration (nausea, vomiting, weight loss); general clinical status.</w:t>
            </w:r>
          </w:p>
        </w:tc>
      </w:tr>
      <w:tr w:rsidR="003A549D" w:rsidRPr="003A549D" w14:paraId="408F3AF4" w14:textId="77777777" w:rsidTr="00F62C9B">
        <w:tc>
          <w:tcPr>
            <w:tcW w:w="1301" w:type="pct"/>
            <w:shd w:val="clear" w:color="auto" w:fill="F6FDE9"/>
          </w:tcPr>
          <w:p w14:paraId="3B7683F5" w14:textId="77777777" w:rsidR="003A549D" w:rsidRPr="003A549D" w:rsidRDefault="003A549D" w:rsidP="003A549D">
            <w:pPr>
              <w:spacing w:after="0"/>
              <w:rPr>
                <w:rFonts w:cs="Arial"/>
                <w:sz w:val="20"/>
              </w:rPr>
            </w:pPr>
            <w:r w:rsidRPr="003A549D">
              <w:rPr>
                <w:rFonts w:eastAsia="Calibri" w:cs="Arial"/>
                <w:b/>
                <w:bCs/>
                <w:sz w:val="20"/>
              </w:rPr>
              <w:t>Outcome assessment – objective testing</w:t>
            </w:r>
          </w:p>
        </w:tc>
        <w:tc>
          <w:tcPr>
            <w:tcW w:w="3699" w:type="pct"/>
          </w:tcPr>
          <w:p w14:paraId="4CB11569" w14:textId="77777777" w:rsidR="003A549D" w:rsidRPr="003A549D" w:rsidRDefault="003A549D" w:rsidP="003A549D">
            <w:pPr>
              <w:spacing w:after="0"/>
              <w:rPr>
                <w:rFonts w:cs="Arial"/>
                <w:sz w:val="20"/>
              </w:rPr>
            </w:pPr>
            <w:r w:rsidRPr="003A549D">
              <w:rPr>
                <w:rFonts w:cs="Arial"/>
                <w:sz w:val="20"/>
              </w:rPr>
              <w:t>Continuous EEG monitoring (4599 hours total); plasma B6 vitamer levels by LC-MS/MS; liver function tests (AST, ALT, GGT, bilirubin); serial liver biopsies (Ishak fibrosis staging); alpha-fetoprotein; hepatic MRI; CSF vitamer levels.</w:t>
            </w:r>
          </w:p>
        </w:tc>
      </w:tr>
      <w:tr w:rsidR="003A549D" w:rsidRPr="003A549D" w14:paraId="4C6EC945" w14:textId="77777777" w:rsidTr="00F62C9B">
        <w:tc>
          <w:tcPr>
            <w:tcW w:w="1301" w:type="pct"/>
            <w:shd w:val="clear" w:color="auto" w:fill="F6FDE9"/>
          </w:tcPr>
          <w:p w14:paraId="51D58C5D" w14:textId="77777777" w:rsidR="003A549D" w:rsidRPr="003A549D" w:rsidRDefault="003A549D" w:rsidP="003A549D">
            <w:pPr>
              <w:spacing w:after="0"/>
              <w:rPr>
                <w:rFonts w:cs="Arial"/>
                <w:sz w:val="20"/>
              </w:rPr>
            </w:pPr>
            <w:r w:rsidRPr="003A549D">
              <w:rPr>
                <w:rFonts w:eastAsia="Calibri" w:cs="Arial"/>
                <w:b/>
                <w:bCs/>
                <w:sz w:val="20"/>
              </w:rPr>
              <w:t>Outcome assessment – tools used</w:t>
            </w:r>
          </w:p>
        </w:tc>
        <w:tc>
          <w:tcPr>
            <w:tcW w:w="3699" w:type="pct"/>
          </w:tcPr>
          <w:p w14:paraId="0876B0F1" w14:textId="77777777" w:rsidR="003A549D" w:rsidRPr="003A549D" w:rsidRDefault="003A549D" w:rsidP="003A549D">
            <w:pPr>
              <w:spacing w:after="0"/>
              <w:rPr>
                <w:rFonts w:cs="Arial"/>
                <w:sz w:val="20"/>
              </w:rPr>
            </w:pPr>
            <w:r w:rsidRPr="003A549D">
              <w:rPr>
                <w:rFonts w:cs="Arial"/>
                <w:sz w:val="20"/>
              </w:rPr>
              <w:t>LC-MS/MS (Waters Acquity/TQ-XS) for vitamer quantification; Student's t-test for vitamer levels at deficiency vs non-deficiency timepoints; Ishak fibrosis and LAFSc scoring on biopsy.</w:t>
            </w:r>
          </w:p>
        </w:tc>
      </w:tr>
      <w:tr w:rsidR="003A549D" w:rsidRPr="003A549D" w14:paraId="32B3EF0B" w14:textId="77777777" w:rsidTr="00F62C9B">
        <w:tc>
          <w:tcPr>
            <w:tcW w:w="1301" w:type="pct"/>
            <w:shd w:val="clear" w:color="auto" w:fill="F6FDE9"/>
          </w:tcPr>
          <w:p w14:paraId="512C2CFD" w14:textId="77777777" w:rsidR="003A549D" w:rsidRPr="003A549D" w:rsidRDefault="003A549D" w:rsidP="003A549D">
            <w:pPr>
              <w:spacing w:after="0"/>
              <w:rPr>
                <w:rFonts w:cs="Arial"/>
                <w:sz w:val="20"/>
              </w:rPr>
            </w:pPr>
            <w:r w:rsidRPr="003A549D">
              <w:rPr>
                <w:rFonts w:eastAsia="Calibri" w:cs="Arial"/>
                <w:b/>
                <w:bCs/>
                <w:sz w:val="20"/>
              </w:rPr>
              <w:t>Response to withdrawal</w:t>
            </w:r>
          </w:p>
        </w:tc>
        <w:tc>
          <w:tcPr>
            <w:tcW w:w="3699" w:type="pct"/>
          </w:tcPr>
          <w:p w14:paraId="26C6C658" w14:textId="77777777" w:rsidR="003A549D" w:rsidRPr="003A549D" w:rsidRDefault="003A549D" w:rsidP="003A549D">
            <w:pPr>
              <w:spacing w:after="0"/>
              <w:rPr>
                <w:rFonts w:cs="Arial"/>
                <w:sz w:val="20"/>
              </w:rPr>
            </w:pPr>
            <w:r w:rsidRPr="003A549D">
              <w:rPr>
                <w:rFonts w:cs="Arial"/>
                <w:sz w:val="20"/>
              </w:rPr>
              <w:t>Hepatotoxicity reliably resolved upon cessation of oral PLP and re-initiation of IV PLP. Encephalopathy/seizures recurred promptly when PLP dose was reduced below threshold. Trials of pyridoxamine and pyridoxine (as alternatives to PLP) caused encephalopathy and were ceased.</w:t>
            </w:r>
          </w:p>
        </w:tc>
      </w:tr>
    </w:tbl>
    <w:p w14:paraId="3BE64101" w14:textId="77777777" w:rsidR="003A549D" w:rsidRPr="003A549D" w:rsidRDefault="003A549D" w:rsidP="003A549D">
      <w:pPr>
        <w:rPr>
          <w:rFonts w:eastAsia="Times New Roman" w:cs="Times New Roman"/>
          <w:b/>
          <w:bCs/>
        </w:rPr>
      </w:pPr>
      <w:r w:rsidRPr="003A549D">
        <w:rPr>
          <w:rFonts w:eastAsia="Times New Roman" w:cs="Times New Roman"/>
          <w:b/>
          <w:bCs/>
        </w:rPr>
        <w:t>Results and Conclusions</w:t>
      </w:r>
    </w:p>
    <w:tbl>
      <w:tblPr>
        <w:tblStyle w:val="SLROption1"/>
        <w:tblW w:w="5000" w:type="pct"/>
        <w:tblLook w:val="0000" w:firstRow="0" w:lastRow="0" w:firstColumn="0" w:lastColumn="0" w:noHBand="0" w:noVBand="0"/>
      </w:tblPr>
      <w:tblGrid>
        <w:gridCol w:w="3628"/>
        <w:gridCol w:w="10316"/>
      </w:tblGrid>
      <w:tr w:rsidR="003A549D" w:rsidRPr="003A549D" w14:paraId="2FD37986" w14:textId="77777777" w:rsidTr="00F62C9B">
        <w:trPr>
          <w:cantSplit/>
          <w:tblHeader/>
        </w:trPr>
        <w:tc>
          <w:tcPr>
            <w:tcW w:w="1301" w:type="pct"/>
            <w:shd w:val="clear" w:color="auto" w:fill="3C533C"/>
          </w:tcPr>
          <w:p w14:paraId="0B588C32" w14:textId="77777777" w:rsidR="003A549D" w:rsidRPr="003A549D" w:rsidRDefault="003A549D" w:rsidP="003A549D">
            <w:pPr>
              <w:spacing w:after="0"/>
              <w:rPr>
                <w:rFonts w:cs="Arial"/>
                <w:sz w:val="20"/>
              </w:rPr>
            </w:pPr>
            <w:r w:rsidRPr="003A549D">
              <w:rPr>
                <w:rFonts w:eastAsia="Calibri" w:cs="Arial"/>
                <w:b/>
                <w:bCs/>
                <w:color w:val="FFFFFF"/>
                <w:sz w:val="20"/>
              </w:rPr>
              <w:lastRenderedPageBreak/>
              <w:t>Field</w:t>
            </w:r>
          </w:p>
        </w:tc>
        <w:tc>
          <w:tcPr>
            <w:tcW w:w="3699" w:type="pct"/>
            <w:shd w:val="clear" w:color="auto" w:fill="3C533C"/>
          </w:tcPr>
          <w:p w14:paraId="5F0722EB"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4C825A62" w14:textId="77777777" w:rsidTr="00F62C9B">
        <w:trPr>
          <w:cantSplit/>
        </w:trPr>
        <w:tc>
          <w:tcPr>
            <w:tcW w:w="1301" w:type="pct"/>
            <w:shd w:val="clear" w:color="auto" w:fill="F6FDE9"/>
          </w:tcPr>
          <w:p w14:paraId="5EE9CF96" w14:textId="77777777" w:rsidR="003A549D" w:rsidRPr="003A549D" w:rsidRDefault="003A549D" w:rsidP="003A549D">
            <w:pPr>
              <w:spacing w:after="0"/>
              <w:rPr>
                <w:rFonts w:cs="Arial"/>
                <w:sz w:val="20"/>
              </w:rPr>
            </w:pPr>
            <w:r w:rsidRPr="003A549D">
              <w:rPr>
                <w:rFonts w:eastAsia="Calibri" w:cs="Arial"/>
                <w:b/>
                <w:bCs/>
                <w:sz w:val="20"/>
              </w:rPr>
              <w:t>Main results</w:t>
            </w:r>
          </w:p>
        </w:tc>
        <w:tc>
          <w:tcPr>
            <w:tcW w:w="3699" w:type="pct"/>
          </w:tcPr>
          <w:p w14:paraId="4ACD9963" w14:textId="77777777" w:rsidR="003A549D" w:rsidRPr="003A549D" w:rsidRDefault="003A549D" w:rsidP="003A549D">
            <w:pPr>
              <w:spacing w:before="120" w:after="0"/>
              <w:rPr>
                <w:rFonts w:cs="Arial"/>
                <w:sz w:val="20"/>
              </w:rPr>
            </w:pPr>
            <w:r w:rsidRPr="003A549D">
              <w:rPr>
                <w:rFonts w:cs="Arial"/>
                <w:sz w:val="20"/>
              </w:rPr>
              <w:t>Liver transplantation cured HCC but did not eliminate the need for supraphysiological PLP doses, indicating impaired neuronal (not hepatic) PLP salvage as the primary driver of PLP requirements. High-dose oral PLP (109 mg/kg/day) caused acute fulminant hepatotoxicity with extensive hepatocyte necrosis on biopsy; resolved with IV PLP at ~10-fold lower dose. IV PLP requirement was ~one third of oral dose. Chronic low-level hepatotoxicity persisted 6 years post-transplant (Ishak 2/6, LAFSc 3/9). Plasma PL level was the best predictor of encephalopathy (all episodes occurred with PL &lt;2800 nmol/L), but high plasma PLP did not reliably prevent encephalopathy. Intranasal PLP was effective in aborting encephalopathy episodes. Pyridoxamine and pyridoxine could not substitute for PLP.</w:t>
            </w:r>
          </w:p>
        </w:tc>
      </w:tr>
      <w:tr w:rsidR="003A549D" w:rsidRPr="003A549D" w14:paraId="2E1DBE06" w14:textId="77777777" w:rsidTr="00F62C9B">
        <w:trPr>
          <w:cantSplit/>
        </w:trPr>
        <w:tc>
          <w:tcPr>
            <w:tcW w:w="1301" w:type="pct"/>
            <w:shd w:val="clear" w:color="auto" w:fill="F6FDE9"/>
          </w:tcPr>
          <w:p w14:paraId="3FD23F43" w14:textId="77777777" w:rsidR="003A549D" w:rsidRPr="003A549D" w:rsidRDefault="003A549D" w:rsidP="003A549D">
            <w:pPr>
              <w:spacing w:after="0"/>
              <w:rPr>
                <w:rFonts w:cs="Arial"/>
                <w:sz w:val="20"/>
              </w:rPr>
            </w:pPr>
            <w:r w:rsidRPr="003A549D">
              <w:rPr>
                <w:rFonts w:eastAsia="Calibri" w:cs="Arial"/>
                <w:b/>
                <w:bCs/>
                <w:sz w:val="20"/>
              </w:rPr>
              <w:t>Authors' conclusions</w:t>
            </w:r>
          </w:p>
        </w:tc>
        <w:tc>
          <w:tcPr>
            <w:tcW w:w="3699" w:type="pct"/>
          </w:tcPr>
          <w:p w14:paraId="7FD1C920" w14:textId="77777777" w:rsidR="003A549D" w:rsidRPr="003A549D" w:rsidRDefault="003A549D" w:rsidP="003A549D">
            <w:pPr>
              <w:spacing w:after="0"/>
              <w:rPr>
                <w:rFonts w:cs="Arial"/>
                <w:sz w:val="20"/>
              </w:rPr>
            </w:pPr>
            <w:r w:rsidRPr="003A549D">
              <w:rPr>
                <w:rFonts w:cs="Arial"/>
                <w:sz w:val="20"/>
              </w:rPr>
              <w:t>PLP remains unavoidably hepatotoxic in PNPO deficiency even in a liver with normal PNPO function, confirming hepatotoxicity is a direct PLP effect rather than a consequence of PNPO deficiency per se. Supraphysiological PLP doses are required due to impaired neuronal PLP recycling, not hepatic PLP metabolism. Gradual dose changes, frequent dosing intervals, and IV PLP minimise hepatotoxicity. Liver transplantation may be needed in future PNPO patients with cirrhosis/HCC; this case provides management guidance.</w:t>
            </w:r>
          </w:p>
        </w:tc>
      </w:tr>
      <w:tr w:rsidR="003A549D" w:rsidRPr="003A549D" w14:paraId="5AD14CD8" w14:textId="77777777" w:rsidTr="00F62C9B">
        <w:trPr>
          <w:cantSplit/>
        </w:trPr>
        <w:tc>
          <w:tcPr>
            <w:tcW w:w="1301" w:type="pct"/>
            <w:shd w:val="clear" w:color="auto" w:fill="F6FDE9"/>
          </w:tcPr>
          <w:p w14:paraId="460FA726" w14:textId="77777777" w:rsidR="003A549D" w:rsidRPr="003A549D" w:rsidRDefault="003A549D" w:rsidP="003A549D">
            <w:pPr>
              <w:spacing w:after="0"/>
              <w:rPr>
                <w:rFonts w:cs="Arial"/>
                <w:sz w:val="20"/>
              </w:rPr>
            </w:pPr>
            <w:r w:rsidRPr="003A549D">
              <w:rPr>
                <w:rFonts w:eastAsia="Calibri" w:cs="Arial"/>
                <w:b/>
                <w:bCs/>
                <w:sz w:val="20"/>
              </w:rPr>
              <w:t>Authors' acknowledged limitations</w:t>
            </w:r>
          </w:p>
        </w:tc>
        <w:tc>
          <w:tcPr>
            <w:tcW w:w="3699" w:type="pct"/>
          </w:tcPr>
          <w:p w14:paraId="618C34C5" w14:textId="77777777" w:rsidR="003A549D" w:rsidRPr="003A549D" w:rsidRDefault="003A549D" w:rsidP="003A549D">
            <w:pPr>
              <w:spacing w:after="0"/>
              <w:rPr>
                <w:rFonts w:cs="Arial"/>
                <w:sz w:val="20"/>
              </w:rPr>
            </w:pPr>
            <w:r w:rsidRPr="003A549D">
              <w:rPr>
                <w:rFonts w:cs="Arial"/>
                <w:sz w:val="20"/>
              </w:rPr>
              <w:t>Single patient case; findings may not generalise to other PNPO deficiency phenotypes (especially PN-responsive patients); aggressive early PLP treatment prevented secondary epileptogenesis, complicating extrapolation; blood B6 vitamer levels imperfectly reflect intraneuronal PLP reserves; short duration of pyridoxamine/pyridoxine trials prevents definitive conclusions about their utility; B6 vitamer levels in this post-transplant patient unlikely to reflect those in non-transplanted PNPO patients.</w:t>
            </w:r>
          </w:p>
        </w:tc>
      </w:tr>
    </w:tbl>
    <w:p w14:paraId="2A7DEE29" w14:textId="77777777" w:rsidR="003A549D" w:rsidRPr="003A549D" w:rsidRDefault="003A549D" w:rsidP="003A549D">
      <w:pPr>
        <w:rPr>
          <w:rFonts w:eastAsia="Times New Roman" w:cs="Times New Roman"/>
          <w:b/>
          <w:bCs/>
        </w:rPr>
      </w:pPr>
      <w:r w:rsidRPr="003A549D">
        <w:rPr>
          <w:rFonts w:eastAsia="Times New Roman" w:cs="Times New Roman"/>
          <w:b/>
          <w:bCs/>
        </w:rPr>
        <w:t>Contextual information for the AU/NZ UL review</w:t>
      </w:r>
    </w:p>
    <w:tbl>
      <w:tblPr>
        <w:tblStyle w:val="SLROption1"/>
        <w:tblW w:w="5000" w:type="pct"/>
        <w:tblLook w:val="0000" w:firstRow="0" w:lastRow="0" w:firstColumn="0" w:lastColumn="0" w:noHBand="0" w:noVBand="0"/>
      </w:tblPr>
      <w:tblGrid>
        <w:gridCol w:w="3628"/>
        <w:gridCol w:w="10316"/>
      </w:tblGrid>
      <w:tr w:rsidR="003A549D" w:rsidRPr="003A549D" w14:paraId="799CAA7F" w14:textId="77777777" w:rsidTr="00F62C9B">
        <w:tc>
          <w:tcPr>
            <w:tcW w:w="1301" w:type="pct"/>
            <w:shd w:val="clear" w:color="auto" w:fill="F6FDE9"/>
          </w:tcPr>
          <w:p w14:paraId="3C265FC1" w14:textId="77777777" w:rsidR="003A549D" w:rsidRPr="003A549D" w:rsidRDefault="003A549D" w:rsidP="003A549D">
            <w:pPr>
              <w:spacing w:after="0"/>
              <w:rPr>
                <w:rFonts w:cs="Arial"/>
                <w:sz w:val="20"/>
              </w:rPr>
            </w:pPr>
            <w:r w:rsidRPr="003A549D">
              <w:rPr>
                <w:rFonts w:eastAsia="Calibri" w:cs="Arial"/>
                <w:b/>
                <w:bCs/>
                <w:sz w:val="20"/>
              </w:rPr>
              <w:t>Generalisability to AU/NZ</w:t>
            </w:r>
          </w:p>
        </w:tc>
        <w:tc>
          <w:tcPr>
            <w:tcW w:w="3699" w:type="pct"/>
          </w:tcPr>
          <w:p w14:paraId="2734462F" w14:textId="77777777" w:rsidR="003A549D" w:rsidRPr="003A549D" w:rsidRDefault="003A549D" w:rsidP="003A549D">
            <w:pPr>
              <w:spacing w:after="0"/>
              <w:rPr>
                <w:rFonts w:cs="Arial"/>
                <w:sz w:val="20"/>
              </w:rPr>
            </w:pPr>
            <w:r w:rsidRPr="003A549D">
              <w:rPr>
                <w:rFonts w:cs="Arial"/>
                <w:sz w:val="20"/>
              </w:rPr>
              <w:t>Australian case (Children's Hospital at Westmead, Sydney) with direct AU/NZ institutional relevance. As with Stolwijk et al. 2025, this is a highly specialised ultra-rare disease context (PNPO deficiency) involving therapeutic PLP doses (24–109 mg/kg/day) far exceeding any dietary or supplemental intake relevant to a population-level UL.</w:t>
            </w:r>
          </w:p>
          <w:p w14:paraId="1B752F1A" w14:textId="7CF12CA1" w:rsidR="003A549D" w:rsidRPr="003A549D" w:rsidRDefault="00082621" w:rsidP="003A549D">
            <w:pPr>
              <w:spacing w:after="0"/>
              <w:rPr>
                <w:rFonts w:cs="Arial"/>
                <w:sz w:val="20"/>
              </w:rPr>
            </w:pPr>
            <w:r>
              <w:rPr>
                <w:rFonts w:cs="Arial"/>
                <w:sz w:val="20"/>
              </w:rPr>
              <w:t>T</w:t>
            </w:r>
            <w:r w:rsidRPr="00082621">
              <w:rPr>
                <w:rFonts w:cs="Arial"/>
                <w:sz w:val="20"/>
              </w:rPr>
              <w:t>herapeutic level not relevant to the general population intake of vitamin B6.</w:t>
            </w:r>
          </w:p>
        </w:tc>
      </w:tr>
    </w:tbl>
    <w:p w14:paraId="0A45B0DE" w14:textId="77777777" w:rsidR="003A549D" w:rsidRPr="003A549D" w:rsidRDefault="003A549D" w:rsidP="003A549D">
      <w:pPr>
        <w:rPr>
          <w:rFonts w:eastAsia="Times New Roman" w:cs="Arial"/>
          <w:b/>
          <w:bCs/>
        </w:rPr>
      </w:pPr>
    </w:p>
    <w:p w14:paraId="2E9EE953" w14:textId="77777777" w:rsidR="003A549D" w:rsidRPr="003A549D" w:rsidRDefault="003A549D" w:rsidP="003A549D"/>
    <w:p w14:paraId="2169E33B" w14:textId="77777777" w:rsidR="003A549D" w:rsidRPr="003A549D" w:rsidRDefault="003A549D" w:rsidP="003A549D">
      <w:pPr>
        <w:keepNext/>
        <w:numPr>
          <w:ilvl w:val="2"/>
          <w:numId w:val="2"/>
        </w:numPr>
        <w:spacing w:before="240"/>
        <w:outlineLvl w:val="8"/>
        <w:rPr>
          <w:b/>
          <w:iCs/>
          <w:noProof/>
          <w:color w:val="667545" w:themeColor="accent3"/>
          <w:sz w:val="24"/>
        </w:rPr>
      </w:pPr>
      <w:r w:rsidRPr="003A549D">
        <w:rPr>
          <w:b/>
          <w:iCs/>
          <w:noProof/>
          <w:color w:val="667545" w:themeColor="accent3"/>
          <w:sz w:val="24"/>
        </w:rPr>
        <w:t>Whyte et al. 2024</w:t>
      </w:r>
    </w:p>
    <w:p w14:paraId="763F0C3F" w14:textId="77777777" w:rsidR="003A549D" w:rsidRPr="003A549D" w:rsidRDefault="003A549D" w:rsidP="003A549D">
      <w:pPr>
        <w:keepNext/>
        <w:spacing w:before="240"/>
        <w:ind w:left="1080" w:hanging="1080"/>
        <w:rPr>
          <w:rFonts w:eastAsia="Calibri" w:cs="Arial"/>
          <w:b/>
          <w:bCs/>
          <w:sz w:val="20"/>
        </w:rPr>
      </w:pPr>
      <w:r w:rsidRPr="003A549D">
        <w:rPr>
          <w:rFonts w:eastAsia="Calibri" w:cs="Arial"/>
          <w:b/>
          <w:bCs/>
          <w:sz w:val="20"/>
        </w:rPr>
        <w:t>Study identification and design</w:t>
      </w:r>
    </w:p>
    <w:tbl>
      <w:tblPr>
        <w:tblStyle w:val="SLROption1"/>
        <w:tblW w:w="5000" w:type="pct"/>
        <w:tblLook w:val="0000" w:firstRow="0" w:lastRow="0" w:firstColumn="0" w:lastColumn="0" w:noHBand="0" w:noVBand="0"/>
      </w:tblPr>
      <w:tblGrid>
        <w:gridCol w:w="3628"/>
        <w:gridCol w:w="10316"/>
      </w:tblGrid>
      <w:tr w:rsidR="003A549D" w:rsidRPr="003A549D" w14:paraId="25148936" w14:textId="77777777" w:rsidTr="00F62C9B">
        <w:tc>
          <w:tcPr>
            <w:tcW w:w="1301" w:type="pct"/>
            <w:shd w:val="clear" w:color="auto" w:fill="3C533C"/>
          </w:tcPr>
          <w:p w14:paraId="6BC5C778"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1D8226BB"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70106D84" w14:textId="77777777" w:rsidTr="00F62C9B">
        <w:tc>
          <w:tcPr>
            <w:tcW w:w="1301" w:type="pct"/>
            <w:shd w:val="clear" w:color="auto" w:fill="F6FDE9"/>
          </w:tcPr>
          <w:p w14:paraId="1FE095B7" w14:textId="77777777" w:rsidR="003A549D" w:rsidRPr="003A549D" w:rsidRDefault="003A549D" w:rsidP="003A549D">
            <w:pPr>
              <w:spacing w:after="0"/>
              <w:rPr>
                <w:rFonts w:cs="Arial"/>
                <w:sz w:val="20"/>
              </w:rPr>
            </w:pPr>
            <w:r w:rsidRPr="003A549D">
              <w:rPr>
                <w:rFonts w:eastAsia="Calibri" w:cs="Arial"/>
                <w:b/>
                <w:bCs/>
                <w:sz w:val="20"/>
              </w:rPr>
              <w:lastRenderedPageBreak/>
              <w:t>Citation</w:t>
            </w:r>
          </w:p>
        </w:tc>
        <w:tc>
          <w:tcPr>
            <w:tcW w:w="3699" w:type="pct"/>
          </w:tcPr>
          <w:p w14:paraId="05DC50B2" w14:textId="77777777" w:rsidR="003A549D" w:rsidRPr="003A549D" w:rsidRDefault="003A549D" w:rsidP="003A549D">
            <w:pPr>
              <w:spacing w:after="0"/>
              <w:rPr>
                <w:rFonts w:cs="Arial"/>
                <w:sz w:val="20"/>
              </w:rPr>
            </w:pPr>
            <w:r w:rsidRPr="003A549D">
              <w:rPr>
                <w:rFonts w:cs="Arial"/>
                <w:sz w:val="20"/>
              </w:rPr>
              <w:t xml:space="preserve">Whyte MP, Zhang F, Mack KE, Wenkert D, Gottesman GS, Ericson KL, Cole JT, Coburn SP. Pyridoxine challenge reflects pediatric hypophosphatasia severity and thereby examines tissue-nonspecific alkaline phosphatase's role in vitamin B6 metabolism. </w:t>
            </w:r>
            <w:r w:rsidRPr="003A549D">
              <w:rPr>
                <w:rFonts w:cs="Arial"/>
                <w:i/>
                <w:iCs/>
                <w:sz w:val="20"/>
              </w:rPr>
              <w:t>Bone.</w:t>
            </w:r>
            <w:r w:rsidRPr="003A549D">
              <w:rPr>
                <w:rFonts w:cs="Arial"/>
                <w:sz w:val="20"/>
              </w:rPr>
              <w:t xml:space="preserve"> 2024;181:117033. </w:t>
            </w:r>
            <w:hyperlink r:id="rId205" w:history="1">
              <w:r w:rsidRPr="003A549D">
                <w:rPr>
                  <w:rFonts w:cs="Arial"/>
                  <w:color w:val="4E5768"/>
                  <w:sz w:val="20"/>
                  <w:u w:val="single"/>
                </w:rPr>
                <w:t>https://doi.org/10.1016/j.bone.2024.117033</w:t>
              </w:r>
            </w:hyperlink>
          </w:p>
        </w:tc>
      </w:tr>
      <w:tr w:rsidR="003A549D" w:rsidRPr="003A549D" w14:paraId="085B7515" w14:textId="77777777" w:rsidTr="00F62C9B">
        <w:tc>
          <w:tcPr>
            <w:tcW w:w="1301" w:type="pct"/>
            <w:shd w:val="clear" w:color="auto" w:fill="F6FDE9"/>
          </w:tcPr>
          <w:p w14:paraId="41464B47" w14:textId="77777777" w:rsidR="003A549D" w:rsidRPr="003A549D" w:rsidRDefault="003A549D" w:rsidP="003A549D">
            <w:pPr>
              <w:spacing w:after="0"/>
              <w:rPr>
                <w:rFonts w:cs="Arial"/>
                <w:sz w:val="20"/>
              </w:rPr>
            </w:pPr>
            <w:r w:rsidRPr="003A549D">
              <w:rPr>
                <w:rFonts w:eastAsia="Calibri" w:cs="Arial"/>
                <w:b/>
                <w:bCs/>
                <w:sz w:val="20"/>
              </w:rPr>
              <w:t>Publication status</w:t>
            </w:r>
          </w:p>
        </w:tc>
        <w:tc>
          <w:tcPr>
            <w:tcW w:w="3699" w:type="pct"/>
          </w:tcPr>
          <w:p w14:paraId="40C2B30B" w14:textId="77777777" w:rsidR="003A549D" w:rsidRPr="003A549D" w:rsidRDefault="003A549D" w:rsidP="003A549D">
            <w:pPr>
              <w:spacing w:after="0"/>
              <w:rPr>
                <w:rFonts w:cs="Arial"/>
                <w:sz w:val="20"/>
              </w:rPr>
            </w:pPr>
            <w:r w:rsidRPr="003A549D">
              <w:rPr>
                <w:rFonts w:cs="Arial"/>
                <w:sz w:val="20"/>
              </w:rPr>
              <w:t>Published, peer-reviewed open-access full-length article (received August 2023, accepted January 2024)</w:t>
            </w:r>
          </w:p>
        </w:tc>
      </w:tr>
      <w:tr w:rsidR="003A549D" w:rsidRPr="003A549D" w14:paraId="1E09CDBA" w14:textId="77777777" w:rsidTr="00F62C9B">
        <w:tc>
          <w:tcPr>
            <w:tcW w:w="1301" w:type="pct"/>
            <w:shd w:val="clear" w:color="auto" w:fill="F6FDE9"/>
          </w:tcPr>
          <w:p w14:paraId="37A75011" w14:textId="77777777" w:rsidR="003A549D" w:rsidRPr="003A549D" w:rsidRDefault="003A549D" w:rsidP="003A549D">
            <w:pPr>
              <w:spacing w:after="0"/>
              <w:rPr>
                <w:rFonts w:cs="Arial"/>
                <w:sz w:val="20"/>
              </w:rPr>
            </w:pPr>
            <w:r w:rsidRPr="003A549D">
              <w:rPr>
                <w:rFonts w:eastAsia="Calibri" w:cs="Arial"/>
                <w:b/>
                <w:bCs/>
                <w:sz w:val="20"/>
              </w:rPr>
              <w:t>Country / setting</w:t>
            </w:r>
          </w:p>
        </w:tc>
        <w:tc>
          <w:tcPr>
            <w:tcW w:w="3699" w:type="pct"/>
          </w:tcPr>
          <w:p w14:paraId="28B760D0" w14:textId="77777777" w:rsidR="003A549D" w:rsidRPr="003A549D" w:rsidRDefault="003A549D" w:rsidP="003A549D">
            <w:pPr>
              <w:spacing w:after="0"/>
              <w:rPr>
                <w:rFonts w:cs="Arial"/>
                <w:sz w:val="20"/>
              </w:rPr>
            </w:pPr>
            <w:r w:rsidRPr="003A549D">
              <w:rPr>
                <w:rFonts w:cs="Arial"/>
                <w:sz w:val="20"/>
              </w:rPr>
              <w:t>USA; single tertiary metabolic bone disease centre (Shriners Hospitals for Children – St Louis / Washington University), participants enrolled 1986–2015.</w:t>
            </w:r>
          </w:p>
        </w:tc>
      </w:tr>
      <w:tr w:rsidR="003A549D" w:rsidRPr="003A549D" w14:paraId="7D492E9C" w14:textId="77777777" w:rsidTr="00F62C9B">
        <w:tc>
          <w:tcPr>
            <w:tcW w:w="1301" w:type="pct"/>
            <w:shd w:val="clear" w:color="auto" w:fill="F6FDE9"/>
          </w:tcPr>
          <w:p w14:paraId="79261AF4" w14:textId="77777777" w:rsidR="003A549D" w:rsidRPr="003A549D" w:rsidRDefault="003A549D" w:rsidP="003A549D">
            <w:pPr>
              <w:spacing w:after="0"/>
              <w:rPr>
                <w:rFonts w:cs="Arial"/>
                <w:sz w:val="20"/>
              </w:rPr>
            </w:pPr>
            <w:r w:rsidRPr="003A549D">
              <w:rPr>
                <w:rFonts w:eastAsia="Calibri" w:cs="Arial"/>
                <w:b/>
                <w:bCs/>
                <w:sz w:val="20"/>
              </w:rPr>
              <w:t>Study design</w:t>
            </w:r>
          </w:p>
        </w:tc>
        <w:tc>
          <w:tcPr>
            <w:tcW w:w="3699" w:type="pct"/>
          </w:tcPr>
          <w:p w14:paraId="45E5004C" w14:textId="77777777" w:rsidR="003A549D" w:rsidRPr="003A549D" w:rsidRDefault="003A549D" w:rsidP="003A549D">
            <w:pPr>
              <w:spacing w:after="0"/>
              <w:rPr>
                <w:rFonts w:cs="Arial"/>
                <w:sz w:val="20"/>
              </w:rPr>
            </w:pPr>
            <w:r w:rsidRPr="003A549D">
              <w:rPr>
                <w:rFonts w:cs="Arial"/>
                <w:sz w:val="20"/>
              </w:rPr>
              <w:t>Cross-sectional controlled challenge study; oral pyridoxine (PN</w:t>
            </w:r>
            <w:r w:rsidRPr="003A549D">
              <w:rPr>
                <w:rFonts w:ascii="Cambria Math" w:hAnsi="Cambria Math" w:cs="Cambria Math"/>
                <w:sz w:val="20"/>
              </w:rPr>
              <w:t>⋅</w:t>
            </w:r>
            <w:r w:rsidRPr="003A549D">
              <w:rPr>
                <w:rFonts w:cs="Arial"/>
                <w:sz w:val="20"/>
              </w:rPr>
              <w:t>HCl) administered over 6 days to 116 children with HPP and comparison groups; pre- and post-challenge plasma B6 vitamer levels measured.</w:t>
            </w:r>
          </w:p>
        </w:tc>
      </w:tr>
      <w:tr w:rsidR="003A549D" w:rsidRPr="003A549D" w14:paraId="7D603EC5" w14:textId="77777777" w:rsidTr="00F62C9B">
        <w:tc>
          <w:tcPr>
            <w:tcW w:w="1301" w:type="pct"/>
            <w:shd w:val="clear" w:color="auto" w:fill="F6FDE9"/>
          </w:tcPr>
          <w:p w14:paraId="7B8E100D" w14:textId="77777777" w:rsidR="003A549D" w:rsidRPr="003A549D" w:rsidRDefault="003A549D" w:rsidP="003A549D">
            <w:pPr>
              <w:spacing w:after="0"/>
              <w:rPr>
                <w:rFonts w:cs="Arial"/>
                <w:sz w:val="20"/>
              </w:rPr>
            </w:pPr>
            <w:r w:rsidRPr="003A549D">
              <w:rPr>
                <w:rFonts w:eastAsia="Calibri" w:cs="Arial"/>
                <w:b/>
                <w:bCs/>
                <w:sz w:val="20"/>
              </w:rPr>
              <w:t>Funding / conflicts of interest</w:t>
            </w:r>
          </w:p>
        </w:tc>
        <w:tc>
          <w:tcPr>
            <w:tcW w:w="3699" w:type="pct"/>
          </w:tcPr>
          <w:p w14:paraId="140ACCD2" w14:textId="77777777" w:rsidR="003A549D" w:rsidRPr="003A549D" w:rsidRDefault="003A549D" w:rsidP="003A549D">
            <w:pPr>
              <w:spacing w:after="0"/>
              <w:rPr>
                <w:rFonts w:cs="Arial"/>
                <w:sz w:val="20"/>
              </w:rPr>
            </w:pPr>
            <w:r w:rsidRPr="003A549D">
              <w:rPr>
                <w:rFonts w:cs="Arial"/>
                <w:sz w:val="20"/>
              </w:rPr>
              <w:t>Funded by Shriners Hospitals for Children and The Clark and Mildred Cox Inherited Metabolic Bone Disease Research Endowed Fund. One author (DW) holds stock options in Inozyme Inc. No other conflicts declared.</w:t>
            </w:r>
          </w:p>
        </w:tc>
      </w:tr>
    </w:tbl>
    <w:p w14:paraId="70550B64" w14:textId="77777777" w:rsidR="003A549D" w:rsidRPr="003A549D" w:rsidRDefault="003A549D" w:rsidP="003A549D">
      <w:pPr>
        <w:rPr>
          <w:rFonts w:eastAsia="Times New Roman" w:cs="Times New Roman"/>
        </w:rPr>
      </w:pPr>
      <w:r w:rsidRPr="003A549D">
        <w:rPr>
          <w:rFonts w:eastAsia="Calibri" w:cs="Arial"/>
          <w:b/>
          <w:bCs/>
          <w:sz w:val="20"/>
        </w:rPr>
        <w:t>Population</w:t>
      </w:r>
    </w:p>
    <w:tbl>
      <w:tblPr>
        <w:tblStyle w:val="SLROption1"/>
        <w:tblW w:w="5000" w:type="pct"/>
        <w:tblLook w:val="0000" w:firstRow="0" w:lastRow="0" w:firstColumn="0" w:lastColumn="0" w:noHBand="0" w:noVBand="0"/>
      </w:tblPr>
      <w:tblGrid>
        <w:gridCol w:w="3628"/>
        <w:gridCol w:w="10316"/>
      </w:tblGrid>
      <w:tr w:rsidR="003A549D" w:rsidRPr="003A549D" w14:paraId="34798116" w14:textId="77777777" w:rsidTr="00F62C9B">
        <w:tc>
          <w:tcPr>
            <w:tcW w:w="1301" w:type="pct"/>
            <w:shd w:val="clear" w:color="auto" w:fill="3C533C"/>
          </w:tcPr>
          <w:p w14:paraId="09A2F70A"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4BEBE9EA"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070FDAE6" w14:textId="77777777" w:rsidTr="00F62C9B">
        <w:tc>
          <w:tcPr>
            <w:tcW w:w="1301" w:type="pct"/>
            <w:shd w:val="clear" w:color="auto" w:fill="F6FDE9"/>
          </w:tcPr>
          <w:p w14:paraId="345A02FB" w14:textId="77777777" w:rsidR="003A549D" w:rsidRPr="003A549D" w:rsidRDefault="003A549D" w:rsidP="003A549D">
            <w:pPr>
              <w:spacing w:after="0"/>
              <w:rPr>
                <w:rFonts w:cs="Arial"/>
                <w:sz w:val="20"/>
              </w:rPr>
            </w:pPr>
            <w:r w:rsidRPr="003A549D">
              <w:rPr>
                <w:rFonts w:eastAsia="Calibri" w:cs="Arial"/>
                <w:b/>
                <w:bCs/>
                <w:sz w:val="20"/>
              </w:rPr>
              <w:t>Sample size</w:t>
            </w:r>
          </w:p>
        </w:tc>
        <w:tc>
          <w:tcPr>
            <w:tcW w:w="3699" w:type="pct"/>
          </w:tcPr>
          <w:p w14:paraId="7C3136CA" w14:textId="77777777" w:rsidR="003A549D" w:rsidRPr="003A549D" w:rsidRDefault="003A549D" w:rsidP="003A549D">
            <w:pPr>
              <w:spacing w:after="0"/>
              <w:rPr>
                <w:rFonts w:cs="Arial"/>
                <w:sz w:val="20"/>
              </w:rPr>
            </w:pPr>
            <w:r w:rsidRPr="003A549D">
              <w:rPr>
                <w:rFonts w:cs="Arial"/>
                <w:sz w:val="20"/>
              </w:rPr>
              <w:t>116 children/adolescents with HPP; 14 healthy adults (PN challenge controls); 19 children with other metabolic bone diseases (PN challenge controls); 38 historical healthy adult controls (baseline only); 21 healthy children/adolescents (baseline only). Primary analysis of PN challenge responses focused on 80 preteenage HPP patients and 19 preteenage controls.</w:t>
            </w:r>
          </w:p>
        </w:tc>
      </w:tr>
      <w:tr w:rsidR="003A549D" w:rsidRPr="003A549D" w14:paraId="6F9DEFE6" w14:textId="77777777" w:rsidTr="00F62C9B">
        <w:tc>
          <w:tcPr>
            <w:tcW w:w="1301" w:type="pct"/>
            <w:shd w:val="clear" w:color="auto" w:fill="F6FDE9"/>
          </w:tcPr>
          <w:p w14:paraId="064D523F" w14:textId="77777777" w:rsidR="003A549D" w:rsidRPr="003A549D" w:rsidRDefault="003A549D" w:rsidP="003A549D">
            <w:pPr>
              <w:spacing w:after="0"/>
              <w:rPr>
                <w:rFonts w:cs="Arial"/>
                <w:sz w:val="20"/>
              </w:rPr>
            </w:pPr>
            <w:r w:rsidRPr="003A549D">
              <w:rPr>
                <w:rFonts w:eastAsia="Calibri" w:cs="Arial"/>
                <w:b/>
                <w:bCs/>
                <w:sz w:val="20"/>
              </w:rPr>
              <w:t>Patient (test animal) characteristics</w:t>
            </w:r>
          </w:p>
        </w:tc>
        <w:tc>
          <w:tcPr>
            <w:tcW w:w="3699" w:type="pct"/>
          </w:tcPr>
          <w:p w14:paraId="5F58E033" w14:textId="77777777" w:rsidR="003A549D" w:rsidRPr="003A549D" w:rsidRDefault="003A549D" w:rsidP="003A549D">
            <w:pPr>
              <w:spacing w:before="120" w:after="0"/>
              <w:rPr>
                <w:rFonts w:cs="Arial"/>
                <w:sz w:val="20"/>
              </w:rPr>
            </w:pPr>
            <w:r w:rsidRPr="003A549D">
              <w:rPr>
                <w:rFonts w:cs="Arial"/>
                <w:sz w:val="20"/>
              </w:rPr>
              <w:t>HPP patients: broad-ranging severity from odonto-HPP (mildest) to infantile HPP (most severe), classified using HPP clinical nosology. All preteenage patients had low serum ALP and elevated plasma PLP. Healthy adult controls: 7 men (ages 23–40) and 7 women (ages 31–54). Pediatric disease controls: mainly X-linked hypophosphataemia and osteogenesis imperfecta.</w:t>
            </w:r>
          </w:p>
        </w:tc>
      </w:tr>
      <w:tr w:rsidR="003A549D" w:rsidRPr="003A549D" w14:paraId="0D3752E3" w14:textId="77777777" w:rsidTr="00F62C9B">
        <w:tc>
          <w:tcPr>
            <w:tcW w:w="1301" w:type="pct"/>
            <w:shd w:val="clear" w:color="auto" w:fill="F6FDE9"/>
          </w:tcPr>
          <w:p w14:paraId="19092F90" w14:textId="77777777" w:rsidR="003A549D" w:rsidRPr="003A549D" w:rsidRDefault="003A549D" w:rsidP="003A549D">
            <w:pPr>
              <w:spacing w:after="0"/>
              <w:rPr>
                <w:rFonts w:cs="Arial"/>
                <w:sz w:val="20"/>
              </w:rPr>
            </w:pPr>
            <w:r w:rsidRPr="003A549D">
              <w:rPr>
                <w:rFonts w:eastAsia="Calibri" w:cs="Arial"/>
                <w:b/>
                <w:bCs/>
                <w:sz w:val="20"/>
              </w:rPr>
              <w:t>Inclusion/exclusion of alternative causes</w:t>
            </w:r>
          </w:p>
        </w:tc>
        <w:tc>
          <w:tcPr>
            <w:tcW w:w="3699" w:type="pct"/>
          </w:tcPr>
          <w:p w14:paraId="10725519" w14:textId="77777777" w:rsidR="003A549D" w:rsidRPr="003A549D" w:rsidRDefault="003A549D" w:rsidP="003A549D">
            <w:pPr>
              <w:spacing w:after="0"/>
              <w:rPr>
                <w:rFonts w:cs="Arial"/>
                <w:sz w:val="20"/>
              </w:rPr>
            </w:pPr>
            <w:r w:rsidRPr="003A549D">
              <w:rPr>
                <w:rFonts w:cs="Arial"/>
                <w:sz w:val="20"/>
              </w:rPr>
              <w:t>Diagnosis of HPP confirmed by clinical nosology and ALPL genotyping. Perinatal (lethal) HPP excluded (rapidly fatal prior to study period). One severe childhood HPP outlier excluded from statistical analysis (extreme PLP response). Pubertal patients excluded from PN challenge analysis to minimise skeletal ALP confounding.</w:t>
            </w:r>
          </w:p>
        </w:tc>
      </w:tr>
    </w:tbl>
    <w:p w14:paraId="1E7387CA" w14:textId="77777777" w:rsidR="003A549D" w:rsidRPr="003A549D" w:rsidRDefault="003A549D" w:rsidP="003A549D">
      <w:pPr>
        <w:rPr>
          <w:rFonts w:eastAsia="Times New Roman" w:cs="Times New Roman"/>
          <w:b/>
          <w:bCs/>
        </w:rPr>
      </w:pPr>
      <w:r w:rsidRPr="003A549D">
        <w:rPr>
          <w:rFonts w:eastAsia="Times New Roman" w:cs="Times New Roman"/>
          <w:b/>
          <w:bCs/>
        </w:rPr>
        <w:t>Exposure</w:t>
      </w:r>
    </w:p>
    <w:tbl>
      <w:tblPr>
        <w:tblStyle w:val="SLROption1"/>
        <w:tblW w:w="5000" w:type="pct"/>
        <w:tblLook w:val="0000" w:firstRow="0" w:lastRow="0" w:firstColumn="0" w:lastColumn="0" w:noHBand="0" w:noVBand="0"/>
      </w:tblPr>
      <w:tblGrid>
        <w:gridCol w:w="3628"/>
        <w:gridCol w:w="10316"/>
      </w:tblGrid>
      <w:tr w:rsidR="003A549D" w:rsidRPr="003A549D" w14:paraId="12D67D20" w14:textId="77777777" w:rsidTr="00F62C9B">
        <w:trPr>
          <w:cantSplit/>
          <w:tblHeader/>
        </w:trPr>
        <w:tc>
          <w:tcPr>
            <w:tcW w:w="1301" w:type="pct"/>
            <w:shd w:val="clear" w:color="auto" w:fill="3C533C"/>
          </w:tcPr>
          <w:p w14:paraId="512D0222"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46B7C391"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0D3614D5" w14:textId="77777777" w:rsidTr="00F62C9B">
        <w:tc>
          <w:tcPr>
            <w:tcW w:w="1301" w:type="pct"/>
            <w:shd w:val="clear" w:color="auto" w:fill="F6FDE9"/>
          </w:tcPr>
          <w:p w14:paraId="498AFA3C" w14:textId="77777777" w:rsidR="003A549D" w:rsidRPr="003A549D" w:rsidRDefault="003A549D" w:rsidP="003A549D">
            <w:pPr>
              <w:spacing w:after="0"/>
              <w:rPr>
                <w:rFonts w:cs="Arial"/>
                <w:sz w:val="20"/>
              </w:rPr>
            </w:pPr>
            <w:r w:rsidRPr="003A549D">
              <w:rPr>
                <w:rFonts w:eastAsia="Calibri" w:cs="Arial"/>
                <w:b/>
                <w:bCs/>
                <w:sz w:val="20"/>
              </w:rPr>
              <w:t>Exposure characterisation – source</w:t>
            </w:r>
          </w:p>
        </w:tc>
        <w:tc>
          <w:tcPr>
            <w:tcW w:w="3699" w:type="pct"/>
          </w:tcPr>
          <w:p w14:paraId="73AE9FD1" w14:textId="77777777" w:rsidR="003A549D" w:rsidRPr="003A549D" w:rsidRDefault="003A549D" w:rsidP="003A549D">
            <w:pPr>
              <w:spacing w:after="0"/>
              <w:rPr>
                <w:rFonts w:cs="Arial"/>
                <w:sz w:val="20"/>
              </w:rPr>
            </w:pPr>
            <w:r w:rsidRPr="003A549D">
              <w:rPr>
                <w:rFonts w:cs="Arial"/>
                <w:sz w:val="20"/>
              </w:rPr>
              <w:t>Pyridoxine hydrochloride (PN</w:t>
            </w:r>
            <w:r w:rsidRPr="003A549D">
              <w:rPr>
                <w:rFonts w:ascii="Cambria Math" w:hAnsi="Cambria Math" w:cs="Cambria Math"/>
                <w:sz w:val="20"/>
              </w:rPr>
              <w:t>⋅</w:t>
            </w:r>
            <w:r w:rsidRPr="003A549D">
              <w:rPr>
                <w:rFonts w:cs="Arial"/>
                <w:sz w:val="20"/>
              </w:rPr>
              <w:t>HCl) — same form used in over-the-counter B6 supplements — administered as oral challenge.</w:t>
            </w:r>
          </w:p>
        </w:tc>
      </w:tr>
      <w:tr w:rsidR="003A549D" w:rsidRPr="003A549D" w14:paraId="3005967A" w14:textId="77777777" w:rsidTr="00F62C9B">
        <w:tc>
          <w:tcPr>
            <w:tcW w:w="1301" w:type="pct"/>
            <w:shd w:val="clear" w:color="auto" w:fill="F6FDE9"/>
          </w:tcPr>
          <w:p w14:paraId="6EC9E540" w14:textId="77777777" w:rsidR="003A549D" w:rsidRPr="003A549D" w:rsidRDefault="003A549D" w:rsidP="003A549D">
            <w:pPr>
              <w:spacing w:after="0"/>
              <w:rPr>
                <w:rFonts w:cs="Arial"/>
                <w:sz w:val="20"/>
              </w:rPr>
            </w:pPr>
            <w:r w:rsidRPr="003A549D">
              <w:rPr>
                <w:rFonts w:eastAsia="Calibri" w:cs="Arial"/>
                <w:b/>
                <w:bCs/>
                <w:sz w:val="20"/>
              </w:rPr>
              <w:t>Exposure characterisation – dose</w:t>
            </w:r>
          </w:p>
        </w:tc>
        <w:tc>
          <w:tcPr>
            <w:tcW w:w="3699" w:type="pct"/>
          </w:tcPr>
          <w:p w14:paraId="526CB917" w14:textId="77777777" w:rsidR="003A549D" w:rsidRPr="003A549D" w:rsidRDefault="003A549D" w:rsidP="003A549D">
            <w:pPr>
              <w:spacing w:before="120" w:after="0"/>
              <w:rPr>
                <w:rFonts w:cs="Arial"/>
                <w:sz w:val="20"/>
              </w:rPr>
            </w:pPr>
            <w:r w:rsidRPr="003A549D">
              <w:rPr>
                <w:rFonts w:cs="Arial"/>
                <w:sz w:val="20"/>
              </w:rPr>
              <w:t>1/3 mg/kg/day orally once each morning for 6 consecutive days. Post-challenge blood drawn 24 hours after the final dose.</w:t>
            </w:r>
          </w:p>
        </w:tc>
      </w:tr>
      <w:tr w:rsidR="003A549D" w:rsidRPr="003A549D" w14:paraId="1016CB2A" w14:textId="77777777" w:rsidTr="00F62C9B">
        <w:tc>
          <w:tcPr>
            <w:tcW w:w="1301" w:type="pct"/>
            <w:shd w:val="clear" w:color="auto" w:fill="F6FDE9"/>
          </w:tcPr>
          <w:p w14:paraId="616A881B" w14:textId="77777777" w:rsidR="003A549D" w:rsidRPr="003A549D" w:rsidRDefault="003A549D" w:rsidP="003A549D">
            <w:pPr>
              <w:spacing w:after="0"/>
              <w:rPr>
                <w:rFonts w:cs="Arial"/>
                <w:sz w:val="20"/>
              </w:rPr>
            </w:pPr>
            <w:r w:rsidRPr="003A549D">
              <w:rPr>
                <w:rFonts w:eastAsia="Calibri" w:cs="Arial"/>
                <w:b/>
                <w:bCs/>
                <w:sz w:val="20"/>
              </w:rPr>
              <w:lastRenderedPageBreak/>
              <w:t>Biomarker of exposure</w:t>
            </w:r>
          </w:p>
        </w:tc>
        <w:tc>
          <w:tcPr>
            <w:tcW w:w="3699" w:type="pct"/>
          </w:tcPr>
          <w:p w14:paraId="4EF46014" w14:textId="77777777" w:rsidR="003A549D" w:rsidRPr="003A549D" w:rsidRDefault="003A549D" w:rsidP="003A549D">
            <w:pPr>
              <w:spacing w:after="0"/>
              <w:rPr>
                <w:rFonts w:cs="Arial"/>
                <w:sz w:val="20"/>
              </w:rPr>
            </w:pPr>
            <w:r w:rsidRPr="003A549D">
              <w:rPr>
                <w:rFonts w:cs="Arial"/>
                <w:sz w:val="20"/>
              </w:rPr>
              <w:t>Plasma PLP, pyridoxal (PL), and pyridoxic acid (PA) measured by HPLC (Purdue University Fort Wayne); serum ALP activity.</w:t>
            </w:r>
          </w:p>
        </w:tc>
      </w:tr>
      <w:tr w:rsidR="003A549D" w:rsidRPr="003A549D" w14:paraId="575471FE" w14:textId="77777777" w:rsidTr="00F62C9B">
        <w:tc>
          <w:tcPr>
            <w:tcW w:w="1301" w:type="pct"/>
            <w:shd w:val="clear" w:color="auto" w:fill="F6FDE9"/>
          </w:tcPr>
          <w:p w14:paraId="557CD350" w14:textId="77777777" w:rsidR="003A549D" w:rsidRPr="003A549D" w:rsidRDefault="003A549D" w:rsidP="003A549D">
            <w:pPr>
              <w:spacing w:after="0"/>
              <w:rPr>
                <w:rFonts w:cs="Arial"/>
                <w:sz w:val="20"/>
              </w:rPr>
            </w:pPr>
            <w:r w:rsidRPr="003A549D">
              <w:rPr>
                <w:rFonts w:eastAsia="Calibri" w:cs="Arial"/>
                <w:b/>
                <w:bCs/>
                <w:sz w:val="20"/>
              </w:rPr>
              <w:t>Duration of exposure</w:t>
            </w:r>
          </w:p>
        </w:tc>
        <w:tc>
          <w:tcPr>
            <w:tcW w:w="3699" w:type="pct"/>
          </w:tcPr>
          <w:p w14:paraId="30C381B9" w14:textId="77777777" w:rsidR="003A549D" w:rsidRPr="003A549D" w:rsidRDefault="003A549D" w:rsidP="003A549D">
            <w:pPr>
              <w:spacing w:after="0"/>
              <w:rPr>
                <w:rFonts w:cs="Arial"/>
                <w:sz w:val="20"/>
              </w:rPr>
            </w:pPr>
            <w:r w:rsidRPr="003A549D">
              <w:rPr>
                <w:rFonts w:cs="Arial"/>
                <w:sz w:val="20"/>
              </w:rPr>
              <w:t>6-day PN challenge; this is a short pharmacological loading protocol, not chronic supplementation.</w:t>
            </w:r>
          </w:p>
        </w:tc>
      </w:tr>
    </w:tbl>
    <w:p w14:paraId="5DA60AAB" w14:textId="77777777" w:rsidR="003A549D" w:rsidRPr="003A549D" w:rsidRDefault="003A549D" w:rsidP="003A549D">
      <w:pPr>
        <w:rPr>
          <w:rFonts w:eastAsia="Times New Roman" w:cs="Times New Roman"/>
          <w:b/>
          <w:bCs/>
        </w:rPr>
      </w:pPr>
      <w:r w:rsidRPr="003A549D">
        <w:rPr>
          <w:rFonts w:eastAsia="Times New Roman" w:cs="Times New Roman"/>
          <w:b/>
          <w:bCs/>
        </w:rPr>
        <w:t>Outcomes</w:t>
      </w:r>
    </w:p>
    <w:tbl>
      <w:tblPr>
        <w:tblStyle w:val="SLROption1"/>
        <w:tblW w:w="5000" w:type="pct"/>
        <w:tblLook w:val="0000" w:firstRow="0" w:lastRow="0" w:firstColumn="0" w:lastColumn="0" w:noHBand="0" w:noVBand="0"/>
      </w:tblPr>
      <w:tblGrid>
        <w:gridCol w:w="3628"/>
        <w:gridCol w:w="10316"/>
      </w:tblGrid>
      <w:tr w:rsidR="003A549D" w:rsidRPr="003A549D" w14:paraId="392E7C17" w14:textId="77777777" w:rsidTr="00F62C9B">
        <w:tc>
          <w:tcPr>
            <w:tcW w:w="1301" w:type="pct"/>
            <w:shd w:val="clear" w:color="auto" w:fill="3C533C"/>
          </w:tcPr>
          <w:p w14:paraId="45F42374"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4200F11B"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2408A265" w14:textId="77777777" w:rsidTr="00F62C9B">
        <w:tc>
          <w:tcPr>
            <w:tcW w:w="1301" w:type="pct"/>
            <w:shd w:val="clear" w:color="auto" w:fill="F6FDE9"/>
          </w:tcPr>
          <w:p w14:paraId="475B4BAE" w14:textId="77777777" w:rsidR="003A549D" w:rsidRPr="003A549D" w:rsidRDefault="003A549D" w:rsidP="003A549D">
            <w:pPr>
              <w:spacing w:after="0"/>
              <w:rPr>
                <w:rFonts w:cs="Arial"/>
                <w:sz w:val="20"/>
              </w:rPr>
            </w:pPr>
            <w:r w:rsidRPr="003A549D">
              <w:rPr>
                <w:rFonts w:eastAsia="Calibri" w:cs="Arial"/>
                <w:b/>
                <w:bCs/>
                <w:sz w:val="20"/>
              </w:rPr>
              <w:t>Primary outcome</w:t>
            </w:r>
          </w:p>
        </w:tc>
        <w:tc>
          <w:tcPr>
            <w:tcW w:w="3699" w:type="pct"/>
          </w:tcPr>
          <w:p w14:paraId="14733D70" w14:textId="77777777" w:rsidR="003A549D" w:rsidRPr="003A549D" w:rsidRDefault="003A549D" w:rsidP="003A549D">
            <w:pPr>
              <w:spacing w:after="0"/>
              <w:rPr>
                <w:rFonts w:cs="Arial"/>
                <w:sz w:val="20"/>
              </w:rPr>
            </w:pPr>
            <w:r w:rsidRPr="003A549D">
              <w:rPr>
                <w:rFonts w:cs="Arial"/>
                <w:sz w:val="20"/>
              </w:rPr>
              <w:t>Post-challenge plasma PLP level and PLP increment as reflectors of HPP severity; TNSALP's role in B6 metabolism.</w:t>
            </w:r>
          </w:p>
        </w:tc>
      </w:tr>
      <w:tr w:rsidR="003A549D" w:rsidRPr="003A549D" w14:paraId="6AF7ADEA" w14:textId="77777777" w:rsidTr="00F62C9B">
        <w:tc>
          <w:tcPr>
            <w:tcW w:w="1301" w:type="pct"/>
            <w:shd w:val="clear" w:color="auto" w:fill="F6FDE9"/>
          </w:tcPr>
          <w:p w14:paraId="7A4AB2B6" w14:textId="77777777" w:rsidR="003A549D" w:rsidRPr="003A549D" w:rsidRDefault="003A549D" w:rsidP="003A549D">
            <w:pPr>
              <w:spacing w:after="0"/>
              <w:rPr>
                <w:rFonts w:cs="Arial"/>
                <w:sz w:val="20"/>
              </w:rPr>
            </w:pPr>
            <w:r w:rsidRPr="003A549D">
              <w:rPr>
                <w:rFonts w:eastAsia="Calibri" w:cs="Arial"/>
                <w:b/>
                <w:bCs/>
                <w:sz w:val="20"/>
              </w:rPr>
              <w:t>Outcome assessment</w:t>
            </w:r>
          </w:p>
        </w:tc>
        <w:tc>
          <w:tcPr>
            <w:tcW w:w="3699" w:type="pct"/>
          </w:tcPr>
          <w:p w14:paraId="1EB6EEE6" w14:textId="77777777" w:rsidR="003A549D" w:rsidRPr="003A549D" w:rsidRDefault="003A549D" w:rsidP="003A549D">
            <w:pPr>
              <w:spacing w:before="120" w:after="0"/>
              <w:rPr>
                <w:rFonts w:cs="Arial"/>
                <w:sz w:val="20"/>
              </w:rPr>
            </w:pPr>
            <w:r w:rsidRPr="003A549D">
              <w:rPr>
                <w:rFonts w:cs="Arial"/>
                <w:sz w:val="20"/>
              </w:rPr>
              <w:t>HPP severity classification using validated clinical nosology (HPPSSC); height Z-scores.</w:t>
            </w:r>
          </w:p>
        </w:tc>
      </w:tr>
      <w:tr w:rsidR="003A549D" w:rsidRPr="003A549D" w14:paraId="33B54360" w14:textId="77777777" w:rsidTr="00F62C9B">
        <w:tc>
          <w:tcPr>
            <w:tcW w:w="1301" w:type="pct"/>
            <w:shd w:val="clear" w:color="auto" w:fill="F6FDE9"/>
          </w:tcPr>
          <w:p w14:paraId="3AD7EB56" w14:textId="77777777" w:rsidR="003A549D" w:rsidRPr="003A549D" w:rsidRDefault="003A549D" w:rsidP="003A549D">
            <w:pPr>
              <w:spacing w:after="0"/>
              <w:rPr>
                <w:rFonts w:cs="Arial"/>
                <w:sz w:val="20"/>
              </w:rPr>
            </w:pPr>
            <w:r w:rsidRPr="003A549D">
              <w:rPr>
                <w:rFonts w:eastAsia="Calibri" w:cs="Arial"/>
                <w:b/>
                <w:bCs/>
                <w:sz w:val="20"/>
              </w:rPr>
              <w:t>Outcome assessment – objective testing</w:t>
            </w:r>
          </w:p>
        </w:tc>
        <w:tc>
          <w:tcPr>
            <w:tcW w:w="3699" w:type="pct"/>
          </w:tcPr>
          <w:p w14:paraId="086C0981" w14:textId="77777777" w:rsidR="003A549D" w:rsidRPr="003A549D" w:rsidRDefault="003A549D" w:rsidP="003A549D">
            <w:pPr>
              <w:spacing w:after="0"/>
              <w:rPr>
                <w:rFonts w:cs="Arial"/>
                <w:sz w:val="20"/>
              </w:rPr>
            </w:pPr>
            <w:r w:rsidRPr="003A549D">
              <w:rPr>
                <w:rFonts w:cs="Arial"/>
                <w:sz w:val="20"/>
              </w:rPr>
              <w:t>Plasma PLP, PA, and PL (HPLC); serum total ALP activity; paired pre/post comparisons; regression of post-challenge PLP against HPP severity score and height Z-score.</w:t>
            </w:r>
          </w:p>
        </w:tc>
      </w:tr>
      <w:tr w:rsidR="003A549D" w:rsidRPr="003A549D" w14:paraId="19330B56" w14:textId="77777777" w:rsidTr="00F62C9B">
        <w:tc>
          <w:tcPr>
            <w:tcW w:w="1301" w:type="pct"/>
            <w:shd w:val="clear" w:color="auto" w:fill="F6FDE9"/>
          </w:tcPr>
          <w:p w14:paraId="4BE6857A" w14:textId="77777777" w:rsidR="003A549D" w:rsidRPr="003A549D" w:rsidRDefault="003A549D" w:rsidP="003A549D">
            <w:pPr>
              <w:spacing w:after="0"/>
              <w:rPr>
                <w:rFonts w:cs="Arial"/>
                <w:sz w:val="20"/>
              </w:rPr>
            </w:pPr>
            <w:r w:rsidRPr="003A549D">
              <w:rPr>
                <w:rFonts w:eastAsia="Calibri" w:cs="Arial"/>
                <w:b/>
                <w:bCs/>
                <w:sz w:val="20"/>
              </w:rPr>
              <w:t>Outcome assessment – tools used</w:t>
            </w:r>
          </w:p>
        </w:tc>
        <w:tc>
          <w:tcPr>
            <w:tcW w:w="3699" w:type="pct"/>
          </w:tcPr>
          <w:p w14:paraId="659B7DB9" w14:textId="77777777" w:rsidR="003A549D" w:rsidRPr="003A549D" w:rsidRDefault="003A549D" w:rsidP="003A549D">
            <w:pPr>
              <w:spacing w:after="0"/>
              <w:rPr>
                <w:rFonts w:cs="Arial"/>
                <w:sz w:val="20"/>
              </w:rPr>
            </w:pPr>
            <w:r w:rsidRPr="003A549D">
              <w:rPr>
                <w:rFonts w:cs="Arial"/>
                <w:sz w:val="20"/>
              </w:rPr>
              <w:t>Cation-exchange HPLC for B6 vitamers; standard clinical ALP assay; SAS 9.4 for statistics; paired t-test; Spearman correlation (Rs).</w:t>
            </w:r>
          </w:p>
        </w:tc>
      </w:tr>
      <w:tr w:rsidR="003A549D" w:rsidRPr="003A549D" w14:paraId="17C97134" w14:textId="77777777" w:rsidTr="00F62C9B">
        <w:tc>
          <w:tcPr>
            <w:tcW w:w="1301" w:type="pct"/>
            <w:shd w:val="clear" w:color="auto" w:fill="F6FDE9"/>
          </w:tcPr>
          <w:p w14:paraId="56468FA6" w14:textId="77777777" w:rsidR="003A549D" w:rsidRPr="003A549D" w:rsidRDefault="003A549D" w:rsidP="003A549D">
            <w:pPr>
              <w:spacing w:after="0"/>
              <w:rPr>
                <w:rFonts w:cs="Arial"/>
                <w:sz w:val="20"/>
              </w:rPr>
            </w:pPr>
            <w:r w:rsidRPr="003A549D">
              <w:rPr>
                <w:rFonts w:eastAsia="Calibri" w:cs="Arial"/>
                <w:b/>
                <w:bCs/>
                <w:sz w:val="20"/>
              </w:rPr>
              <w:t>Response to withdrawal</w:t>
            </w:r>
          </w:p>
        </w:tc>
        <w:tc>
          <w:tcPr>
            <w:tcW w:w="3699" w:type="pct"/>
          </w:tcPr>
          <w:p w14:paraId="6C01AFFD" w14:textId="77777777" w:rsidR="003A549D" w:rsidRPr="003A549D" w:rsidRDefault="003A549D" w:rsidP="003A549D">
            <w:pPr>
              <w:spacing w:after="0"/>
              <w:rPr>
                <w:rFonts w:cs="Arial"/>
                <w:sz w:val="20"/>
              </w:rPr>
            </w:pPr>
            <w:r w:rsidRPr="003A549D">
              <w:rPr>
                <w:rFonts w:cs="Arial"/>
                <w:sz w:val="20"/>
              </w:rPr>
              <w:t>Not applicable.</w:t>
            </w:r>
          </w:p>
        </w:tc>
      </w:tr>
    </w:tbl>
    <w:p w14:paraId="260887C6" w14:textId="77777777" w:rsidR="003A549D" w:rsidRPr="003A549D" w:rsidRDefault="003A549D" w:rsidP="003A549D">
      <w:pPr>
        <w:rPr>
          <w:rFonts w:eastAsia="Times New Roman" w:cs="Times New Roman"/>
          <w:b/>
          <w:bCs/>
        </w:rPr>
      </w:pPr>
      <w:r w:rsidRPr="003A549D">
        <w:rPr>
          <w:rFonts w:eastAsia="Times New Roman" w:cs="Times New Roman"/>
          <w:b/>
          <w:bCs/>
        </w:rPr>
        <w:t>Results and Conclusions</w:t>
      </w:r>
    </w:p>
    <w:tbl>
      <w:tblPr>
        <w:tblStyle w:val="SLROption1"/>
        <w:tblW w:w="5000" w:type="pct"/>
        <w:tblLook w:val="0000" w:firstRow="0" w:lastRow="0" w:firstColumn="0" w:lastColumn="0" w:noHBand="0" w:noVBand="0"/>
      </w:tblPr>
      <w:tblGrid>
        <w:gridCol w:w="3628"/>
        <w:gridCol w:w="10316"/>
      </w:tblGrid>
      <w:tr w:rsidR="003A549D" w:rsidRPr="003A549D" w14:paraId="69645AB3" w14:textId="77777777" w:rsidTr="00F62C9B">
        <w:trPr>
          <w:cantSplit/>
          <w:tblHeader/>
        </w:trPr>
        <w:tc>
          <w:tcPr>
            <w:tcW w:w="1301" w:type="pct"/>
            <w:shd w:val="clear" w:color="auto" w:fill="3C533C"/>
          </w:tcPr>
          <w:p w14:paraId="304D6D07"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255C84EE"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0FD6FD04" w14:textId="77777777" w:rsidTr="00F62C9B">
        <w:trPr>
          <w:cantSplit/>
        </w:trPr>
        <w:tc>
          <w:tcPr>
            <w:tcW w:w="1301" w:type="pct"/>
            <w:shd w:val="clear" w:color="auto" w:fill="F6FDE9"/>
          </w:tcPr>
          <w:p w14:paraId="49F886BA" w14:textId="77777777" w:rsidR="003A549D" w:rsidRPr="003A549D" w:rsidRDefault="003A549D" w:rsidP="003A549D">
            <w:pPr>
              <w:spacing w:after="0"/>
              <w:rPr>
                <w:rFonts w:cs="Arial"/>
                <w:sz w:val="20"/>
              </w:rPr>
            </w:pPr>
            <w:r w:rsidRPr="003A549D">
              <w:rPr>
                <w:rFonts w:eastAsia="Calibri" w:cs="Arial"/>
                <w:b/>
                <w:bCs/>
                <w:sz w:val="20"/>
              </w:rPr>
              <w:t>Main results</w:t>
            </w:r>
          </w:p>
        </w:tc>
        <w:tc>
          <w:tcPr>
            <w:tcW w:w="3699" w:type="pct"/>
          </w:tcPr>
          <w:p w14:paraId="5E557784" w14:textId="77777777" w:rsidR="003A549D" w:rsidRPr="003A549D" w:rsidRDefault="003A549D" w:rsidP="003A549D">
            <w:pPr>
              <w:spacing w:before="120" w:after="0"/>
              <w:rPr>
                <w:rFonts w:cs="Arial"/>
                <w:sz w:val="20"/>
              </w:rPr>
            </w:pPr>
            <w:r w:rsidRPr="003A549D">
              <w:rPr>
                <w:rFonts w:cs="Arial"/>
                <w:sz w:val="20"/>
              </w:rPr>
              <w:t>PN challenge did not alter serum ALP activity in any group. In HPP, both post-challenge PLP level and PLP increment correlated significantly with HPP severity (HPPSSC Rs = +0.60, height Z-score Rs = −0.49; both p&lt;0.0001), though imprecisely. PA and PL increments were progressively blunted with increasing HPP severity, becoming non-significant in infantile HPP (PA: p=0.30; PL: p=0.74). In healthy adults and non-HPP bone disease controls, PN challenge raised PLP, PA, and PL. Findings indicate cell-surface (extraskeletal) TNSALP - not circulating ALP - primarily controls plasma PLP levels, by hydrolysing PLP to PL for cellular uptake and subsequent PA production.</w:t>
            </w:r>
          </w:p>
        </w:tc>
      </w:tr>
      <w:tr w:rsidR="003A549D" w:rsidRPr="003A549D" w14:paraId="0B5DDAC2" w14:textId="77777777" w:rsidTr="00F62C9B">
        <w:trPr>
          <w:cantSplit/>
        </w:trPr>
        <w:tc>
          <w:tcPr>
            <w:tcW w:w="1301" w:type="pct"/>
            <w:shd w:val="clear" w:color="auto" w:fill="F6FDE9"/>
          </w:tcPr>
          <w:p w14:paraId="45B531CF" w14:textId="77777777" w:rsidR="003A549D" w:rsidRPr="003A549D" w:rsidRDefault="003A549D" w:rsidP="003A549D">
            <w:pPr>
              <w:spacing w:after="0"/>
              <w:rPr>
                <w:rFonts w:cs="Arial"/>
                <w:sz w:val="20"/>
              </w:rPr>
            </w:pPr>
            <w:r w:rsidRPr="003A549D">
              <w:rPr>
                <w:rFonts w:eastAsia="Calibri" w:cs="Arial"/>
                <w:b/>
                <w:bCs/>
                <w:sz w:val="20"/>
              </w:rPr>
              <w:t>Authors' conclusions</w:t>
            </w:r>
          </w:p>
        </w:tc>
        <w:tc>
          <w:tcPr>
            <w:tcW w:w="3699" w:type="pct"/>
          </w:tcPr>
          <w:p w14:paraId="5344A43F" w14:textId="77777777" w:rsidR="003A549D" w:rsidRPr="003A549D" w:rsidRDefault="003A549D" w:rsidP="003A549D">
            <w:pPr>
              <w:spacing w:after="0"/>
              <w:rPr>
                <w:rFonts w:cs="Arial"/>
                <w:sz w:val="20"/>
              </w:rPr>
            </w:pPr>
            <w:r w:rsidRPr="003A549D">
              <w:rPr>
                <w:rFonts w:cs="Arial"/>
                <w:sz w:val="20"/>
              </w:rPr>
              <w:t>PN challenge modestly reflects HPP severity via post-challenge PLP levels, but biochemical assessments remain of limited prognostic value for HPP. TNSALP's role in B6 metabolism is primarily extraskeletal and cell-surface mediated. Pharmacologic B6 supplementation in HPP is unlikely to be beneficial and may be counterproductive unless there is clear evidence of deficiency (e.g. B6-dependent seizures).</w:t>
            </w:r>
          </w:p>
        </w:tc>
      </w:tr>
      <w:tr w:rsidR="003A549D" w:rsidRPr="003A549D" w14:paraId="01854A7E" w14:textId="77777777" w:rsidTr="00F62C9B">
        <w:trPr>
          <w:cantSplit/>
        </w:trPr>
        <w:tc>
          <w:tcPr>
            <w:tcW w:w="1301" w:type="pct"/>
            <w:shd w:val="clear" w:color="auto" w:fill="F6FDE9"/>
          </w:tcPr>
          <w:p w14:paraId="2A9DFE19" w14:textId="77777777" w:rsidR="003A549D" w:rsidRPr="003A549D" w:rsidRDefault="003A549D" w:rsidP="003A549D">
            <w:pPr>
              <w:spacing w:after="0"/>
              <w:rPr>
                <w:rFonts w:cs="Arial"/>
                <w:sz w:val="20"/>
              </w:rPr>
            </w:pPr>
            <w:r w:rsidRPr="003A549D">
              <w:rPr>
                <w:rFonts w:eastAsia="Calibri" w:cs="Arial"/>
                <w:b/>
                <w:bCs/>
                <w:sz w:val="20"/>
              </w:rPr>
              <w:lastRenderedPageBreak/>
              <w:t>Authors' acknowledged limitations</w:t>
            </w:r>
          </w:p>
        </w:tc>
        <w:tc>
          <w:tcPr>
            <w:tcW w:w="3699" w:type="pct"/>
          </w:tcPr>
          <w:p w14:paraId="0A29D2B6" w14:textId="77777777" w:rsidR="003A549D" w:rsidRPr="003A549D" w:rsidRDefault="003A549D" w:rsidP="003A549D">
            <w:pPr>
              <w:spacing w:after="0"/>
              <w:rPr>
                <w:rFonts w:cs="Arial"/>
                <w:sz w:val="20"/>
              </w:rPr>
            </w:pPr>
            <w:r w:rsidRPr="003A549D">
              <w:rPr>
                <w:rFonts w:cs="Arial"/>
                <w:sz w:val="20"/>
              </w:rPr>
              <w:t>Broad HPP severity range creates heterogeneity within groups; limited sample sizes precluded multiplicity correction for multi-group comparisons; pre-challenge PL values not determined in some healthy adult controls; HPP severity/genotype discordance means prognostication remains imprecise; data span nearly 30 years with potential assay variability.</w:t>
            </w:r>
          </w:p>
        </w:tc>
      </w:tr>
    </w:tbl>
    <w:p w14:paraId="718763FD" w14:textId="77777777" w:rsidR="003A549D" w:rsidRPr="003A549D" w:rsidRDefault="003A549D" w:rsidP="003A549D">
      <w:pPr>
        <w:rPr>
          <w:rFonts w:eastAsia="Times New Roman" w:cs="Times New Roman"/>
          <w:b/>
          <w:bCs/>
        </w:rPr>
      </w:pPr>
      <w:r w:rsidRPr="003A549D">
        <w:rPr>
          <w:rFonts w:eastAsia="Times New Roman" w:cs="Times New Roman"/>
          <w:b/>
          <w:bCs/>
        </w:rPr>
        <w:t>Contextual information for the AU/NZ UL review</w:t>
      </w:r>
    </w:p>
    <w:tbl>
      <w:tblPr>
        <w:tblStyle w:val="SLROption1"/>
        <w:tblW w:w="5000" w:type="pct"/>
        <w:tblLook w:val="0000" w:firstRow="0" w:lastRow="0" w:firstColumn="0" w:lastColumn="0" w:noHBand="0" w:noVBand="0"/>
      </w:tblPr>
      <w:tblGrid>
        <w:gridCol w:w="3628"/>
        <w:gridCol w:w="10316"/>
      </w:tblGrid>
      <w:tr w:rsidR="003A549D" w:rsidRPr="003A549D" w14:paraId="7FAA3800" w14:textId="77777777" w:rsidTr="00F62C9B">
        <w:tc>
          <w:tcPr>
            <w:tcW w:w="1301" w:type="pct"/>
            <w:shd w:val="clear" w:color="auto" w:fill="F6FDE9"/>
          </w:tcPr>
          <w:p w14:paraId="7213E528" w14:textId="77777777" w:rsidR="003A549D" w:rsidRPr="003A549D" w:rsidRDefault="003A549D" w:rsidP="003A549D">
            <w:pPr>
              <w:spacing w:after="0"/>
              <w:rPr>
                <w:rFonts w:cs="Arial"/>
                <w:sz w:val="20"/>
              </w:rPr>
            </w:pPr>
            <w:r w:rsidRPr="003A549D">
              <w:rPr>
                <w:rFonts w:eastAsia="Calibri" w:cs="Arial"/>
                <w:b/>
                <w:bCs/>
                <w:sz w:val="20"/>
              </w:rPr>
              <w:t>Generalisability to AU/NZ</w:t>
            </w:r>
          </w:p>
        </w:tc>
        <w:tc>
          <w:tcPr>
            <w:tcW w:w="3699" w:type="pct"/>
          </w:tcPr>
          <w:p w14:paraId="004B2BD7" w14:textId="77777777" w:rsidR="003A549D" w:rsidRPr="003A549D" w:rsidRDefault="003A549D" w:rsidP="003A549D">
            <w:pPr>
              <w:spacing w:after="0"/>
              <w:rPr>
                <w:rFonts w:cs="Arial"/>
                <w:sz w:val="20"/>
              </w:rPr>
            </w:pPr>
            <w:r w:rsidRPr="003A549D">
              <w:rPr>
                <w:rFonts w:cs="Arial"/>
                <w:sz w:val="20"/>
              </w:rPr>
              <w:t xml:space="preserve">Specialised disease context (HPP, an ultra-rare inborn error of metabolism) - Relevant to provides mechanistically important context. </w:t>
            </w:r>
          </w:p>
          <w:p w14:paraId="5EDD97C4" w14:textId="77777777" w:rsidR="003A549D" w:rsidRPr="003A549D" w:rsidRDefault="003A549D" w:rsidP="003A549D">
            <w:pPr>
              <w:spacing w:after="0"/>
              <w:rPr>
                <w:rFonts w:cs="Arial"/>
                <w:sz w:val="20"/>
              </w:rPr>
            </w:pPr>
            <w:r w:rsidRPr="003A549D">
              <w:rPr>
                <w:rFonts w:cs="Arial"/>
                <w:sz w:val="20"/>
              </w:rPr>
              <w:t>It demonstrates that TNSALP activity is the primary determinant of plasma PLP clearance, and that individuals with reduced TNSALP activity (including ~1/300 North Americans/Western Europeans who are heterozygous ALPL carriers) accumulate markedly elevated plasma PLP after PN loading. This supports the biological plausibility of individual susceptibility to B6 toxicity at lower doses due to variation in PLP metabolism, which is relevant to the rationale for a conservative population UL. The PN challenge dose used (1/3 mg/kg/day × 6 days ≈ ~20 mg/day for a 30 kg child) is within the range of common supplement doses, adding context for dose–response considerations. However, no neuropathy outcomes were assessed, limiting direct relevance to the peripheral neuropathy endpoint used in UL derivation.</w:t>
            </w:r>
          </w:p>
          <w:p w14:paraId="7614310A" w14:textId="77777777" w:rsidR="003A549D" w:rsidRPr="003A549D" w:rsidRDefault="003A549D" w:rsidP="003A549D">
            <w:pPr>
              <w:spacing w:after="0"/>
              <w:rPr>
                <w:rFonts w:cs="Arial"/>
                <w:sz w:val="20"/>
              </w:rPr>
            </w:pPr>
          </w:p>
        </w:tc>
      </w:tr>
    </w:tbl>
    <w:p w14:paraId="40336371" w14:textId="77777777" w:rsidR="003A549D" w:rsidRPr="003A549D" w:rsidRDefault="003A549D" w:rsidP="003A549D"/>
    <w:p w14:paraId="0E7AC13E" w14:textId="77777777" w:rsidR="003A549D" w:rsidRPr="003A549D" w:rsidRDefault="003A549D" w:rsidP="003A549D">
      <w:pPr>
        <w:keepNext/>
        <w:numPr>
          <w:ilvl w:val="2"/>
          <w:numId w:val="2"/>
        </w:numPr>
        <w:spacing w:before="240"/>
        <w:outlineLvl w:val="8"/>
        <w:rPr>
          <w:b/>
          <w:iCs/>
          <w:noProof/>
          <w:color w:val="667545" w:themeColor="accent3"/>
          <w:sz w:val="24"/>
        </w:rPr>
      </w:pPr>
      <w:r w:rsidRPr="003A549D">
        <w:rPr>
          <w:b/>
          <w:iCs/>
          <w:noProof/>
          <w:color w:val="667545" w:themeColor="accent3"/>
          <w:sz w:val="24"/>
        </w:rPr>
        <w:t>Zervou et al. 2025</w:t>
      </w:r>
    </w:p>
    <w:p w14:paraId="16541D2D" w14:textId="77777777" w:rsidR="003A549D" w:rsidRPr="003A549D" w:rsidRDefault="003A549D" w:rsidP="003A549D">
      <w:pPr>
        <w:keepNext/>
        <w:spacing w:before="240"/>
        <w:ind w:left="1080" w:hanging="1080"/>
        <w:rPr>
          <w:rFonts w:eastAsia="Calibri" w:cs="Arial"/>
          <w:b/>
          <w:bCs/>
          <w:sz w:val="20"/>
        </w:rPr>
      </w:pPr>
      <w:r w:rsidRPr="003A549D">
        <w:rPr>
          <w:rFonts w:eastAsia="Calibri" w:cs="Arial"/>
          <w:b/>
          <w:bCs/>
          <w:sz w:val="20"/>
        </w:rPr>
        <w:t>Study identification and design</w:t>
      </w:r>
    </w:p>
    <w:tbl>
      <w:tblPr>
        <w:tblStyle w:val="SLROption1"/>
        <w:tblW w:w="5000" w:type="pct"/>
        <w:tblLook w:val="0000" w:firstRow="0" w:lastRow="0" w:firstColumn="0" w:lastColumn="0" w:noHBand="0" w:noVBand="0"/>
      </w:tblPr>
      <w:tblGrid>
        <w:gridCol w:w="3628"/>
        <w:gridCol w:w="10316"/>
      </w:tblGrid>
      <w:tr w:rsidR="003A549D" w:rsidRPr="003A549D" w14:paraId="1B8ED87C" w14:textId="77777777" w:rsidTr="00F62C9B">
        <w:tc>
          <w:tcPr>
            <w:tcW w:w="1301" w:type="pct"/>
            <w:shd w:val="clear" w:color="auto" w:fill="3C533C"/>
          </w:tcPr>
          <w:p w14:paraId="33EFFCEC"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18C6BEB5"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28536FBA" w14:textId="77777777" w:rsidTr="00F62C9B">
        <w:tc>
          <w:tcPr>
            <w:tcW w:w="1301" w:type="pct"/>
            <w:shd w:val="clear" w:color="auto" w:fill="F6FDE9"/>
          </w:tcPr>
          <w:p w14:paraId="5213BF66" w14:textId="77777777" w:rsidR="003A549D" w:rsidRPr="003A549D" w:rsidRDefault="003A549D" w:rsidP="003A549D">
            <w:pPr>
              <w:spacing w:after="0"/>
              <w:rPr>
                <w:rFonts w:cs="Arial"/>
                <w:sz w:val="20"/>
              </w:rPr>
            </w:pPr>
            <w:r w:rsidRPr="003A549D">
              <w:rPr>
                <w:rFonts w:eastAsia="Calibri" w:cs="Arial"/>
                <w:b/>
                <w:bCs/>
                <w:sz w:val="20"/>
              </w:rPr>
              <w:t>Citation</w:t>
            </w:r>
          </w:p>
        </w:tc>
        <w:tc>
          <w:tcPr>
            <w:tcW w:w="3699" w:type="pct"/>
          </w:tcPr>
          <w:p w14:paraId="5AA2884A" w14:textId="77777777" w:rsidR="003A549D" w:rsidRPr="003A549D" w:rsidRDefault="003A549D" w:rsidP="003A549D">
            <w:pPr>
              <w:spacing w:after="0"/>
              <w:rPr>
                <w:rFonts w:cs="Arial"/>
                <w:sz w:val="20"/>
              </w:rPr>
            </w:pPr>
            <w:r w:rsidRPr="00E21479">
              <w:rPr>
                <w:rFonts w:cs="Arial"/>
                <w:sz w:val="20"/>
                <w:lang w:val="da-DK"/>
              </w:rPr>
              <w:t xml:space="preserve">Zervou Z, van Velsen EFS, Zillikens MC. </w:t>
            </w:r>
            <w:r w:rsidRPr="003A549D">
              <w:rPr>
                <w:rFonts w:cs="Arial"/>
                <w:sz w:val="20"/>
              </w:rPr>
              <w:t xml:space="preserve">Hypophosphatasia and neuropathic pain: related to vitamin B6 metabolism? </w:t>
            </w:r>
            <w:r w:rsidRPr="003A549D">
              <w:rPr>
                <w:rFonts w:cs="Arial"/>
                <w:i/>
                <w:iCs/>
                <w:sz w:val="20"/>
              </w:rPr>
              <w:t>JBMR Plus.</w:t>
            </w:r>
            <w:r w:rsidRPr="003A549D">
              <w:rPr>
                <w:rFonts w:cs="Arial"/>
                <w:sz w:val="20"/>
              </w:rPr>
              <w:t xml:space="preserve"> 2025;9:ziaf086. </w:t>
            </w:r>
            <w:hyperlink r:id="rId206" w:history="1">
              <w:r w:rsidRPr="003A549D">
                <w:rPr>
                  <w:rFonts w:cs="Arial"/>
                  <w:color w:val="4E5768"/>
                  <w:sz w:val="20"/>
                  <w:u w:val="single"/>
                </w:rPr>
                <w:t>https://doi.org/10.1093/jbmrpl/ziaf086</w:t>
              </w:r>
            </w:hyperlink>
          </w:p>
        </w:tc>
      </w:tr>
      <w:tr w:rsidR="003A549D" w:rsidRPr="003A549D" w14:paraId="7E1DAD76" w14:textId="77777777" w:rsidTr="00F62C9B">
        <w:tc>
          <w:tcPr>
            <w:tcW w:w="1301" w:type="pct"/>
            <w:shd w:val="clear" w:color="auto" w:fill="F6FDE9"/>
          </w:tcPr>
          <w:p w14:paraId="23F1FB2E" w14:textId="77777777" w:rsidR="003A549D" w:rsidRPr="003A549D" w:rsidRDefault="003A549D" w:rsidP="003A549D">
            <w:pPr>
              <w:spacing w:after="0"/>
              <w:rPr>
                <w:rFonts w:cs="Arial"/>
                <w:sz w:val="20"/>
              </w:rPr>
            </w:pPr>
            <w:r w:rsidRPr="003A549D">
              <w:rPr>
                <w:rFonts w:eastAsia="Calibri" w:cs="Arial"/>
                <w:b/>
                <w:bCs/>
                <w:sz w:val="20"/>
              </w:rPr>
              <w:t>Publication status</w:t>
            </w:r>
          </w:p>
        </w:tc>
        <w:tc>
          <w:tcPr>
            <w:tcW w:w="3699" w:type="pct"/>
          </w:tcPr>
          <w:p w14:paraId="153DC790" w14:textId="77777777" w:rsidR="003A549D" w:rsidRPr="003A549D" w:rsidRDefault="003A549D" w:rsidP="003A549D">
            <w:pPr>
              <w:spacing w:after="0"/>
              <w:rPr>
                <w:rFonts w:cs="Arial"/>
                <w:sz w:val="20"/>
              </w:rPr>
            </w:pPr>
            <w:r w:rsidRPr="003A549D">
              <w:rPr>
                <w:rFonts w:cs="Arial"/>
                <w:sz w:val="20"/>
              </w:rPr>
              <w:t>Published, peer-reviewed open-access case report (received December 2024, accepted May 2025, advance access June 2025)</w:t>
            </w:r>
          </w:p>
        </w:tc>
      </w:tr>
      <w:tr w:rsidR="003A549D" w:rsidRPr="003A549D" w14:paraId="72123178" w14:textId="77777777" w:rsidTr="00F62C9B">
        <w:tc>
          <w:tcPr>
            <w:tcW w:w="1301" w:type="pct"/>
            <w:shd w:val="clear" w:color="auto" w:fill="F6FDE9"/>
          </w:tcPr>
          <w:p w14:paraId="53947304" w14:textId="77777777" w:rsidR="003A549D" w:rsidRPr="003A549D" w:rsidRDefault="003A549D" w:rsidP="003A549D">
            <w:pPr>
              <w:spacing w:after="0"/>
              <w:rPr>
                <w:rFonts w:cs="Arial"/>
                <w:sz w:val="20"/>
              </w:rPr>
            </w:pPr>
            <w:r w:rsidRPr="003A549D">
              <w:rPr>
                <w:rFonts w:eastAsia="Calibri" w:cs="Arial"/>
                <w:b/>
                <w:bCs/>
                <w:sz w:val="20"/>
              </w:rPr>
              <w:t>Country / setting</w:t>
            </w:r>
          </w:p>
        </w:tc>
        <w:tc>
          <w:tcPr>
            <w:tcW w:w="3699" w:type="pct"/>
          </w:tcPr>
          <w:p w14:paraId="010D30B5" w14:textId="77777777" w:rsidR="003A549D" w:rsidRPr="003A549D" w:rsidRDefault="003A549D" w:rsidP="003A549D">
            <w:pPr>
              <w:spacing w:after="0"/>
              <w:rPr>
                <w:rFonts w:cs="Arial"/>
                <w:sz w:val="20"/>
              </w:rPr>
            </w:pPr>
            <w:r w:rsidRPr="003A549D">
              <w:rPr>
                <w:rFonts w:cs="Arial"/>
                <w:sz w:val="20"/>
              </w:rPr>
              <w:t>Netherlands; single centre (Erasmus MC Bone Center, Rotterdam). Retrospective observational case series</w:t>
            </w:r>
          </w:p>
        </w:tc>
      </w:tr>
      <w:tr w:rsidR="003A549D" w:rsidRPr="003A549D" w14:paraId="76C6EFA6" w14:textId="77777777" w:rsidTr="00F62C9B">
        <w:tc>
          <w:tcPr>
            <w:tcW w:w="1301" w:type="pct"/>
            <w:shd w:val="clear" w:color="auto" w:fill="F6FDE9"/>
          </w:tcPr>
          <w:p w14:paraId="3F00BEC2" w14:textId="77777777" w:rsidR="003A549D" w:rsidRPr="003A549D" w:rsidRDefault="003A549D" w:rsidP="003A549D">
            <w:pPr>
              <w:spacing w:after="0"/>
              <w:rPr>
                <w:rFonts w:cs="Arial"/>
                <w:sz w:val="20"/>
              </w:rPr>
            </w:pPr>
            <w:r w:rsidRPr="003A549D">
              <w:rPr>
                <w:rFonts w:eastAsia="Calibri" w:cs="Arial"/>
                <w:b/>
                <w:bCs/>
                <w:sz w:val="20"/>
              </w:rPr>
              <w:t>Study design</w:t>
            </w:r>
          </w:p>
        </w:tc>
        <w:tc>
          <w:tcPr>
            <w:tcW w:w="3699" w:type="pct"/>
          </w:tcPr>
          <w:p w14:paraId="1AA2E8BA" w14:textId="77777777" w:rsidR="003A549D" w:rsidRPr="003A549D" w:rsidRDefault="003A549D" w:rsidP="003A549D">
            <w:pPr>
              <w:spacing w:after="0"/>
              <w:rPr>
                <w:rFonts w:cs="Arial"/>
                <w:sz w:val="20"/>
              </w:rPr>
            </w:pPr>
            <w:r w:rsidRPr="003A549D">
              <w:rPr>
                <w:rFonts w:cs="Arial"/>
                <w:sz w:val="20"/>
              </w:rPr>
              <w:t>Retrospective case series of 5 adult Hypophosphatasia (HPP) patients with neuropathic pain symptoms, selected from a clinic cohort of 43 HPP patients</w:t>
            </w:r>
          </w:p>
        </w:tc>
      </w:tr>
      <w:tr w:rsidR="003A549D" w:rsidRPr="003A549D" w14:paraId="2911EA78" w14:textId="77777777" w:rsidTr="00F62C9B">
        <w:tc>
          <w:tcPr>
            <w:tcW w:w="1301" w:type="pct"/>
            <w:shd w:val="clear" w:color="auto" w:fill="F6FDE9"/>
          </w:tcPr>
          <w:p w14:paraId="48E4A977" w14:textId="77777777" w:rsidR="003A549D" w:rsidRPr="003A549D" w:rsidRDefault="003A549D" w:rsidP="003A549D">
            <w:pPr>
              <w:spacing w:after="0"/>
              <w:rPr>
                <w:rFonts w:cs="Arial"/>
                <w:sz w:val="20"/>
              </w:rPr>
            </w:pPr>
            <w:r w:rsidRPr="003A549D">
              <w:rPr>
                <w:rFonts w:eastAsia="Calibri" w:cs="Arial"/>
                <w:b/>
                <w:bCs/>
                <w:sz w:val="20"/>
              </w:rPr>
              <w:lastRenderedPageBreak/>
              <w:t>Funding / conflicts of interest</w:t>
            </w:r>
          </w:p>
        </w:tc>
        <w:tc>
          <w:tcPr>
            <w:tcW w:w="3699" w:type="pct"/>
          </w:tcPr>
          <w:p w14:paraId="0746254F" w14:textId="77777777" w:rsidR="003A549D" w:rsidRPr="003A549D" w:rsidRDefault="003A549D" w:rsidP="003A549D">
            <w:pPr>
              <w:spacing w:after="0"/>
              <w:rPr>
                <w:rFonts w:cs="Arial"/>
                <w:sz w:val="20"/>
              </w:rPr>
            </w:pPr>
            <w:r w:rsidRPr="003A549D">
              <w:rPr>
                <w:rFonts w:cs="Arial"/>
                <w:sz w:val="20"/>
              </w:rPr>
              <w:t>No funding declared. Two authors (MCZ, EFSV) have received honoraria from Amgen, Kyowa Kirin, UCB unrelated to this work; MCZ also received research support from Kyowa Kirin</w:t>
            </w:r>
          </w:p>
        </w:tc>
      </w:tr>
    </w:tbl>
    <w:p w14:paraId="2F5CBBDC" w14:textId="77777777" w:rsidR="003A549D" w:rsidRPr="003A549D" w:rsidRDefault="003A549D" w:rsidP="003A549D">
      <w:pPr>
        <w:rPr>
          <w:rFonts w:eastAsia="Times New Roman" w:cs="Times New Roman"/>
        </w:rPr>
      </w:pPr>
      <w:r w:rsidRPr="003A549D">
        <w:rPr>
          <w:rFonts w:eastAsia="Calibri" w:cs="Arial"/>
          <w:b/>
          <w:bCs/>
          <w:sz w:val="20"/>
        </w:rPr>
        <w:t>Population</w:t>
      </w:r>
    </w:p>
    <w:tbl>
      <w:tblPr>
        <w:tblStyle w:val="SLROption1"/>
        <w:tblW w:w="5000" w:type="pct"/>
        <w:tblLook w:val="0000" w:firstRow="0" w:lastRow="0" w:firstColumn="0" w:lastColumn="0" w:noHBand="0" w:noVBand="0"/>
      </w:tblPr>
      <w:tblGrid>
        <w:gridCol w:w="3628"/>
        <w:gridCol w:w="10316"/>
      </w:tblGrid>
      <w:tr w:rsidR="003A549D" w:rsidRPr="003A549D" w14:paraId="5215DE26" w14:textId="77777777" w:rsidTr="00F62C9B">
        <w:tc>
          <w:tcPr>
            <w:tcW w:w="1301" w:type="pct"/>
            <w:shd w:val="clear" w:color="auto" w:fill="3C533C"/>
          </w:tcPr>
          <w:p w14:paraId="139FBE97"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725F6E42"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2DC5093F" w14:textId="77777777" w:rsidTr="00F62C9B">
        <w:tc>
          <w:tcPr>
            <w:tcW w:w="1301" w:type="pct"/>
            <w:shd w:val="clear" w:color="auto" w:fill="F6FDE9"/>
          </w:tcPr>
          <w:p w14:paraId="2BF84188" w14:textId="77777777" w:rsidR="003A549D" w:rsidRPr="003A549D" w:rsidRDefault="003A549D" w:rsidP="003A549D">
            <w:pPr>
              <w:spacing w:after="0"/>
              <w:rPr>
                <w:rFonts w:cs="Arial"/>
                <w:sz w:val="20"/>
              </w:rPr>
            </w:pPr>
            <w:r w:rsidRPr="003A549D">
              <w:rPr>
                <w:rFonts w:eastAsia="Calibri" w:cs="Arial"/>
                <w:b/>
                <w:bCs/>
                <w:sz w:val="20"/>
              </w:rPr>
              <w:t>Sample size</w:t>
            </w:r>
          </w:p>
        </w:tc>
        <w:tc>
          <w:tcPr>
            <w:tcW w:w="3699" w:type="pct"/>
          </w:tcPr>
          <w:p w14:paraId="6DF6BD32" w14:textId="77777777" w:rsidR="003A549D" w:rsidRPr="003A549D" w:rsidRDefault="003A549D" w:rsidP="003A549D">
            <w:pPr>
              <w:spacing w:after="0"/>
              <w:rPr>
                <w:rFonts w:cs="Arial"/>
                <w:sz w:val="20"/>
              </w:rPr>
            </w:pPr>
            <w:r w:rsidRPr="003A549D">
              <w:rPr>
                <w:rFonts w:cs="Arial"/>
                <w:sz w:val="20"/>
              </w:rPr>
              <w:t>5 adults with HPP and symptoms suggestive of neuropathic pain (from a total clinic cohort of 43 HPP patients)</w:t>
            </w:r>
          </w:p>
        </w:tc>
      </w:tr>
      <w:tr w:rsidR="003A549D" w:rsidRPr="003A549D" w14:paraId="5CB2E8D0" w14:textId="77777777" w:rsidTr="00F62C9B">
        <w:tc>
          <w:tcPr>
            <w:tcW w:w="1301" w:type="pct"/>
            <w:shd w:val="clear" w:color="auto" w:fill="F6FDE9"/>
          </w:tcPr>
          <w:p w14:paraId="7B0086E2" w14:textId="77777777" w:rsidR="003A549D" w:rsidRPr="003A549D" w:rsidRDefault="003A549D" w:rsidP="003A549D">
            <w:pPr>
              <w:spacing w:after="0"/>
              <w:rPr>
                <w:rFonts w:cs="Arial"/>
                <w:sz w:val="20"/>
              </w:rPr>
            </w:pPr>
            <w:r w:rsidRPr="003A549D">
              <w:rPr>
                <w:rFonts w:eastAsia="Calibri" w:cs="Arial"/>
                <w:b/>
                <w:bCs/>
                <w:sz w:val="20"/>
              </w:rPr>
              <w:t>Patient (test animal) characteristics</w:t>
            </w:r>
          </w:p>
        </w:tc>
        <w:tc>
          <w:tcPr>
            <w:tcW w:w="3699" w:type="pct"/>
          </w:tcPr>
          <w:p w14:paraId="5E437380" w14:textId="77777777" w:rsidR="003A549D" w:rsidRPr="003A549D" w:rsidRDefault="003A549D" w:rsidP="003A549D">
            <w:pPr>
              <w:spacing w:before="120" w:after="0"/>
              <w:rPr>
                <w:rFonts w:cs="Arial"/>
                <w:sz w:val="20"/>
              </w:rPr>
            </w:pPr>
            <w:r w:rsidRPr="003A549D">
              <w:rPr>
                <w:rFonts w:cs="Arial"/>
                <w:sz w:val="20"/>
              </w:rPr>
              <w:t>3 women, 2 men; ages 24–73 years; 2 with childhood-onset HPP, 3 with adult-onset HPP; 2 compound heterozygous and 3 heterozygous ALPL variants (ACMG class 4–5). Serum ALP 9–28 U/L (reference &lt;98 U/L); serum vitamin B6 233–828 nmol/L (reference 35–110 nmol/L); urine PEA elevated in all. Duration of pain 3–7 years.</w:t>
            </w:r>
          </w:p>
        </w:tc>
      </w:tr>
      <w:tr w:rsidR="003A549D" w:rsidRPr="003A549D" w14:paraId="31B6C53E" w14:textId="77777777" w:rsidTr="00F62C9B">
        <w:tc>
          <w:tcPr>
            <w:tcW w:w="1301" w:type="pct"/>
            <w:shd w:val="clear" w:color="auto" w:fill="F6FDE9"/>
          </w:tcPr>
          <w:p w14:paraId="569A624E" w14:textId="77777777" w:rsidR="003A549D" w:rsidRPr="003A549D" w:rsidRDefault="003A549D" w:rsidP="003A549D">
            <w:pPr>
              <w:spacing w:after="0"/>
              <w:rPr>
                <w:rFonts w:cs="Arial"/>
                <w:sz w:val="20"/>
              </w:rPr>
            </w:pPr>
            <w:r w:rsidRPr="003A549D">
              <w:rPr>
                <w:rFonts w:eastAsia="Calibri" w:cs="Arial"/>
                <w:b/>
                <w:bCs/>
                <w:sz w:val="20"/>
              </w:rPr>
              <w:t>Inclusion/exclusion of alternative causes</w:t>
            </w:r>
          </w:p>
        </w:tc>
        <w:tc>
          <w:tcPr>
            <w:tcW w:w="3699" w:type="pct"/>
          </w:tcPr>
          <w:p w14:paraId="7BBA3601" w14:textId="77777777" w:rsidR="003A549D" w:rsidRPr="003A549D" w:rsidRDefault="003A549D" w:rsidP="003A549D">
            <w:pPr>
              <w:spacing w:after="0"/>
              <w:rPr>
                <w:rFonts w:cs="Arial"/>
                <w:sz w:val="20"/>
              </w:rPr>
            </w:pPr>
            <w:r w:rsidRPr="003A549D">
              <w:rPr>
                <w:rFonts w:cs="Arial"/>
                <w:sz w:val="20"/>
              </w:rPr>
              <w:t>Included based on symptoms of neuropathic pain (burning, pins and needles, tingling) and confirmed (likely) pathogenic ALPL variant. No standardised neuropathic pain questionnaire applied; not all referred to neurologist. Patient 3 had concomitant alcohol use (10 beers/week, reduced during follow-up). Patient 2 had nociceptive/nociplastic pain diagnosis. Alternative causes not systematically excluded across all cases.</w:t>
            </w:r>
          </w:p>
        </w:tc>
      </w:tr>
    </w:tbl>
    <w:p w14:paraId="4BB99F2F" w14:textId="77777777" w:rsidR="003A549D" w:rsidRPr="003A549D" w:rsidRDefault="003A549D" w:rsidP="003A549D">
      <w:pPr>
        <w:rPr>
          <w:rFonts w:eastAsia="Times New Roman" w:cs="Times New Roman"/>
          <w:b/>
          <w:bCs/>
        </w:rPr>
      </w:pPr>
      <w:r w:rsidRPr="003A549D">
        <w:rPr>
          <w:rFonts w:eastAsia="Times New Roman" w:cs="Times New Roman"/>
          <w:b/>
          <w:bCs/>
        </w:rPr>
        <w:t>Exposure</w:t>
      </w:r>
    </w:p>
    <w:tbl>
      <w:tblPr>
        <w:tblStyle w:val="SLROption1"/>
        <w:tblW w:w="5000" w:type="pct"/>
        <w:tblLook w:val="0000" w:firstRow="0" w:lastRow="0" w:firstColumn="0" w:lastColumn="0" w:noHBand="0" w:noVBand="0"/>
      </w:tblPr>
      <w:tblGrid>
        <w:gridCol w:w="3628"/>
        <w:gridCol w:w="10316"/>
      </w:tblGrid>
      <w:tr w:rsidR="003A549D" w:rsidRPr="003A549D" w14:paraId="6DE8B265" w14:textId="77777777" w:rsidTr="00F62C9B">
        <w:trPr>
          <w:cantSplit/>
          <w:tblHeader/>
        </w:trPr>
        <w:tc>
          <w:tcPr>
            <w:tcW w:w="1301" w:type="pct"/>
            <w:shd w:val="clear" w:color="auto" w:fill="3C533C"/>
          </w:tcPr>
          <w:p w14:paraId="2B1CA8BD"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05822C43"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79A7007A" w14:textId="77777777" w:rsidTr="00F62C9B">
        <w:tc>
          <w:tcPr>
            <w:tcW w:w="1301" w:type="pct"/>
            <w:shd w:val="clear" w:color="auto" w:fill="F6FDE9"/>
          </w:tcPr>
          <w:p w14:paraId="1310C567" w14:textId="77777777" w:rsidR="003A549D" w:rsidRPr="003A549D" w:rsidRDefault="003A549D" w:rsidP="003A549D">
            <w:pPr>
              <w:spacing w:after="0"/>
              <w:rPr>
                <w:rFonts w:cs="Arial"/>
                <w:sz w:val="20"/>
              </w:rPr>
            </w:pPr>
            <w:r w:rsidRPr="003A549D">
              <w:rPr>
                <w:rFonts w:eastAsia="Calibri" w:cs="Arial"/>
                <w:b/>
                <w:bCs/>
                <w:sz w:val="20"/>
              </w:rPr>
              <w:t>Exposure characterisation – source</w:t>
            </w:r>
          </w:p>
        </w:tc>
        <w:tc>
          <w:tcPr>
            <w:tcW w:w="3699" w:type="pct"/>
          </w:tcPr>
          <w:p w14:paraId="0571CBE0" w14:textId="77777777" w:rsidR="003A549D" w:rsidRPr="003A549D" w:rsidRDefault="003A549D" w:rsidP="003A549D">
            <w:pPr>
              <w:spacing w:after="0"/>
              <w:rPr>
                <w:rFonts w:cs="Arial"/>
                <w:sz w:val="20"/>
              </w:rPr>
            </w:pPr>
            <w:r w:rsidRPr="003A549D">
              <w:rPr>
                <w:rFonts w:cs="Arial"/>
                <w:sz w:val="20"/>
              </w:rPr>
              <w:t>Endogenous accumulation of PLP due to TNSALP deficiency (HPP), not exogenous B6 supplementation. No patients were taking B6 supplements (confirmed for Patient 3).</w:t>
            </w:r>
          </w:p>
        </w:tc>
      </w:tr>
      <w:tr w:rsidR="003A549D" w:rsidRPr="003A549D" w14:paraId="01B9659C" w14:textId="77777777" w:rsidTr="00F62C9B">
        <w:tc>
          <w:tcPr>
            <w:tcW w:w="1301" w:type="pct"/>
            <w:shd w:val="clear" w:color="auto" w:fill="F6FDE9"/>
          </w:tcPr>
          <w:p w14:paraId="16CA39B1" w14:textId="77777777" w:rsidR="003A549D" w:rsidRPr="003A549D" w:rsidRDefault="003A549D" w:rsidP="003A549D">
            <w:pPr>
              <w:spacing w:after="0"/>
              <w:rPr>
                <w:rFonts w:cs="Arial"/>
                <w:sz w:val="20"/>
              </w:rPr>
            </w:pPr>
            <w:r w:rsidRPr="003A549D">
              <w:rPr>
                <w:rFonts w:eastAsia="Calibri" w:cs="Arial"/>
                <w:b/>
                <w:bCs/>
                <w:sz w:val="20"/>
              </w:rPr>
              <w:t>Exposure characterisation – dose</w:t>
            </w:r>
          </w:p>
        </w:tc>
        <w:tc>
          <w:tcPr>
            <w:tcW w:w="3699" w:type="pct"/>
          </w:tcPr>
          <w:p w14:paraId="6713E808" w14:textId="77777777" w:rsidR="003A549D" w:rsidRPr="003A549D" w:rsidRDefault="003A549D" w:rsidP="003A549D">
            <w:pPr>
              <w:spacing w:before="120" w:after="0"/>
              <w:rPr>
                <w:rFonts w:cs="Arial"/>
                <w:sz w:val="20"/>
              </w:rPr>
            </w:pPr>
            <w:r w:rsidRPr="003A549D">
              <w:rPr>
                <w:rFonts w:cs="Arial"/>
                <w:sz w:val="20"/>
              </w:rPr>
              <w:t>Elevated plasma vitamin B6 levels ranging from 233 to 828 nmol/L (reference 35–110 nmol/L), representing 2- to 7-fold elevation above the upper reference limit.</w:t>
            </w:r>
          </w:p>
        </w:tc>
      </w:tr>
      <w:tr w:rsidR="003A549D" w:rsidRPr="003A549D" w14:paraId="5C80AFF4" w14:textId="77777777" w:rsidTr="00F62C9B">
        <w:tc>
          <w:tcPr>
            <w:tcW w:w="1301" w:type="pct"/>
            <w:shd w:val="clear" w:color="auto" w:fill="F6FDE9"/>
          </w:tcPr>
          <w:p w14:paraId="407BB7F6" w14:textId="77777777" w:rsidR="003A549D" w:rsidRPr="003A549D" w:rsidRDefault="003A549D" w:rsidP="003A549D">
            <w:pPr>
              <w:spacing w:after="0"/>
              <w:rPr>
                <w:rFonts w:cs="Arial"/>
                <w:sz w:val="20"/>
              </w:rPr>
            </w:pPr>
            <w:r w:rsidRPr="003A549D">
              <w:rPr>
                <w:rFonts w:eastAsia="Calibri" w:cs="Arial"/>
                <w:b/>
                <w:bCs/>
                <w:sz w:val="20"/>
              </w:rPr>
              <w:t>Biomarker of exposure</w:t>
            </w:r>
          </w:p>
        </w:tc>
        <w:tc>
          <w:tcPr>
            <w:tcW w:w="3699" w:type="pct"/>
          </w:tcPr>
          <w:p w14:paraId="654D2B3D" w14:textId="77777777" w:rsidR="003A549D" w:rsidRPr="003A549D" w:rsidRDefault="003A549D" w:rsidP="003A549D">
            <w:pPr>
              <w:spacing w:after="0"/>
              <w:rPr>
                <w:rFonts w:cs="Arial"/>
                <w:sz w:val="20"/>
              </w:rPr>
            </w:pPr>
            <w:r w:rsidRPr="003A549D">
              <w:rPr>
                <w:rFonts w:cs="Arial"/>
                <w:sz w:val="20"/>
              </w:rPr>
              <w:t>Serum vitamin B6 (PLP), serum ALP, urine phosphoethanolamine (PEA); serial measurements in some patients.</w:t>
            </w:r>
          </w:p>
        </w:tc>
      </w:tr>
      <w:tr w:rsidR="003A549D" w:rsidRPr="003A549D" w14:paraId="48C38FE6" w14:textId="77777777" w:rsidTr="00F62C9B">
        <w:tc>
          <w:tcPr>
            <w:tcW w:w="1301" w:type="pct"/>
            <w:shd w:val="clear" w:color="auto" w:fill="F6FDE9"/>
          </w:tcPr>
          <w:p w14:paraId="4FEB19F4" w14:textId="77777777" w:rsidR="003A549D" w:rsidRPr="003A549D" w:rsidRDefault="003A549D" w:rsidP="003A549D">
            <w:pPr>
              <w:spacing w:after="0"/>
              <w:rPr>
                <w:rFonts w:cs="Arial"/>
                <w:sz w:val="20"/>
              </w:rPr>
            </w:pPr>
            <w:r w:rsidRPr="003A549D">
              <w:rPr>
                <w:rFonts w:eastAsia="Calibri" w:cs="Arial"/>
                <w:b/>
                <w:bCs/>
                <w:sz w:val="20"/>
              </w:rPr>
              <w:t>Duration of exposure</w:t>
            </w:r>
          </w:p>
        </w:tc>
        <w:tc>
          <w:tcPr>
            <w:tcW w:w="3699" w:type="pct"/>
          </w:tcPr>
          <w:p w14:paraId="094F7837" w14:textId="77777777" w:rsidR="003A549D" w:rsidRPr="003A549D" w:rsidRDefault="003A549D" w:rsidP="003A549D">
            <w:pPr>
              <w:spacing w:after="0"/>
              <w:rPr>
                <w:rFonts w:cs="Arial"/>
                <w:sz w:val="20"/>
              </w:rPr>
            </w:pPr>
            <w:r w:rsidRPr="003A549D">
              <w:rPr>
                <w:rFonts w:cs="Arial"/>
                <w:sz w:val="20"/>
              </w:rPr>
              <w:t>Lifelong in childhood-onset patients; from mid-adulthood in adult-onset patients. Duration of pain symptoms 3–7 years.</w:t>
            </w:r>
          </w:p>
        </w:tc>
      </w:tr>
    </w:tbl>
    <w:p w14:paraId="1174540F" w14:textId="77777777" w:rsidR="003A549D" w:rsidRPr="003A549D" w:rsidRDefault="003A549D" w:rsidP="003A549D">
      <w:pPr>
        <w:rPr>
          <w:rFonts w:eastAsia="Times New Roman" w:cs="Times New Roman"/>
          <w:b/>
          <w:bCs/>
        </w:rPr>
      </w:pPr>
      <w:r w:rsidRPr="003A549D">
        <w:rPr>
          <w:rFonts w:eastAsia="Times New Roman" w:cs="Times New Roman"/>
          <w:b/>
          <w:bCs/>
        </w:rPr>
        <w:t>Outcomes</w:t>
      </w:r>
    </w:p>
    <w:tbl>
      <w:tblPr>
        <w:tblStyle w:val="SLROption1"/>
        <w:tblW w:w="5000" w:type="pct"/>
        <w:tblLook w:val="0000" w:firstRow="0" w:lastRow="0" w:firstColumn="0" w:lastColumn="0" w:noHBand="0" w:noVBand="0"/>
      </w:tblPr>
      <w:tblGrid>
        <w:gridCol w:w="3628"/>
        <w:gridCol w:w="10316"/>
      </w:tblGrid>
      <w:tr w:rsidR="003A549D" w:rsidRPr="003A549D" w14:paraId="4F6DF3F3" w14:textId="77777777" w:rsidTr="00F62C9B">
        <w:tc>
          <w:tcPr>
            <w:tcW w:w="1301" w:type="pct"/>
            <w:shd w:val="clear" w:color="auto" w:fill="3C533C"/>
          </w:tcPr>
          <w:p w14:paraId="36C96D56"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68744452"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5829A664" w14:textId="77777777" w:rsidTr="00F62C9B">
        <w:tc>
          <w:tcPr>
            <w:tcW w:w="1301" w:type="pct"/>
            <w:shd w:val="clear" w:color="auto" w:fill="F6FDE9"/>
          </w:tcPr>
          <w:p w14:paraId="48349C46" w14:textId="77777777" w:rsidR="003A549D" w:rsidRPr="003A549D" w:rsidRDefault="003A549D" w:rsidP="003A549D">
            <w:pPr>
              <w:spacing w:after="0"/>
              <w:rPr>
                <w:rFonts w:cs="Arial"/>
                <w:sz w:val="20"/>
              </w:rPr>
            </w:pPr>
            <w:r w:rsidRPr="003A549D">
              <w:rPr>
                <w:rFonts w:eastAsia="Calibri" w:cs="Arial"/>
                <w:b/>
                <w:bCs/>
                <w:sz w:val="20"/>
              </w:rPr>
              <w:t>Primary outcome</w:t>
            </w:r>
          </w:p>
        </w:tc>
        <w:tc>
          <w:tcPr>
            <w:tcW w:w="3699" w:type="pct"/>
          </w:tcPr>
          <w:p w14:paraId="255C11F5" w14:textId="77777777" w:rsidR="003A549D" w:rsidRPr="003A549D" w:rsidRDefault="003A549D" w:rsidP="003A549D">
            <w:pPr>
              <w:spacing w:after="0"/>
              <w:rPr>
                <w:rFonts w:cs="Arial"/>
                <w:sz w:val="20"/>
              </w:rPr>
            </w:pPr>
            <w:r w:rsidRPr="003A549D">
              <w:rPr>
                <w:rFonts w:cs="Arial"/>
                <w:sz w:val="20"/>
              </w:rPr>
              <w:t>Neuropathic pain symptoms in adult HPP patients; proposed mechanistic link to disturbed B6 metabolism.</w:t>
            </w:r>
          </w:p>
        </w:tc>
      </w:tr>
      <w:tr w:rsidR="003A549D" w:rsidRPr="003A549D" w14:paraId="3C08A15B" w14:textId="77777777" w:rsidTr="00F62C9B">
        <w:tc>
          <w:tcPr>
            <w:tcW w:w="1301" w:type="pct"/>
            <w:shd w:val="clear" w:color="auto" w:fill="F6FDE9"/>
          </w:tcPr>
          <w:p w14:paraId="50E1219E" w14:textId="77777777" w:rsidR="003A549D" w:rsidRPr="003A549D" w:rsidRDefault="003A549D" w:rsidP="003A549D">
            <w:pPr>
              <w:spacing w:after="0"/>
              <w:rPr>
                <w:rFonts w:cs="Arial"/>
                <w:sz w:val="20"/>
              </w:rPr>
            </w:pPr>
            <w:r w:rsidRPr="003A549D">
              <w:rPr>
                <w:rFonts w:eastAsia="Calibri" w:cs="Arial"/>
                <w:b/>
                <w:bCs/>
                <w:sz w:val="20"/>
              </w:rPr>
              <w:t>Outcome assessment</w:t>
            </w:r>
          </w:p>
        </w:tc>
        <w:tc>
          <w:tcPr>
            <w:tcW w:w="3699" w:type="pct"/>
          </w:tcPr>
          <w:p w14:paraId="67D39BB0" w14:textId="77777777" w:rsidR="003A549D" w:rsidRPr="003A549D" w:rsidRDefault="003A549D" w:rsidP="003A549D">
            <w:pPr>
              <w:spacing w:before="120" w:after="0"/>
              <w:rPr>
                <w:rFonts w:cs="Arial"/>
                <w:sz w:val="20"/>
              </w:rPr>
            </w:pPr>
            <w:r w:rsidRPr="003A549D">
              <w:rPr>
                <w:rFonts w:cs="Arial"/>
                <w:sz w:val="20"/>
              </w:rPr>
              <w:t>Neurological examination (where performed); pain characterisation (burning, tingling, numbness, location); functional impact (sleep disturbance, mobility); clinical response to treatment.</w:t>
            </w:r>
          </w:p>
        </w:tc>
      </w:tr>
      <w:tr w:rsidR="003A549D" w:rsidRPr="003A549D" w14:paraId="76FF21FE" w14:textId="77777777" w:rsidTr="00F62C9B">
        <w:tc>
          <w:tcPr>
            <w:tcW w:w="1301" w:type="pct"/>
            <w:shd w:val="clear" w:color="auto" w:fill="F6FDE9"/>
          </w:tcPr>
          <w:p w14:paraId="3222E18C" w14:textId="77777777" w:rsidR="003A549D" w:rsidRPr="003A549D" w:rsidRDefault="003A549D" w:rsidP="003A549D">
            <w:pPr>
              <w:spacing w:after="0"/>
              <w:rPr>
                <w:rFonts w:cs="Arial"/>
                <w:sz w:val="20"/>
              </w:rPr>
            </w:pPr>
            <w:r w:rsidRPr="003A549D">
              <w:rPr>
                <w:rFonts w:eastAsia="Calibri" w:cs="Arial"/>
                <w:b/>
                <w:bCs/>
                <w:sz w:val="20"/>
              </w:rPr>
              <w:lastRenderedPageBreak/>
              <w:t>Outcome assessment – objective testing</w:t>
            </w:r>
          </w:p>
        </w:tc>
        <w:tc>
          <w:tcPr>
            <w:tcW w:w="3699" w:type="pct"/>
          </w:tcPr>
          <w:p w14:paraId="7F338841" w14:textId="77777777" w:rsidR="003A549D" w:rsidRPr="003A549D" w:rsidRDefault="003A549D" w:rsidP="003A549D">
            <w:pPr>
              <w:spacing w:after="0"/>
              <w:rPr>
                <w:rFonts w:cs="Arial"/>
                <w:sz w:val="20"/>
              </w:rPr>
            </w:pPr>
            <w:r w:rsidRPr="003A549D">
              <w:rPr>
                <w:rFonts w:cs="Arial"/>
                <w:sz w:val="20"/>
              </w:rPr>
              <w:t>EMG/nerve conduction studies (performed in patients 1, 3, 5); muscle biopsy (patient 5, showed mild myopathy); serum ALP; serum vitamin B6; urine PEA; serial B6 level monitoring.</w:t>
            </w:r>
          </w:p>
        </w:tc>
      </w:tr>
      <w:tr w:rsidR="003A549D" w:rsidRPr="003A549D" w14:paraId="4DC62636" w14:textId="77777777" w:rsidTr="00F62C9B">
        <w:tc>
          <w:tcPr>
            <w:tcW w:w="1301" w:type="pct"/>
            <w:shd w:val="clear" w:color="auto" w:fill="F6FDE9"/>
          </w:tcPr>
          <w:p w14:paraId="34C7FB32" w14:textId="77777777" w:rsidR="003A549D" w:rsidRPr="003A549D" w:rsidRDefault="003A549D" w:rsidP="003A549D">
            <w:pPr>
              <w:spacing w:after="0"/>
              <w:rPr>
                <w:rFonts w:cs="Arial"/>
                <w:sz w:val="20"/>
              </w:rPr>
            </w:pPr>
            <w:r w:rsidRPr="003A549D">
              <w:rPr>
                <w:rFonts w:eastAsia="Calibri" w:cs="Arial"/>
                <w:b/>
                <w:bCs/>
                <w:sz w:val="20"/>
              </w:rPr>
              <w:t>Outcome assessment – tools used</w:t>
            </w:r>
          </w:p>
        </w:tc>
        <w:tc>
          <w:tcPr>
            <w:tcW w:w="3699" w:type="pct"/>
          </w:tcPr>
          <w:p w14:paraId="76FC729F" w14:textId="77777777" w:rsidR="003A549D" w:rsidRPr="003A549D" w:rsidRDefault="003A549D" w:rsidP="003A549D">
            <w:pPr>
              <w:spacing w:after="0"/>
              <w:rPr>
                <w:rFonts w:cs="Arial"/>
                <w:sz w:val="20"/>
              </w:rPr>
            </w:pPr>
            <w:r w:rsidRPr="003A549D">
              <w:rPr>
                <w:rFonts w:cs="Arial"/>
                <w:sz w:val="20"/>
              </w:rPr>
              <w:t>Clinical assessment; EMG; no standardised neuropathic pain rating scale used.</w:t>
            </w:r>
          </w:p>
        </w:tc>
      </w:tr>
      <w:tr w:rsidR="003A549D" w:rsidRPr="003A549D" w14:paraId="2917ECEE" w14:textId="77777777" w:rsidTr="00F62C9B">
        <w:tc>
          <w:tcPr>
            <w:tcW w:w="1301" w:type="pct"/>
            <w:shd w:val="clear" w:color="auto" w:fill="F6FDE9"/>
          </w:tcPr>
          <w:p w14:paraId="45B4C78C" w14:textId="77777777" w:rsidR="003A549D" w:rsidRPr="003A549D" w:rsidRDefault="003A549D" w:rsidP="003A549D">
            <w:pPr>
              <w:spacing w:after="0"/>
              <w:rPr>
                <w:rFonts w:cs="Arial"/>
                <w:sz w:val="20"/>
              </w:rPr>
            </w:pPr>
            <w:r w:rsidRPr="003A549D">
              <w:rPr>
                <w:rFonts w:eastAsia="Calibri" w:cs="Arial"/>
                <w:b/>
                <w:bCs/>
                <w:sz w:val="20"/>
              </w:rPr>
              <w:t>Response to withdrawal</w:t>
            </w:r>
          </w:p>
        </w:tc>
        <w:tc>
          <w:tcPr>
            <w:tcW w:w="3699" w:type="pct"/>
          </w:tcPr>
          <w:p w14:paraId="43582F35" w14:textId="77777777" w:rsidR="003A549D" w:rsidRPr="003A549D" w:rsidRDefault="003A549D" w:rsidP="003A549D">
            <w:pPr>
              <w:spacing w:after="0"/>
              <w:rPr>
                <w:rFonts w:cs="Arial"/>
                <w:sz w:val="20"/>
              </w:rPr>
            </w:pPr>
            <w:r w:rsidRPr="003A549D">
              <w:rPr>
                <w:rFonts w:cs="Arial"/>
                <w:sz w:val="20"/>
              </w:rPr>
              <w:t>Not applicable in a supplementation sense.</w:t>
            </w:r>
          </w:p>
        </w:tc>
      </w:tr>
    </w:tbl>
    <w:p w14:paraId="15E936C9" w14:textId="77777777" w:rsidR="003A549D" w:rsidRPr="003A549D" w:rsidRDefault="003A549D" w:rsidP="003A549D">
      <w:pPr>
        <w:rPr>
          <w:rFonts w:eastAsia="Times New Roman" w:cs="Times New Roman"/>
          <w:b/>
          <w:bCs/>
        </w:rPr>
      </w:pPr>
      <w:r w:rsidRPr="003A549D">
        <w:rPr>
          <w:rFonts w:eastAsia="Times New Roman" w:cs="Times New Roman"/>
          <w:b/>
          <w:bCs/>
        </w:rPr>
        <w:t>Results and Conclusions</w:t>
      </w:r>
    </w:p>
    <w:tbl>
      <w:tblPr>
        <w:tblStyle w:val="SLROption1"/>
        <w:tblW w:w="5000" w:type="pct"/>
        <w:tblLook w:val="0000" w:firstRow="0" w:lastRow="0" w:firstColumn="0" w:lastColumn="0" w:noHBand="0" w:noVBand="0"/>
      </w:tblPr>
      <w:tblGrid>
        <w:gridCol w:w="3628"/>
        <w:gridCol w:w="10316"/>
      </w:tblGrid>
      <w:tr w:rsidR="003A549D" w:rsidRPr="003A549D" w14:paraId="7692DB5A" w14:textId="77777777" w:rsidTr="00F62C9B">
        <w:trPr>
          <w:cantSplit/>
          <w:tblHeader/>
        </w:trPr>
        <w:tc>
          <w:tcPr>
            <w:tcW w:w="1301" w:type="pct"/>
            <w:shd w:val="clear" w:color="auto" w:fill="3C533C"/>
          </w:tcPr>
          <w:p w14:paraId="2EE78C12" w14:textId="77777777" w:rsidR="003A549D" w:rsidRPr="003A549D" w:rsidRDefault="003A549D" w:rsidP="003A549D">
            <w:pPr>
              <w:spacing w:after="0"/>
              <w:rPr>
                <w:rFonts w:cs="Arial"/>
                <w:sz w:val="20"/>
              </w:rPr>
            </w:pPr>
            <w:r w:rsidRPr="003A549D">
              <w:rPr>
                <w:rFonts w:eastAsia="Calibri" w:cs="Arial"/>
                <w:b/>
                <w:bCs/>
                <w:color w:val="FFFFFF"/>
                <w:sz w:val="20"/>
              </w:rPr>
              <w:t>Field</w:t>
            </w:r>
          </w:p>
        </w:tc>
        <w:tc>
          <w:tcPr>
            <w:tcW w:w="3699" w:type="pct"/>
            <w:shd w:val="clear" w:color="auto" w:fill="3C533C"/>
          </w:tcPr>
          <w:p w14:paraId="03F55A38" w14:textId="77777777" w:rsidR="003A549D" w:rsidRPr="003A549D" w:rsidRDefault="003A549D" w:rsidP="003A549D">
            <w:pPr>
              <w:spacing w:after="0"/>
              <w:rPr>
                <w:rFonts w:cs="Arial"/>
                <w:sz w:val="20"/>
              </w:rPr>
            </w:pPr>
            <w:r w:rsidRPr="003A549D">
              <w:rPr>
                <w:rFonts w:eastAsia="Calibri" w:cs="Arial"/>
                <w:b/>
                <w:bCs/>
                <w:color w:val="FFFFFF"/>
                <w:sz w:val="20"/>
              </w:rPr>
              <w:t>Extracted information</w:t>
            </w:r>
          </w:p>
        </w:tc>
      </w:tr>
      <w:tr w:rsidR="003A549D" w:rsidRPr="003A549D" w14:paraId="088E8C3A" w14:textId="77777777" w:rsidTr="00F62C9B">
        <w:trPr>
          <w:cantSplit/>
        </w:trPr>
        <w:tc>
          <w:tcPr>
            <w:tcW w:w="1301" w:type="pct"/>
            <w:shd w:val="clear" w:color="auto" w:fill="F6FDE9"/>
          </w:tcPr>
          <w:p w14:paraId="7AF5F0B2" w14:textId="77777777" w:rsidR="003A549D" w:rsidRPr="003A549D" w:rsidRDefault="003A549D" w:rsidP="003A549D">
            <w:pPr>
              <w:spacing w:after="0"/>
              <w:rPr>
                <w:rFonts w:cs="Arial"/>
                <w:sz w:val="20"/>
              </w:rPr>
            </w:pPr>
            <w:r w:rsidRPr="003A549D">
              <w:rPr>
                <w:rFonts w:eastAsia="Calibri" w:cs="Arial"/>
                <w:b/>
                <w:bCs/>
                <w:sz w:val="20"/>
              </w:rPr>
              <w:t>Main results</w:t>
            </w:r>
          </w:p>
        </w:tc>
        <w:tc>
          <w:tcPr>
            <w:tcW w:w="3699" w:type="pct"/>
          </w:tcPr>
          <w:p w14:paraId="481FD72C" w14:textId="77777777" w:rsidR="003A549D" w:rsidRPr="003A549D" w:rsidRDefault="003A549D" w:rsidP="003A549D">
            <w:pPr>
              <w:spacing w:before="120" w:after="0"/>
              <w:rPr>
                <w:rFonts w:cs="Arial"/>
                <w:sz w:val="20"/>
              </w:rPr>
            </w:pPr>
            <w:r w:rsidRPr="003A549D">
              <w:rPr>
                <w:rFonts w:cs="Arial"/>
                <w:sz w:val="20"/>
              </w:rPr>
              <w:t>All 5 patients had markedly elevated serum vitamin B6, reduced ALP, and elevated urine PEA consistent with HPP. Neuropathic pain (predominantly burning in lower extremities) was the common symptom. EMG confirmed peripheral neuropathy in patient 3 (mild axonal); patient 1 had small fibre neuropathy confirmed by neurologist but normal EMG. Asfotase alfa produced dramatic pain reduction in patient 5 (within 3 weeks), alongside normalisation of B6 levels. Nortriptyline + rehabilitation reduced pain in patient 1. Gabapentin partially helped patient 4. Patient 3 showed spontaneous fluctuating improvement correlated with B6 level changes. Patient 2 had poor pain control despite multiple analgesics.</w:t>
            </w:r>
          </w:p>
        </w:tc>
      </w:tr>
      <w:tr w:rsidR="003A549D" w:rsidRPr="003A549D" w14:paraId="3A81521A" w14:textId="77777777" w:rsidTr="00F62C9B">
        <w:trPr>
          <w:cantSplit/>
        </w:trPr>
        <w:tc>
          <w:tcPr>
            <w:tcW w:w="1301" w:type="pct"/>
            <w:shd w:val="clear" w:color="auto" w:fill="F6FDE9"/>
          </w:tcPr>
          <w:p w14:paraId="5FA64D5B" w14:textId="77777777" w:rsidR="003A549D" w:rsidRPr="003A549D" w:rsidRDefault="003A549D" w:rsidP="003A549D">
            <w:pPr>
              <w:spacing w:after="0"/>
              <w:rPr>
                <w:rFonts w:cs="Arial"/>
                <w:sz w:val="20"/>
              </w:rPr>
            </w:pPr>
            <w:r w:rsidRPr="003A549D">
              <w:rPr>
                <w:rFonts w:eastAsia="Calibri" w:cs="Arial"/>
                <w:b/>
                <w:bCs/>
                <w:sz w:val="20"/>
              </w:rPr>
              <w:t>Authors' conclusions</w:t>
            </w:r>
          </w:p>
        </w:tc>
        <w:tc>
          <w:tcPr>
            <w:tcW w:w="3699" w:type="pct"/>
          </w:tcPr>
          <w:p w14:paraId="09F2966C" w14:textId="77777777" w:rsidR="003A549D" w:rsidRPr="003A549D" w:rsidRDefault="003A549D" w:rsidP="003A549D">
            <w:pPr>
              <w:spacing w:after="0"/>
              <w:rPr>
                <w:rFonts w:cs="Arial"/>
                <w:sz w:val="20"/>
              </w:rPr>
            </w:pPr>
            <w:r w:rsidRPr="003A549D">
              <w:rPr>
                <w:rFonts w:cs="Arial"/>
                <w:sz w:val="20"/>
              </w:rPr>
              <w:t>Neuropathic pain appears to be an underrecognised symptom of HPP. Disturbed B6 metabolism (either intracellular PLP deficiency in the brain or extracellular PLP excess) is the hypothesised mechanism. The dramatic response to asfotase alfa in one patient supports a causal role for B6 metabolic dysregulation. The mechanism may share features with sensory neuropathy seen in excessive B6 supplementation. Standardised neuropathic pain assessment in larger HPP cohorts and further mechanistic studies are needed.</w:t>
            </w:r>
          </w:p>
        </w:tc>
      </w:tr>
      <w:tr w:rsidR="003A549D" w:rsidRPr="003A549D" w14:paraId="4923379D" w14:textId="77777777" w:rsidTr="00F62C9B">
        <w:trPr>
          <w:cantSplit/>
        </w:trPr>
        <w:tc>
          <w:tcPr>
            <w:tcW w:w="1301" w:type="pct"/>
            <w:shd w:val="clear" w:color="auto" w:fill="F6FDE9"/>
          </w:tcPr>
          <w:p w14:paraId="0E377103" w14:textId="77777777" w:rsidR="003A549D" w:rsidRPr="003A549D" w:rsidRDefault="003A549D" w:rsidP="003A549D">
            <w:pPr>
              <w:spacing w:after="0"/>
              <w:rPr>
                <w:rFonts w:cs="Arial"/>
                <w:sz w:val="20"/>
              </w:rPr>
            </w:pPr>
            <w:r w:rsidRPr="003A549D">
              <w:rPr>
                <w:rFonts w:eastAsia="Calibri" w:cs="Arial"/>
                <w:b/>
                <w:bCs/>
                <w:sz w:val="20"/>
              </w:rPr>
              <w:t>Authors' acknowledged limitations</w:t>
            </w:r>
          </w:p>
        </w:tc>
        <w:tc>
          <w:tcPr>
            <w:tcW w:w="3699" w:type="pct"/>
          </w:tcPr>
          <w:p w14:paraId="7FF73117" w14:textId="77777777" w:rsidR="003A549D" w:rsidRPr="003A549D" w:rsidRDefault="003A549D" w:rsidP="003A549D">
            <w:pPr>
              <w:spacing w:after="0"/>
              <w:rPr>
                <w:rFonts w:cs="Arial"/>
                <w:sz w:val="20"/>
              </w:rPr>
            </w:pPr>
            <w:r w:rsidRPr="003A549D">
              <w:rPr>
                <w:rFonts w:cs="Arial"/>
                <w:sz w:val="20"/>
              </w:rPr>
              <w:t>Small case series (n=5) selected from a single centre; no standardised neuropathic pain questionnaire applied; not all patients referred to neurologist; cannot exclude alternative causes (e.g. alcohol in patient 3); mechanistic link to B6 metabolism remains speculative; no systematic measurement of B6 metabolite subfractions (PLP, PL, PA) in all patients.</w:t>
            </w:r>
          </w:p>
        </w:tc>
      </w:tr>
    </w:tbl>
    <w:p w14:paraId="67197067" w14:textId="77777777" w:rsidR="003A549D" w:rsidRPr="003A549D" w:rsidRDefault="003A549D" w:rsidP="003A549D">
      <w:pPr>
        <w:rPr>
          <w:rFonts w:eastAsia="Times New Roman" w:cs="Times New Roman"/>
          <w:b/>
          <w:bCs/>
        </w:rPr>
      </w:pPr>
      <w:r w:rsidRPr="003A549D">
        <w:rPr>
          <w:rFonts w:eastAsia="Times New Roman" w:cs="Times New Roman"/>
          <w:b/>
          <w:bCs/>
        </w:rPr>
        <w:t>Contextual information for the AU/NZ UL review</w:t>
      </w:r>
    </w:p>
    <w:tbl>
      <w:tblPr>
        <w:tblStyle w:val="SLROption1"/>
        <w:tblW w:w="5000" w:type="pct"/>
        <w:tblLook w:val="0000" w:firstRow="0" w:lastRow="0" w:firstColumn="0" w:lastColumn="0" w:noHBand="0" w:noVBand="0"/>
      </w:tblPr>
      <w:tblGrid>
        <w:gridCol w:w="3628"/>
        <w:gridCol w:w="10316"/>
      </w:tblGrid>
      <w:tr w:rsidR="003A549D" w:rsidRPr="003A549D" w14:paraId="6AC0DE88" w14:textId="77777777" w:rsidTr="00F62C9B">
        <w:tc>
          <w:tcPr>
            <w:tcW w:w="1301" w:type="pct"/>
            <w:shd w:val="clear" w:color="auto" w:fill="F6FDE9"/>
          </w:tcPr>
          <w:p w14:paraId="55FA0E9C" w14:textId="77777777" w:rsidR="003A549D" w:rsidRPr="003A549D" w:rsidRDefault="003A549D" w:rsidP="003A549D">
            <w:pPr>
              <w:spacing w:after="0"/>
              <w:rPr>
                <w:rFonts w:cs="Arial"/>
                <w:sz w:val="20"/>
              </w:rPr>
            </w:pPr>
            <w:r w:rsidRPr="003A549D">
              <w:rPr>
                <w:rFonts w:eastAsia="Calibri" w:cs="Arial"/>
                <w:b/>
                <w:bCs/>
                <w:sz w:val="20"/>
              </w:rPr>
              <w:t>Generalisability to AU/NZ</w:t>
            </w:r>
          </w:p>
        </w:tc>
        <w:tc>
          <w:tcPr>
            <w:tcW w:w="3699" w:type="pct"/>
          </w:tcPr>
          <w:p w14:paraId="750F65CA" w14:textId="77777777" w:rsidR="003A549D" w:rsidRPr="003A549D" w:rsidRDefault="003A549D" w:rsidP="003A549D">
            <w:pPr>
              <w:spacing w:after="0"/>
              <w:rPr>
                <w:rFonts w:cs="Arial"/>
                <w:sz w:val="20"/>
              </w:rPr>
            </w:pPr>
            <w:r w:rsidRPr="003A549D">
              <w:rPr>
                <w:rFonts w:cs="Arial"/>
                <w:sz w:val="20"/>
              </w:rPr>
              <w:t>This HPP-specific study has limited direct relevance for population-level AU/NZ UL derivation, as it does not provide data for healthy supplement users. However, it supports the biological plausibility of B6-related peripheral neuropathy by linking markedly elevated circulating PLP to neuropathic symptoms and showing symptom resolution after asfotase alfa normalised PLP metabolism.</w:t>
            </w:r>
          </w:p>
        </w:tc>
      </w:tr>
    </w:tbl>
    <w:p w14:paraId="0425F3D5" w14:textId="77777777" w:rsidR="003A549D" w:rsidRDefault="003A549D" w:rsidP="003A549D">
      <w:pPr>
        <w:rPr>
          <w:rFonts w:eastAsia="Times New Roman" w:cs="Arial"/>
          <w:b/>
          <w:bCs/>
        </w:rPr>
      </w:pPr>
    </w:p>
    <w:p w14:paraId="6372CB72" w14:textId="3D4C9797" w:rsidR="0004329F" w:rsidRDefault="0004329F" w:rsidP="0004329F">
      <w:pPr>
        <w:pStyle w:val="Heading9"/>
      </w:pPr>
      <w:bookmarkStart w:id="86" w:name="_Toc233022903"/>
      <w:r>
        <w:lastRenderedPageBreak/>
        <w:t>Reddy 2022</w:t>
      </w:r>
      <w:bookmarkEnd w:id="86"/>
    </w:p>
    <w:p w14:paraId="0B9642EB" w14:textId="77777777" w:rsidR="00F80539" w:rsidRPr="003A549D" w:rsidRDefault="00F80539" w:rsidP="00F80539">
      <w:pPr>
        <w:keepNext/>
        <w:spacing w:before="240"/>
        <w:ind w:left="1080" w:hanging="1080"/>
        <w:rPr>
          <w:rFonts w:eastAsia="Calibri" w:cs="Arial"/>
          <w:b/>
          <w:bCs/>
          <w:sz w:val="20"/>
        </w:rPr>
      </w:pPr>
      <w:r w:rsidRPr="003A549D">
        <w:rPr>
          <w:rFonts w:eastAsia="Calibri" w:cs="Arial"/>
          <w:b/>
          <w:bCs/>
          <w:sz w:val="20"/>
        </w:rPr>
        <w:t>Study identification and design</w:t>
      </w:r>
    </w:p>
    <w:tbl>
      <w:tblPr>
        <w:tblStyle w:val="SLROption1"/>
        <w:tblW w:w="5000" w:type="pct"/>
        <w:tblLook w:val="0000" w:firstRow="0" w:lastRow="0" w:firstColumn="0" w:lastColumn="0" w:noHBand="0" w:noVBand="0"/>
      </w:tblPr>
      <w:tblGrid>
        <w:gridCol w:w="3628"/>
        <w:gridCol w:w="10316"/>
      </w:tblGrid>
      <w:tr w:rsidR="00F80539" w:rsidRPr="003A549D" w14:paraId="12C4E5BF" w14:textId="77777777" w:rsidTr="0099178A">
        <w:tc>
          <w:tcPr>
            <w:tcW w:w="1301" w:type="pct"/>
            <w:shd w:val="clear" w:color="auto" w:fill="3C533C"/>
          </w:tcPr>
          <w:p w14:paraId="1E91F02A" w14:textId="77777777" w:rsidR="00F80539" w:rsidRPr="003A549D" w:rsidRDefault="00F80539" w:rsidP="0099178A">
            <w:pPr>
              <w:spacing w:after="0"/>
              <w:rPr>
                <w:rFonts w:cs="Arial"/>
                <w:sz w:val="20"/>
              </w:rPr>
            </w:pPr>
            <w:r w:rsidRPr="003A549D">
              <w:rPr>
                <w:rFonts w:eastAsia="Calibri" w:cs="Arial"/>
                <w:b/>
                <w:bCs/>
                <w:color w:val="FFFFFF"/>
                <w:sz w:val="20"/>
              </w:rPr>
              <w:t>Field</w:t>
            </w:r>
          </w:p>
        </w:tc>
        <w:tc>
          <w:tcPr>
            <w:tcW w:w="3699" w:type="pct"/>
            <w:shd w:val="clear" w:color="auto" w:fill="3C533C"/>
          </w:tcPr>
          <w:p w14:paraId="5FB736F9" w14:textId="77777777" w:rsidR="00F80539" w:rsidRPr="003A549D" w:rsidRDefault="00F80539" w:rsidP="0099178A">
            <w:pPr>
              <w:spacing w:after="0"/>
              <w:rPr>
                <w:rFonts w:cs="Arial"/>
                <w:sz w:val="20"/>
              </w:rPr>
            </w:pPr>
            <w:r w:rsidRPr="003A549D">
              <w:rPr>
                <w:rFonts w:eastAsia="Calibri" w:cs="Arial"/>
                <w:b/>
                <w:bCs/>
                <w:color w:val="FFFFFF"/>
                <w:sz w:val="20"/>
              </w:rPr>
              <w:t>Extracted information</w:t>
            </w:r>
          </w:p>
        </w:tc>
      </w:tr>
      <w:tr w:rsidR="00F80539" w:rsidRPr="003A549D" w14:paraId="274BA4C6" w14:textId="77777777" w:rsidTr="0099178A">
        <w:tc>
          <w:tcPr>
            <w:tcW w:w="1301" w:type="pct"/>
            <w:shd w:val="clear" w:color="auto" w:fill="F6FDE9"/>
          </w:tcPr>
          <w:p w14:paraId="26AE8A75" w14:textId="77777777" w:rsidR="00F80539" w:rsidRPr="003A549D" w:rsidRDefault="00F80539" w:rsidP="0099178A">
            <w:pPr>
              <w:spacing w:after="0"/>
              <w:rPr>
                <w:rFonts w:cs="Arial"/>
                <w:sz w:val="20"/>
              </w:rPr>
            </w:pPr>
            <w:r w:rsidRPr="003A549D">
              <w:rPr>
                <w:rFonts w:eastAsia="Calibri" w:cs="Arial"/>
                <w:b/>
                <w:bCs/>
                <w:sz w:val="20"/>
              </w:rPr>
              <w:t>Citation</w:t>
            </w:r>
          </w:p>
        </w:tc>
        <w:tc>
          <w:tcPr>
            <w:tcW w:w="3699" w:type="pct"/>
          </w:tcPr>
          <w:p w14:paraId="11027B94" w14:textId="49CD72E3" w:rsidR="00F80539" w:rsidRPr="003A549D" w:rsidRDefault="00F80539" w:rsidP="0099178A">
            <w:pPr>
              <w:spacing w:after="0"/>
              <w:rPr>
                <w:rFonts w:cs="Arial"/>
                <w:sz w:val="20"/>
              </w:rPr>
            </w:pPr>
            <w:r w:rsidRPr="00F80539">
              <w:rPr>
                <w:rFonts w:cs="Arial"/>
                <w:sz w:val="20"/>
              </w:rPr>
              <w:t>Reddy, P. (2022). Preventing Vitamin B6–Related Neurotoxicity. American Journal of Therapeutics, 29(6), e637–e643.</w:t>
            </w:r>
          </w:p>
        </w:tc>
      </w:tr>
      <w:tr w:rsidR="00F80539" w:rsidRPr="003A549D" w14:paraId="761F545E" w14:textId="77777777" w:rsidTr="0099178A">
        <w:tc>
          <w:tcPr>
            <w:tcW w:w="1301" w:type="pct"/>
            <w:shd w:val="clear" w:color="auto" w:fill="F6FDE9"/>
          </w:tcPr>
          <w:p w14:paraId="1BFD08C3" w14:textId="77777777" w:rsidR="00F80539" w:rsidRPr="003A549D" w:rsidRDefault="00F80539" w:rsidP="0099178A">
            <w:pPr>
              <w:spacing w:after="0"/>
              <w:rPr>
                <w:rFonts w:cs="Arial"/>
                <w:sz w:val="20"/>
              </w:rPr>
            </w:pPr>
            <w:r w:rsidRPr="003A549D">
              <w:rPr>
                <w:rFonts w:eastAsia="Calibri" w:cs="Arial"/>
                <w:b/>
                <w:bCs/>
                <w:sz w:val="20"/>
              </w:rPr>
              <w:t>Publication status</w:t>
            </w:r>
          </w:p>
        </w:tc>
        <w:tc>
          <w:tcPr>
            <w:tcW w:w="3699" w:type="pct"/>
          </w:tcPr>
          <w:p w14:paraId="5545E998" w14:textId="0B988791" w:rsidR="00F80539" w:rsidRPr="003A549D" w:rsidRDefault="00F80539" w:rsidP="0099178A">
            <w:pPr>
              <w:spacing w:after="0"/>
              <w:rPr>
                <w:rFonts w:cs="Arial"/>
                <w:sz w:val="20"/>
              </w:rPr>
            </w:pPr>
            <w:r w:rsidRPr="00F80539">
              <w:rPr>
                <w:rFonts w:cs="Arial"/>
                <w:sz w:val="20"/>
              </w:rPr>
              <w:t>Published, peer-reviewed journal (American Journal of Therapeutics, Wolters Kluwer Health), published 2022.</w:t>
            </w:r>
          </w:p>
        </w:tc>
      </w:tr>
      <w:tr w:rsidR="00F80539" w:rsidRPr="003A549D" w14:paraId="7BD5087D" w14:textId="77777777" w:rsidTr="0099178A">
        <w:tc>
          <w:tcPr>
            <w:tcW w:w="1301" w:type="pct"/>
            <w:shd w:val="clear" w:color="auto" w:fill="F6FDE9"/>
          </w:tcPr>
          <w:p w14:paraId="2AF4866C" w14:textId="77777777" w:rsidR="00F80539" w:rsidRPr="003A549D" w:rsidRDefault="00F80539" w:rsidP="0099178A">
            <w:pPr>
              <w:spacing w:after="0"/>
              <w:rPr>
                <w:rFonts w:cs="Arial"/>
                <w:sz w:val="20"/>
              </w:rPr>
            </w:pPr>
            <w:r w:rsidRPr="003A549D">
              <w:rPr>
                <w:rFonts w:eastAsia="Calibri" w:cs="Arial"/>
                <w:b/>
                <w:bCs/>
                <w:sz w:val="20"/>
              </w:rPr>
              <w:t>Country / setting</w:t>
            </w:r>
          </w:p>
        </w:tc>
        <w:tc>
          <w:tcPr>
            <w:tcW w:w="3699" w:type="pct"/>
          </w:tcPr>
          <w:p w14:paraId="01D5A2D9" w14:textId="4B8A47CA" w:rsidR="00F80539" w:rsidRPr="003A549D" w:rsidRDefault="00F80539" w:rsidP="0099178A">
            <w:pPr>
              <w:spacing w:after="0"/>
              <w:rPr>
                <w:rFonts w:cs="Arial"/>
                <w:sz w:val="20"/>
              </w:rPr>
            </w:pPr>
            <w:r w:rsidRPr="00F80539">
              <w:rPr>
                <w:rFonts w:cs="Arial"/>
                <w:sz w:val="20"/>
              </w:rPr>
              <w:t>USA; narrative review and therapeutic opinion article (no specific study setting).</w:t>
            </w:r>
          </w:p>
        </w:tc>
      </w:tr>
      <w:tr w:rsidR="00F80539" w:rsidRPr="003A549D" w14:paraId="5626BCE0" w14:textId="77777777" w:rsidTr="0099178A">
        <w:tc>
          <w:tcPr>
            <w:tcW w:w="1301" w:type="pct"/>
            <w:shd w:val="clear" w:color="auto" w:fill="F6FDE9"/>
          </w:tcPr>
          <w:p w14:paraId="36B3A351" w14:textId="77777777" w:rsidR="00F80539" w:rsidRPr="003A549D" w:rsidRDefault="00F80539" w:rsidP="0099178A">
            <w:pPr>
              <w:spacing w:after="0"/>
              <w:rPr>
                <w:rFonts w:cs="Arial"/>
                <w:sz w:val="20"/>
              </w:rPr>
            </w:pPr>
            <w:r w:rsidRPr="003A549D">
              <w:rPr>
                <w:rFonts w:eastAsia="Calibri" w:cs="Arial"/>
                <w:b/>
                <w:bCs/>
                <w:sz w:val="20"/>
              </w:rPr>
              <w:t>Study design</w:t>
            </w:r>
          </w:p>
        </w:tc>
        <w:tc>
          <w:tcPr>
            <w:tcW w:w="3699" w:type="pct"/>
          </w:tcPr>
          <w:p w14:paraId="248D273B" w14:textId="6D7917CD" w:rsidR="00F80539" w:rsidRPr="003A549D" w:rsidRDefault="00F80539" w:rsidP="0099178A">
            <w:pPr>
              <w:spacing w:after="0"/>
              <w:rPr>
                <w:rFonts w:cs="Arial"/>
                <w:sz w:val="20"/>
              </w:rPr>
            </w:pPr>
            <w:r w:rsidRPr="00F80539">
              <w:rPr>
                <w:rFonts w:cs="Arial"/>
                <w:sz w:val="20"/>
              </w:rPr>
              <w:t xml:space="preserve">Narrative review and therapeutic opinion based on a PubMed search of RCTs and meta-analyses. </w:t>
            </w:r>
            <w:r w:rsidRPr="00F80539">
              <w:rPr>
                <w:rFonts w:cs="Arial"/>
                <w:b/>
                <w:bCs/>
                <w:sz w:val="20"/>
              </w:rPr>
              <w:t>Not a systematic review</w:t>
            </w:r>
            <w:r w:rsidR="0030673A">
              <w:rPr>
                <w:rFonts w:cs="Arial"/>
                <w:b/>
                <w:bCs/>
                <w:sz w:val="20"/>
              </w:rPr>
              <w:t>.</w:t>
            </w:r>
          </w:p>
        </w:tc>
      </w:tr>
      <w:tr w:rsidR="00F80539" w:rsidRPr="003A549D" w14:paraId="50D0F402" w14:textId="77777777" w:rsidTr="0099178A">
        <w:tc>
          <w:tcPr>
            <w:tcW w:w="1301" w:type="pct"/>
            <w:shd w:val="clear" w:color="auto" w:fill="F6FDE9"/>
          </w:tcPr>
          <w:p w14:paraId="2728D14A" w14:textId="77777777" w:rsidR="00F80539" w:rsidRPr="003A549D" w:rsidRDefault="00F80539" w:rsidP="0099178A">
            <w:pPr>
              <w:spacing w:after="0"/>
              <w:rPr>
                <w:rFonts w:cs="Arial"/>
                <w:sz w:val="20"/>
              </w:rPr>
            </w:pPr>
            <w:r w:rsidRPr="003A549D">
              <w:rPr>
                <w:rFonts w:eastAsia="Calibri" w:cs="Arial"/>
                <w:b/>
                <w:bCs/>
                <w:sz w:val="20"/>
              </w:rPr>
              <w:t>Funding / conflicts of interest</w:t>
            </w:r>
          </w:p>
        </w:tc>
        <w:tc>
          <w:tcPr>
            <w:tcW w:w="3699" w:type="pct"/>
          </w:tcPr>
          <w:p w14:paraId="63F1DDA5" w14:textId="62DA4811" w:rsidR="00F80539" w:rsidRPr="003A549D" w:rsidRDefault="0030673A" w:rsidP="0099178A">
            <w:pPr>
              <w:spacing w:after="0"/>
              <w:rPr>
                <w:rFonts w:cs="Arial"/>
                <w:sz w:val="20"/>
              </w:rPr>
            </w:pPr>
            <w:r w:rsidRPr="0030673A">
              <w:rPr>
                <w:rFonts w:cs="Arial"/>
                <w:sz w:val="20"/>
              </w:rPr>
              <w:t>No funding reported; author declares no conflicts of interest.</w:t>
            </w:r>
          </w:p>
        </w:tc>
      </w:tr>
    </w:tbl>
    <w:p w14:paraId="7B2DCE3C" w14:textId="77777777" w:rsidR="00F80539" w:rsidRPr="003A549D" w:rsidRDefault="00F80539" w:rsidP="00F80539">
      <w:pPr>
        <w:rPr>
          <w:rFonts w:eastAsia="Times New Roman" w:cs="Times New Roman"/>
        </w:rPr>
      </w:pPr>
      <w:r w:rsidRPr="003A549D">
        <w:rPr>
          <w:rFonts w:eastAsia="Calibri" w:cs="Arial"/>
          <w:b/>
          <w:bCs/>
          <w:sz w:val="20"/>
        </w:rPr>
        <w:t>Population</w:t>
      </w:r>
    </w:p>
    <w:tbl>
      <w:tblPr>
        <w:tblStyle w:val="SLROption1"/>
        <w:tblW w:w="5000" w:type="pct"/>
        <w:tblLook w:val="0000" w:firstRow="0" w:lastRow="0" w:firstColumn="0" w:lastColumn="0" w:noHBand="0" w:noVBand="0"/>
      </w:tblPr>
      <w:tblGrid>
        <w:gridCol w:w="3628"/>
        <w:gridCol w:w="10316"/>
      </w:tblGrid>
      <w:tr w:rsidR="00F80539" w:rsidRPr="003A549D" w14:paraId="6774B23D" w14:textId="77777777" w:rsidTr="0099178A">
        <w:tc>
          <w:tcPr>
            <w:tcW w:w="1301" w:type="pct"/>
            <w:shd w:val="clear" w:color="auto" w:fill="3C533C"/>
          </w:tcPr>
          <w:p w14:paraId="274DC803" w14:textId="77777777" w:rsidR="00F80539" w:rsidRPr="003A549D" w:rsidRDefault="00F80539" w:rsidP="0099178A">
            <w:pPr>
              <w:spacing w:after="0"/>
              <w:rPr>
                <w:rFonts w:cs="Arial"/>
                <w:sz w:val="20"/>
              </w:rPr>
            </w:pPr>
            <w:r w:rsidRPr="003A549D">
              <w:rPr>
                <w:rFonts w:eastAsia="Calibri" w:cs="Arial"/>
                <w:b/>
                <w:bCs/>
                <w:color w:val="FFFFFF"/>
                <w:sz w:val="20"/>
              </w:rPr>
              <w:t>Field</w:t>
            </w:r>
          </w:p>
        </w:tc>
        <w:tc>
          <w:tcPr>
            <w:tcW w:w="3699" w:type="pct"/>
            <w:shd w:val="clear" w:color="auto" w:fill="3C533C"/>
          </w:tcPr>
          <w:p w14:paraId="6DFEEA70" w14:textId="77777777" w:rsidR="00F80539" w:rsidRPr="003A549D" w:rsidRDefault="00F80539" w:rsidP="0099178A">
            <w:pPr>
              <w:spacing w:after="0"/>
              <w:rPr>
                <w:rFonts w:cs="Arial"/>
                <w:sz w:val="20"/>
              </w:rPr>
            </w:pPr>
            <w:r w:rsidRPr="003A549D">
              <w:rPr>
                <w:rFonts w:eastAsia="Calibri" w:cs="Arial"/>
                <w:b/>
                <w:bCs/>
                <w:color w:val="FFFFFF"/>
                <w:sz w:val="20"/>
              </w:rPr>
              <w:t>Extracted information</w:t>
            </w:r>
          </w:p>
        </w:tc>
      </w:tr>
      <w:tr w:rsidR="00F80539" w:rsidRPr="003A549D" w14:paraId="235D1321" w14:textId="77777777" w:rsidTr="0099178A">
        <w:tc>
          <w:tcPr>
            <w:tcW w:w="1301" w:type="pct"/>
            <w:shd w:val="clear" w:color="auto" w:fill="F6FDE9"/>
          </w:tcPr>
          <w:p w14:paraId="02E6A934" w14:textId="77777777" w:rsidR="00F80539" w:rsidRPr="003A549D" w:rsidRDefault="00F80539" w:rsidP="0099178A">
            <w:pPr>
              <w:spacing w:after="0"/>
              <w:rPr>
                <w:rFonts w:cs="Arial"/>
                <w:sz w:val="20"/>
              </w:rPr>
            </w:pPr>
            <w:r w:rsidRPr="003A549D">
              <w:rPr>
                <w:rFonts w:eastAsia="Calibri" w:cs="Arial"/>
                <w:b/>
                <w:bCs/>
                <w:sz w:val="20"/>
              </w:rPr>
              <w:t>Sample size</w:t>
            </w:r>
          </w:p>
        </w:tc>
        <w:tc>
          <w:tcPr>
            <w:tcW w:w="3699" w:type="pct"/>
          </w:tcPr>
          <w:p w14:paraId="65F5D79A" w14:textId="21B26243" w:rsidR="00F80539" w:rsidRPr="003A549D" w:rsidRDefault="0030673A" w:rsidP="0099178A">
            <w:pPr>
              <w:spacing w:after="0"/>
              <w:rPr>
                <w:rFonts w:cs="Arial"/>
                <w:sz w:val="20"/>
              </w:rPr>
            </w:pPr>
            <w:r w:rsidRPr="0030673A">
              <w:rPr>
                <w:rFonts w:cs="Arial"/>
                <w:sz w:val="20"/>
              </w:rPr>
              <w:t>NA (narrative review; no primary study population).</w:t>
            </w:r>
          </w:p>
        </w:tc>
      </w:tr>
      <w:tr w:rsidR="00F80539" w:rsidRPr="003A549D" w14:paraId="651AA7F0" w14:textId="77777777" w:rsidTr="0099178A">
        <w:tc>
          <w:tcPr>
            <w:tcW w:w="1301" w:type="pct"/>
            <w:shd w:val="clear" w:color="auto" w:fill="F6FDE9"/>
          </w:tcPr>
          <w:p w14:paraId="44B39DD9" w14:textId="77777777" w:rsidR="00F80539" w:rsidRPr="003A549D" w:rsidRDefault="00F80539" w:rsidP="0099178A">
            <w:pPr>
              <w:spacing w:after="0"/>
              <w:rPr>
                <w:rFonts w:cs="Arial"/>
                <w:sz w:val="20"/>
              </w:rPr>
            </w:pPr>
            <w:r w:rsidRPr="003A549D">
              <w:rPr>
                <w:rFonts w:eastAsia="Calibri" w:cs="Arial"/>
                <w:b/>
                <w:bCs/>
                <w:sz w:val="20"/>
              </w:rPr>
              <w:t>Patient (test animal) characteristics</w:t>
            </w:r>
          </w:p>
        </w:tc>
        <w:tc>
          <w:tcPr>
            <w:tcW w:w="3699" w:type="pct"/>
          </w:tcPr>
          <w:p w14:paraId="39BB64E6" w14:textId="2171E6D0" w:rsidR="00F80539" w:rsidRPr="003A549D" w:rsidRDefault="0030673A" w:rsidP="0099178A">
            <w:pPr>
              <w:spacing w:before="120" w:after="0"/>
              <w:rPr>
                <w:rFonts w:cs="Arial"/>
                <w:sz w:val="20"/>
              </w:rPr>
            </w:pPr>
            <w:r w:rsidRPr="0030673A">
              <w:rPr>
                <w:rFonts w:cs="Arial"/>
                <w:sz w:val="20"/>
              </w:rPr>
              <w:t>NA; review covers general adult populations, elderly patients, patients with comorbidities, and specific clinical groups (e.g. patients with pyridoxine-dependent epilepsy, PNPO deficiency, HPP, homocystinuria, CBS deficiency).</w:t>
            </w:r>
          </w:p>
        </w:tc>
      </w:tr>
      <w:tr w:rsidR="00F80539" w:rsidRPr="003A549D" w14:paraId="1F4B0578" w14:textId="77777777" w:rsidTr="0099178A">
        <w:tc>
          <w:tcPr>
            <w:tcW w:w="1301" w:type="pct"/>
            <w:shd w:val="clear" w:color="auto" w:fill="F6FDE9"/>
          </w:tcPr>
          <w:p w14:paraId="4AA9A0F7" w14:textId="77777777" w:rsidR="00F80539" w:rsidRPr="003A549D" w:rsidRDefault="00F80539" w:rsidP="0099178A">
            <w:pPr>
              <w:spacing w:after="0"/>
              <w:rPr>
                <w:rFonts w:cs="Arial"/>
                <w:sz w:val="20"/>
              </w:rPr>
            </w:pPr>
            <w:r w:rsidRPr="003A549D">
              <w:rPr>
                <w:rFonts w:eastAsia="Calibri" w:cs="Arial"/>
                <w:b/>
                <w:bCs/>
                <w:sz w:val="20"/>
              </w:rPr>
              <w:t>Inclusion/exclusion of alternative causes</w:t>
            </w:r>
          </w:p>
        </w:tc>
        <w:tc>
          <w:tcPr>
            <w:tcW w:w="3699" w:type="pct"/>
          </w:tcPr>
          <w:p w14:paraId="68910A74" w14:textId="0CC7511E" w:rsidR="00F80539" w:rsidRPr="003A549D" w:rsidRDefault="0030673A" w:rsidP="0099178A">
            <w:pPr>
              <w:spacing w:after="0"/>
              <w:rPr>
                <w:rFonts w:cs="Arial"/>
                <w:sz w:val="20"/>
              </w:rPr>
            </w:pPr>
            <w:r w:rsidRPr="0030673A">
              <w:rPr>
                <w:rFonts w:cs="Arial"/>
                <w:sz w:val="20"/>
              </w:rPr>
              <w:t>NA (not a primary study).</w:t>
            </w:r>
          </w:p>
        </w:tc>
      </w:tr>
    </w:tbl>
    <w:p w14:paraId="1C1D93B4" w14:textId="77777777" w:rsidR="00F80539" w:rsidRPr="003A549D" w:rsidRDefault="00F80539" w:rsidP="00F80539">
      <w:pPr>
        <w:rPr>
          <w:rFonts w:eastAsia="Times New Roman" w:cs="Times New Roman"/>
          <w:b/>
          <w:bCs/>
        </w:rPr>
      </w:pPr>
      <w:r w:rsidRPr="003A549D">
        <w:rPr>
          <w:rFonts w:eastAsia="Times New Roman" w:cs="Times New Roman"/>
          <w:b/>
          <w:bCs/>
        </w:rPr>
        <w:t>Exposure</w:t>
      </w:r>
    </w:p>
    <w:tbl>
      <w:tblPr>
        <w:tblStyle w:val="SLROption1"/>
        <w:tblW w:w="5000" w:type="pct"/>
        <w:tblLook w:val="0000" w:firstRow="0" w:lastRow="0" w:firstColumn="0" w:lastColumn="0" w:noHBand="0" w:noVBand="0"/>
      </w:tblPr>
      <w:tblGrid>
        <w:gridCol w:w="3628"/>
        <w:gridCol w:w="10316"/>
      </w:tblGrid>
      <w:tr w:rsidR="00F80539" w:rsidRPr="003A549D" w14:paraId="35BEE114" w14:textId="77777777" w:rsidTr="0099178A">
        <w:trPr>
          <w:cantSplit/>
          <w:tblHeader/>
        </w:trPr>
        <w:tc>
          <w:tcPr>
            <w:tcW w:w="1301" w:type="pct"/>
            <w:shd w:val="clear" w:color="auto" w:fill="3C533C"/>
          </w:tcPr>
          <w:p w14:paraId="35B82254" w14:textId="77777777" w:rsidR="00F80539" w:rsidRPr="003A549D" w:rsidRDefault="00F80539" w:rsidP="0099178A">
            <w:pPr>
              <w:spacing w:after="0"/>
              <w:rPr>
                <w:rFonts w:cs="Arial"/>
                <w:sz w:val="20"/>
              </w:rPr>
            </w:pPr>
            <w:r w:rsidRPr="003A549D">
              <w:rPr>
                <w:rFonts w:eastAsia="Calibri" w:cs="Arial"/>
                <w:b/>
                <w:bCs/>
                <w:color w:val="FFFFFF"/>
                <w:sz w:val="20"/>
              </w:rPr>
              <w:t>Field</w:t>
            </w:r>
          </w:p>
        </w:tc>
        <w:tc>
          <w:tcPr>
            <w:tcW w:w="3699" w:type="pct"/>
            <w:shd w:val="clear" w:color="auto" w:fill="3C533C"/>
          </w:tcPr>
          <w:p w14:paraId="7409C45C" w14:textId="77777777" w:rsidR="00F80539" w:rsidRPr="003A549D" w:rsidRDefault="00F80539" w:rsidP="0099178A">
            <w:pPr>
              <w:spacing w:after="0"/>
              <w:rPr>
                <w:rFonts w:cs="Arial"/>
                <w:sz w:val="20"/>
              </w:rPr>
            </w:pPr>
            <w:r w:rsidRPr="003A549D">
              <w:rPr>
                <w:rFonts w:eastAsia="Calibri" w:cs="Arial"/>
                <w:b/>
                <w:bCs/>
                <w:color w:val="FFFFFF"/>
                <w:sz w:val="20"/>
              </w:rPr>
              <w:t>Extracted information</w:t>
            </w:r>
          </w:p>
        </w:tc>
      </w:tr>
      <w:tr w:rsidR="00F80539" w:rsidRPr="003A549D" w14:paraId="17E6A668" w14:textId="77777777" w:rsidTr="0099178A">
        <w:tc>
          <w:tcPr>
            <w:tcW w:w="1301" w:type="pct"/>
            <w:shd w:val="clear" w:color="auto" w:fill="F6FDE9"/>
          </w:tcPr>
          <w:p w14:paraId="76CD8638" w14:textId="77777777" w:rsidR="00F80539" w:rsidRPr="003A549D" w:rsidRDefault="00F80539" w:rsidP="0099178A">
            <w:pPr>
              <w:spacing w:after="0"/>
              <w:rPr>
                <w:rFonts w:cs="Arial"/>
                <w:sz w:val="20"/>
              </w:rPr>
            </w:pPr>
            <w:r w:rsidRPr="003A549D">
              <w:rPr>
                <w:rFonts w:eastAsia="Calibri" w:cs="Arial"/>
                <w:b/>
                <w:bCs/>
                <w:sz w:val="20"/>
              </w:rPr>
              <w:t>Exposure characterisation – source</w:t>
            </w:r>
          </w:p>
        </w:tc>
        <w:tc>
          <w:tcPr>
            <w:tcW w:w="3699" w:type="pct"/>
          </w:tcPr>
          <w:p w14:paraId="45A2F6E6" w14:textId="74F0E23A" w:rsidR="00F80539" w:rsidRPr="003A549D" w:rsidRDefault="0030673A" w:rsidP="0099178A">
            <w:pPr>
              <w:spacing w:after="0"/>
              <w:rPr>
                <w:rFonts w:cs="Arial"/>
                <w:sz w:val="20"/>
              </w:rPr>
            </w:pPr>
            <w:r w:rsidRPr="0030673A">
              <w:rPr>
                <w:rFonts w:cs="Arial"/>
                <w:sz w:val="20"/>
              </w:rPr>
              <w:t>Vitamin B6 from dietary sources, oral supplements (pyridoxine HCl and PLP), and intravenous formulations.</w:t>
            </w:r>
          </w:p>
        </w:tc>
      </w:tr>
      <w:tr w:rsidR="00F80539" w:rsidRPr="003A549D" w14:paraId="472EF83E" w14:textId="77777777" w:rsidTr="0099178A">
        <w:tc>
          <w:tcPr>
            <w:tcW w:w="1301" w:type="pct"/>
            <w:shd w:val="clear" w:color="auto" w:fill="F6FDE9"/>
          </w:tcPr>
          <w:p w14:paraId="068A96E3" w14:textId="77777777" w:rsidR="00F80539" w:rsidRPr="003A549D" w:rsidRDefault="00F80539" w:rsidP="0099178A">
            <w:pPr>
              <w:spacing w:after="0"/>
              <w:rPr>
                <w:rFonts w:cs="Arial"/>
                <w:sz w:val="20"/>
              </w:rPr>
            </w:pPr>
            <w:r w:rsidRPr="003A549D">
              <w:rPr>
                <w:rFonts w:eastAsia="Calibri" w:cs="Arial"/>
                <w:b/>
                <w:bCs/>
                <w:sz w:val="20"/>
              </w:rPr>
              <w:t>Exposure characterisation – dose</w:t>
            </w:r>
          </w:p>
        </w:tc>
        <w:tc>
          <w:tcPr>
            <w:tcW w:w="3699" w:type="pct"/>
          </w:tcPr>
          <w:p w14:paraId="0DCB314C" w14:textId="4E5629A7" w:rsidR="00F80539" w:rsidRPr="003A549D" w:rsidRDefault="0030673A" w:rsidP="0099178A">
            <w:pPr>
              <w:spacing w:before="120" w:after="0"/>
              <w:rPr>
                <w:rFonts w:cs="Arial"/>
                <w:sz w:val="20"/>
              </w:rPr>
            </w:pPr>
            <w:r w:rsidRPr="0030673A">
              <w:rPr>
                <w:rFonts w:cs="Arial"/>
                <w:sz w:val="20"/>
              </w:rPr>
              <w:t>General population RDA: 1.5–2 mg/day. Supplements commonly available up to 100 mg/dose (PLP) or 500 mg/dose (pyridoxine). Therapeutic dosing for pyridoxine-dependent epilepsy/inborn errors: 30–50 mg/kg/day. Weekly PLP dosing of 50–100 mg suggested as safer alternative to daily use. Neuropathy risk reported at low doses of 25–50 mg/day for &gt;6 months.</w:t>
            </w:r>
          </w:p>
        </w:tc>
      </w:tr>
      <w:tr w:rsidR="00F80539" w:rsidRPr="003A549D" w14:paraId="599B26B9" w14:textId="77777777" w:rsidTr="0099178A">
        <w:tc>
          <w:tcPr>
            <w:tcW w:w="1301" w:type="pct"/>
            <w:shd w:val="clear" w:color="auto" w:fill="F6FDE9"/>
          </w:tcPr>
          <w:p w14:paraId="6FF62EDF" w14:textId="77777777" w:rsidR="00F80539" w:rsidRPr="003A549D" w:rsidRDefault="00F80539" w:rsidP="0099178A">
            <w:pPr>
              <w:spacing w:after="0"/>
              <w:rPr>
                <w:rFonts w:cs="Arial"/>
                <w:sz w:val="20"/>
              </w:rPr>
            </w:pPr>
            <w:r w:rsidRPr="003A549D">
              <w:rPr>
                <w:rFonts w:eastAsia="Calibri" w:cs="Arial"/>
                <w:b/>
                <w:bCs/>
                <w:sz w:val="20"/>
              </w:rPr>
              <w:lastRenderedPageBreak/>
              <w:t>Biomarker of exposure</w:t>
            </w:r>
          </w:p>
        </w:tc>
        <w:tc>
          <w:tcPr>
            <w:tcW w:w="3699" w:type="pct"/>
          </w:tcPr>
          <w:p w14:paraId="527124BC" w14:textId="43B5560D" w:rsidR="00F80539" w:rsidRPr="003A549D" w:rsidRDefault="0030673A" w:rsidP="0099178A">
            <w:pPr>
              <w:spacing w:after="0"/>
              <w:rPr>
                <w:rFonts w:cs="Arial"/>
                <w:sz w:val="20"/>
              </w:rPr>
            </w:pPr>
            <w:r w:rsidRPr="0030673A">
              <w:rPr>
                <w:rFonts w:cs="Arial"/>
                <w:sz w:val="20"/>
              </w:rPr>
              <w:t>Plasma PLP: adequate &gt;30 nmol/L; deficiency &lt;20 nmol/L; toxicity typically at &gt;100 nmol/L (25 µg/L). Plasma PLP half-life 12–48 hours; biological half-life 18–38 days. Delayed-release formulations prolong plasma PLP half-life to 80–120 hours.</w:t>
            </w:r>
          </w:p>
        </w:tc>
      </w:tr>
      <w:tr w:rsidR="00F80539" w:rsidRPr="003A549D" w14:paraId="1B8DB85A" w14:textId="77777777" w:rsidTr="0099178A">
        <w:tc>
          <w:tcPr>
            <w:tcW w:w="1301" w:type="pct"/>
            <w:shd w:val="clear" w:color="auto" w:fill="F6FDE9"/>
          </w:tcPr>
          <w:p w14:paraId="30296CA9" w14:textId="77777777" w:rsidR="00F80539" w:rsidRPr="003A549D" w:rsidRDefault="00F80539" w:rsidP="0099178A">
            <w:pPr>
              <w:spacing w:after="0"/>
              <w:rPr>
                <w:rFonts w:cs="Arial"/>
                <w:sz w:val="20"/>
              </w:rPr>
            </w:pPr>
            <w:r w:rsidRPr="003A549D">
              <w:rPr>
                <w:rFonts w:eastAsia="Calibri" w:cs="Arial"/>
                <w:b/>
                <w:bCs/>
                <w:sz w:val="20"/>
              </w:rPr>
              <w:t>Duration of exposure</w:t>
            </w:r>
          </w:p>
        </w:tc>
        <w:tc>
          <w:tcPr>
            <w:tcW w:w="3699" w:type="pct"/>
          </w:tcPr>
          <w:p w14:paraId="403A66FC" w14:textId="52925351" w:rsidR="00F80539" w:rsidRPr="003A549D" w:rsidRDefault="0030673A" w:rsidP="0099178A">
            <w:pPr>
              <w:spacing w:after="0"/>
              <w:rPr>
                <w:rFonts w:cs="Arial"/>
                <w:sz w:val="20"/>
              </w:rPr>
            </w:pPr>
            <w:r w:rsidRPr="0030673A">
              <w:rPr>
                <w:rFonts w:cs="Arial"/>
                <w:sz w:val="20"/>
              </w:rPr>
              <w:t>Prolonged daily use associated with neurotoxicity risk; neuropathy reported at &gt;6 months at low doses. Weekly dosing proposed to reduce toxicity risk due to long PLP biological half-life (18–38 days).</w:t>
            </w:r>
          </w:p>
        </w:tc>
      </w:tr>
    </w:tbl>
    <w:p w14:paraId="26E61044" w14:textId="77777777" w:rsidR="00F80539" w:rsidRPr="003A549D" w:rsidRDefault="00F80539" w:rsidP="00F80539">
      <w:pPr>
        <w:rPr>
          <w:rFonts w:eastAsia="Times New Roman" w:cs="Times New Roman"/>
          <w:b/>
          <w:bCs/>
        </w:rPr>
      </w:pPr>
      <w:r w:rsidRPr="003A549D">
        <w:rPr>
          <w:rFonts w:eastAsia="Times New Roman" w:cs="Times New Roman"/>
          <w:b/>
          <w:bCs/>
        </w:rPr>
        <w:t>Outcomes</w:t>
      </w:r>
    </w:p>
    <w:tbl>
      <w:tblPr>
        <w:tblStyle w:val="SLROption1"/>
        <w:tblW w:w="5000" w:type="pct"/>
        <w:tblLook w:val="0000" w:firstRow="0" w:lastRow="0" w:firstColumn="0" w:lastColumn="0" w:noHBand="0" w:noVBand="0"/>
      </w:tblPr>
      <w:tblGrid>
        <w:gridCol w:w="3628"/>
        <w:gridCol w:w="10316"/>
      </w:tblGrid>
      <w:tr w:rsidR="00F80539" w:rsidRPr="003A549D" w14:paraId="7F839A5B" w14:textId="77777777" w:rsidTr="0099178A">
        <w:tc>
          <w:tcPr>
            <w:tcW w:w="1301" w:type="pct"/>
            <w:shd w:val="clear" w:color="auto" w:fill="3C533C"/>
          </w:tcPr>
          <w:p w14:paraId="630AC3B0" w14:textId="77777777" w:rsidR="00F80539" w:rsidRPr="003A549D" w:rsidRDefault="00F80539" w:rsidP="0099178A">
            <w:pPr>
              <w:spacing w:after="0"/>
              <w:rPr>
                <w:rFonts w:cs="Arial"/>
                <w:sz w:val="20"/>
              </w:rPr>
            </w:pPr>
            <w:r w:rsidRPr="003A549D">
              <w:rPr>
                <w:rFonts w:eastAsia="Calibri" w:cs="Arial"/>
                <w:b/>
                <w:bCs/>
                <w:color w:val="FFFFFF"/>
                <w:sz w:val="20"/>
              </w:rPr>
              <w:t>Field</w:t>
            </w:r>
          </w:p>
        </w:tc>
        <w:tc>
          <w:tcPr>
            <w:tcW w:w="3699" w:type="pct"/>
            <w:shd w:val="clear" w:color="auto" w:fill="3C533C"/>
          </w:tcPr>
          <w:p w14:paraId="2F021F9D" w14:textId="77777777" w:rsidR="00F80539" w:rsidRPr="003A549D" w:rsidRDefault="00F80539" w:rsidP="0099178A">
            <w:pPr>
              <w:spacing w:after="0"/>
              <w:rPr>
                <w:rFonts w:cs="Arial"/>
                <w:sz w:val="20"/>
              </w:rPr>
            </w:pPr>
            <w:r w:rsidRPr="003A549D">
              <w:rPr>
                <w:rFonts w:eastAsia="Calibri" w:cs="Arial"/>
                <w:b/>
                <w:bCs/>
                <w:color w:val="FFFFFF"/>
                <w:sz w:val="20"/>
              </w:rPr>
              <w:t>Extracted information</w:t>
            </w:r>
          </w:p>
        </w:tc>
      </w:tr>
      <w:tr w:rsidR="00F80539" w:rsidRPr="003A549D" w14:paraId="1A8D852C" w14:textId="77777777" w:rsidTr="0099178A">
        <w:tc>
          <w:tcPr>
            <w:tcW w:w="1301" w:type="pct"/>
            <w:shd w:val="clear" w:color="auto" w:fill="F6FDE9"/>
          </w:tcPr>
          <w:p w14:paraId="76C58A78" w14:textId="77777777" w:rsidR="00F80539" w:rsidRPr="003A549D" w:rsidRDefault="00F80539" w:rsidP="0099178A">
            <w:pPr>
              <w:spacing w:after="0"/>
              <w:rPr>
                <w:rFonts w:cs="Arial"/>
                <w:sz w:val="20"/>
              </w:rPr>
            </w:pPr>
            <w:r w:rsidRPr="003A549D">
              <w:rPr>
                <w:rFonts w:eastAsia="Calibri" w:cs="Arial"/>
                <w:b/>
                <w:bCs/>
                <w:sz w:val="20"/>
              </w:rPr>
              <w:t>Primary outcome</w:t>
            </w:r>
          </w:p>
        </w:tc>
        <w:tc>
          <w:tcPr>
            <w:tcW w:w="3699" w:type="pct"/>
          </w:tcPr>
          <w:p w14:paraId="135E0FB6" w14:textId="2F31B493" w:rsidR="00F80539" w:rsidRPr="003A549D" w:rsidRDefault="0030673A" w:rsidP="0099178A">
            <w:pPr>
              <w:spacing w:after="0"/>
              <w:rPr>
                <w:rFonts w:cs="Arial"/>
                <w:sz w:val="20"/>
              </w:rPr>
            </w:pPr>
            <w:r w:rsidRPr="0030673A">
              <w:rPr>
                <w:rFonts w:cs="Arial"/>
                <w:sz w:val="20"/>
              </w:rPr>
              <w:t>Peripheral neuropathy as the critical adverse effect of B6 excess. Secondary adverse effects include nausea, heartburn, dermatitis, photosensitivity, memory impairment, dizziness, autonomic dysfunction, and (at high therapeutic PLP doses) cirrhosis and platelet dysfunction.</w:t>
            </w:r>
          </w:p>
        </w:tc>
      </w:tr>
      <w:tr w:rsidR="00F80539" w:rsidRPr="003A549D" w14:paraId="32D5DD14" w14:textId="77777777" w:rsidTr="0099178A">
        <w:tc>
          <w:tcPr>
            <w:tcW w:w="1301" w:type="pct"/>
            <w:shd w:val="clear" w:color="auto" w:fill="F6FDE9"/>
          </w:tcPr>
          <w:p w14:paraId="423AAA79" w14:textId="77777777" w:rsidR="00F80539" w:rsidRPr="003A549D" w:rsidRDefault="00F80539" w:rsidP="0099178A">
            <w:pPr>
              <w:spacing w:after="0"/>
              <w:rPr>
                <w:rFonts w:cs="Arial"/>
                <w:sz w:val="20"/>
              </w:rPr>
            </w:pPr>
            <w:r w:rsidRPr="003A549D">
              <w:rPr>
                <w:rFonts w:eastAsia="Calibri" w:cs="Arial"/>
                <w:b/>
                <w:bCs/>
                <w:sz w:val="20"/>
              </w:rPr>
              <w:t>Outcome assessment</w:t>
            </w:r>
          </w:p>
        </w:tc>
        <w:tc>
          <w:tcPr>
            <w:tcW w:w="3699" w:type="pct"/>
          </w:tcPr>
          <w:p w14:paraId="5FAAB45A" w14:textId="4E59484C" w:rsidR="00F80539" w:rsidRPr="003A549D" w:rsidRDefault="0030673A" w:rsidP="0099178A">
            <w:pPr>
              <w:spacing w:before="120" w:after="0"/>
              <w:rPr>
                <w:rFonts w:cs="Arial"/>
                <w:sz w:val="20"/>
              </w:rPr>
            </w:pPr>
            <w:r w:rsidRPr="0030673A">
              <w:rPr>
                <w:rFonts w:cs="Arial"/>
                <w:sz w:val="20"/>
              </w:rPr>
              <w:t>Neurological symptoms: stocking-glove sensory loss, numbness, burning pain, bone pain, muscle weakness, fasciculation, ataxia, loss of balance.</w:t>
            </w:r>
          </w:p>
        </w:tc>
      </w:tr>
      <w:tr w:rsidR="00F80539" w:rsidRPr="003A549D" w14:paraId="696C55C0" w14:textId="77777777" w:rsidTr="0099178A">
        <w:tc>
          <w:tcPr>
            <w:tcW w:w="1301" w:type="pct"/>
            <w:shd w:val="clear" w:color="auto" w:fill="F6FDE9"/>
          </w:tcPr>
          <w:p w14:paraId="518F0FD2" w14:textId="77777777" w:rsidR="00F80539" w:rsidRPr="003A549D" w:rsidRDefault="00F80539" w:rsidP="0099178A">
            <w:pPr>
              <w:spacing w:after="0"/>
              <w:rPr>
                <w:rFonts w:cs="Arial"/>
                <w:sz w:val="20"/>
              </w:rPr>
            </w:pPr>
            <w:r w:rsidRPr="003A549D">
              <w:rPr>
                <w:rFonts w:eastAsia="Calibri" w:cs="Arial"/>
                <w:b/>
                <w:bCs/>
                <w:sz w:val="20"/>
              </w:rPr>
              <w:t>Outcome assessment – objective testing</w:t>
            </w:r>
          </w:p>
        </w:tc>
        <w:tc>
          <w:tcPr>
            <w:tcW w:w="3699" w:type="pct"/>
          </w:tcPr>
          <w:p w14:paraId="785ED708" w14:textId="3BBE3019" w:rsidR="00F80539" w:rsidRPr="003A549D" w:rsidRDefault="0030673A" w:rsidP="0099178A">
            <w:pPr>
              <w:spacing w:after="0"/>
              <w:rPr>
                <w:rFonts w:cs="Arial"/>
                <w:sz w:val="20"/>
              </w:rPr>
            </w:pPr>
            <w:r w:rsidRPr="0030673A">
              <w:rPr>
                <w:rFonts w:cs="Arial"/>
                <w:sz w:val="20"/>
              </w:rPr>
              <w:t>Not applicable (review); references plasma PLP concentration and prior case-series data (Dalton &amp; Dalton 1987: elevated PLP &gt;73 nmol/L in 172 women, 60% with neuropathy symptoms).</w:t>
            </w:r>
          </w:p>
        </w:tc>
      </w:tr>
      <w:tr w:rsidR="00F80539" w:rsidRPr="003A549D" w14:paraId="721300B8" w14:textId="77777777" w:rsidTr="0099178A">
        <w:tc>
          <w:tcPr>
            <w:tcW w:w="1301" w:type="pct"/>
            <w:shd w:val="clear" w:color="auto" w:fill="F6FDE9"/>
          </w:tcPr>
          <w:p w14:paraId="7C228CB9" w14:textId="77777777" w:rsidR="00F80539" w:rsidRPr="003A549D" w:rsidRDefault="00F80539" w:rsidP="0099178A">
            <w:pPr>
              <w:spacing w:after="0"/>
              <w:rPr>
                <w:rFonts w:cs="Arial"/>
                <w:sz w:val="20"/>
              </w:rPr>
            </w:pPr>
            <w:r w:rsidRPr="003A549D">
              <w:rPr>
                <w:rFonts w:eastAsia="Calibri" w:cs="Arial"/>
                <w:b/>
                <w:bCs/>
                <w:sz w:val="20"/>
              </w:rPr>
              <w:t>Outcome assessment – tools used</w:t>
            </w:r>
          </w:p>
        </w:tc>
        <w:tc>
          <w:tcPr>
            <w:tcW w:w="3699" w:type="pct"/>
          </w:tcPr>
          <w:p w14:paraId="547D9D93" w14:textId="442F6B2B" w:rsidR="00F80539" w:rsidRPr="003A549D" w:rsidRDefault="0030673A" w:rsidP="0099178A">
            <w:pPr>
              <w:spacing w:after="0"/>
              <w:rPr>
                <w:rFonts w:cs="Arial"/>
                <w:sz w:val="20"/>
              </w:rPr>
            </w:pPr>
            <w:r w:rsidRPr="0030673A">
              <w:rPr>
                <w:rFonts w:cs="Arial"/>
                <w:sz w:val="20"/>
              </w:rPr>
              <w:t>Not applicable (review).</w:t>
            </w:r>
          </w:p>
        </w:tc>
      </w:tr>
      <w:tr w:rsidR="00F80539" w:rsidRPr="003A549D" w14:paraId="2E19FB62" w14:textId="77777777" w:rsidTr="0099178A">
        <w:tc>
          <w:tcPr>
            <w:tcW w:w="1301" w:type="pct"/>
            <w:shd w:val="clear" w:color="auto" w:fill="F6FDE9"/>
          </w:tcPr>
          <w:p w14:paraId="5E0F7765" w14:textId="77777777" w:rsidR="00F80539" w:rsidRPr="003A549D" w:rsidRDefault="00F80539" w:rsidP="0099178A">
            <w:pPr>
              <w:spacing w:after="0"/>
              <w:rPr>
                <w:rFonts w:cs="Arial"/>
                <w:sz w:val="20"/>
              </w:rPr>
            </w:pPr>
            <w:r w:rsidRPr="003A549D">
              <w:rPr>
                <w:rFonts w:eastAsia="Calibri" w:cs="Arial"/>
                <w:b/>
                <w:bCs/>
                <w:sz w:val="20"/>
              </w:rPr>
              <w:t>Response to withdrawal</w:t>
            </w:r>
          </w:p>
        </w:tc>
        <w:tc>
          <w:tcPr>
            <w:tcW w:w="3699" w:type="pct"/>
          </w:tcPr>
          <w:p w14:paraId="126454E8" w14:textId="6AD39F43" w:rsidR="00F80539" w:rsidRPr="003A549D" w:rsidRDefault="0030673A" w:rsidP="0099178A">
            <w:pPr>
              <w:spacing w:after="0"/>
              <w:rPr>
                <w:rFonts w:cs="Arial"/>
                <w:sz w:val="20"/>
              </w:rPr>
            </w:pPr>
            <w:r w:rsidRPr="0030673A">
              <w:rPr>
                <w:rFonts w:cs="Arial"/>
                <w:sz w:val="20"/>
              </w:rPr>
              <w:t>Plasma PLP rapidly normalises after cessation; clinical recovery slow (~6 months). Neuropathy symptoms may worsen 2–3 weeks after stopping before gradual recovery; only partial recovery in some patients after years of follow-up.</w:t>
            </w:r>
          </w:p>
        </w:tc>
      </w:tr>
    </w:tbl>
    <w:p w14:paraId="35CDB3CC" w14:textId="77777777" w:rsidR="00F80539" w:rsidRPr="003A549D" w:rsidRDefault="00F80539" w:rsidP="00F80539">
      <w:pPr>
        <w:rPr>
          <w:rFonts w:eastAsia="Times New Roman" w:cs="Times New Roman"/>
          <w:b/>
          <w:bCs/>
        </w:rPr>
      </w:pPr>
      <w:r w:rsidRPr="003A549D">
        <w:rPr>
          <w:rFonts w:eastAsia="Times New Roman" w:cs="Times New Roman"/>
          <w:b/>
          <w:bCs/>
        </w:rPr>
        <w:t>Results and Conclusions</w:t>
      </w:r>
    </w:p>
    <w:tbl>
      <w:tblPr>
        <w:tblStyle w:val="SLROption1"/>
        <w:tblW w:w="5000" w:type="pct"/>
        <w:tblLook w:val="0000" w:firstRow="0" w:lastRow="0" w:firstColumn="0" w:lastColumn="0" w:noHBand="0" w:noVBand="0"/>
      </w:tblPr>
      <w:tblGrid>
        <w:gridCol w:w="3628"/>
        <w:gridCol w:w="10316"/>
      </w:tblGrid>
      <w:tr w:rsidR="00F80539" w:rsidRPr="003A549D" w14:paraId="1FF1B13D" w14:textId="77777777" w:rsidTr="0099178A">
        <w:trPr>
          <w:cantSplit/>
          <w:tblHeader/>
        </w:trPr>
        <w:tc>
          <w:tcPr>
            <w:tcW w:w="1301" w:type="pct"/>
            <w:shd w:val="clear" w:color="auto" w:fill="3C533C"/>
          </w:tcPr>
          <w:p w14:paraId="2F7760BE" w14:textId="77777777" w:rsidR="00F80539" w:rsidRPr="003A549D" w:rsidRDefault="00F80539" w:rsidP="0099178A">
            <w:pPr>
              <w:spacing w:after="0"/>
              <w:rPr>
                <w:rFonts w:cs="Arial"/>
                <w:sz w:val="20"/>
              </w:rPr>
            </w:pPr>
            <w:r w:rsidRPr="003A549D">
              <w:rPr>
                <w:rFonts w:eastAsia="Calibri" w:cs="Arial"/>
                <w:b/>
                <w:bCs/>
                <w:color w:val="FFFFFF"/>
                <w:sz w:val="20"/>
              </w:rPr>
              <w:t>Field</w:t>
            </w:r>
          </w:p>
        </w:tc>
        <w:tc>
          <w:tcPr>
            <w:tcW w:w="3699" w:type="pct"/>
            <w:shd w:val="clear" w:color="auto" w:fill="3C533C"/>
          </w:tcPr>
          <w:p w14:paraId="11C72561" w14:textId="77777777" w:rsidR="00F80539" w:rsidRPr="003A549D" w:rsidRDefault="00F80539" w:rsidP="0099178A">
            <w:pPr>
              <w:spacing w:after="0"/>
              <w:rPr>
                <w:rFonts w:cs="Arial"/>
                <w:sz w:val="20"/>
              </w:rPr>
            </w:pPr>
            <w:r w:rsidRPr="003A549D">
              <w:rPr>
                <w:rFonts w:eastAsia="Calibri" w:cs="Arial"/>
                <w:b/>
                <w:bCs/>
                <w:color w:val="FFFFFF"/>
                <w:sz w:val="20"/>
              </w:rPr>
              <w:t>Extracted information</w:t>
            </w:r>
          </w:p>
        </w:tc>
      </w:tr>
      <w:tr w:rsidR="00F80539" w:rsidRPr="003A549D" w14:paraId="227451B5" w14:textId="77777777" w:rsidTr="0099178A">
        <w:trPr>
          <w:cantSplit/>
        </w:trPr>
        <w:tc>
          <w:tcPr>
            <w:tcW w:w="1301" w:type="pct"/>
            <w:shd w:val="clear" w:color="auto" w:fill="F6FDE9"/>
          </w:tcPr>
          <w:p w14:paraId="16293114" w14:textId="77777777" w:rsidR="00F80539" w:rsidRPr="003A549D" w:rsidRDefault="00F80539" w:rsidP="0099178A">
            <w:pPr>
              <w:spacing w:after="0"/>
              <w:rPr>
                <w:rFonts w:cs="Arial"/>
                <w:sz w:val="20"/>
              </w:rPr>
            </w:pPr>
            <w:r w:rsidRPr="003A549D">
              <w:rPr>
                <w:rFonts w:eastAsia="Calibri" w:cs="Arial"/>
                <w:b/>
                <w:bCs/>
                <w:sz w:val="20"/>
              </w:rPr>
              <w:t>Main results</w:t>
            </w:r>
          </w:p>
        </w:tc>
        <w:tc>
          <w:tcPr>
            <w:tcW w:w="3699" w:type="pct"/>
          </w:tcPr>
          <w:p w14:paraId="454C7D6B" w14:textId="3448E6D7" w:rsidR="00F80539" w:rsidRPr="003A549D" w:rsidRDefault="0030673A" w:rsidP="0099178A">
            <w:pPr>
              <w:spacing w:before="120" w:after="0"/>
              <w:rPr>
                <w:rFonts w:cs="Arial"/>
                <w:sz w:val="20"/>
              </w:rPr>
            </w:pPr>
            <w:r w:rsidRPr="0030673A">
              <w:rPr>
                <w:rFonts w:cs="Arial"/>
                <w:sz w:val="20"/>
              </w:rPr>
              <w:t>PLP may be less neurotoxic than pyridoxine, but neuropathy has still been reported with long-term vitamin B6 use, including at relatively low supplemental doses. Toxicity risk is difficult to predict because plasma vitamin B6 levels correlate poorly with symptoms and individual susceptibility varies widely.</w:t>
            </w:r>
          </w:p>
        </w:tc>
      </w:tr>
      <w:tr w:rsidR="00F80539" w:rsidRPr="003A549D" w14:paraId="5473F660" w14:textId="77777777" w:rsidTr="0099178A">
        <w:trPr>
          <w:cantSplit/>
        </w:trPr>
        <w:tc>
          <w:tcPr>
            <w:tcW w:w="1301" w:type="pct"/>
            <w:shd w:val="clear" w:color="auto" w:fill="F6FDE9"/>
          </w:tcPr>
          <w:p w14:paraId="636F4C71" w14:textId="77777777" w:rsidR="00F80539" w:rsidRPr="003A549D" w:rsidRDefault="00F80539" w:rsidP="0099178A">
            <w:pPr>
              <w:spacing w:after="0"/>
              <w:rPr>
                <w:rFonts w:cs="Arial"/>
                <w:sz w:val="20"/>
              </w:rPr>
            </w:pPr>
            <w:r w:rsidRPr="003A549D">
              <w:rPr>
                <w:rFonts w:eastAsia="Calibri" w:cs="Arial"/>
                <w:b/>
                <w:bCs/>
                <w:sz w:val="20"/>
              </w:rPr>
              <w:t>Authors' conclusions</w:t>
            </w:r>
          </w:p>
        </w:tc>
        <w:tc>
          <w:tcPr>
            <w:tcW w:w="3699" w:type="pct"/>
          </w:tcPr>
          <w:p w14:paraId="3FD47407" w14:textId="01FB64E1" w:rsidR="00F80539" w:rsidRPr="003A549D" w:rsidRDefault="0030673A" w:rsidP="0099178A">
            <w:pPr>
              <w:spacing w:after="0"/>
              <w:rPr>
                <w:rFonts w:cs="Arial"/>
                <w:sz w:val="20"/>
              </w:rPr>
            </w:pPr>
            <w:r w:rsidRPr="0030673A">
              <w:rPr>
                <w:rFonts w:cs="Arial"/>
                <w:sz w:val="20"/>
              </w:rPr>
              <w:t>PLP-based supplements preferred over pyridoxine; weekly low-dose administration (50–100 mg/week) recommended to prevent B6 toxicity; plasma B6 levels should be routinely monitored; clearer clinical guidelines needed especially for high-risk groups.</w:t>
            </w:r>
          </w:p>
        </w:tc>
      </w:tr>
      <w:tr w:rsidR="00F80539" w:rsidRPr="003A549D" w14:paraId="5ABC5986" w14:textId="77777777" w:rsidTr="0099178A">
        <w:trPr>
          <w:cantSplit/>
        </w:trPr>
        <w:tc>
          <w:tcPr>
            <w:tcW w:w="1301" w:type="pct"/>
            <w:shd w:val="clear" w:color="auto" w:fill="F6FDE9"/>
          </w:tcPr>
          <w:p w14:paraId="7FBFA5CD" w14:textId="77777777" w:rsidR="00F80539" w:rsidRPr="003A549D" w:rsidRDefault="00F80539" w:rsidP="0099178A">
            <w:pPr>
              <w:spacing w:after="0"/>
              <w:rPr>
                <w:rFonts w:cs="Arial"/>
                <w:sz w:val="20"/>
              </w:rPr>
            </w:pPr>
            <w:r w:rsidRPr="003A549D">
              <w:rPr>
                <w:rFonts w:eastAsia="Calibri" w:cs="Arial"/>
                <w:b/>
                <w:bCs/>
                <w:sz w:val="20"/>
              </w:rPr>
              <w:t>Authors' acknowledged limitations</w:t>
            </w:r>
          </w:p>
        </w:tc>
        <w:tc>
          <w:tcPr>
            <w:tcW w:w="3699" w:type="pct"/>
          </w:tcPr>
          <w:p w14:paraId="76489D02" w14:textId="110CC089" w:rsidR="00F80539" w:rsidRPr="003A549D" w:rsidRDefault="0030673A" w:rsidP="0099178A">
            <w:pPr>
              <w:spacing w:after="0"/>
              <w:rPr>
                <w:rFonts w:cs="Arial"/>
                <w:sz w:val="20"/>
              </w:rPr>
            </w:pPr>
            <w:r w:rsidRPr="0030673A">
              <w:rPr>
                <w:rFonts w:cs="Arial"/>
                <w:sz w:val="20"/>
              </w:rPr>
              <w:t>Narrative review only; further clinical trials needed to establish long-term safety of high-dose PLP supplements; association between elevated pyridoxine and neuropathy not well established.</w:t>
            </w:r>
          </w:p>
        </w:tc>
      </w:tr>
    </w:tbl>
    <w:p w14:paraId="06C35701" w14:textId="77777777" w:rsidR="00F80539" w:rsidRPr="003A549D" w:rsidRDefault="00F80539" w:rsidP="00F80539">
      <w:pPr>
        <w:rPr>
          <w:rFonts w:eastAsia="Times New Roman" w:cs="Times New Roman"/>
          <w:b/>
          <w:bCs/>
        </w:rPr>
      </w:pPr>
      <w:r w:rsidRPr="003A549D">
        <w:rPr>
          <w:rFonts w:eastAsia="Times New Roman" w:cs="Times New Roman"/>
          <w:b/>
          <w:bCs/>
        </w:rPr>
        <w:lastRenderedPageBreak/>
        <w:t>Contextual information for the AU/NZ UL review</w:t>
      </w:r>
    </w:p>
    <w:tbl>
      <w:tblPr>
        <w:tblStyle w:val="SLROption1"/>
        <w:tblW w:w="5000" w:type="pct"/>
        <w:tblLook w:val="0000" w:firstRow="0" w:lastRow="0" w:firstColumn="0" w:lastColumn="0" w:noHBand="0" w:noVBand="0"/>
      </w:tblPr>
      <w:tblGrid>
        <w:gridCol w:w="3628"/>
        <w:gridCol w:w="10316"/>
      </w:tblGrid>
      <w:tr w:rsidR="00F80539" w:rsidRPr="003A549D" w14:paraId="40DDE9EB" w14:textId="77777777" w:rsidTr="0099178A">
        <w:tc>
          <w:tcPr>
            <w:tcW w:w="1301" w:type="pct"/>
            <w:shd w:val="clear" w:color="auto" w:fill="F6FDE9"/>
          </w:tcPr>
          <w:p w14:paraId="0EED755E" w14:textId="77777777" w:rsidR="00F80539" w:rsidRPr="003A549D" w:rsidRDefault="00F80539" w:rsidP="0099178A">
            <w:pPr>
              <w:spacing w:after="0"/>
              <w:rPr>
                <w:rFonts w:cs="Arial"/>
                <w:sz w:val="20"/>
              </w:rPr>
            </w:pPr>
            <w:r w:rsidRPr="003A549D">
              <w:rPr>
                <w:rFonts w:eastAsia="Calibri" w:cs="Arial"/>
                <w:b/>
                <w:bCs/>
                <w:sz w:val="20"/>
              </w:rPr>
              <w:t>Generalisability to AU/NZ</w:t>
            </w:r>
          </w:p>
        </w:tc>
        <w:tc>
          <w:tcPr>
            <w:tcW w:w="3699" w:type="pct"/>
          </w:tcPr>
          <w:p w14:paraId="46BC4CDF" w14:textId="5C884A62" w:rsidR="00F80539" w:rsidRPr="003A549D" w:rsidRDefault="0030673A" w:rsidP="0099178A">
            <w:pPr>
              <w:spacing w:after="0"/>
              <w:rPr>
                <w:rFonts w:cs="Arial"/>
                <w:sz w:val="20"/>
              </w:rPr>
            </w:pPr>
            <w:r w:rsidRPr="0030673A">
              <w:rPr>
                <w:rFonts w:cs="Arial"/>
                <w:sz w:val="20"/>
              </w:rPr>
              <w:t>The clinical and pharmacokinetic information is relevant to the AU/NZ context, particularly for supplement regulation and clinical guidance. However, the intake and exposure data are mainly from the US and EU and may not reflect AU/NZ supplement use or population patterns.</w:t>
            </w:r>
          </w:p>
        </w:tc>
      </w:tr>
    </w:tbl>
    <w:p w14:paraId="6AFB608D" w14:textId="67FE5912" w:rsidR="003A549D" w:rsidRPr="00B8180E" w:rsidRDefault="003A549D" w:rsidP="00B8180E">
      <w:pPr>
        <w:rPr>
          <w:rFonts w:eastAsia="Times New Roman" w:cs="Arial"/>
        </w:rPr>
        <w:sectPr w:rsidR="003A549D" w:rsidRPr="00B8180E" w:rsidSect="00B8180E">
          <w:pgSz w:w="16834" w:h="11909" w:orient="landscape" w:code="9"/>
          <w:pgMar w:top="1440" w:right="1440" w:bottom="1440" w:left="1440" w:header="576" w:footer="576" w:gutter="0"/>
          <w:cols w:space="720"/>
          <w:docGrid w:linePitch="360"/>
        </w:sectPr>
      </w:pPr>
    </w:p>
    <w:p w14:paraId="433C1C91" w14:textId="77777777" w:rsidR="00644CDA" w:rsidRDefault="00644CDA" w:rsidP="00601CCB">
      <w:pPr>
        <w:pStyle w:val="BodyText"/>
        <w:rPr>
          <w:b/>
          <w:bCs/>
        </w:rPr>
      </w:pPr>
    </w:p>
    <w:p w14:paraId="5EA54FE1" w14:textId="77777777" w:rsidR="000C30CC" w:rsidRPr="000C30CC" w:rsidRDefault="000C30CC" w:rsidP="000C30CC">
      <w:pPr>
        <w:pStyle w:val="BodyText"/>
      </w:pPr>
    </w:p>
    <w:p w14:paraId="291FF41C" w14:textId="77777777" w:rsidR="002A62C0" w:rsidRDefault="002A62C0" w:rsidP="00E50719">
      <w:pPr>
        <w:pStyle w:val="BodyText"/>
        <w:sectPr w:rsidR="002A62C0" w:rsidSect="00E50719">
          <w:headerReference w:type="default" r:id="rId207"/>
          <w:footerReference w:type="default" r:id="rId208"/>
          <w:pgSz w:w="11909" w:h="16834" w:code="9"/>
          <w:pgMar w:top="1440" w:right="1440" w:bottom="1440" w:left="1440" w:header="576" w:footer="576" w:gutter="0"/>
          <w:pgNumType w:start="1" w:chapStyle="7"/>
          <w:cols w:space="720"/>
          <w:docGrid w:linePitch="360"/>
        </w:sectPr>
      </w:pPr>
    </w:p>
    <w:p w14:paraId="4E5863C4" w14:textId="77777777" w:rsidR="008C766F" w:rsidRDefault="008C766F" w:rsidP="008C766F">
      <w:pPr>
        <w:pStyle w:val="BodyText"/>
      </w:pPr>
    </w:p>
    <w:p w14:paraId="619F6D6A" w14:textId="77777777" w:rsidR="00A43831" w:rsidRPr="00A43831" w:rsidRDefault="00A43831" w:rsidP="00A43831"/>
    <w:p w14:paraId="66235CF9" w14:textId="77777777" w:rsidR="00A43831" w:rsidRPr="00A43831" w:rsidRDefault="00A43831" w:rsidP="00A43831"/>
    <w:p w14:paraId="14DBF574" w14:textId="77777777" w:rsidR="00A43831" w:rsidRDefault="00A43831" w:rsidP="00A43831"/>
    <w:p w14:paraId="5E7B1284" w14:textId="77777777" w:rsidR="00A43831" w:rsidRDefault="00A43831" w:rsidP="00A43831"/>
    <w:p w14:paraId="27B000CC" w14:textId="27C2DB3F" w:rsidR="00A43831" w:rsidRDefault="00A43831" w:rsidP="00A43831">
      <w:pPr>
        <w:pStyle w:val="Heading7"/>
      </w:pPr>
      <w:bookmarkStart w:id="87" w:name="_Toc233022904"/>
      <w:bookmarkStart w:id="88" w:name="_Ref236998608"/>
      <w:bookmarkStart w:id="89" w:name="_Ref236998812"/>
      <w:bookmarkStart w:id="90" w:name="_Ref236998913"/>
      <w:r>
        <w:t>Risk of Bias – Assessment Tables – Evidence Review for Recent Studies</w:t>
      </w:r>
      <w:bookmarkEnd w:id="87"/>
      <w:bookmarkEnd w:id="88"/>
      <w:bookmarkEnd w:id="89"/>
      <w:bookmarkEnd w:id="90"/>
    </w:p>
    <w:p w14:paraId="4DFCD6E9" w14:textId="7F03443D" w:rsidR="00144FAB" w:rsidRPr="008371FA" w:rsidRDefault="00144FAB" w:rsidP="00144FAB">
      <w:pPr>
        <w:pStyle w:val="CoverTitleXref"/>
        <w:rPr>
          <w:noProof w:val="0"/>
        </w:rPr>
      </w:pPr>
      <w:r w:rsidRPr="008371FA">
        <w:rPr>
          <w:noProof w:val="0"/>
        </w:rPr>
        <w:fldChar w:fldCharType="begin"/>
      </w:r>
      <w:r w:rsidRPr="008371FA">
        <w:rPr>
          <w:noProof w:val="0"/>
        </w:rPr>
        <w:instrText xml:space="preserve"> STYLEREF  "Cover Title"  \* MERGEFORMAT </w:instrText>
      </w:r>
      <w:r w:rsidRPr="008371FA">
        <w:rPr>
          <w:noProof w:val="0"/>
        </w:rPr>
        <w:fldChar w:fldCharType="separate"/>
      </w:r>
      <w:r w:rsidR="00A41FEF">
        <w:t>Evidence Evaluations for Vitamin B6 Upper Level (UL)</w:t>
      </w:r>
      <w:r w:rsidRPr="008371FA">
        <w:rPr>
          <w:noProof w:val="0"/>
        </w:rPr>
        <w:fldChar w:fldCharType="end"/>
      </w:r>
    </w:p>
    <w:p w14:paraId="77CD7644" w14:textId="18A16C5D" w:rsidR="00144FAB" w:rsidRPr="008371FA" w:rsidRDefault="003C21C4" w:rsidP="00144FAB">
      <w:pPr>
        <w:pStyle w:val="CoverSubtitleXref"/>
      </w:pPr>
      <w:fldSimple w:instr=" STYLEREF  &quot;Cover Subtitle&quot;  \* MERGEFORMAT ">
        <w:r w:rsidR="00A41FEF">
          <w:rPr>
            <w:noProof/>
          </w:rPr>
          <w:t>Vitamin B6 Upper Level (UL) Technical Report</w:t>
        </w:r>
      </w:fldSimple>
    </w:p>
    <w:p w14:paraId="203F15CD" w14:textId="7F0583CB" w:rsidR="00144FAB" w:rsidRPr="008371FA" w:rsidRDefault="003C21C4" w:rsidP="00144FAB">
      <w:pPr>
        <w:pStyle w:val="CoverClientRef"/>
      </w:pPr>
      <w:fldSimple w:instr=" STYLEREF  &quot;Cover Client Name&quot;  \* MERGEFORMAT ">
        <w:r w:rsidR="00A41FEF">
          <w:rPr>
            <w:noProof/>
          </w:rPr>
          <w:t>National Health and Medical Research Council</w:t>
        </w:r>
      </w:fldSimple>
    </w:p>
    <w:p w14:paraId="2F342022" w14:textId="75AD5867" w:rsidR="00144FAB" w:rsidRPr="008371FA" w:rsidRDefault="003C21C4" w:rsidP="00144FAB">
      <w:pPr>
        <w:pStyle w:val="CoverProjectXref"/>
      </w:pPr>
      <w:fldSimple w:instr=" STYLEREF  &quot;Cover Project Number&quot;  \* MERGEFORMAT ">
        <w:r w:rsidR="00A41FEF">
          <w:rPr>
            <w:noProof/>
          </w:rPr>
          <w:t>SLR Project No.: 640.032359.00001</w:t>
        </w:r>
      </w:fldSimple>
    </w:p>
    <w:p w14:paraId="7DC176D7" w14:textId="34302EA5" w:rsidR="00144FAB" w:rsidRPr="008371FA" w:rsidRDefault="003C21C4" w:rsidP="00144FAB">
      <w:pPr>
        <w:pStyle w:val="CoverProjectXref"/>
      </w:pPr>
      <w:fldSimple w:instr=" STYLEREF  &quot;Cover Date&quot;  \* MERGEFORMAT ">
        <w:r w:rsidR="00A41FEF">
          <w:rPr>
            <w:noProof/>
          </w:rPr>
          <w:t>7 August 2026</w:t>
        </w:r>
      </w:fldSimple>
    </w:p>
    <w:p w14:paraId="2F3ECE18" w14:textId="451EE9D1" w:rsidR="00A43831" w:rsidRPr="008371FA" w:rsidRDefault="00A43831" w:rsidP="00A43831">
      <w:pPr>
        <w:pStyle w:val="CoverProjectXref"/>
      </w:pPr>
    </w:p>
    <w:p w14:paraId="3AF3A1BE" w14:textId="277D77C9" w:rsidR="00A43831" w:rsidRPr="00A43831" w:rsidRDefault="00A43831" w:rsidP="00A43831">
      <w:pPr>
        <w:tabs>
          <w:tab w:val="left" w:pos="1150"/>
        </w:tabs>
        <w:sectPr w:rsidR="00A43831" w:rsidRPr="00A43831" w:rsidSect="00B1088E">
          <w:headerReference w:type="default" r:id="rId209"/>
          <w:footerReference w:type="default" r:id="rId210"/>
          <w:pgSz w:w="11909" w:h="16834" w:code="9"/>
          <w:pgMar w:top="1440" w:right="1440" w:bottom="1440" w:left="1440" w:header="576" w:footer="576" w:gutter="0"/>
          <w:pgNumType w:start="1" w:chapStyle="7"/>
          <w:cols w:space="720"/>
          <w:docGrid w:linePitch="360"/>
        </w:sectPr>
      </w:pPr>
    </w:p>
    <w:p w14:paraId="16A763F3" w14:textId="77777777" w:rsidR="00A467D6" w:rsidRDefault="00A467D6" w:rsidP="00A467D6">
      <w:pPr>
        <w:pStyle w:val="Heading8"/>
        <w:sectPr w:rsidR="00A467D6" w:rsidSect="001B70DB">
          <w:headerReference w:type="default" r:id="rId211"/>
          <w:footerReference w:type="default" r:id="rId212"/>
          <w:pgSz w:w="11909" w:h="16834" w:code="9"/>
          <w:pgMar w:top="1440" w:right="1440" w:bottom="1440" w:left="1440" w:header="576" w:footer="576" w:gutter="0"/>
          <w:pgNumType w:start="1" w:chapStyle="7"/>
          <w:cols w:space="720"/>
          <w:docGrid w:linePitch="360"/>
        </w:sectPr>
      </w:pPr>
      <w:bookmarkStart w:id="91" w:name="_Toc233022905"/>
      <w:r>
        <w:lastRenderedPageBreak/>
        <w:t>Risk of bias assessment summary – all new studies from evidence review</w:t>
      </w:r>
      <w:bookmarkEnd w:id="91"/>
    </w:p>
    <w:p w14:paraId="636FA313" w14:textId="29AE9969" w:rsidR="007B18BB" w:rsidRDefault="00C8296D" w:rsidP="00A467D6">
      <w:pPr>
        <w:rPr>
          <w:b/>
          <w:bCs/>
        </w:rPr>
      </w:pPr>
      <w:r w:rsidRPr="00C8296D">
        <w:rPr>
          <w:b/>
          <w:bCs/>
        </w:rPr>
        <w:lastRenderedPageBreak/>
        <w:t>Summary of Risk of Bias Assessment</w:t>
      </w:r>
    </w:p>
    <w:p w14:paraId="482100E8" w14:textId="77777777" w:rsidR="00C8296D" w:rsidRPr="00306EFF" w:rsidRDefault="00C8296D" w:rsidP="00C8296D">
      <w:pPr>
        <w:rPr>
          <w:rFonts w:eastAsia="Calibri" w:cs="Arial"/>
          <w:szCs w:val="22"/>
        </w:rPr>
      </w:pPr>
      <w:r w:rsidRPr="00E45AB2">
        <w:rPr>
          <w:rFonts w:eastAsia="Calibri" w:cs="Arial"/>
          <w:szCs w:val="22"/>
        </w:rPr>
        <w:t xml:space="preserve">Rating key: </w:t>
      </w:r>
      <w:r w:rsidRPr="00E45AB2">
        <w:rPr>
          <w:rFonts w:eastAsia="Calibri" w:cs="Arial"/>
          <w:szCs w:val="22"/>
          <w:shd w:val="clear" w:color="auto" w:fill="00B050"/>
        </w:rPr>
        <w:t>++</w:t>
      </w:r>
      <w:r w:rsidRPr="00E45AB2">
        <w:rPr>
          <w:rFonts w:eastAsia="Calibri" w:cs="Arial"/>
          <w:szCs w:val="22"/>
        </w:rPr>
        <w:t xml:space="preserve"> = definitely low RoB; </w:t>
      </w:r>
      <w:r w:rsidRPr="00E45AB2">
        <w:rPr>
          <w:rFonts w:eastAsia="Calibri" w:cs="Arial"/>
          <w:szCs w:val="22"/>
          <w:shd w:val="clear" w:color="auto" w:fill="92D050"/>
        </w:rPr>
        <w:t>+</w:t>
      </w:r>
      <w:r w:rsidRPr="00E45AB2">
        <w:rPr>
          <w:rFonts w:eastAsia="Calibri" w:cs="Arial"/>
          <w:szCs w:val="22"/>
        </w:rPr>
        <w:t xml:space="preserve"> = probably low RoB; </w:t>
      </w:r>
      <w:r w:rsidRPr="00E45AB2">
        <w:rPr>
          <w:rFonts w:eastAsia="Calibri" w:cs="Arial"/>
          <w:szCs w:val="22"/>
          <w:shd w:val="clear" w:color="auto" w:fill="FFC1C1"/>
        </w:rPr>
        <w:t>NR</w:t>
      </w:r>
      <w:r w:rsidRPr="00E45AB2">
        <w:rPr>
          <w:rFonts w:eastAsia="Calibri" w:cs="Arial"/>
          <w:szCs w:val="22"/>
        </w:rPr>
        <w:t xml:space="preserve"> = not reported; </w:t>
      </w:r>
      <w:r w:rsidRPr="00E45AB2">
        <w:rPr>
          <w:rFonts w:eastAsia="Calibri" w:cs="Arial"/>
          <w:szCs w:val="22"/>
          <w:shd w:val="clear" w:color="auto" w:fill="FFC1C1"/>
        </w:rPr>
        <w:t>−</w:t>
      </w:r>
      <w:r w:rsidRPr="00E45AB2">
        <w:rPr>
          <w:rFonts w:eastAsia="Calibri" w:cs="Arial"/>
          <w:szCs w:val="22"/>
        </w:rPr>
        <w:t xml:space="preserve"> = probably high RoB; </w:t>
      </w:r>
      <w:r w:rsidRPr="00E45AB2">
        <w:rPr>
          <w:rFonts w:eastAsia="Calibri" w:cs="Arial"/>
          <w:szCs w:val="22"/>
          <w:shd w:val="clear" w:color="auto" w:fill="FF2F2F"/>
        </w:rPr>
        <w:t>−−</w:t>
      </w:r>
      <w:r w:rsidRPr="00E45AB2">
        <w:rPr>
          <w:rFonts w:eastAsia="Calibri" w:cs="Arial"/>
          <w:szCs w:val="22"/>
        </w:rPr>
        <w:t xml:space="preserve"> = definitely high RoB; </w:t>
      </w:r>
      <w:r w:rsidRPr="00E45AB2">
        <w:rPr>
          <w:rFonts w:eastAsia="Calibri" w:cs="Arial"/>
          <w:szCs w:val="22"/>
          <w:highlight w:val="lightGray"/>
        </w:rPr>
        <w:t>NA</w:t>
      </w:r>
      <w:r w:rsidRPr="00E45AB2">
        <w:rPr>
          <w:rFonts w:eastAsia="Calibri" w:cs="Arial"/>
          <w:szCs w:val="22"/>
        </w:rPr>
        <w:t xml:space="preserve"> = not applicable to this study design </w:t>
      </w:r>
    </w:p>
    <w:p w14:paraId="2E2E4B7C" w14:textId="11EB2CBA" w:rsidR="00C8296D" w:rsidRPr="00C8296D" w:rsidRDefault="00C8296D" w:rsidP="00A467D6">
      <w:r w:rsidRPr="00C8296D">
        <w:t>Tier 1 = Low risk of bias (RoB); Tier 2 = Moderate risk of bias (RoB); Tier 3 = High risk of bias (RoB)</w:t>
      </w:r>
    </w:p>
    <w:tbl>
      <w:tblPr>
        <w:tblStyle w:val="SLROption2"/>
        <w:tblW w:w="0" w:type="auto"/>
        <w:tblLook w:val="04A0" w:firstRow="1" w:lastRow="0" w:firstColumn="1" w:lastColumn="0" w:noHBand="0" w:noVBand="1"/>
      </w:tblPr>
      <w:tblGrid>
        <w:gridCol w:w="1457"/>
        <w:gridCol w:w="1856"/>
        <w:gridCol w:w="1834"/>
        <w:gridCol w:w="956"/>
        <w:gridCol w:w="616"/>
        <w:gridCol w:w="616"/>
        <w:gridCol w:w="598"/>
        <w:gridCol w:w="603"/>
        <w:gridCol w:w="587"/>
        <w:gridCol w:w="572"/>
        <w:gridCol w:w="604"/>
        <w:gridCol w:w="636"/>
        <w:gridCol w:w="703"/>
        <w:gridCol w:w="613"/>
        <w:gridCol w:w="704"/>
        <w:gridCol w:w="989"/>
      </w:tblGrid>
      <w:tr w:rsidR="001F5C2C" w:rsidRPr="00A93B00" w14:paraId="50109A12" w14:textId="0558755B" w:rsidTr="007A2564">
        <w:trPr>
          <w:cnfStyle w:val="100000000000" w:firstRow="1" w:lastRow="0" w:firstColumn="0" w:lastColumn="0" w:oddVBand="0" w:evenVBand="0" w:oddHBand="0" w:evenHBand="0" w:firstRowFirstColumn="0" w:firstRowLastColumn="0" w:lastRowFirstColumn="0" w:lastRowLastColumn="0"/>
          <w:cantSplit/>
          <w:trHeight w:val="2508"/>
        </w:trPr>
        <w:tc>
          <w:tcPr>
            <w:tcW w:w="1457" w:type="dxa"/>
            <w:textDirection w:val="btLr"/>
            <w:vAlign w:val="center"/>
          </w:tcPr>
          <w:p w14:paraId="251C7A9E" w14:textId="0F6AA6C6" w:rsidR="001F5C2C" w:rsidRPr="00A93B00" w:rsidRDefault="001F5C2C" w:rsidP="001F5C2C">
            <w:pPr>
              <w:ind w:left="113" w:right="113"/>
              <w:jc w:val="right"/>
              <w:rPr>
                <w:sz w:val="20"/>
              </w:rPr>
            </w:pPr>
            <w:r w:rsidRPr="00A93B00">
              <w:rPr>
                <w:sz w:val="20"/>
              </w:rPr>
              <w:t>Health Outcome</w:t>
            </w:r>
          </w:p>
        </w:tc>
        <w:tc>
          <w:tcPr>
            <w:tcW w:w="1856" w:type="dxa"/>
            <w:textDirection w:val="btLr"/>
            <w:vAlign w:val="center"/>
          </w:tcPr>
          <w:p w14:paraId="48CFFE3C" w14:textId="5F465B69" w:rsidR="001F5C2C" w:rsidRPr="00A93B00" w:rsidRDefault="001F5C2C" w:rsidP="001F5C2C">
            <w:pPr>
              <w:ind w:left="113" w:right="113"/>
              <w:jc w:val="right"/>
              <w:rPr>
                <w:sz w:val="20"/>
              </w:rPr>
            </w:pPr>
            <w:r w:rsidRPr="00A93B00">
              <w:rPr>
                <w:sz w:val="20"/>
              </w:rPr>
              <w:t>Specific Outcome</w:t>
            </w:r>
          </w:p>
        </w:tc>
        <w:tc>
          <w:tcPr>
            <w:tcW w:w="1834" w:type="dxa"/>
            <w:textDirection w:val="btLr"/>
            <w:vAlign w:val="center"/>
          </w:tcPr>
          <w:p w14:paraId="50BE654B" w14:textId="6D8C2690" w:rsidR="001F5C2C" w:rsidRPr="00A93B00" w:rsidRDefault="001F5C2C" w:rsidP="001F5C2C">
            <w:pPr>
              <w:ind w:left="113" w:right="113"/>
              <w:jc w:val="right"/>
              <w:rPr>
                <w:sz w:val="20"/>
              </w:rPr>
            </w:pPr>
            <w:r w:rsidRPr="00A93B00">
              <w:rPr>
                <w:sz w:val="20"/>
              </w:rPr>
              <w:t>Study Type</w:t>
            </w:r>
          </w:p>
        </w:tc>
        <w:tc>
          <w:tcPr>
            <w:tcW w:w="956" w:type="dxa"/>
            <w:textDirection w:val="btLr"/>
            <w:vAlign w:val="center"/>
          </w:tcPr>
          <w:p w14:paraId="2939578B" w14:textId="1349A359" w:rsidR="001F5C2C" w:rsidRPr="00A93B00" w:rsidRDefault="001F5C2C" w:rsidP="001F5C2C">
            <w:pPr>
              <w:ind w:left="113" w:right="113"/>
              <w:jc w:val="right"/>
              <w:rPr>
                <w:sz w:val="20"/>
              </w:rPr>
            </w:pPr>
            <w:r w:rsidRPr="00A93B00">
              <w:rPr>
                <w:sz w:val="20"/>
              </w:rPr>
              <w:t>Study</w:t>
            </w:r>
          </w:p>
        </w:tc>
        <w:tc>
          <w:tcPr>
            <w:tcW w:w="616" w:type="dxa"/>
            <w:textDirection w:val="btLr"/>
            <w:vAlign w:val="center"/>
          </w:tcPr>
          <w:p w14:paraId="70C74066" w14:textId="6565AEA0" w:rsidR="001F5C2C" w:rsidRPr="00A93B00" w:rsidRDefault="001F5C2C" w:rsidP="001F5C2C">
            <w:pPr>
              <w:ind w:left="113" w:right="113"/>
              <w:jc w:val="right"/>
              <w:rPr>
                <w:sz w:val="20"/>
              </w:rPr>
            </w:pPr>
            <w:r w:rsidRPr="00A93B00">
              <w:rPr>
                <w:sz w:val="20"/>
              </w:rPr>
              <w:t>1. Randomisation</w:t>
            </w:r>
          </w:p>
        </w:tc>
        <w:tc>
          <w:tcPr>
            <w:tcW w:w="616" w:type="dxa"/>
            <w:textDirection w:val="btLr"/>
            <w:vAlign w:val="center"/>
          </w:tcPr>
          <w:p w14:paraId="64A08313" w14:textId="5408C6F9" w:rsidR="001F5C2C" w:rsidRPr="00A93B00" w:rsidRDefault="001F5C2C" w:rsidP="001F5C2C">
            <w:pPr>
              <w:ind w:left="113" w:right="113"/>
              <w:jc w:val="right"/>
              <w:rPr>
                <w:sz w:val="20"/>
              </w:rPr>
            </w:pPr>
            <w:r w:rsidRPr="00A93B00">
              <w:rPr>
                <w:sz w:val="20"/>
              </w:rPr>
              <w:t>2. Allocation concealment</w:t>
            </w:r>
          </w:p>
        </w:tc>
        <w:tc>
          <w:tcPr>
            <w:tcW w:w="598" w:type="dxa"/>
            <w:textDirection w:val="btLr"/>
            <w:vAlign w:val="center"/>
          </w:tcPr>
          <w:p w14:paraId="5098BF76" w14:textId="509C58C1" w:rsidR="001F5C2C" w:rsidRPr="00A93B00" w:rsidRDefault="001F5C2C" w:rsidP="001F5C2C">
            <w:pPr>
              <w:ind w:left="113" w:right="113"/>
              <w:jc w:val="right"/>
              <w:rPr>
                <w:sz w:val="20"/>
              </w:rPr>
            </w:pPr>
            <w:r w:rsidRPr="00A93B00">
              <w:rPr>
                <w:sz w:val="20"/>
              </w:rPr>
              <w:t>3. Comparison groups</w:t>
            </w:r>
          </w:p>
        </w:tc>
        <w:tc>
          <w:tcPr>
            <w:tcW w:w="603" w:type="dxa"/>
            <w:textDirection w:val="btLr"/>
            <w:vAlign w:val="center"/>
          </w:tcPr>
          <w:p w14:paraId="0EF5F753" w14:textId="1B2F1BE6" w:rsidR="001F5C2C" w:rsidRPr="00A93B00" w:rsidRDefault="001F5C2C" w:rsidP="001F5C2C">
            <w:pPr>
              <w:ind w:left="113" w:right="113"/>
              <w:jc w:val="right"/>
              <w:rPr>
                <w:sz w:val="20"/>
              </w:rPr>
            </w:pPr>
            <w:r w:rsidRPr="00A93B00">
              <w:rPr>
                <w:sz w:val="20"/>
              </w:rPr>
              <w:t>4. KEY - Confounding</w:t>
            </w:r>
          </w:p>
        </w:tc>
        <w:tc>
          <w:tcPr>
            <w:tcW w:w="587" w:type="dxa"/>
            <w:textDirection w:val="btLr"/>
            <w:vAlign w:val="center"/>
          </w:tcPr>
          <w:p w14:paraId="0D1DDC62" w14:textId="4D13076A" w:rsidR="001F5C2C" w:rsidRPr="00A93B00" w:rsidRDefault="001F5C2C" w:rsidP="001F5C2C">
            <w:pPr>
              <w:ind w:left="113" w:right="113"/>
              <w:jc w:val="right"/>
              <w:rPr>
                <w:sz w:val="20"/>
              </w:rPr>
            </w:pPr>
            <w:r w:rsidRPr="00A93B00">
              <w:rPr>
                <w:sz w:val="20"/>
              </w:rPr>
              <w:t>5. Identical conditions</w:t>
            </w:r>
          </w:p>
        </w:tc>
        <w:tc>
          <w:tcPr>
            <w:tcW w:w="572" w:type="dxa"/>
            <w:textDirection w:val="btLr"/>
            <w:vAlign w:val="center"/>
          </w:tcPr>
          <w:p w14:paraId="4D9C5C0A" w14:textId="419EB18D" w:rsidR="001F5C2C" w:rsidRPr="00A93B00" w:rsidRDefault="001F5C2C" w:rsidP="001F5C2C">
            <w:pPr>
              <w:ind w:left="113" w:right="113"/>
              <w:jc w:val="right"/>
              <w:rPr>
                <w:sz w:val="20"/>
              </w:rPr>
            </w:pPr>
            <w:r w:rsidRPr="00A93B00">
              <w:rPr>
                <w:sz w:val="20"/>
              </w:rPr>
              <w:t xml:space="preserve">6. Blinding </w:t>
            </w:r>
          </w:p>
        </w:tc>
        <w:tc>
          <w:tcPr>
            <w:tcW w:w="604" w:type="dxa"/>
            <w:textDirection w:val="btLr"/>
            <w:vAlign w:val="center"/>
          </w:tcPr>
          <w:p w14:paraId="0283CD91" w14:textId="686AD08E" w:rsidR="001F5C2C" w:rsidRPr="00A93B00" w:rsidRDefault="001F5C2C" w:rsidP="001F5C2C">
            <w:pPr>
              <w:ind w:left="113" w:right="113"/>
              <w:jc w:val="right"/>
              <w:rPr>
                <w:sz w:val="20"/>
              </w:rPr>
            </w:pPr>
            <w:r w:rsidRPr="00A93B00">
              <w:rPr>
                <w:sz w:val="20"/>
              </w:rPr>
              <w:t>7. Attrition / exclusion</w:t>
            </w:r>
          </w:p>
        </w:tc>
        <w:tc>
          <w:tcPr>
            <w:tcW w:w="636" w:type="dxa"/>
            <w:textDirection w:val="btLr"/>
            <w:vAlign w:val="center"/>
          </w:tcPr>
          <w:p w14:paraId="1571F6AA" w14:textId="59CD4054" w:rsidR="001F5C2C" w:rsidRPr="00A93B00" w:rsidRDefault="001F5C2C" w:rsidP="001F5C2C">
            <w:pPr>
              <w:ind w:left="113" w:right="113"/>
              <w:jc w:val="right"/>
              <w:rPr>
                <w:sz w:val="20"/>
              </w:rPr>
            </w:pPr>
            <w:r w:rsidRPr="00A93B00">
              <w:rPr>
                <w:sz w:val="20"/>
              </w:rPr>
              <w:t>8. KEY - Exposure characterisation</w:t>
            </w:r>
          </w:p>
        </w:tc>
        <w:tc>
          <w:tcPr>
            <w:tcW w:w="703" w:type="dxa"/>
            <w:textDirection w:val="btLr"/>
          </w:tcPr>
          <w:p w14:paraId="4FF489EB" w14:textId="623259A7" w:rsidR="001F5C2C" w:rsidRPr="00A93B00" w:rsidRDefault="001F5C2C" w:rsidP="001F5C2C">
            <w:pPr>
              <w:ind w:left="113" w:right="113"/>
              <w:jc w:val="right"/>
              <w:rPr>
                <w:sz w:val="20"/>
              </w:rPr>
            </w:pPr>
            <w:r w:rsidRPr="00A93B00">
              <w:rPr>
                <w:sz w:val="20"/>
              </w:rPr>
              <w:t>9. KEY - Outcome assessment</w:t>
            </w:r>
          </w:p>
        </w:tc>
        <w:tc>
          <w:tcPr>
            <w:tcW w:w="613" w:type="dxa"/>
            <w:textDirection w:val="btLr"/>
          </w:tcPr>
          <w:p w14:paraId="4AD243B9" w14:textId="717D0CDA" w:rsidR="001F5C2C" w:rsidRPr="00A93B00" w:rsidRDefault="001F5C2C" w:rsidP="001F5C2C">
            <w:pPr>
              <w:ind w:left="113" w:right="113"/>
              <w:jc w:val="right"/>
              <w:rPr>
                <w:sz w:val="20"/>
              </w:rPr>
            </w:pPr>
            <w:r w:rsidRPr="00A93B00">
              <w:rPr>
                <w:sz w:val="20"/>
              </w:rPr>
              <w:t>10. Selective reporting</w:t>
            </w:r>
          </w:p>
        </w:tc>
        <w:tc>
          <w:tcPr>
            <w:tcW w:w="704" w:type="dxa"/>
            <w:textDirection w:val="btLr"/>
          </w:tcPr>
          <w:p w14:paraId="54079833" w14:textId="3E087F46" w:rsidR="001F5C2C" w:rsidRPr="00A93B00" w:rsidRDefault="001F5C2C" w:rsidP="001F5C2C">
            <w:pPr>
              <w:ind w:left="113" w:right="113"/>
              <w:jc w:val="right"/>
              <w:rPr>
                <w:sz w:val="20"/>
              </w:rPr>
            </w:pPr>
            <w:r w:rsidRPr="00A93B00">
              <w:rPr>
                <w:sz w:val="20"/>
              </w:rPr>
              <w:t>11. Other threats</w:t>
            </w:r>
          </w:p>
        </w:tc>
        <w:tc>
          <w:tcPr>
            <w:tcW w:w="989" w:type="dxa"/>
            <w:shd w:val="clear" w:color="auto" w:fill="909064" w:themeFill="background2" w:themeFillShade="80"/>
            <w:textDirection w:val="btLr"/>
            <w:vAlign w:val="center"/>
          </w:tcPr>
          <w:p w14:paraId="2D9AC64D" w14:textId="2935EB9D" w:rsidR="001F5C2C" w:rsidRPr="00A93B00" w:rsidRDefault="006A1285" w:rsidP="00A93B00">
            <w:pPr>
              <w:ind w:left="113" w:right="113"/>
              <w:rPr>
                <w:b/>
                <w:bCs/>
                <w:sz w:val="20"/>
              </w:rPr>
            </w:pPr>
            <w:r>
              <w:rPr>
                <w:b/>
                <w:bCs/>
                <w:color w:val="auto"/>
                <w:sz w:val="20"/>
              </w:rPr>
              <w:t>Risk of Bias</w:t>
            </w:r>
            <w:r w:rsidR="001F5C2C" w:rsidRPr="00A93B00">
              <w:rPr>
                <w:b/>
                <w:bCs/>
                <w:color w:val="auto"/>
                <w:sz w:val="20"/>
              </w:rPr>
              <w:t xml:space="preserve"> Tier</w:t>
            </w:r>
          </w:p>
        </w:tc>
      </w:tr>
      <w:tr w:rsidR="00A93B00" w:rsidRPr="00A93B00" w14:paraId="4574D043" w14:textId="25B65230" w:rsidTr="007A2564">
        <w:tc>
          <w:tcPr>
            <w:tcW w:w="1457" w:type="dxa"/>
          </w:tcPr>
          <w:p w14:paraId="27F38BDE" w14:textId="0488D8E5" w:rsidR="00A93B00" w:rsidRPr="00A93B00" w:rsidRDefault="00A93B00" w:rsidP="00A93B00">
            <w:pPr>
              <w:rPr>
                <w:sz w:val="20"/>
              </w:rPr>
            </w:pPr>
            <w:r w:rsidRPr="00A93B00">
              <w:rPr>
                <w:sz w:val="20"/>
              </w:rPr>
              <w:t>Neurological</w:t>
            </w:r>
          </w:p>
        </w:tc>
        <w:tc>
          <w:tcPr>
            <w:tcW w:w="1856" w:type="dxa"/>
          </w:tcPr>
          <w:p w14:paraId="6E456BB1" w14:textId="4680A17C" w:rsidR="00A93B00" w:rsidRPr="00A93B00" w:rsidRDefault="00A93B00" w:rsidP="00A93B00">
            <w:pPr>
              <w:rPr>
                <w:sz w:val="20"/>
              </w:rPr>
            </w:pPr>
            <w:r w:rsidRPr="00A93B00">
              <w:rPr>
                <w:sz w:val="20"/>
              </w:rPr>
              <w:t xml:space="preserve">Neuropathy severity </w:t>
            </w:r>
          </w:p>
        </w:tc>
        <w:tc>
          <w:tcPr>
            <w:tcW w:w="1834" w:type="dxa"/>
          </w:tcPr>
          <w:p w14:paraId="5A8A6029" w14:textId="51007493" w:rsidR="00A93B00" w:rsidRPr="00A93B00" w:rsidRDefault="00A93B00" w:rsidP="00A93B00">
            <w:pPr>
              <w:rPr>
                <w:sz w:val="20"/>
              </w:rPr>
            </w:pPr>
            <w:r w:rsidRPr="00A93B00">
              <w:rPr>
                <w:sz w:val="20"/>
              </w:rPr>
              <w:t xml:space="preserve">Human cross – sectional </w:t>
            </w:r>
          </w:p>
        </w:tc>
        <w:tc>
          <w:tcPr>
            <w:tcW w:w="956" w:type="dxa"/>
          </w:tcPr>
          <w:p w14:paraId="1216DDAB" w14:textId="493B7B19" w:rsidR="00A93B00" w:rsidRPr="00A93B00" w:rsidRDefault="00A93B00" w:rsidP="00A93B00">
            <w:pPr>
              <w:rPr>
                <w:sz w:val="20"/>
              </w:rPr>
            </w:pPr>
            <w:r w:rsidRPr="00A93B00">
              <w:rPr>
                <w:sz w:val="20"/>
              </w:rPr>
              <w:t>Stewart et al. 2022</w:t>
            </w:r>
          </w:p>
        </w:tc>
        <w:tc>
          <w:tcPr>
            <w:tcW w:w="616" w:type="dxa"/>
            <w:shd w:val="clear" w:color="auto" w:fill="D9D9D9" w:themeFill="background1" w:themeFillShade="D9"/>
            <w:vAlign w:val="bottom"/>
          </w:tcPr>
          <w:p w14:paraId="0D38027C" w14:textId="2DED107D" w:rsidR="00A93B00" w:rsidRPr="00B9475E" w:rsidRDefault="00A93B00" w:rsidP="00A93B00">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616" w:type="dxa"/>
            <w:shd w:val="clear" w:color="auto" w:fill="D9D9D9" w:themeFill="background1" w:themeFillShade="D9"/>
            <w:vAlign w:val="bottom"/>
          </w:tcPr>
          <w:p w14:paraId="096D717E" w14:textId="7A9E64A6" w:rsidR="00A93B00" w:rsidRPr="00B9475E" w:rsidRDefault="00A93B00" w:rsidP="00A93B00">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598" w:type="dxa"/>
            <w:shd w:val="clear" w:color="auto" w:fill="92D050"/>
            <w:vAlign w:val="bottom"/>
          </w:tcPr>
          <w:p w14:paraId="454989A2" w14:textId="29881AF5" w:rsidR="00A93B00" w:rsidRPr="00A93B00" w:rsidRDefault="00A93B00" w:rsidP="00A93B00">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603" w:type="dxa"/>
            <w:shd w:val="clear" w:color="auto" w:fill="FECED3"/>
            <w:vAlign w:val="bottom"/>
          </w:tcPr>
          <w:p w14:paraId="3131D85B" w14:textId="657EFD25" w:rsidR="00A93B00" w:rsidRPr="00A93B00" w:rsidRDefault="00A93B00" w:rsidP="00A93B00">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587" w:type="dxa"/>
            <w:shd w:val="clear" w:color="auto" w:fill="D9D9D9" w:themeFill="background1" w:themeFillShade="D9"/>
            <w:vAlign w:val="bottom"/>
          </w:tcPr>
          <w:p w14:paraId="6045DFFE" w14:textId="53C273F8" w:rsidR="00A93B00" w:rsidRPr="00B9475E" w:rsidRDefault="00A93B00" w:rsidP="00A93B00">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572" w:type="dxa"/>
            <w:shd w:val="clear" w:color="auto" w:fill="FECED3"/>
            <w:vAlign w:val="bottom"/>
          </w:tcPr>
          <w:p w14:paraId="73AEF14E" w14:textId="65E7D0C6" w:rsidR="00A93B00" w:rsidRPr="00A93B00" w:rsidRDefault="00A93B00" w:rsidP="00A93B00">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NR</w:t>
            </w:r>
          </w:p>
        </w:tc>
        <w:tc>
          <w:tcPr>
            <w:tcW w:w="604" w:type="dxa"/>
            <w:shd w:val="clear" w:color="auto" w:fill="FECED3"/>
            <w:vAlign w:val="bottom"/>
          </w:tcPr>
          <w:p w14:paraId="196C3BF8" w14:textId="09413A6A" w:rsidR="00A93B00" w:rsidRPr="00A93B00" w:rsidRDefault="00A93B00" w:rsidP="00A93B00">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636" w:type="dxa"/>
            <w:shd w:val="clear" w:color="auto" w:fill="FECED3"/>
            <w:vAlign w:val="bottom"/>
          </w:tcPr>
          <w:p w14:paraId="68454BAB" w14:textId="266A9900" w:rsidR="00A93B00" w:rsidRPr="00A93B00" w:rsidRDefault="00A93B00" w:rsidP="00A93B00">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703" w:type="dxa"/>
            <w:shd w:val="clear" w:color="auto" w:fill="92D050"/>
            <w:vAlign w:val="bottom"/>
          </w:tcPr>
          <w:p w14:paraId="26243C8F" w14:textId="627C5A15" w:rsidR="00A93B00" w:rsidRPr="00A93B00" w:rsidRDefault="00A93B00" w:rsidP="00A93B00">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613" w:type="dxa"/>
            <w:shd w:val="clear" w:color="auto" w:fill="92D050"/>
            <w:vAlign w:val="bottom"/>
          </w:tcPr>
          <w:p w14:paraId="76C3F92D" w14:textId="5798C399" w:rsidR="00A93B00" w:rsidRPr="00A93B00" w:rsidRDefault="00A93B00" w:rsidP="00A93B00">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704" w:type="dxa"/>
            <w:shd w:val="clear" w:color="auto" w:fill="FECED3"/>
            <w:vAlign w:val="bottom"/>
          </w:tcPr>
          <w:p w14:paraId="78105598" w14:textId="1A94BAF9" w:rsidR="00A93B00" w:rsidRPr="00A93B00" w:rsidRDefault="00A93B00" w:rsidP="00A93B00">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989" w:type="dxa"/>
          </w:tcPr>
          <w:p w14:paraId="5E7BC996" w14:textId="587306B9" w:rsidR="00A93B00" w:rsidRPr="00A93B00" w:rsidRDefault="00C06E5B" w:rsidP="00C8296D">
            <w:pPr>
              <w:jc w:val="center"/>
              <w:rPr>
                <w:sz w:val="20"/>
              </w:rPr>
            </w:pPr>
            <w:r>
              <w:rPr>
                <w:sz w:val="20"/>
              </w:rPr>
              <w:t>3</w:t>
            </w:r>
          </w:p>
        </w:tc>
      </w:tr>
      <w:tr w:rsidR="00A93B00" w:rsidRPr="00A93B00" w14:paraId="1548B032" w14:textId="77777777" w:rsidTr="007A2564">
        <w:tc>
          <w:tcPr>
            <w:tcW w:w="1457" w:type="dxa"/>
          </w:tcPr>
          <w:p w14:paraId="0ADBCBB6" w14:textId="35272DEC" w:rsidR="00A93B00" w:rsidRPr="00A93B00" w:rsidRDefault="00A93B00" w:rsidP="00A93B00">
            <w:pPr>
              <w:rPr>
                <w:sz w:val="20"/>
              </w:rPr>
            </w:pPr>
            <w:r w:rsidRPr="00A93B00">
              <w:rPr>
                <w:sz w:val="20"/>
              </w:rPr>
              <w:t>Neurological</w:t>
            </w:r>
          </w:p>
        </w:tc>
        <w:tc>
          <w:tcPr>
            <w:tcW w:w="1856" w:type="dxa"/>
          </w:tcPr>
          <w:p w14:paraId="2D22C149" w14:textId="214426C2" w:rsidR="00A93B00" w:rsidRPr="00A93B00" w:rsidRDefault="00A93B00" w:rsidP="00A93B00">
            <w:pPr>
              <w:rPr>
                <w:sz w:val="20"/>
              </w:rPr>
            </w:pPr>
            <w:r w:rsidRPr="00A93B00">
              <w:rPr>
                <w:sz w:val="20"/>
              </w:rPr>
              <w:t>Sensorimotor polyneuropathy (PN)</w:t>
            </w:r>
          </w:p>
        </w:tc>
        <w:tc>
          <w:tcPr>
            <w:tcW w:w="1834" w:type="dxa"/>
          </w:tcPr>
          <w:p w14:paraId="295DE1E4" w14:textId="53C287F4" w:rsidR="00A93B00" w:rsidRDefault="00A93B00" w:rsidP="00A93B00">
            <w:pPr>
              <w:rPr>
                <w:sz w:val="20"/>
              </w:rPr>
            </w:pPr>
            <w:r w:rsidRPr="00A93B00">
              <w:rPr>
                <w:sz w:val="20"/>
              </w:rPr>
              <w:t>Human case series</w:t>
            </w:r>
          </w:p>
        </w:tc>
        <w:tc>
          <w:tcPr>
            <w:tcW w:w="956" w:type="dxa"/>
          </w:tcPr>
          <w:p w14:paraId="11AFAF8A" w14:textId="0649A15D" w:rsidR="00A93B00" w:rsidRPr="00A93B00" w:rsidRDefault="00A93B00" w:rsidP="00A93B00">
            <w:pPr>
              <w:rPr>
                <w:sz w:val="20"/>
              </w:rPr>
            </w:pPr>
            <w:r w:rsidRPr="00A93B00">
              <w:rPr>
                <w:sz w:val="20"/>
              </w:rPr>
              <w:t>Gdynia et al. 2025</w:t>
            </w:r>
          </w:p>
        </w:tc>
        <w:tc>
          <w:tcPr>
            <w:tcW w:w="616" w:type="dxa"/>
            <w:shd w:val="clear" w:color="auto" w:fill="D9D9D9" w:themeFill="background1" w:themeFillShade="D9"/>
            <w:vAlign w:val="bottom"/>
          </w:tcPr>
          <w:p w14:paraId="1BEDEE18" w14:textId="06405F0B" w:rsidR="00A93B00" w:rsidRPr="00B9475E" w:rsidRDefault="00A93B00" w:rsidP="00A93B00">
            <w:pPr>
              <w:rPr>
                <w:rFonts w:asciiTheme="minorHAnsi" w:eastAsia="Times New Roman" w:hAnsiTheme="minorHAnsi" w:cstheme="minorHAnsi"/>
                <w:color w:val="A6A6A6" w:themeColor="background1" w:themeShade="A6"/>
                <w:sz w:val="20"/>
                <w:lang w:eastAsia="en-AU"/>
              </w:rPr>
            </w:pPr>
            <w:r w:rsidRPr="00B9475E">
              <w:rPr>
                <w:rFonts w:asciiTheme="minorHAnsi" w:eastAsia="Times New Roman" w:hAnsiTheme="minorHAnsi" w:cstheme="minorHAnsi"/>
                <w:color w:val="A6A6A6" w:themeColor="background1" w:themeShade="A6"/>
                <w:sz w:val="20"/>
                <w:lang w:eastAsia="en-AU"/>
              </w:rPr>
              <w:t>NA</w:t>
            </w:r>
          </w:p>
        </w:tc>
        <w:tc>
          <w:tcPr>
            <w:tcW w:w="616" w:type="dxa"/>
            <w:shd w:val="clear" w:color="auto" w:fill="D9D9D9" w:themeFill="background1" w:themeFillShade="D9"/>
            <w:vAlign w:val="bottom"/>
          </w:tcPr>
          <w:p w14:paraId="11D3C199" w14:textId="6E8ACA30" w:rsidR="00A93B00" w:rsidRPr="00B9475E" w:rsidRDefault="00A93B00" w:rsidP="00A93B00">
            <w:pPr>
              <w:rPr>
                <w:rFonts w:asciiTheme="minorHAnsi" w:eastAsia="Times New Roman" w:hAnsiTheme="minorHAnsi" w:cstheme="minorHAnsi"/>
                <w:color w:val="A6A6A6" w:themeColor="background1" w:themeShade="A6"/>
                <w:sz w:val="20"/>
                <w:lang w:eastAsia="en-AU"/>
              </w:rPr>
            </w:pPr>
            <w:r w:rsidRPr="00B9475E">
              <w:rPr>
                <w:rFonts w:asciiTheme="minorHAnsi" w:eastAsia="Times New Roman" w:hAnsiTheme="minorHAnsi" w:cstheme="minorHAnsi"/>
                <w:color w:val="A6A6A6" w:themeColor="background1" w:themeShade="A6"/>
                <w:sz w:val="20"/>
                <w:lang w:eastAsia="en-AU"/>
              </w:rPr>
              <w:t>NA</w:t>
            </w:r>
          </w:p>
        </w:tc>
        <w:tc>
          <w:tcPr>
            <w:tcW w:w="598" w:type="dxa"/>
            <w:shd w:val="clear" w:color="auto" w:fill="D9D9D9" w:themeFill="background1" w:themeFillShade="D9"/>
            <w:vAlign w:val="bottom"/>
          </w:tcPr>
          <w:p w14:paraId="03B6CAE0" w14:textId="5D7B7F2F" w:rsidR="00A93B00" w:rsidRPr="00B9475E" w:rsidRDefault="00A93B00" w:rsidP="00A93B00">
            <w:pPr>
              <w:rPr>
                <w:rFonts w:asciiTheme="minorHAnsi" w:eastAsia="Times New Roman" w:hAnsiTheme="minorHAnsi" w:cstheme="minorHAnsi"/>
                <w:color w:val="A6A6A6" w:themeColor="background1" w:themeShade="A6"/>
                <w:sz w:val="20"/>
                <w:lang w:eastAsia="en-AU"/>
              </w:rPr>
            </w:pPr>
            <w:r w:rsidRPr="00B9475E">
              <w:rPr>
                <w:rFonts w:asciiTheme="minorHAnsi" w:eastAsia="Times New Roman" w:hAnsiTheme="minorHAnsi" w:cstheme="minorHAnsi"/>
                <w:color w:val="A6A6A6" w:themeColor="background1" w:themeShade="A6"/>
                <w:sz w:val="20"/>
                <w:lang w:eastAsia="en-AU"/>
              </w:rPr>
              <w:t>NA</w:t>
            </w:r>
          </w:p>
        </w:tc>
        <w:tc>
          <w:tcPr>
            <w:tcW w:w="603" w:type="dxa"/>
            <w:shd w:val="clear" w:color="auto" w:fill="FECED3"/>
            <w:vAlign w:val="bottom"/>
          </w:tcPr>
          <w:p w14:paraId="1691A102" w14:textId="65CB0FB4" w:rsidR="00A93B00" w:rsidRPr="00A93B00" w:rsidRDefault="00A93B00" w:rsidP="00A93B00">
            <w:pPr>
              <w:rPr>
                <w:rFonts w:asciiTheme="minorHAnsi" w:eastAsia="Times New Roman" w:hAnsiTheme="minorHAnsi" w:cstheme="minorHAnsi"/>
                <w:color w:val="000000"/>
                <w:sz w:val="20"/>
                <w:lang w:eastAsia="en-AU"/>
              </w:rPr>
            </w:pPr>
            <w:r w:rsidRPr="00A93B00">
              <w:rPr>
                <w:rFonts w:asciiTheme="minorHAnsi" w:eastAsia="Times New Roman" w:hAnsiTheme="minorHAnsi" w:cstheme="minorHAnsi"/>
                <w:color w:val="000000"/>
                <w:sz w:val="20"/>
                <w:lang w:eastAsia="en-AU"/>
              </w:rPr>
              <w:t>−</w:t>
            </w:r>
          </w:p>
        </w:tc>
        <w:tc>
          <w:tcPr>
            <w:tcW w:w="587" w:type="dxa"/>
            <w:shd w:val="clear" w:color="auto" w:fill="D9D9D9" w:themeFill="background1" w:themeFillShade="D9"/>
            <w:vAlign w:val="bottom"/>
          </w:tcPr>
          <w:p w14:paraId="6BDA94F4" w14:textId="3A26603B" w:rsidR="00A93B00" w:rsidRPr="00B9475E" w:rsidRDefault="00A93B00" w:rsidP="00A93B00">
            <w:pPr>
              <w:rPr>
                <w:rFonts w:asciiTheme="minorHAnsi" w:eastAsia="Times New Roman" w:hAnsiTheme="minorHAnsi" w:cstheme="minorHAnsi"/>
                <w:color w:val="A6A6A6" w:themeColor="background1" w:themeShade="A6"/>
                <w:sz w:val="20"/>
                <w:lang w:eastAsia="en-AU"/>
              </w:rPr>
            </w:pPr>
            <w:r w:rsidRPr="00B9475E">
              <w:rPr>
                <w:rFonts w:asciiTheme="minorHAnsi" w:eastAsia="Times New Roman" w:hAnsiTheme="minorHAnsi" w:cstheme="minorHAnsi"/>
                <w:color w:val="A6A6A6" w:themeColor="background1" w:themeShade="A6"/>
                <w:sz w:val="20"/>
                <w:lang w:eastAsia="en-AU"/>
              </w:rPr>
              <w:t>NA</w:t>
            </w:r>
          </w:p>
        </w:tc>
        <w:tc>
          <w:tcPr>
            <w:tcW w:w="572" w:type="dxa"/>
            <w:shd w:val="clear" w:color="auto" w:fill="D9D9D9" w:themeFill="background1" w:themeFillShade="D9"/>
            <w:vAlign w:val="bottom"/>
          </w:tcPr>
          <w:p w14:paraId="3B913C91" w14:textId="6D468A3A" w:rsidR="00A93B00" w:rsidRPr="00B9475E" w:rsidRDefault="00A93B00" w:rsidP="00A93B00">
            <w:pPr>
              <w:rPr>
                <w:rFonts w:asciiTheme="minorHAnsi" w:eastAsia="Times New Roman" w:hAnsiTheme="minorHAnsi" w:cstheme="minorHAnsi"/>
                <w:color w:val="A6A6A6" w:themeColor="background1" w:themeShade="A6"/>
                <w:sz w:val="20"/>
                <w:lang w:eastAsia="en-AU"/>
              </w:rPr>
            </w:pPr>
            <w:r w:rsidRPr="00B9475E">
              <w:rPr>
                <w:rFonts w:asciiTheme="minorHAnsi" w:eastAsia="Times New Roman" w:hAnsiTheme="minorHAnsi" w:cstheme="minorHAnsi"/>
                <w:color w:val="A6A6A6" w:themeColor="background1" w:themeShade="A6"/>
                <w:sz w:val="20"/>
                <w:lang w:eastAsia="en-AU"/>
              </w:rPr>
              <w:t>NA</w:t>
            </w:r>
          </w:p>
        </w:tc>
        <w:tc>
          <w:tcPr>
            <w:tcW w:w="604" w:type="dxa"/>
            <w:shd w:val="clear" w:color="auto" w:fill="FECED3"/>
            <w:vAlign w:val="bottom"/>
          </w:tcPr>
          <w:p w14:paraId="4DCD5E1E" w14:textId="4631C842" w:rsidR="00A93B00" w:rsidRPr="00A93B00" w:rsidRDefault="00A93B00" w:rsidP="00A93B00">
            <w:pPr>
              <w:rPr>
                <w:rFonts w:asciiTheme="minorHAnsi" w:eastAsia="Times New Roman" w:hAnsiTheme="minorHAnsi" w:cstheme="minorHAnsi"/>
                <w:color w:val="000000"/>
                <w:sz w:val="20"/>
                <w:lang w:eastAsia="en-AU"/>
              </w:rPr>
            </w:pPr>
            <w:r w:rsidRPr="00A93B00">
              <w:rPr>
                <w:rFonts w:asciiTheme="minorHAnsi" w:eastAsia="Times New Roman" w:hAnsiTheme="minorHAnsi" w:cstheme="minorHAnsi"/>
                <w:color w:val="000000"/>
                <w:sz w:val="20"/>
                <w:lang w:eastAsia="en-AU"/>
              </w:rPr>
              <w:t>−</w:t>
            </w:r>
          </w:p>
        </w:tc>
        <w:tc>
          <w:tcPr>
            <w:tcW w:w="636" w:type="dxa"/>
            <w:shd w:val="clear" w:color="auto" w:fill="FECED3"/>
            <w:vAlign w:val="bottom"/>
          </w:tcPr>
          <w:p w14:paraId="5AA07DC3" w14:textId="7EDC691C" w:rsidR="00A93B00" w:rsidRPr="00A93B00" w:rsidRDefault="00A93B00" w:rsidP="00A93B00">
            <w:pPr>
              <w:rPr>
                <w:rFonts w:asciiTheme="minorHAnsi" w:eastAsia="Times New Roman" w:hAnsiTheme="minorHAnsi" w:cstheme="minorHAnsi"/>
                <w:color w:val="000000"/>
                <w:sz w:val="20"/>
                <w:lang w:eastAsia="en-AU"/>
              </w:rPr>
            </w:pPr>
            <w:r w:rsidRPr="00A93B00">
              <w:rPr>
                <w:rFonts w:asciiTheme="minorHAnsi" w:eastAsia="Times New Roman" w:hAnsiTheme="minorHAnsi" w:cstheme="minorHAnsi"/>
                <w:color w:val="000000"/>
                <w:sz w:val="20"/>
                <w:lang w:eastAsia="en-AU"/>
              </w:rPr>
              <w:t>−</w:t>
            </w:r>
          </w:p>
        </w:tc>
        <w:tc>
          <w:tcPr>
            <w:tcW w:w="703" w:type="dxa"/>
            <w:shd w:val="clear" w:color="auto" w:fill="92D050"/>
            <w:vAlign w:val="bottom"/>
          </w:tcPr>
          <w:p w14:paraId="5A058C03" w14:textId="68B94EE8" w:rsidR="00A93B00" w:rsidRPr="00A93B00" w:rsidRDefault="00A93B00" w:rsidP="00A93B00">
            <w:pPr>
              <w:rPr>
                <w:rFonts w:asciiTheme="minorHAnsi" w:eastAsia="Times New Roman" w:hAnsiTheme="minorHAnsi" w:cstheme="minorHAnsi"/>
                <w:color w:val="000000"/>
                <w:sz w:val="20"/>
                <w:lang w:eastAsia="en-AU"/>
              </w:rPr>
            </w:pPr>
            <w:r w:rsidRPr="00A93B00">
              <w:rPr>
                <w:rFonts w:asciiTheme="minorHAnsi" w:eastAsia="Times New Roman" w:hAnsiTheme="minorHAnsi" w:cstheme="minorHAnsi"/>
                <w:color w:val="000000"/>
                <w:sz w:val="20"/>
                <w:lang w:eastAsia="en-AU"/>
              </w:rPr>
              <w:t>+</w:t>
            </w:r>
          </w:p>
        </w:tc>
        <w:tc>
          <w:tcPr>
            <w:tcW w:w="613" w:type="dxa"/>
            <w:shd w:val="clear" w:color="auto" w:fill="92D050"/>
            <w:vAlign w:val="bottom"/>
          </w:tcPr>
          <w:p w14:paraId="21D937B1" w14:textId="2814FE50" w:rsidR="00A93B00" w:rsidRPr="00A93B00" w:rsidRDefault="00A93B00" w:rsidP="00A93B00">
            <w:pPr>
              <w:rPr>
                <w:rFonts w:asciiTheme="minorHAnsi" w:eastAsia="Times New Roman" w:hAnsiTheme="minorHAnsi" w:cstheme="minorHAnsi"/>
                <w:color w:val="000000"/>
                <w:sz w:val="20"/>
                <w:lang w:eastAsia="en-AU"/>
              </w:rPr>
            </w:pPr>
            <w:r w:rsidRPr="00A93B00">
              <w:rPr>
                <w:rFonts w:asciiTheme="minorHAnsi" w:eastAsia="Times New Roman" w:hAnsiTheme="minorHAnsi" w:cstheme="minorHAnsi"/>
                <w:color w:val="000000"/>
                <w:sz w:val="20"/>
                <w:lang w:eastAsia="en-AU"/>
              </w:rPr>
              <w:t>+</w:t>
            </w:r>
          </w:p>
        </w:tc>
        <w:tc>
          <w:tcPr>
            <w:tcW w:w="704" w:type="dxa"/>
            <w:shd w:val="clear" w:color="auto" w:fill="FECED3"/>
            <w:vAlign w:val="bottom"/>
          </w:tcPr>
          <w:p w14:paraId="253A4AA8" w14:textId="486D0958" w:rsidR="00A93B00" w:rsidRPr="00A93B00" w:rsidRDefault="00A93B00" w:rsidP="00A93B00">
            <w:pPr>
              <w:rPr>
                <w:rFonts w:asciiTheme="minorHAnsi" w:eastAsia="Times New Roman" w:hAnsiTheme="minorHAnsi" w:cstheme="minorHAnsi"/>
                <w:color w:val="000000"/>
                <w:sz w:val="20"/>
                <w:lang w:eastAsia="en-AU"/>
              </w:rPr>
            </w:pPr>
            <w:r w:rsidRPr="00A93B00">
              <w:rPr>
                <w:rFonts w:asciiTheme="minorHAnsi" w:eastAsia="Times New Roman" w:hAnsiTheme="minorHAnsi" w:cstheme="minorHAnsi"/>
                <w:color w:val="000000"/>
                <w:sz w:val="20"/>
                <w:lang w:eastAsia="en-AU"/>
              </w:rPr>
              <w:t>−</w:t>
            </w:r>
          </w:p>
        </w:tc>
        <w:tc>
          <w:tcPr>
            <w:tcW w:w="989" w:type="dxa"/>
            <w:vAlign w:val="bottom"/>
          </w:tcPr>
          <w:p w14:paraId="484EE234" w14:textId="54F75261" w:rsidR="00A93B00" w:rsidRPr="00A93B00" w:rsidRDefault="003E2889" w:rsidP="00C8296D">
            <w:pPr>
              <w:jc w:val="center"/>
              <w:rPr>
                <w:rFonts w:asciiTheme="minorHAnsi" w:eastAsia="Times New Roman" w:hAnsiTheme="minorHAnsi" w:cstheme="minorHAnsi"/>
                <w:color w:val="000000"/>
                <w:sz w:val="20"/>
                <w:lang w:eastAsia="en-AU"/>
              </w:rPr>
            </w:pPr>
            <w:r>
              <w:rPr>
                <w:rFonts w:asciiTheme="minorHAnsi" w:eastAsia="Times New Roman" w:hAnsiTheme="minorHAnsi" w:cstheme="minorHAnsi"/>
                <w:color w:val="000000"/>
                <w:sz w:val="20"/>
                <w:lang w:eastAsia="en-AU"/>
              </w:rPr>
              <w:t>3</w:t>
            </w:r>
          </w:p>
        </w:tc>
      </w:tr>
      <w:tr w:rsidR="00A93B00" w:rsidRPr="00A93B00" w14:paraId="53A28514" w14:textId="083BFE5C" w:rsidTr="007A2564">
        <w:tc>
          <w:tcPr>
            <w:tcW w:w="1457" w:type="dxa"/>
          </w:tcPr>
          <w:p w14:paraId="17B2F7A3" w14:textId="1B5126D2" w:rsidR="00A93B00" w:rsidRPr="00A93B00" w:rsidRDefault="00A93B00" w:rsidP="00A93B00">
            <w:pPr>
              <w:rPr>
                <w:sz w:val="20"/>
              </w:rPr>
            </w:pPr>
            <w:r w:rsidRPr="00A93B00">
              <w:rPr>
                <w:sz w:val="20"/>
              </w:rPr>
              <w:t>Neurological</w:t>
            </w:r>
          </w:p>
        </w:tc>
        <w:tc>
          <w:tcPr>
            <w:tcW w:w="1856" w:type="dxa"/>
          </w:tcPr>
          <w:p w14:paraId="14C85C5A" w14:textId="0927B85B" w:rsidR="00A93B00" w:rsidRPr="00A93B00" w:rsidRDefault="00A93B00" w:rsidP="00A93B00">
            <w:pPr>
              <w:rPr>
                <w:sz w:val="20"/>
              </w:rPr>
            </w:pPr>
            <w:r w:rsidRPr="00A93B00">
              <w:rPr>
                <w:sz w:val="20"/>
              </w:rPr>
              <w:t>Peripheral neuropathy</w:t>
            </w:r>
          </w:p>
        </w:tc>
        <w:tc>
          <w:tcPr>
            <w:tcW w:w="1834" w:type="dxa"/>
          </w:tcPr>
          <w:p w14:paraId="7C11243C" w14:textId="33D58E20" w:rsidR="00A93B00" w:rsidRPr="00A93B00" w:rsidRDefault="00A93B00" w:rsidP="00A93B00">
            <w:pPr>
              <w:rPr>
                <w:sz w:val="20"/>
              </w:rPr>
            </w:pPr>
            <w:r>
              <w:rPr>
                <w:sz w:val="20"/>
              </w:rPr>
              <w:t>Human case control</w:t>
            </w:r>
          </w:p>
        </w:tc>
        <w:tc>
          <w:tcPr>
            <w:tcW w:w="956" w:type="dxa"/>
          </w:tcPr>
          <w:p w14:paraId="28B96D56" w14:textId="1D7B58EC" w:rsidR="00A93B00" w:rsidRPr="00A93B00" w:rsidRDefault="00EC6EE1" w:rsidP="00A93B00">
            <w:pPr>
              <w:rPr>
                <w:sz w:val="20"/>
              </w:rPr>
            </w:pPr>
            <w:r w:rsidRPr="00EC6EE1">
              <w:rPr>
                <w:sz w:val="20"/>
              </w:rPr>
              <w:t>Paluszny and Qiu</w:t>
            </w:r>
            <w:r w:rsidR="00A93B00" w:rsidRPr="00A93B00">
              <w:rPr>
                <w:sz w:val="20"/>
              </w:rPr>
              <w:t>. 2023</w:t>
            </w:r>
          </w:p>
        </w:tc>
        <w:tc>
          <w:tcPr>
            <w:tcW w:w="616" w:type="dxa"/>
            <w:shd w:val="clear" w:color="auto" w:fill="D9D9D9" w:themeFill="background1" w:themeFillShade="D9"/>
            <w:vAlign w:val="bottom"/>
          </w:tcPr>
          <w:p w14:paraId="7F52A816" w14:textId="3782B67D" w:rsidR="00A93B00" w:rsidRPr="00B9475E" w:rsidRDefault="00A93B00" w:rsidP="00A93B00">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616" w:type="dxa"/>
            <w:shd w:val="clear" w:color="auto" w:fill="D9D9D9" w:themeFill="background1" w:themeFillShade="D9"/>
            <w:vAlign w:val="bottom"/>
          </w:tcPr>
          <w:p w14:paraId="05D8C81C" w14:textId="2C9F9C06" w:rsidR="00A93B00" w:rsidRPr="00B9475E" w:rsidRDefault="00A93B00" w:rsidP="00A93B00">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598" w:type="dxa"/>
            <w:shd w:val="clear" w:color="auto" w:fill="D9D9D9" w:themeFill="background1" w:themeFillShade="D9"/>
            <w:vAlign w:val="bottom"/>
          </w:tcPr>
          <w:p w14:paraId="47D2DAF1" w14:textId="02315804" w:rsidR="00A93B00" w:rsidRPr="00B9475E" w:rsidRDefault="00A93B00" w:rsidP="00A93B00">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603" w:type="dxa"/>
            <w:shd w:val="clear" w:color="auto" w:fill="EE0000"/>
            <w:vAlign w:val="bottom"/>
          </w:tcPr>
          <w:p w14:paraId="7F262843" w14:textId="3A0A5005" w:rsidR="00A93B00" w:rsidRPr="00A93B00" w:rsidRDefault="00A93B00" w:rsidP="00A93B00">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587" w:type="dxa"/>
            <w:shd w:val="clear" w:color="auto" w:fill="D9D9D9" w:themeFill="background1" w:themeFillShade="D9"/>
            <w:vAlign w:val="bottom"/>
          </w:tcPr>
          <w:p w14:paraId="75E394F0" w14:textId="38AC9CFF" w:rsidR="00A93B00" w:rsidRPr="00B9475E" w:rsidRDefault="00A93B00" w:rsidP="00A93B00">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572" w:type="dxa"/>
            <w:shd w:val="clear" w:color="auto" w:fill="D9D9D9" w:themeFill="background1" w:themeFillShade="D9"/>
            <w:vAlign w:val="bottom"/>
          </w:tcPr>
          <w:p w14:paraId="36D5AC1B" w14:textId="510FB090" w:rsidR="00A93B00" w:rsidRPr="00B9475E" w:rsidRDefault="00A93B00" w:rsidP="00A93B00">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604" w:type="dxa"/>
            <w:shd w:val="clear" w:color="auto" w:fill="FECED3"/>
            <w:vAlign w:val="bottom"/>
          </w:tcPr>
          <w:p w14:paraId="3E385775" w14:textId="61F55A8E" w:rsidR="00A93B00" w:rsidRPr="00A93B00" w:rsidRDefault="00A93B00" w:rsidP="00A93B00">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636" w:type="dxa"/>
            <w:shd w:val="clear" w:color="auto" w:fill="FECED3"/>
            <w:vAlign w:val="bottom"/>
          </w:tcPr>
          <w:p w14:paraId="12800091" w14:textId="1C9FD60D" w:rsidR="00A93B00" w:rsidRPr="00A93B00" w:rsidRDefault="00A93B00" w:rsidP="00A93B00">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703" w:type="dxa"/>
            <w:shd w:val="clear" w:color="auto" w:fill="92D050"/>
            <w:vAlign w:val="bottom"/>
          </w:tcPr>
          <w:p w14:paraId="65D8EE82" w14:textId="3AE369BE" w:rsidR="00A93B00" w:rsidRPr="00A93B00" w:rsidRDefault="00A93B00" w:rsidP="00A93B00">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613" w:type="dxa"/>
            <w:shd w:val="clear" w:color="auto" w:fill="92D050"/>
            <w:vAlign w:val="bottom"/>
          </w:tcPr>
          <w:p w14:paraId="2EC80640" w14:textId="415C80A1" w:rsidR="00A93B00" w:rsidRPr="00A93B00" w:rsidRDefault="00A93B00" w:rsidP="00A93B00">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704" w:type="dxa"/>
            <w:shd w:val="clear" w:color="auto" w:fill="FECED3"/>
            <w:vAlign w:val="bottom"/>
          </w:tcPr>
          <w:p w14:paraId="03CE5956" w14:textId="14BF7BD4" w:rsidR="00A93B00" w:rsidRPr="00A93B00" w:rsidRDefault="00A93B00" w:rsidP="00A93B00">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989" w:type="dxa"/>
            <w:vAlign w:val="bottom"/>
          </w:tcPr>
          <w:p w14:paraId="0099C11B" w14:textId="5F8ADB0A" w:rsidR="00A93B00" w:rsidRPr="00A93B00" w:rsidRDefault="00C8296D" w:rsidP="00C8296D">
            <w:pPr>
              <w:jc w:val="center"/>
              <w:rPr>
                <w:rFonts w:asciiTheme="minorHAnsi" w:hAnsiTheme="minorHAnsi" w:cstheme="minorHAnsi"/>
                <w:sz w:val="20"/>
              </w:rPr>
            </w:pPr>
            <w:r>
              <w:rPr>
                <w:rFonts w:asciiTheme="minorHAnsi" w:eastAsia="Times New Roman" w:hAnsiTheme="minorHAnsi" w:cstheme="minorHAnsi"/>
                <w:color w:val="000000"/>
                <w:sz w:val="20"/>
                <w:lang w:eastAsia="en-AU"/>
              </w:rPr>
              <w:t>3</w:t>
            </w:r>
          </w:p>
        </w:tc>
      </w:tr>
      <w:tr w:rsidR="00A93B00" w:rsidRPr="00A93B00" w14:paraId="3B08F14A" w14:textId="2591C655" w:rsidTr="007A2564">
        <w:tc>
          <w:tcPr>
            <w:tcW w:w="1457" w:type="dxa"/>
          </w:tcPr>
          <w:p w14:paraId="1CD83845" w14:textId="78684BE1" w:rsidR="00A93B00" w:rsidRPr="00A93B00" w:rsidRDefault="00A93B00" w:rsidP="00A93B00">
            <w:pPr>
              <w:rPr>
                <w:sz w:val="20"/>
              </w:rPr>
            </w:pPr>
            <w:r w:rsidRPr="00A93B00">
              <w:rPr>
                <w:sz w:val="20"/>
              </w:rPr>
              <w:t>Neurological</w:t>
            </w:r>
          </w:p>
        </w:tc>
        <w:tc>
          <w:tcPr>
            <w:tcW w:w="1856" w:type="dxa"/>
          </w:tcPr>
          <w:p w14:paraId="3771BB7A" w14:textId="61A2AAA2" w:rsidR="00A93B00" w:rsidRPr="00A93B00" w:rsidRDefault="00A93B00" w:rsidP="00A93B00">
            <w:pPr>
              <w:rPr>
                <w:sz w:val="20"/>
              </w:rPr>
            </w:pPr>
            <w:r w:rsidRPr="00A93B00">
              <w:rPr>
                <w:sz w:val="20"/>
              </w:rPr>
              <w:t>Neuropathy reporting patterns</w:t>
            </w:r>
          </w:p>
        </w:tc>
        <w:tc>
          <w:tcPr>
            <w:tcW w:w="1834" w:type="dxa"/>
          </w:tcPr>
          <w:p w14:paraId="24C144FD" w14:textId="7EEE20A2" w:rsidR="00A93B00" w:rsidRPr="00A93B00" w:rsidRDefault="00A93B00" w:rsidP="00A93B00">
            <w:pPr>
              <w:rPr>
                <w:sz w:val="20"/>
              </w:rPr>
            </w:pPr>
            <w:r w:rsidRPr="00A93B00">
              <w:rPr>
                <w:sz w:val="20"/>
              </w:rPr>
              <w:t>Pharmacovigilance study</w:t>
            </w:r>
          </w:p>
        </w:tc>
        <w:tc>
          <w:tcPr>
            <w:tcW w:w="956" w:type="dxa"/>
          </w:tcPr>
          <w:p w14:paraId="76313030" w14:textId="4BA53A47" w:rsidR="00A93B00" w:rsidRPr="00A93B00" w:rsidRDefault="00A93B00" w:rsidP="00A93B00">
            <w:pPr>
              <w:rPr>
                <w:sz w:val="20"/>
              </w:rPr>
            </w:pPr>
            <w:r w:rsidRPr="00A93B00">
              <w:rPr>
                <w:sz w:val="20"/>
              </w:rPr>
              <w:t>van Hunsel et al. 2025</w:t>
            </w:r>
          </w:p>
        </w:tc>
        <w:tc>
          <w:tcPr>
            <w:tcW w:w="616" w:type="dxa"/>
            <w:shd w:val="clear" w:color="auto" w:fill="D9D9D9" w:themeFill="background1" w:themeFillShade="D9"/>
            <w:vAlign w:val="bottom"/>
          </w:tcPr>
          <w:p w14:paraId="2F9506BD" w14:textId="01F789EA" w:rsidR="00A93B00" w:rsidRPr="00B9475E" w:rsidRDefault="00A93B00" w:rsidP="00A93B00">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616" w:type="dxa"/>
            <w:shd w:val="clear" w:color="auto" w:fill="D9D9D9" w:themeFill="background1" w:themeFillShade="D9"/>
            <w:vAlign w:val="bottom"/>
          </w:tcPr>
          <w:p w14:paraId="4AB706E9" w14:textId="10728FB5" w:rsidR="00A93B00" w:rsidRPr="00B9475E" w:rsidRDefault="00A93B00" w:rsidP="00A93B00">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598" w:type="dxa"/>
            <w:shd w:val="clear" w:color="auto" w:fill="FECED3"/>
            <w:vAlign w:val="bottom"/>
          </w:tcPr>
          <w:p w14:paraId="2DF3670A" w14:textId="15FFC0FD" w:rsidR="00A93B00" w:rsidRPr="00A93B00" w:rsidRDefault="00A93B00" w:rsidP="00A93B00">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603" w:type="dxa"/>
            <w:shd w:val="clear" w:color="auto" w:fill="EE0000"/>
            <w:vAlign w:val="bottom"/>
          </w:tcPr>
          <w:p w14:paraId="6DC4B868" w14:textId="0F9B772A" w:rsidR="00A93B00" w:rsidRPr="00A93B00" w:rsidRDefault="00A93B00" w:rsidP="00A93B00">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587" w:type="dxa"/>
            <w:shd w:val="clear" w:color="auto" w:fill="D9D9D9" w:themeFill="background1" w:themeFillShade="D9"/>
            <w:vAlign w:val="bottom"/>
          </w:tcPr>
          <w:p w14:paraId="2EE35C74" w14:textId="5A374426" w:rsidR="00A93B00" w:rsidRPr="00B9475E" w:rsidRDefault="00A93B00" w:rsidP="00A93B00">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572" w:type="dxa"/>
            <w:shd w:val="clear" w:color="auto" w:fill="D9D9D9" w:themeFill="background1" w:themeFillShade="D9"/>
            <w:vAlign w:val="bottom"/>
          </w:tcPr>
          <w:p w14:paraId="635E8C8E" w14:textId="153E40FF" w:rsidR="00A93B00" w:rsidRPr="00B9475E" w:rsidRDefault="00A93B00" w:rsidP="00A93B00">
            <w:pPr>
              <w:rPr>
                <w:rFonts w:asciiTheme="minorHAnsi" w:hAnsiTheme="minorHAnsi" w:cstheme="minorHAnsi"/>
                <w:color w:val="A6A6A6" w:themeColor="background1" w:themeShade="A6"/>
                <w:sz w:val="20"/>
              </w:rPr>
            </w:pPr>
            <w:r w:rsidRPr="00B9475E">
              <w:rPr>
                <w:rFonts w:asciiTheme="minorHAnsi" w:eastAsia="Times New Roman" w:hAnsiTheme="minorHAnsi" w:cstheme="minorHAnsi"/>
                <w:color w:val="A6A6A6" w:themeColor="background1" w:themeShade="A6"/>
                <w:sz w:val="20"/>
                <w:lang w:eastAsia="en-AU"/>
              </w:rPr>
              <w:t>NA</w:t>
            </w:r>
          </w:p>
        </w:tc>
        <w:tc>
          <w:tcPr>
            <w:tcW w:w="604" w:type="dxa"/>
            <w:shd w:val="clear" w:color="auto" w:fill="FECED3"/>
            <w:vAlign w:val="bottom"/>
          </w:tcPr>
          <w:p w14:paraId="3D430930" w14:textId="10502C4A" w:rsidR="00A93B00" w:rsidRPr="00A93B00" w:rsidRDefault="00A93B00" w:rsidP="00A93B00">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636" w:type="dxa"/>
            <w:shd w:val="clear" w:color="auto" w:fill="EE0000"/>
            <w:vAlign w:val="bottom"/>
          </w:tcPr>
          <w:p w14:paraId="4FC45BF7" w14:textId="6EBFC874" w:rsidR="00A93B00" w:rsidRPr="00A93B00" w:rsidRDefault="00A93B00" w:rsidP="00A93B00">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703" w:type="dxa"/>
            <w:shd w:val="clear" w:color="auto" w:fill="FECED3"/>
            <w:vAlign w:val="bottom"/>
          </w:tcPr>
          <w:p w14:paraId="7555273F" w14:textId="4E7A0579" w:rsidR="00A93B00" w:rsidRPr="00A93B00" w:rsidRDefault="00A93B00" w:rsidP="00A93B00">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613" w:type="dxa"/>
            <w:shd w:val="clear" w:color="auto" w:fill="92D050"/>
            <w:vAlign w:val="bottom"/>
          </w:tcPr>
          <w:p w14:paraId="26AEFB98" w14:textId="3A30CC33" w:rsidR="00A93B00" w:rsidRPr="00A93B00" w:rsidRDefault="00A93B00" w:rsidP="00A93B00">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704" w:type="dxa"/>
            <w:shd w:val="clear" w:color="auto" w:fill="FECED3"/>
            <w:vAlign w:val="bottom"/>
          </w:tcPr>
          <w:p w14:paraId="7CCC93DD" w14:textId="7D1680D0" w:rsidR="00A93B00" w:rsidRPr="00A93B00" w:rsidRDefault="00A93B00" w:rsidP="00A93B00">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989" w:type="dxa"/>
            <w:vAlign w:val="bottom"/>
          </w:tcPr>
          <w:p w14:paraId="64727415" w14:textId="5534C571" w:rsidR="00A93B00" w:rsidRPr="00A93B00" w:rsidRDefault="00C8296D" w:rsidP="00C8296D">
            <w:pPr>
              <w:jc w:val="center"/>
              <w:rPr>
                <w:rFonts w:asciiTheme="minorHAnsi" w:hAnsiTheme="minorHAnsi" w:cstheme="minorHAnsi"/>
                <w:sz w:val="20"/>
              </w:rPr>
            </w:pPr>
            <w:r>
              <w:rPr>
                <w:rFonts w:asciiTheme="minorHAnsi" w:eastAsia="Times New Roman" w:hAnsiTheme="minorHAnsi" w:cstheme="minorHAnsi"/>
                <w:color w:val="000000"/>
                <w:sz w:val="20"/>
                <w:lang w:eastAsia="en-AU"/>
              </w:rPr>
              <w:t>3</w:t>
            </w:r>
          </w:p>
        </w:tc>
      </w:tr>
      <w:tr w:rsidR="004D253D" w:rsidRPr="00A93B00" w14:paraId="1974B093" w14:textId="0ACB1477" w:rsidTr="006D4F24">
        <w:tc>
          <w:tcPr>
            <w:tcW w:w="1457" w:type="dxa"/>
          </w:tcPr>
          <w:p w14:paraId="2ECF0053" w14:textId="5719D117" w:rsidR="004D253D" w:rsidRPr="00A93B00" w:rsidRDefault="004D253D" w:rsidP="004D253D">
            <w:pPr>
              <w:rPr>
                <w:sz w:val="20"/>
              </w:rPr>
            </w:pPr>
            <w:r w:rsidRPr="00A93B00">
              <w:rPr>
                <w:sz w:val="20"/>
              </w:rPr>
              <w:t>Neurological</w:t>
            </w:r>
          </w:p>
        </w:tc>
        <w:tc>
          <w:tcPr>
            <w:tcW w:w="1856" w:type="dxa"/>
          </w:tcPr>
          <w:p w14:paraId="564C2BA5" w14:textId="0C9AA1C0" w:rsidR="004D253D" w:rsidRPr="00A93B00" w:rsidRDefault="004D253D" w:rsidP="004D253D">
            <w:pPr>
              <w:rPr>
                <w:sz w:val="20"/>
              </w:rPr>
            </w:pPr>
            <w:r w:rsidRPr="00A93B00">
              <w:rPr>
                <w:sz w:val="20"/>
              </w:rPr>
              <w:t>Neurotoxicity / neuronal damage</w:t>
            </w:r>
          </w:p>
        </w:tc>
        <w:tc>
          <w:tcPr>
            <w:tcW w:w="1834" w:type="dxa"/>
          </w:tcPr>
          <w:p w14:paraId="43333B53" w14:textId="1ACDFDF7" w:rsidR="004D253D" w:rsidRPr="00A93B00" w:rsidRDefault="004D253D" w:rsidP="004D253D">
            <w:pPr>
              <w:rPr>
                <w:sz w:val="20"/>
              </w:rPr>
            </w:pPr>
            <w:r>
              <w:rPr>
                <w:sz w:val="20"/>
              </w:rPr>
              <w:t xml:space="preserve">Animal </w:t>
            </w:r>
          </w:p>
        </w:tc>
        <w:tc>
          <w:tcPr>
            <w:tcW w:w="956" w:type="dxa"/>
          </w:tcPr>
          <w:p w14:paraId="1F77A596" w14:textId="733FCBC0" w:rsidR="004D253D" w:rsidRPr="00A93B00" w:rsidRDefault="004D253D" w:rsidP="004D253D">
            <w:pPr>
              <w:rPr>
                <w:sz w:val="20"/>
              </w:rPr>
            </w:pPr>
            <w:r w:rsidRPr="00A93B00">
              <w:rPr>
                <w:sz w:val="20"/>
              </w:rPr>
              <w:t>Sano et al. 202</w:t>
            </w:r>
            <w:r w:rsidR="008D1458">
              <w:rPr>
                <w:sz w:val="20"/>
              </w:rPr>
              <w:t>2</w:t>
            </w:r>
          </w:p>
        </w:tc>
        <w:tc>
          <w:tcPr>
            <w:tcW w:w="616" w:type="dxa"/>
            <w:shd w:val="clear" w:color="auto" w:fill="92D050"/>
            <w:vAlign w:val="bottom"/>
          </w:tcPr>
          <w:p w14:paraId="4C183B71" w14:textId="2C226D0D" w:rsidR="004D253D" w:rsidRPr="00A93B00" w:rsidRDefault="004D253D" w:rsidP="004D253D">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616" w:type="dxa"/>
            <w:shd w:val="clear" w:color="auto" w:fill="FECED3"/>
            <w:vAlign w:val="bottom"/>
          </w:tcPr>
          <w:p w14:paraId="58AD309F" w14:textId="3FBE53CE" w:rsidR="004D253D" w:rsidRPr="00A93B00" w:rsidRDefault="004D253D" w:rsidP="004D253D">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NR</w:t>
            </w:r>
          </w:p>
        </w:tc>
        <w:tc>
          <w:tcPr>
            <w:tcW w:w="598" w:type="dxa"/>
            <w:shd w:val="clear" w:color="auto" w:fill="92D050"/>
            <w:vAlign w:val="bottom"/>
          </w:tcPr>
          <w:p w14:paraId="072F240C" w14:textId="7515FA7D" w:rsidR="004D253D" w:rsidRPr="004D253D" w:rsidRDefault="004D253D" w:rsidP="004D253D">
            <w:pPr>
              <w:rPr>
                <w:rFonts w:asciiTheme="minorHAnsi" w:hAnsiTheme="minorHAnsi" w:cstheme="minorHAnsi"/>
                <w:color w:val="1E1E1E" w:themeColor="text1"/>
                <w:sz w:val="20"/>
              </w:rPr>
            </w:pPr>
            <w:r w:rsidRPr="004D253D">
              <w:rPr>
                <w:rFonts w:asciiTheme="minorHAnsi" w:eastAsia="Times New Roman" w:hAnsiTheme="minorHAnsi" w:cstheme="minorHAnsi"/>
                <w:color w:val="1E1E1E" w:themeColor="text1"/>
                <w:sz w:val="20"/>
                <w:lang w:eastAsia="en-AU"/>
              </w:rPr>
              <w:t xml:space="preserve"> +</w:t>
            </w:r>
          </w:p>
        </w:tc>
        <w:tc>
          <w:tcPr>
            <w:tcW w:w="603" w:type="dxa"/>
            <w:shd w:val="clear" w:color="auto" w:fill="92D050"/>
            <w:vAlign w:val="bottom"/>
          </w:tcPr>
          <w:p w14:paraId="3686A37F" w14:textId="728D92D9" w:rsidR="004D253D" w:rsidRPr="00A93B00" w:rsidRDefault="004D253D" w:rsidP="004D253D">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587" w:type="dxa"/>
            <w:shd w:val="clear" w:color="auto" w:fill="00B050"/>
            <w:vAlign w:val="bottom"/>
          </w:tcPr>
          <w:p w14:paraId="663B0F62" w14:textId="3C47775C" w:rsidR="004D253D" w:rsidRPr="00A93B00" w:rsidRDefault="004D253D" w:rsidP="004D253D">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 xml:space="preserve"> ++</w:t>
            </w:r>
          </w:p>
        </w:tc>
        <w:tc>
          <w:tcPr>
            <w:tcW w:w="572" w:type="dxa"/>
            <w:shd w:val="clear" w:color="auto" w:fill="FECED3"/>
            <w:vAlign w:val="bottom"/>
          </w:tcPr>
          <w:p w14:paraId="02CA110D" w14:textId="1CBAC6E3" w:rsidR="004D253D" w:rsidRPr="00A93B00" w:rsidRDefault="004D253D" w:rsidP="004D253D">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NR</w:t>
            </w:r>
          </w:p>
        </w:tc>
        <w:tc>
          <w:tcPr>
            <w:tcW w:w="604" w:type="dxa"/>
            <w:shd w:val="clear" w:color="auto" w:fill="92D050"/>
            <w:vAlign w:val="bottom"/>
          </w:tcPr>
          <w:p w14:paraId="1CFCC929" w14:textId="446CAA5D" w:rsidR="004D253D" w:rsidRPr="00A93B00" w:rsidRDefault="004D253D" w:rsidP="004D253D">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636" w:type="dxa"/>
            <w:shd w:val="clear" w:color="auto" w:fill="00B050"/>
            <w:vAlign w:val="bottom"/>
          </w:tcPr>
          <w:p w14:paraId="28BDEE88" w14:textId="17D07898" w:rsidR="004D253D" w:rsidRPr="00A93B00" w:rsidRDefault="004D253D" w:rsidP="004D253D">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 xml:space="preserve"> ++</w:t>
            </w:r>
          </w:p>
        </w:tc>
        <w:tc>
          <w:tcPr>
            <w:tcW w:w="703" w:type="dxa"/>
            <w:shd w:val="clear" w:color="auto" w:fill="FECED3"/>
            <w:vAlign w:val="bottom"/>
          </w:tcPr>
          <w:p w14:paraId="6F96151E" w14:textId="4CB2F374" w:rsidR="004D253D" w:rsidRPr="00A93B00" w:rsidRDefault="004D253D" w:rsidP="004D253D">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613" w:type="dxa"/>
            <w:shd w:val="clear" w:color="auto" w:fill="92D050"/>
            <w:vAlign w:val="bottom"/>
          </w:tcPr>
          <w:p w14:paraId="5DB6932C" w14:textId="622A3D45" w:rsidR="004D253D" w:rsidRPr="00A93B00" w:rsidRDefault="004D253D" w:rsidP="004D253D">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704" w:type="dxa"/>
            <w:shd w:val="clear" w:color="auto" w:fill="FECED3"/>
            <w:vAlign w:val="bottom"/>
          </w:tcPr>
          <w:p w14:paraId="4124C1CF" w14:textId="097D623A" w:rsidR="004D253D" w:rsidRPr="00A93B00" w:rsidRDefault="004D253D" w:rsidP="004D253D">
            <w:pPr>
              <w:rPr>
                <w:rFonts w:asciiTheme="minorHAnsi" w:hAnsiTheme="minorHAnsi" w:cstheme="minorHAnsi"/>
                <w:sz w:val="20"/>
              </w:rPr>
            </w:pPr>
            <w:r w:rsidRPr="00A93B00">
              <w:rPr>
                <w:rFonts w:asciiTheme="minorHAnsi" w:eastAsia="Times New Roman" w:hAnsiTheme="minorHAnsi" w:cstheme="minorHAnsi"/>
                <w:color w:val="000000"/>
                <w:sz w:val="20"/>
                <w:lang w:eastAsia="en-AU"/>
              </w:rPr>
              <w:t>−</w:t>
            </w:r>
          </w:p>
        </w:tc>
        <w:tc>
          <w:tcPr>
            <w:tcW w:w="989" w:type="dxa"/>
            <w:vAlign w:val="bottom"/>
          </w:tcPr>
          <w:p w14:paraId="2BDCCF2E" w14:textId="20CCF327" w:rsidR="004D253D" w:rsidRPr="00A93B00" w:rsidRDefault="004D253D" w:rsidP="004D253D">
            <w:pPr>
              <w:jc w:val="center"/>
              <w:rPr>
                <w:rFonts w:asciiTheme="minorHAnsi" w:hAnsiTheme="minorHAnsi" w:cstheme="minorHAnsi"/>
                <w:sz w:val="20"/>
              </w:rPr>
            </w:pPr>
            <w:r>
              <w:rPr>
                <w:rFonts w:asciiTheme="minorHAnsi" w:hAnsiTheme="minorHAnsi" w:cstheme="minorHAnsi"/>
                <w:sz w:val="20"/>
              </w:rPr>
              <w:t>3</w:t>
            </w:r>
          </w:p>
        </w:tc>
      </w:tr>
      <w:tr w:rsidR="00C8296D" w:rsidRPr="00A93B00" w14:paraId="1F7E3E3F" w14:textId="5104E928" w:rsidTr="007A2564">
        <w:tc>
          <w:tcPr>
            <w:tcW w:w="1457" w:type="dxa"/>
          </w:tcPr>
          <w:p w14:paraId="59D8EBD3" w14:textId="737DB8EB" w:rsidR="00C8296D" w:rsidRPr="00A93B00" w:rsidRDefault="00C8296D" w:rsidP="00C8296D">
            <w:pPr>
              <w:rPr>
                <w:sz w:val="20"/>
              </w:rPr>
            </w:pPr>
            <w:r w:rsidRPr="00A93B00">
              <w:rPr>
                <w:sz w:val="20"/>
              </w:rPr>
              <w:t>Neurological</w:t>
            </w:r>
          </w:p>
        </w:tc>
        <w:tc>
          <w:tcPr>
            <w:tcW w:w="1856" w:type="dxa"/>
          </w:tcPr>
          <w:p w14:paraId="71DBEE31" w14:textId="68BC9D0C" w:rsidR="00C8296D" w:rsidRPr="00A93B00" w:rsidRDefault="00C8296D" w:rsidP="00C8296D">
            <w:pPr>
              <w:rPr>
                <w:sz w:val="20"/>
              </w:rPr>
            </w:pPr>
            <w:r w:rsidRPr="00A93B00">
              <w:rPr>
                <w:sz w:val="20"/>
              </w:rPr>
              <w:t>Peripheral neurotoxicity</w:t>
            </w:r>
          </w:p>
        </w:tc>
        <w:tc>
          <w:tcPr>
            <w:tcW w:w="1834" w:type="dxa"/>
          </w:tcPr>
          <w:p w14:paraId="1D4DC743" w14:textId="08B49B26" w:rsidR="00C8296D" w:rsidRPr="00A93B00" w:rsidRDefault="00C8296D" w:rsidP="00C8296D">
            <w:pPr>
              <w:rPr>
                <w:sz w:val="20"/>
              </w:rPr>
            </w:pPr>
            <w:r>
              <w:rPr>
                <w:sz w:val="20"/>
              </w:rPr>
              <w:t>Animal</w:t>
            </w:r>
          </w:p>
        </w:tc>
        <w:tc>
          <w:tcPr>
            <w:tcW w:w="956" w:type="dxa"/>
          </w:tcPr>
          <w:p w14:paraId="4BE219C0" w14:textId="2E45C38A" w:rsidR="00C8296D" w:rsidRPr="00A93B00" w:rsidRDefault="00C8296D" w:rsidP="00C8296D">
            <w:pPr>
              <w:rPr>
                <w:sz w:val="20"/>
              </w:rPr>
            </w:pPr>
            <w:r w:rsidRPr="00C8296D">
              <w:rPr>
                <w:sz w:val="20"/>
              </w:rPr>
              <w:t>Theil et al. 2023</w:t>
            </w:r>
          </w:p>
        </w:tc>
        <w:tc>
          <w:tcPr>
            <w:tcW w:w="616" w:type="dxa"/>
            <w:shd w:val="clear" w:color="auto" w:fill="92D050"/>
            <w:vAlign w:val="bottom"/>
          </w:tcPr>
          <w:p w14:paraId="3C02AE5F" w14:textId="72E82D15" w:rsidR="00C8296D" w:rsidRPr="00C8296D" w:rsidRDefault="00C8296D" w:rsidP="00C8296D">
            <w:pPr>
              <w:rPr>
                <w:rFonts w:asciiTheme="minorHAnsi" w:hAnsiTheme="minorHAnsi" w:cstheme="minorHAnsi"/>
                <w:sz w:val="20"/>
              </w:rPr>
            </w:pPr>
            <w:r w:rsidRPr="00C8296D">
              <w:rPr>
                <w:rFonts w:asciiTheme="minorHAnsi" w:eastAsia="Times New Roman" w:hAnsiTheme="minorHAnsi" w:cstheme="minorHAnsi"/>
                <w:color w:val="000000"/>
                <w:sz w:val="20"/>
                <w:lang w:eastAsia="en-AU"/>
              </w:rPr>
              <w:t>+</w:t>
            </w:r>
          </w:p>
        </w:tc>
        <w:tc>
          <w:tcPr>
            <w:tcW w:w="616" w:type="dxa"/>
            <w:shd w:val="clear" w:color="auto" w:fill="FECED3"/>
            <w:vAlign w:val="bottom"/>
          </w:tcPr>
          <w:p w14:paraId="4DE84143" w14:textId="50167551" w:rsidR="00C8296D" w:rsidRPr="00C8296D" w:rsidRDefault="00C8296D" w:rsidP="00C8296D">
            <w:pPr>
              <w:rPr>
                <w:rFonts w:asciiTheme="minorHAnsi" w:hAnsiTheme="minorHAnsi" w:cstheme="minorHAnsi"/>
                <w:sz w:val="20"/>
              </w:rPr>
            </w:pPr>
            <w:r w:rsidRPr="00C8296D">
              <w:rPr>
                <w:rFonts w:asciiTheme="minorHAnsi" w:eastAsia="Times New Roman" w:hAnsiTheme="minorHAnsi" w:cstheme="minorHAnsi"/>
                <w:color w:val="000000"/>
                <w:sz w:val="20"/>
                <w:lang w:eastAsia="en-AU"/>
              </w:rPr>
              <w:t>NR</w:t>
            </w:r>
          </w:p>
        </w:tc>
        <w:tc>
          <w:tcPr>
            <w:tcW w:w="598" w:type="dxa"/>
            <w:shd w:val="clear" w:color="auto" w:fill="00B050"/>
            <w:vAlign w:val="bottom"/>
          </w:tcPr>
          <w:p w14:paraId="621C7D81" w14:textId="089F737B" w:rsidR="00C8296D" w:rsidRPr="00C8296D" w:rsidRDefault="00C8296D" w:rsidP="00C8296D">
            <w:pPr>
              <w:rPr>
                <w:rFonts w:asciiTheme="minorHAnsi" w:hAnsiTheme="minorHAnsi" w:cstheme="minorHAnsi"/>
                <w:sz w:val="20"/>
              </w:rPr>
            </w:pPr>
            <w:r w:rsidRPr="00C8296D">
              <w:rPr>
                <w:rFonts w:asciiTheme="minorHAnsi" w:eastAsia="Times New Roman" w:hAnsiTheme="minorHAnsi" w:cstheme="minorHAnsi"/>
                <w:color w:val="000000"/>
                <w:sz w:val="20"/>
                <w:lang w:eastAsia="en-AU"/>
              </w:rPr>
              <w:t xml:space="preserve"> ++</w:t>
            </w:r>
          </w:p>
        </w:tc>
        <w:tc>
          <w:tcPr>
            <w:tcW w:w="603" w:type="dxa"/>
            <w:shd w:val="clear" w:color="auto" w:fill="92D050"/>
            <w:vAlign w:val="bottom"/>
          </w:tcPr>
          <w:p w14:paraId="7A07B9B7" w14:textId="681DDAFF" w:rsidR="00C8296D" w:rsidRPr="00C8296D" w:rsidRDefault="00C8296D" w:rsidP="00C8296D">
            <w:pPr>
              <w:rPr>
                <w:rFonts w:asciiTheme="minorHAnsi" w:hAnsiTheme="minorHAnsi" w:cstheme="minorHAnsi"/>
                <w:sz w:val="20"/>
              </w:rPr>
            </w:pPr>
            <w:r w:rsidRPr="00C8296D">
              <w:rPr>
                <w:rFonts w:asciiTheme="minorHAnsi" w:eastAsia="Times New Roman" w:hAnsiTheme="minorHAnsi" w:cstheme="minorHAnsi"/>
                <w:color w:val="000000"/>
                <w:sz w:val="20"/>
                <w:lang w:eastAsia="en-AU"/>
              </w:rPr>
              <w:t>+</w:t>
            </w:r>
          </w:p>
        </w:tc>
        <w:tc>
          <w:tcPr>
            <w:tcW w:w="587" w:type="dxa"/>
            <w:shd w:val="clear" w:color="auto" w:fill="92D050"/>
            <w:vAlign w:val="bottom"/>
          </w:tcPr>
          <w:p w14:paraId="156CAB5A" w14:textId="5C675402" w:rsidR="00C8296D" w:rsidRPr="00C8296D" w:rsidRDefault="00C8296D" w:rsidP="00C8296D">
            <w:pPr>
              <w:rPr>
                <w:rFonts w:asciiTheme="minorHAnsi" w:hAnsiTheme="minorHAnsi" w:cstheme="minorHAnsi"/>
                <w:sz w:val="20"/>
              </w:rPr>
            </w:pPr>
            <w:r w:rsidRPr="00C8296D">
              <w:rPr>
                <w:rFonts w:asciiTheme="minorHAnsi" w:eastAsia="Times New Roman" w:hAnsiTheme="minorHAnsi" w:cstheme="minorHAnsi"/>
                <w:color w:val="000000"/>
                <w:sz w:val="20"/>
                <w:lang w:eastAsia="en-AU"/>
              </w:rPr>
              <w:t>+</w:t>
            </w:r>
          </w:p>
        </w:tc>
        <w:tc>
          <w:tcPr>
            <w:tcW w:w="572" w:type="dxa"/>
            <w:shd w:val="clear" w:color="auto" w:fill="FECED3"/>
            <w:vAlign w:val="bottom"/>
          </w:tcPr>
          <w:p w14:paraId="04F65791" w14:textId="030EB5BC" w:rsidR="00C8296D" w:rsidRPr="00C8296D" w:rsidRDefault="00C8296D" w:rsidP="00C8296D">
            <w:pPr>
              <w:rPr>
                <w:rFonts w:asciiTheme="minorHAnsi" w:hAnsiTheme="minorHAnsi" w:cstheme="minorHAnsi"/>
                <w:sz w:val="20"/>
              </w:rPr>
            </w:pPr>
            <w:r w:rsidRPr="00C8296D">
              <w:rPr>
                <w:rFonts w:asciiTheme="minorHAnsi" w:eastAsia="Times New Roman" w:hAnsiTheme="minorHAnsi" w:cstheme="minorHAnsi"/>
                <w:color w:val="000000"/>
                <w:sz w:val="20"/>
                <w:lang w:eastAsia="en-AU"/>
              </w:rPr>
              <w:t>NR</w:t>
            </w:r>
          </w:p>
        </w:tc>
        <w:tc>
          <w:tcPr>
            <w:tcW w:w="604" w:type="dxa"/>
            <w:shd w:val="clear" w:color="auto" w:fill="92D050"/>
            <w:vAlign w:val="bottom"/>
          </w:tcPr>
          <w:p w14:paraId="798A0E2B" w14:textId="665E9B13" w:rsidR="00C8296D" w:rsidRPr="00C8296D" w:rsidRDefault="00C8296D" w:rsidP="00C8296D">
            <w:pPr>
              <w:rPr>
                <w:rFonts w:asciiTheme="minorHAnsi" w:hAnsiTheme="minorHAnsi" w:cstheme="minorHAnsi"/>
                <w:sz w:val="20"/>
              </w:rPr>
            </w:pPr>
            <w:r w:rsidRPr="00C8296D">
              <w:rPr>
                <w:rFonts w:asciiTheme="minorHAnsi" w:eastAsia="Times New Roman" w:hAnsiTheme="minorHAnsi" w:cstheme="minorHAnsi"/>
                <w:color w:val="000000"/>
                <w:sz w:val="20"/>
                <w:lang w:eastAsia="en-AU"/>
              </w:rPr>
              <w:t>+</w:t>
            </w:r>
          </w:p>
        </w:tc>
        <w:tc>
          <w:tcPr>
            <w:tcW w:w="636" w:type="dxa"/>
            <w:shd w:val="clear" w:color="auto" w:fill="92D050"/>
            <w:vAlign w:val="bottom"/>
          </w:tcPr>
          <w:p w14:paraId="404E862D" w14:textId="5670276E" w:rsidR="00C8296D" w:rsidRPr="00C8296D" w:rsidRDefault="00C8296D" w:rsidP="00C8296D">
            <w:pPr>
              <w:rPr>
                <w:rFonts w:asciiTheme="minorHAnsi" w:hAnsiTheme="minorHAnsi" w:cstheme="minorHAnsi"/>
                <w:sz w:val="20"/>
              </w:rPr>
            </w:pPr>
            <w:r w:rsidRPr="00C8296D">
              <w:rPr>
                <w:rFonts w:asciiTheme="minorHAnsi" w:eastAsia="Times New Roman" w:hAnsiTheme="minorHAnsi" w:cstheme="minorHAnsi"/>
                <w:color w:val="000000"/>
                <w:sz w:val="20"/>
                <w:lang w:eastAsia="en-AU"/>
              </w:rPr>
              <w:t>+</w:t>
            </w:r>
          </w:p>
        </w:tc>
        <w:tc>
          <w:tcPr>
            <w:tcW w:w="703" w:type="dxa"/>
            <w:shd w:val="clear" w:color="auto" w:fill="92D050"/>
            <w:vAlign w:val="bottom"/>
          </w:tcPr>
          <w:p w14:paraId="1ACEE2F6" w14:textId="27A59DA6" w:rsidR="00C8296D" w:rsidRPr="00C8296D" w:rsidRDefault="00C8296D" w:rsidP="00C8296D">
            <w:pPr>
              <w:rPr>
                <w:rFonts w:asciiTheme="minorHAnsi" w:hAnsiTheme="minorHAnsi" w:cstheme="minorHAnsi"/>
                <w:sz w:val="20"/>
              </w:rPr>
            </w:pPr>
            <w:r w:rsidRPr="00C8296D">
              <w:rPr>
                <w:rFonts w:asciiTheme="minorHAnsi" w:eastAsia="Times New Roman" w:hAnsiTheme="minorHAnsi" w:cstheme="minorHAnsi"/>
                <w:color w:val="000000"/>
                <w:sz w:val="20"/>
                <w:lang w:eastAsia="en-AU"/>
              </w:rPr>
              <w:t>+</w:t>
            </w:r>
          </w:p>
        </w:tc>
        <w:tc>
          <w:tcPr>
            <w:tcW w:w="613" w:type="dxa"/>
            <w:shd w:val="clear" w:color="auto" w:fill="92D050"/>
            <w:vAlign w:val="bottom"/>
          </w:tcPr>
          <w:p w14:paraId="624CEC84" w14:textId="179DB85B" w:rsidR="00C8296D" w:rsidRPr="00C8296D" w:rsidRDefault="00C8296D" w:rsidP="00C8296D">
            <w:pPr>
              <w:rPr>
                <w:rFonts w:asciiTheme="minorHAnsi" w:hAnsiTheme="minorHAnsi" w:cstheme="minorHAnsi"/>
                <w:sz w:val="20"/>
              </w:rPr>
            </w:pPr>
            <w:r w:rsidRPr="00C8296D">
              <w:rPr>
                <w:rFonts w:asciiTheme="minorHAnsi" w:eastAsia="Times New Roman" w:hAnsiTheme="minorHAnsi" w:cstheme="minorHAnsi"/>
                <w:color w:val="000000"/>
                <w:sz w:val="20"/>
                <w:lang w:eastAsia="en-AU"/>
              </w:rPr>
              <w:t>+</w:t>
            </w:r>
          </w:p>
        </w:tc>
        <w:tc>
          <w:tcPr>
            <w:tcW w:w="704" w:type="dxa"/>
            <w:shd w:val="clear" w:color="auto" w:fill="FECED3"/>
            <w:vAlign w:val="bottom"/>
          </w:tcPr>
          <w:p w14:paraId="4514B5EF" w14:textId="18B646BD" w:rsidR="00C8296D" w:rsidRPr="00C8296D" w:rsidRDefault="00C8296D" w:rsidP="00C8296D">
            <w:pPr>
              <w:rPr>
                <w:rFonts w:asciiTheme="minorHAnsi" w:hAnsiTheme="minorHAnsi" w:cstheme="minorHAnsi"/>
                <w:sz w:val="20"/>
              </w:rPr>
            </w:pPr>
            <w:r w:rsidRPr="00C8296D">
              <w:rPr>
                <w:rFonts w:asciiTheme="minorHAnsi" w:eastAsia="Times New Roman" w:hAnsiTheme="minorHAnsi" w:cstheme="minorHAnsi"/>
                <w:color w:val="000000"/>
                <w:sz w:val="20"/>
                <w:lang w:eastAsia="en-AU"/>
              </w:rPr>
              <w:t>−</w:t>
            </w:r>
          </w:p>
        </w:tc>
        <w:tc>
          <w:tcPr>
            <w:tcW w:w="989" w:type="dxa"/>
            <w:vAlign w:val="bottom"/>
          </w:tcPr>
          <w:p w14:paraId="44718E61" w14:textId="14BAF5E5" w:rsidR="00C8296D" w:rsidRPr="00C8296D" w:rsidRDefault="00C8296D" w:rsidP="00C8296D">
            <w:pPr>
              <w:jc w:val="center"/>
              <w:rPr>
                <w:rFonts w:asciiTheme="minorHAnsi" w:hAnsiTheme="minorHAnsi" w:cstheme="minorHAnsi"/>
                <w:sz w:val="20"/>
              </w:rPr>
            </w:pPr>
            <w:r w:rsidRPr="00C8296D">
              <w:rPr>
                <w:rFonts w:asciiTheme="minorHAnsi" w:eastAsia="Times New Roman" w:hAnsiTheme="minorHAnsi" w:cstheme="minorHAnsi"/>
                <w:color w:val="000000"/>
                <w:sz w:val="20"/>
                <w:lang w:eastAsia="en-AU"/>
              </w:rPr>
              <w:t>2</w:t>
            </w:r>
          </w:p>
        </w:tc>
      </w:tr>
      <w:tr w:rsidR="00C8296D" w:rsidRPr="00A93B00" w14:paraId="1BC7BEE5" w14:textId="77777777" w:rsidTr="007A2564">
        <w:tc>
          <w:tcPr>
            <w:tcW w:w="1457" w:type="dxa"/>
          </w:tcPr>
          <w:p w14:paraId="6CD1EF3A" w14:textId="38651783" w:rsidR="00C8296D" w:rsidRDefault="00C8296D" w:rsidP="00C8296D">
            <w:pPr>
              <w:rPr>
                <w:sz w:val="20"/>
              </w:rPr>
            </w:pPr>
            <w:r>
              <w:rPr>
                <w:sz w:val="20"/>
              </w:rPr>
              <w:lastRenderedPageBreak/>
              <w:t xml:space="preserve">Other </w:t>
            </w:r>
          </w:p>
        </w:tc>
        <w:tc>
          <w:tcPr>
            <w:tcW w:w="1856" w:type="dxa"/>
          </w:tcPr>
          <w:p w14:paraId="4CD38745" w14:textId="172CA827" w:rsidR="00C8296D" w:rsidRPr="00C8296D" w:rsidRDefault="00C8296D" w:rsidP="00C8296D">
            <w:pPr>
              <w:rPr>
                <w:sz w:val="20"/>
              </w:rPr>
            </w:pPr>
            <w:r w:rsidRPr="00C8296D">
              <w:rPr>
                <w:sz w:val="20"/>
              </w:rPr>
              <w:t>Plasma B6 vitamer responses</w:t>
            </w:r>
          </w:p>
        </w:tc>
        <w:tc>
          <w:tcPr>
            <w:tcW w:w="1834" w:type="dxa"/>
          </w:tcPr>
          <w:p w14:paraId="69F93E00" w14:textId="07451DE4" w:rsidR="00C8296D" w:rsidRDefault="00C8296D" w:rsidP="00C8296D">
            <w:pPr>
              <w:rPr>
                <w:sz w:val="20"/>
              </w:rPr>
            </w:pPr>
            <w:r>
              <w:rPr>
                <w:sz w:val="20"/>
              </w:rPr>
              <w:t>Human cross - sectional</w:t>
            </w:r>
          </w:p>
        </w:tc>
        <w:tc>
          <w:tcPr>
            <w:tcW w:w="956" w:type="dxa"/>
          </w:tcPr>
          <w:p w14:paraId="19CC8156" w14:textId="36A6A1AA" w:rsidR="00C8296D" w:rsidRPr="00C8296D" w:rsidRDefault="00C8296D" w:rsidP="00C8296D">
            <w:pPr>
              <w:rPr>
                <w:sz w:val="20"/>
              </w:rPr>
            </w:pPr>
            <w:r w:rsidRPr="00C8296D">
              <w:rPr>
                <w:sz w:val="20"/>
              </w:rPr>
              <w:t>Whyte et al. 2024</w:t>
            </w:r>
          </w:p>
        </w:tc>
        <w:tc>
          <w:tcPr>
            <w:tcW w:w="616"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558A72F8" w14:textId="5148DCCB" w:rsidR="00C8296D" w:rsidRPr="00B9475E" w:rsidRDefault="00C8296D" w:rsidP="00C8296D">
            <w:pPr>
              <w:rPr>
                <w:rFonts w:asciiTheme="minorHAnsi" w:eastAsia="Times New Roman" w:hAnsiTheme="minorHAnsi" w:cstheme="minorHAnsi"/>
                <w:color w:val="A6A6A6" w:themeColor="background1" w:themeShade="A6"/>
                <w:sz w:val="20"/>
                <w:lang w:eastAsia="en-AU"/>
              </w:rPr>
            </w:pPr>
            <w:r w:rsidRPr="00B9475E">
              <w:rPr>
                <w:rFonts w:asciiTheme="minorHAnsi" w:hAnsiTheme="minorHAnsi" w:cstheme="minorHAnsi"/>
                <w:color w:val="A6A6A6" w:themeColor="background1" w:themeShade="A6"/>
                <w:szCs w:val="22"/>
              </w:rPr>
              <w:t>NA</w:t>
            </w:r>
          </w:p>
        </w:tc>
        <w:tc>
          <w:tcPr>
            <w:tcW w:w="6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B696CCF" w14:textId="734B44D7" w:rsidR="00C8296D" w:rsidRPr="00B9475E" w:rsidRDefault="00C8296D" w:rsidP="00C8296D">
            <w:pPr>
              <w:rPr>
                <w:rFonts w:asciiTheme="minorHAnsi" w:eastAsia="Times New Roman" w:hAnsiTheme="minorHAnsi" w:cstheme="minorHAnsi"/>
                <w:color w:val="A6A6A6" w:themeColor="background1" w:themeShade="A6"/>
                <w:sz w:val="20"/>
                <w:lang w:eastAsia="en-AU"/>
              </w:rPr>
            </w:pPr>
            <w:r w:rsidRPr="00B9475E">
              <w:rPr>
                <w:rFonts w:asciiTheme="minorHAnsi" w:hAnsiTheme="minorHAnsi" w:cstheme="minorHAnsi"/>
                <w:color w:val="A6A6A6" w:themeColor="background1" w:themeShade="A6"/>
                <w:szCs w:val="22"/>
              </w:rPr>
              <w:t>NA</w:t>
            </w:r>
          </w:p>
        </w:tc>
        <w:tc>
          <w:tcPr>
            <w:tcW w:w="598" w:type="dxa"/>
            <w:tcBorders>
              <w:top w:val="single" w:sz="4" w:space="0" w:color="auto"/>
              <w:left w:val="single" w:sz="4" w:space="0" w:color="auto"/>
              <w:bottom w:val="single" w:sz="4" w:space="0" w:color="auto"/>
              <w:right w:val="single" w:sz="4" w:space="0" w:color="auto"/>
            </w:tcBorders>
            <w:shd w:val="clear" w:color="auto" w:fill="92D050"/>
            <w:vAlign w:val="bottom"/>
          </w:tcPr>
          <w:p w14:paraId="56801D6F" w14:textId="299CD7EE" w:rsidR="00C8296D" w:rsidRPr="00C8296D" w:rsidRDefault="00C8296D" w:rsidP="00C8296D">
            <w:pPr>
              <w:rPr>
                <w:rFonts w:asciiTheme="minorHAnsi" w:eastAsia="Times New Roman" w:hAnsiTheme="minorHAnsi" w:cstheme="minorHAnsi"/>
                <w:color w:val="000000"/>
                <w:sz w:val="20"/>
                <w:lang w:eastAsia="en-AU"/>
              </w:rPr>
            </w:pPr>
            <w:r w:rsidRPr="00C8296D">
              <w:rPr>
                <w:rFonts w:asciiTheme="minorHAnsi" w:hAnsiTheme="minorHAnsi" w:cstheme="minorHAnsi"/>
                <w:color w:val="000000"/>
                <w:szCs w:val="22"/>
              </w:rPr>
              <w:t>+</w:t>
            </w:r>
          </w:p>
        </w:tc>
        <w:tc>
          <w:tcPr>
            <w:tcW w:w="603" w:type="dxa"/>
            <w:tcBorders>
              <w:top w:val="single" w:sz="4" w:space="0" w:color="auto"/>
              <w:left w:val="single" w:sz="4" w:space="0" w:color="auto"/>
              <w:bottom w:val="single" w:sz="4" w:space="0" w:color="auto"/>
              <w:right w:val="single" w:sz="4" w:space="0" w:color="auto"/>
            </w:tcBorders>
            <w:shd w:val="clear" w:color="auto" w:fill="FECED3"/>
            <w:vAlign w:val="bottom"/>
          </w:tcPr>
          <w:p w14:paraId="0BF61C2B" w14:textId="011487A0" w:rsidR="00C8296D" w:rsidRPr="00C8296D" w:rsidRDefault="00C8296D" w:rsidP="00C8296D">
            <w:pPr>
              <w:rPr>
                <w:rFonts w:asciiTheme="minorHAnsi" w:eastAsia="Times New Roman" w:hAnsiTheme="minorHAnsi" w:cstheme="minorHAnsi"/>
                <w:color w:val="000000"/>
                <w:sz w:val="20"/>
                <w:lang w:eastAsia="en-AU"/>
              </w:rPr>
            </w:pPr>
            <w:r w:rsidRPr="00C8296D">
              <w:rPr>
                <w:rFonts w:asciiTheme="minorHAnsi" w:hAnsiTheme="minorHAnsi" w:cstheme="minorHAnsi"/>
                <w:color w:val="000000"/>
                <w:szCs w:val="22"/>
              </w:rPr>
              <w:t>−</w:t>
            </w:r>
          </w:p>
        </w:tc>
        <w:tc>
          <w:tcPr>
            <w:tcW w:w="587" w:type="dxa"/>
            <w:tcBorders>
              <w:top w:val="single" w:sz="4" w:space="0" w:color="auto"/>
              <w:left w:val="single" w:sz="4" w:space="0" w:color="auto"/>
              <w:bottom w:val="single" w:sz="4" w:space="0" w:color="auto"/>
              <w:right w:val="single" w:sz="4" w:space="0" w:color="auto"/>
            </w:tcBorders>
            <w:shd w:val="clear" w:color="auto" w:fill="FECED3"/>
            <w:vAlign w:val="bottom"/>
          </w:tcPr>
          <w:p w14:paraId="7BA36639" w14:textId="0BA3C784" w:rsidR="00C8296D" w:rsidRPr="00C8296D" w:rsidRDefault="00C8296D" w:rsidP="00C8296D">
            <w:pPr>
              <w:rPr>
                <w:rFonts w:asciiTheme="minorHAnsi" w:eastAsia="Times New Roman" w:hAnsiTheme="minorHAnsi" w:cstheme="minorHAnsi"/>
                <w:color w:val="000000"/>
                <w:sz w:val="20"/>
                <w:lang w:eastAsia="en-AU"/>
              </w:rPr>
            </w:pPr>
            <w:r w:rsidRPr="00C8296D">
              <w:rPr>
                <w:rFonts w:asciiTheme="minorHAnsi" w:hAnsiTheme="minorHAnsi" w:cstheme="minorHAnsi"/>
                <w:color w:val="000000"/>
                <w:szCs w:val="22"/>
              </w:rPr>
              <w:t>−</w:t>
            </w:r>
          </w:p>
        </w:tc>
        <w:tc>
          <w:tcPr>
            <w:tcW w:w="572" w:type="dxa"/>
            <w:tcBorders>
              <w:top w:val="single" w:sz="4" w:space="0" w:color="auto"/>
              <w:left w:val="single" w:sz="4" w:space="0" w:color="auto"/>
              <w:bottom w:val="single" w:sz="4" w:space="0" w:color="auto"/>
              <w:right w:val="single" w:sz="4" w:space="0" w:color="auto"/>
            </w:tcBorders>
            <w:shd w:val="clear" w:color="auto" w:fill="FECED3"/>
            <w:vAlign w:val="bottom"/>
          </w:tcPr>
          <w:p w14:paraId="46959949" w14:textId="2529C3E2" w:rsidR="00C8296D" w:rsidRPr="00C8296D" w:rsidRDefault="00C8296D" w:rsidP="00C8296D">
            <w:pPr>
              <w:rPr>
                <w:rFonts w:asciiTheme="minorHAnsi" w:eastAsia="Times New Roman" w:hAnsiTheme="minorHAnsi" w:cstheme="minorHAnsi"/>
                <w:color w:val="000000"/>
                <w:sz w:val="20"/>
                <w:lang w:eastAsia="en-AU"/>
              </w:rPr>
            </w:pPr>
            <w:r w:rsidRPr="00C8296D">
              <w:rPr>
                <w:rFonts w:asciiTheme="minorHAnsi" w:hAnsiTheme="minorHAnsi" w:cstheme="minorHAnsi"/>
                <w:color w:val="000000"/>
                <w:szCs w:val="22"/>
              </w:rPr>
              <w:t>NR</w:t>
            </w:r>
          </w:p>
        </w:tc>
        <w:tc>
          <w:tcPr>
            <w:tcW w:w="604" w:type="dxa"/>
            <w:tcBorders>
              <w:top w:val="single" w:sz="4" w:space="0" w:color="auto"/>
              <w:left w:val="single" w:sz="4" w:space="0" w:color="auto"/>
              <w:bottom w:val="single" w:sz="4" w:space="0" w:color="auto"/>
              <w:right w:val="single" w:sz="4" w:space="0" w:color="auto"/>
            </w:tcBorders>
            <w:shd w:val="clear" w:color="auto" w:fill="FECED3"/>
            <w:vAlign w:val="bottom"/>
          </w:tcPr>
          <w:p w14:paraId="742653AB" w14:textId="4E4C8B88" w:rsidR="00C8296D" w:rsidRPr="00C8296D" w:rsidRDefault="00C8296D" w:rsidP="00C8296D">
            <w:pPr>
              <w:rPr>
                <w:rFonts w:asciiTheme="minorHAnsi" w:eastAsia="Times New Roman" w:hAnsiTheme="minorHAnsi" w:cstheme="minorHAnsi"/>
                <w:color w:val="000000"/>
                <w:sz w:val="20"/>
                <w:lang w:eastAsia="en-AU"/>
              </w:rPr>
            </w:pPr>
            <w:r w:rsidRPr="00C8296D">
              <w:rPr>
                <w:rFonts w:asciiTheme="minorHAnsi" w:hAnsiTheme="minorHAnsi" w:cstheme="minorHAnsi"/>
                <w:color w:val="000000"/>
                <w:szCs w:val="22"/>
              </w:rPr>
              <w:t>−</w:t>
            </w:r>
          </w:p>
        </w:tc>
        <w:tc>
          <w:tcPr>
            <w:tcW w:w="636" w:type="dxa"/>
            <w:tcBorders>
              <w:top w:val="single" w:sz="4" w:space="0" w:color="auto"/>
              <w:left w:val="single" w:sz="4" w:space="0" w:color="auto"/>
              <w:bottom w:val="single" w:sz="4" w:space="0" w:color="auto"/>
              <w:right w:val="single" w:sz="4" w:space="0" w:color="auto"/>
            </w:tcBorders>
            <w:shd w:val="clear" w:color="auto" w:fill="92D050"/>
            <w:vAlign w:val="bottom"/>
          </w:tcPr>
          <w:p w14:paraId="7D64B244" w14:textId="6991BB1B" w:rsidR="00C8296D" w:rsidRPr="00C8296D" w:rsidRDefault="00C8296D" w:rsidP="00C8296D">
            <w:pPr>
              <w:rPr>
                <w:rFonts w:asciiTheme="minorHAnsi" w:eastAsia="Times New Roman" w:hAnsiTheme="minorHAnsi" w:cstheme="minorHAnsi"/>
                <w:color w:val="000000"/>
                <w:sz w:val="20"/>
                <w:lang w:eastAsia="en-AU"/>
              </w:rPr>
            </w:pPr>
            <w:r w:rsidRPr="00C8296D">
              <w:rPr>
                <w:rFonts w:asciiTheme="minorHAnsi" w:hAnsiTheme="minorHAnsi" w:cstheme="minorHAnsi"/>
                <w:color w:val="000000"/>
                <w:szCs w:val="22"/>
              </w:rPr>
              <w:t>+</w:t>
            </w:r>
          </w:p>
        </w:tc>
        <w:tc>
          <w:tcPr>
            <w:tcW w:w="703" w:type="dxa"/>
            <w:tcBorders>
              <w:top w:val="single" w:sz="4" w:space="0" w:color="auto"/>
              <w:left w:val="single" w:sz="4" w:space="0" w:color="auto"/>
              <w:bottom w:val="single" w:sz="4" w:space="0" w:color="auto"/>
              <w:right w:val="single" w:sz="4" w:space="0" w:color="auto"/>
            </w:tcBorders>
            <w:shd w:val="clear" w:color="auto" w:fill="92D050"/>
            <w:vAlign w:val="bottom"/>
          </w:tcPr>
          <w:p w14:paraId="1B17D151" w14:textId="16C3E31D" w:rsidR="00C8296D" w:rsidRPr="00C8296D" w:rsidRDefault="00C8296D" w:rsidP="00C8296D">
            <w:pPr>
              <w:rPr>
                <w:rFonts w:asciiTheme="minorHAnsi" w:eastAsia="Times New Roman" w:hAnsiTheme="minorHAnsi" w:cstheme="minorHAnsi"/>
                <w:color w:val="000000"/>
                <w:sz w:val="20"/>
                <w:lang w:eastAsia="en-AU"/>
              </w:rPr>
            </w:pPr>
            <w:r w:rsidRPr="00C8296D">
              <w:rPr>
                <w:rFonts w:asciiTheme="minorHAnsi" w:hAnsiTheme="minorHAnsi" w:cstheme="minorHAnsi"/>
                <w:color w:val="000000"/>
                <w:szCs w:val="22"/>
              </w:rPr>
              <w:t>+</w:t>
            </w:r>
          </w:p>
        </w:tc>
        <w:tc>
          <w:tcPr>
            <w:tcW w:w="613" w:type="dxa"/>
            <w:tcBorders>
              <w:top w:val="single" w:sz="4" w:space="0" w:color="auto"/>
              <w:left w:val="single" w:sz="4" w:space="0" w:color="auto"/>
              <w:bottom w:val="single" w:sz="4" w:space="0" w:color="auto"/>
              <w:right w:val="single" w:sz="4" w:space="0" w:color="auto"/>
            </w:tcBorders>
            <w:shd w:val="clear" w:color="auto" w:fill="92D050"/>
            <w:vAlign w:val="bottom"/>
          </w:tcPr>
          <w:p w14:paraId="7BC5D894" w14:textId="73EC7D04" w:rsidR="00C8296D" w:rsidRPr="00C8296D" w:rsidRDefault="00C8296D" w:rsidP="00C8296D">
            <w:pPr>
              <w:rPr>
                <w:rFonts w:asciiTheme="minorHAnsi" w:eastAsia="Times New Roman" w:hAnsiTheme="minorHAnsi" w:cstheme="minorHAnsi"/>
                <w:color w:val="000000"/>
                <w:sz w:val="20"/>
                <w:lang w:eastAsia="en-AU"/>
              </w:rPr>
            </w:pPr>
            <w:r w:rsidRPr="00C8296D">
              <w:rPr>
                <w:rFonts w:asciiTheme="minorHAnsi" w:hAnsiTheme="minorHAnsi" w:cstheme="minorHAnsi"/>
                <w:color w:val="000000"/>
                <w:szCs w:val="22"/>
              </w:rPr>
              <w:t>+</w:t>
            </w:r>
          </w:p>
        </w:tc>
        <w:tc>
          <w:tcPr>
            <w:tcW w:w="704" w:type="dxa"/>
            <w:tcBorders>
              <w:top w:val="single" w:sz="4" w:space="0" w:color="auto"/>
              <w:left w:val="single" w:sz="4" w:space="0" w:color="auto"/>
              <w:bottom w:val="single" w:sz="4" w:space="0" w:color="auto"/>
              <w:right w:val="single" w:sz="4" w:space="0" w:color="auto"/>
            </w:tcBorders>
            <w:shd w:val="clear" w:color="auto" w:fill="FECED3"/>
            <w:vAlign w:val="bottom"/>
          </w:tcPr>
          <w:p w14:paraId="7012A2E5" w14:textId="5284E61B" w:rsidR="00C8296D" w:rsidRPr="00C8296D" w:rsidRDefault="00C8296D" w:rsidP="00C8296D">
            <w:pPr>
              <w:rPr>
                <w:rFonts w:asciiTheme="minorHAnsi" w:eastAsia="Times New Roman" w:hAnsiTheme="minorHAnsi" w:cstheme="minorHAnsi"/>
                <w:color w:val="000000"/>
                <w:sz w:val="20"/>
                <w:lang w:eastAsia="en-AU"/>
              </w:rPr>
            </w:pPr>
            <w:r w:rsidRPr="00C8296D">
              <w:rPr>
                <w:rFonts w:asciiTheme="minorHAnsi" w:hAnsiTheme="minorHAnsi" w:cstheme="minorHAnsi"/>
                <w:color w:val="000000"/>
                <w:szCs w:val="22"/>
              </w:rPr>
              <w:t>−</w:t>
            </w:r>
          </w:p>
        </w:tc>
        <w:tc>
          <w:tcPr>
            <w:tcW w:w="989" w:type="dxa"/>
            <w:tcBorders>
              <w:top w:val="single" w:sz="4" w:space="0" w:color="auto"/>
              <w:left w:val="single" w:sz="4" w:space="0" w:color="auto"/>
              <w:bottom w:val="single" w:sz="4" w:space="0" w:color="auto"/>
              <w:right w:val="single" w:sz="4" w:space="0" w:color="auto"/>
            </w:tcBorders>
            <w:vAlign w:val="bottom"/>
          </w:tcPr>
          <w:p w14:paraId="16001238" w14:textId="33022026" w:rsidR="00C8296D" w:rsidRPr="00C8296D" w:rsidRDefault="00C8296D" w:rsidP="00C8296D">
            <w:pPr>
              <w:jc w:val="center"/>
              <w:rPr>
                <w:rFonts w:asciiTheme="minorHAnsi" w:eastAsia="Times New Roman" w:hAnsiTheme="minorHAnsi" w:cstheme="minorHAnsi"/>
                <w:color w:val="000000"/>
                <w:sz w:val="20"/>
                <w:lang w:eastAsia="en-AU"/>
              </w:rPr>
            </w:pPr>
            <w:r>
              <w:rPr>
                <w:rFonts w:asciiTheme="minorHAnsi" w:hAnsiTheme="minorHAnsi" w:cstheme="minorHAnsi"/>
                <w:color w:val="000000"/>
                <w:szCs w:val="22"/>
              </w:rPr>
              <w:t>2</w:t>
            </w:r>
          </w:p>
        </w:tc>
      </w:tr>
    </w:tbl>
    <w:p w14:paraId="0070E1F8" w14:textId="77777777" w:rsidR="007B18BB" w:rsidRPr="00A467D6" w:rsidRDefault="007B18BB" w:rsidP="00A467D6">
      <w:pPr>
        <w:sectPr w:rsidR="007B18BB" w:rsidRPr="00A467D6" w:rsidSect="00A467D6">
          <w:headerReference w:type="default" r:id="rId213"/>
          <w:footerReference w:type="default" r:id="rId214"/>
          <w:pgSz w:w="16834" w:h="11909" w:orient="landscape" w:code="9"/>
          <w:pgMar w:top="1440" w:right="1440" w:bottom="1440" w:left="1440" w:header="576" w:footer="576" w:gutter="0"/>
          <w:pgNumType w:start="1" w:chapStyle="7"/>
          <w:cols w:space="720"/>
          <w:docGrid w:linePitch="360"/>
        </w:sectPr>
      </w:pPr>
    </w:p>
    <w:p w14:paraId="51EBF614" w14:textId="29D7E6C7" w:rsidR="00A467D6" w:rsidRDefault="00A467D6" w:rsidP="00A467D6">
      <w:pPr>
        <w:pStyle w:val="Heading8"/>
      </w:pPr>
      <w:bookmarkStart w:id="92" w:name="_Toc233022906"/>
      <w:r>
        <w:lastRenderedPageBreak/>
        <w:t>Risk of bias assessment for individual new study from evidence review</w:t>
      </w:r>
      <w:bookmarkEnd w:id="92"/>
    </w:p>
    <w:p w14:paraId="644C4EC8" w14:textId="77777777" w:rsidR="00A467D6" w:rsidRDefault="00A467D6" w:rsidP="00A467D6">
      <w:pPr>
        <w:pStyle w:val="BodyText"/>
      </w:pPr>
      <w:r>
        <w:t>Tables below provide</w:t>
      </w:r>
      <w:r w:rsidRPr="00E45AB2">
        <w:t xml:space="preserve"> risk of bias assessment for each assessed study, showing the domain-level judgements applied to individual pieces of evidence. In addition, the overall confidence in the body of evidence for each relevant health outcome </w:t>
      </w:r>
      <w:r>
        <w:t>was</w:t>
      </w:r>
      <w:r w:rsidRPr="00E45AB2">
        <w:t xml:space="preserve"> </w:t>
      </w:r>
      <w:r>
        <w:t>conducted</w:t>
      </w:r>
      <w:r w:rsidRPr="00E45AB2">
        <w:t>, taking into account the risk of bias findings, consistency, directness, precision and other relevant considerations.</w:t>
      </w:r>
      <w:r>
        <w:t xml:space="preserve"> </w:t>
      </w:r>
    </w:p>
    <w:p w14:paraId="5E772F9D" w14:textId="19AA7391" w:rsidR="00A467D6" w:rsidRDefault="00A467D6" w:rsidP="00A467D6">
      <w:pPr>
        <w:pStyle w:val="Heading9"/>
      </w:pPr>
      <w:bookmarkStart w:id="93" w:name="_Toc233022907"/>
      <w:r>
        <w:t>Sano et al. 202</w:t>
      </w:r>
      <w:bookmarkEnd w:id="93"/>
      <w:r w:rsidR="008D1458">
        <w:t>2</w:t>
      </w:r>
    </w:p>
    <w:p w14:paraId="1D6A7586" w14:textId="77777777" w:rsidR="00A467D6" w:rsidRPr="00306EFF" w:rsidRDefault="00A467D6" w:rsidP="00A467D6">
      <w:pPr>
        <w:rPr>
          <w:rFonts w:eastAsia="Calibri" w:cs="Arial"/>
          <w:szCs w:val="22"/>
        </w:rPr>
      </w:pPr>
      <w:r w:rsidRPr="00E45AB2">
        <w:rPr>
          <w:rFonts w:eastAsia="Calibri" w:cs="Arial"/>
          <w:szCs w:val="22"/>
        </w:rPr>
        <w:t xml:space="preserve">Rating key: </w:t>
      </w:r>
      <w:r w:rsidRPr="00E45AB2">
        <w:rPr>
          <w:rFonts w:eastAsia="Calibri" w:cs="Arial"/>
          <w:szCs w:val="22"/>
          <w:shd w:val="clear" w:color="auto" w:fill="00B050"/>
        </w:rPr>
        <w:t>++</w:t>
      </w:r>
      <w:r w:rsidRPr="00E45AB2">
        <w:rPr>
          <w:rFonts w:eastAsia="Calibri" w:cs="Arial"/>
          <w:szCs w:val="22"/>
        </w:rPr>
        <w:t xml:space="preserve"> = definitely low RoB; </w:t>
      </w:r>
      <w:r w:rsidRPr="00E45AB2">
        <w:rPr>
          <w:rFonts w:eastAsia="Calibri" w:cs="Arial"/>
          <w:szCs w:val="22"/>
          <w:shd w:val="clear" w:color="auto" w:fill="92D050"/>
        </w:rPr>
        <w:t>+</w:t>
      </w:r>
      <w:r w:rsidRPr="00E45AB2">
        <w:rPr>
          <w:rFonts w:eastAsia="Calibri" w:cs="Arial"/>
          <w:szCs w:val="22"/>
        </w:rPr>
        <w:t xml:space="preserve"> = probably low RoB; </w:t>
      </w:r>
      <w:r w:rsidRPr="00E45AB2">
        <w:rPr>
          <w:rFonts w:eastAsia="Calibri" w:cs="Arial"/>
          <w:szCs w:val="22"/>
          <w:shd w:val="clear" w:color="auto" w:fill="FFC1C1"/>
        </w:rPr>
        <w:t>NR</w:t>
      </w:r>
      <w:r w:rsidRPr="00E45AB2">
        <w:rPr>
          <w:rFonts w:eastAsia="Calibri" w:cs="Arial"/>
          <w:szCs w:val="22"/>
        </w:rPr>
        <w:t xml:space="preserve"> = not reported; </w:t>
      </w:r>
      <w:r w:rsidRPr="00E45AB2">
        <w:rPr>
          <w:rFonts w:eastAsia="Calibri" w:cs="Arial"/>
          <w:szCs w:val="22"/>
          <w:shd w:val="clear" w:color="auto" w:fill="FFC1C1"/>
        </w:rPr>
        <w:t>−</w:t>
      </w:r>
      <w:r w:rsidRPr="00E45AB2">
        <w:rPr>
          <w:rFonts w:eastAsia="Calibri" w:cs="Arial"/>
          <w:szCs w:val="22"/>
        </w:rPr>
        <w:t xml:space="preserve"> = probably high RoB; </w:t>
      </w:r>
      <w:r w:rsidRPr="00E45AB2">
        <w:rPr>
          <w:rFonts w:eastAsia="Calibri" w:cs="Arial"/>
          <w:szCs w:val="22"/>
          <w:shd w:val="clear" w:color="auto" w:fill="FF2F2F"/>
        </w:rPr>
        <w:t>−−</w:t>
      </w:r>
      <w:r w:rsidRPr="00E45AB2">
        <w:rPr>
          <w:rFonts w:eastAsia="Calibri" w:cs="Arial"/>
          <w:szCs w:val="22"/>
        </w:rPr>
        <w:t xml:space="preserve"> = definitely high RoB; </w:t>
      </w:r>
      <w:r w:rsidRPr="00E45AB2">
        <w:rPr>
          <w:rFonts w:eastAsia="Calibri" w:cs="Arial"/>
          <w:szCs w:val="22"/>
          <w:highlight w:val="lightGray"/>
        </w:rPr>
        <w:t>NA</w:t>
      </w:r>
      <w:r w:rsidRPr="00E45AB2">
        <w:rPr>
          <w:rFonts w:eastAsia="Calibri" w:cs="Arial"/>
          <w:szCs w:val="22"/>
        </w:rPr>
        <w:t xml:space="preserve"> = not applicable to this study design </w:t>
      </w:r>
    </w:p>
    <w:tbl>
      <w:tblPr>
        <w:tblStyle w:val="SLROption1"/>
        <w:tblW w:w="5000" w:type="pct"/>
        <w:tblLook w:val="01E0" w:firstRow="1" w:lastRow="1" w:firstColumn="1" w:lastColumn="1" w:noHBand="0" w:noVBand="0"/>
      </w:tblPr>
      <w:tblGrid>
        <w:gridCol w:w="3934"/>
        <w:gridCol w:w="1319"/>
        <w:gridCol w:w="3766"/>
      </w:tblGrid>
      <w:tr w:rsidR="00A467D6" w:rsidRPr="00336C85" w14:paraId="76AE8AB0" w14:textId="77777777" w:rsidTr="00F62C9B">
        <w:trPr>
          <w:cnfStyle w:val="100000000000" w:firstRow="1" w:lastRow="0" w:firstColumn="0" w:lastColumn="0" w:oddVBand="0" w:evenVBand="0" w:oddHBand="0" w:evenHBand="0" w:firstRowFirstColumn="0" w:firstRowLastColumn="0" w:lastRowFirstColumn="0" w:lastRowLastColumn="0"/>
        </w:trPr>
        <w:tc>
          <w:tcPr>
            <w:tcW w:w="2181" w:type="pct"/>
            <w:tcBorders>
              <w:bottom w:val="single" w:sz="4" w:space="0" w:color="FFFFFF" w:themeColor="background1"/>
              <w:right w:val="single" w:sz="4" w:space="0" w:color="FFFFFF" w:themeColor="background1"/>
            </w:tcBorders>
            <w:shd w:val="clear" w:color="auto" w:fill="3C533C" w:themeFill="text2"/>
          </w:tcPr>
          <w:p w14:paraId="182B6734" w14:textId="77777777" w:rsidR="00A467D6" w:rsidRPr="00336C85" w:rsidRDefault="00A467D6" w:rsidP="00F62C9B">
            <w:pPr>
              <w:keepNext/>
              <w:jc w:val="left"/>
              <w:rPr>
                <w:rFonts w:eastAsia="Calibri"/>
                <w:b/>
                <w:color w:val="FFFFFF" w:themeColor="background1"/>
                <w:sz w:val="20"/>
              </w:rPr>
            </w:pPr>
            <w:r w:rsidRPr="00336C85">
              <w:rPr>
                <w:rFonts w:eastAsia="Calibri"/>
                <w:b/>
                <w:color w:val="FFFFFF" w:themeColor="background1"/>
                <w:sz w:val="20"/>
              </w:rPr>
              <w:t>Study Type:</w:t>
            </w:r>
          </w:p>
        </w:tc>
        <w:tc>
          <w:tcPr>
            <w:tcW w:w="731" w:type="pct"/>
            <w:tcBorders>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54230158" w14:textId="77777777" w:rsidR="00A467D6" w:rsidRPr="00336C85" w:rsidRDefault="00A467D6" w:rsidP="00F62C9B">
            <w:pPr>
              <w:keepNext/>
              <w:jc w:val="left"/>
              <w:rPr>
                <w:rFonts w:eastAsia="Calibri"/>
                <w:bCs/>
                <w:color w:val="FFFFFF" w:themeColor="background1"/>
                <w:sz w:val="20"/>
              </w:rPr>
            </w:pPr>
          </w:p>
        </w:tc>
        <w:tc>
          <w:tcPr>
            <w:tcW w:w="2088" w:type="pct"/>
            <w:tcBorders>
              <w:left w:val="single" w:sz="4" w:space="0" w:color="FFFFFF" w:themeColor="background1"/>
              <w:bottom w:val="single" w:sz="4" w:space="0" w:color="FFFFFF" w:themeColor="background1"/>
            </w:tcBorders>
            <w:shd w:val="clear" w:color="auto" w:fill="3C533C" w:themeFill="text2"/>
          </w:tcPr>
          <w:p w14:paraId="5DF7636F" w14:textId="77777777" w:rsidR="00A467D6" w:rsidRPr="00336C85" w:rsidRDefault="00A467D6" w:rsidP="00F62C9B">
            <w:pPr>
              <w:keepNext/>
              <w:jc w:val="left"/>
              <w:rPr>
                <w:rFonts w:eastAsia="Calibri"/>
                <w:bCs/>
                <w:color w:val="FFFFFF" w:themeColor="background1"/>
                <w:sz w:val="20"/>
              </w:rPr>
            </w:pPr>
            <w:r w:rsidRPr="00C22DDF">
              <w:rPr>
                <w:rFonts w:eastAsia="Calibri"/>
                <w:bCs/>
                <w:color w:val="FFFFFF" w:themeColor="background1"/>
                <w:sz w:val="20"/>
              </w:rPr>
              <w:t>Controlled animal experiment (in vivo rat study)</w:t>
            </w:r>
          </w:p>
        </w:tc>
      </w:tr>
      <w:tr w:rsidR="00A467D6" w:rsidRPr="00336C85" w14:paraId="409E63DA" w14:textId="77777777" w:rsidTr="00F62C9B">
        <w:tc>
          <w:tcPr>
            <w:tcW w:w="2181" w:type="pct"/>
            <w:tcBorders>
              <w:top w:val="single" w:sz="4" w:space="0" w:color="FFFFFF" w:themeColor="background1"/>
              <w:bottom w:val="single" w:sz="4" w:space="0" w:color="FFFFFF" w:themeColor="background1"/>
              <w:right w:val="single" w:sz="4" w:space="0" w:color="FFFFFF" w:themeColor="background1"/>
            </w:tcBorders>
            <w:shd w:val="clear" w:color="auto" w:fill="3C533C" w:themeFill="text2"/>
          </w:tcPr>
          <w:p w14:paraId="210B7B53" w14:textId="77777777" w:rsidR="00A467D6" w:rsidRPr="00336C85" w:rsidRDefault="00A467D6" w:rsidP="00F62C9B">
            <w:pPr>
              <w:keepNext/>
              <w:rPr>
                <w:rFonts w:eastAsia="Calibri"/>
                <w:b/>
                <w:color w:val="FFFFFF" w:themeColor="background1"/>
                <w:sz w:val="20"/>
              </w:rPr>
            </w:pPr>
            <w:r w:rsidRPr="00336C85">
              <w:rPr>
                <w:rFonts w:eastAsia="Calibri"/>
                <w:b/>
                <w:color w:val="FFFFFF" w:themeColor="background1"/>
                <w:sz w:val="20"/>
              </w:rPr>
              <w:t>Study ID:</w:t>
            </w:r>
          </w:p>
        </w:tc>
        <w:tc>
          <w:tcPr>
            <w:tcW w:w="7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5086DC85" w14:textId="77777777" w:rsidR="00A467D6" w:rsidRPr="00336C85" w:rsidRDefault="00A467D6" w:rsidP="00F62C9B">
            <w:pPr>
              <w:keepNext/>
              <w:rPr>
                <w:rFonts w:eastAsia="Calibri"/>
                <w:bCs/>
                <w:color w:val="FFFFFF" w:themeColor="background1"/>
                <w:sz w:val="20"/>
              </w:rPr>
            </w:pPr>
          </w:p>
        </w:tc>
        <w:tc>
          <w:tcPr>
            <w:tcW w:w="2088" w:type="pct"/>
            <w:tcBorders>
              <w:top w:val="single" w:sz="4" w:space="0" w:color="FFFFFF" w:themeColor="background1"/>
              <w:left w:val="single" w:sz="4" w:space="0" w:color="FFFFFF" w:themeColor="background1"/>
              <w:bottom w:val="single" w:sz="4" w:space="0" w:color="FFFFFF" w:themeColor="background1"/>
            </w:tcBorders>
            <w:shd w:val="clear" w:color="auto" w:fill="3C533C" w:themeFill="text2"/>
          </w:tcPr>
          <w:p w14:paraId="60C6AB16" w14:textId="09596059" w:rsidR="00A467D6" w:rsidRPr="00336C85" w:rsidRDefault="00A467D6" w:rsidP="00F62C9B">
            <w:pPr>
              <w:keepNext/>
              <w:rPr>
                <w:rFonts w:eastAsia="Calibri"/>
                <w:bCs/>
                <w:color w:val="FFFFFF" w:themeColor="background1"/>
                <w:sz w:val="20"/>
              </w:rPr>
            </w:pPr>
            <w:r w:rsidRPr="00C22DDF">
              <w:rPr>
                <w:rFonts w:eastAsia="Calibri"/>
                <w:bCs/>
                <w:color w:val="FFFFFF" w:themeColor="background1"/>
                <w:sz w:val="20"/>
              </w:rPr>
              <w:t>Sano et al. 202</w:t>
            </w:r>
            <w:r w:rsidR="008D1458">
              <w:rPr>
                <w:rFonts w:eastAsia="Calibri"/>
                <w:bCs/>
                <w:color w:val="FFFFFF" w:themeColor="background1"/>
                <w:sz w:val="20"/>
              </w:rPr>
              <w:t>2</w:t>
            </w:r>
          </w:p>
        </w:tc>
      </w:tr>
      <w:tr w:rsidR="00A467D6" w:rsidRPr="00336C85" w14:paraId="44787E5B" w14:textId="77777777" w:rsidTr="00F62C9B">
        <w:tc>
          <w:tcPr>
            <w:tcW w:w="2181" w:type="pct"/>
            <w:tcBorders>
              <w:top w:val="single" w:sz="4" w:space="0" w:color="FFFFFF" w:themeColor="background1"/>
              <w:bottom w:val="single" w:sz="4" w:space="0" w:color="FFFFFF" w:themeColor="background1"/>
              <w:right w:val="single" w:sz="4" w:space="0" w:color="FFFFFF" w:themeColor="background1"/>
            </w:tcBorders>
            <w:shd w:val="clear" w:color="auto" w:fill="3C533C" w:themeFill="text2"/>
          </w:tcPr>
          <w:p w14:paraId="17697B83" w14:textId="77777777" w:rsidR="00A467D6" w:rsidRPr="00336C85" w:rsidRDefault="00A467D6" w:rsidP="00F62C9B">
            <w:pPr>
              <w:keepNext/>
              <w:rPr>
                <w:rFonts w:eastAsia="Calibri"/>
                <w:b/>
                <w:color w:val="FFFFFF" w:themeColor="background1"/>
                <w:sz w:val="20"/>
              </w:rPr>
            </w:pPr>
            <w:r w:rsidRPr="00336C85">
              <w:rPr>
                <w:rFonts w:eastAsia="Calibri"/>
                <w:b/>
                <w:color w:val="FFFFFF" w:themeColor="background1"/>
                <w:sz w:val="20"/>
              </w:rPr>
              <w:t>Health Outcome:</w:t>
            </w:r>
          </w:p>
        </w:tc>
        <w:tc>
          <w:tcPr>
            <w:tcW w:w="7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44B417D9" w14:textId="77777777" w:rsidR="00A467D6" w:rsidRPr="00336C85" w:rsidRDefault="00A467D6" w:rsidP="00F62C9B">
            <w:pPr>
              <w:keepNext/>
              <w:rPr>
                <w:rFonts w:eastAsia="Calibri"/>
                <w:bCs/>
                <w:color w:val="FFFFFF" w:themeColor="background1"/>
                <w:sz w:val="20"/>
              </w:rPr>
            </w:pPr>
          </w:p>
        </w:tc>
        <w:tc>
          <w:tcPr>
            <w:tcW w:w="2088" w:type="pct"/>
            <w:tcBorders>
              <w:top w:val="single" w:sz="4" w:space="0" w:color="FFFFFF" w:themeColor="background1"/>
              <w:left w:val="single" w:sz="4" w:space="0" w:color="FFFFFF" w:themeColor="background1"/>
              <w:bottom w:val="single" w:sz="4" w:space="0" w:color="FFFFFF" w:themeColor="background1"/>
            </w:tcBorders>
            <w:shd w:val="clear" w:color="auto" w:fill="3C533C" w:themeFill="text2"/>
          </w:tcPr>
          <w:p w14:paraId="4C03AFB5" w14:textId="77777777" w:rsidR="00A467D6" w:rsidRPr="00336C85" w:rsidRDefault="00A467D6" w:rsidP="00F62C9B">
            <w:pPr>
              <w:keepNext/>
              <w:rPr>
                <w:rFonts w:eastAsia="Calibri"/>
                <w:bCs/>
                <w:color w:val="FFFFFF" w:themeColor="background1"/>
                <w:sz w:val="20"/>
              </w:rPr>
            </w:pPr>
            <w:r w:rsidRPr="00C22DDF">
              <w:rPr>
                <w:rFonts w:eastAsia="Calibri"/>
                <w:bCs/>
                <w:color w:val="FFFFFF" w:themeColor="background1"/>
                <w:sz w:val="20"/>
              </w:rPr>
              <w:t>Neurotoxicity / neuronal damage; Neurofilament light chain (NfL) as a biomarker of CNS and PNS neurotoxicity in Sprague Dawley rats</w:t>
            </w:r>
          </w:p>
        </w:tc>
      </w:tr>
      <w:tr w:rsidR="00A467D6" w:rsidRPr="00336C85" w14:paraId="3AF066AF" w14:textId="77777777" w:rsidTr="00F62C9B">
        <w:tc>
          <w:tcPr>
            <w:tcW w:w="2181" w:type="pct"/>
            <w:tcBorders>
              <w:top w:val="single" w:sz="4" w:space="0" w:color="FFFFFF" w:themeColor="background1"/>
              <w:right w:val="single" w:sz="4" w:space="0" w:color="FFFFFF" w:themeColor="background1"/>
            </w:tcBorders>
            <w:shd w:val="clear" w:color="auto" w:fill="3C533C" w:themeFill="text2"/>
          </w:tcPr>
          <w:p w14:paraId="5D944D76" w14:textId="77777777" w:rsidR="00A467D6" w:rsidRPr="00336C85" w:rsidRDefault="00A467D6" w:rsidP="00F62C9B">
            <w:pPr>
              <w:keepNext/>
              <w:rPr>
                <w:rFonts w:eastAsia="Calibri"/>
                <w:b/>
                <w:color w:val="FFFFFF" w:themeColor="background1"/>
                <w:sz w:val="20"/>
              </w:rPr>
            </w:pPr>
            <w:r w:rsidRPr="00336C85">
              <w:rPr>
                <w:rFonts w:eastAsia="Calibri"/>
                <w:b/>
                <w:color w:val="FFFFFF" w:themeColor="background1"/>
                <w:sz w:val="20"/>
              </w:rPr>
              <w:t>Bias Domain</w:t>
            </w:r>
          </w:p>
        </w:tc>
        <w:tc>
          <w:tcPr>
            <w:tcW w:w="731" w:type="pct"/>
            <w:tcBorders>
              <w:top w:val="single" w:sz="4" w:space="0" w:color="FFFFFF" w:themeColor="background1"/>
              <w:left w:val="single" w:sz="4" w:space="0" w:color="FFFFFF" w:themeColor="background1"/>
              <w:right w:val="single" w:sz="4" w:space="0" w:color="FFFFFF" w:themeColor="background1"/>
            </w:tcBorders>
            <w:shd w:val="clear" w:color="auto" w:fill="3C533C" w:themeFill="text2"/>
          </w:tcPr>
          <w:p w14:paraId="1D6C90FE" w14:textId="77777777" w:rsidR="00A467D6" w:rsidRPr="00336C85" w:rsidRDefault="00A467D6" w:rsidP="00F62C9B">
            <w:pPr>
              <w:keepNext/>
              <w:rPr>
                <w:rFonts w:eastAsia="Calibri"/>
                <w:b/>
                <w:color w:val="FFFFFF" w:themeColor="background1"/>
                <w:sz w:val="20"/>
              </w:rPr>
            </w:pPr>
            <w:r>
              <w:rPr>
                <w:rFonts w:eastAsia="Calibri"/>
                <w:b/>
                <w:color w:val="FFFFFF" w:themeColor="background1"/>
                <w:sz w:val="20"/>
              </w:rPr>
              <w:t>Rate</w:t>
            </w:r>
          </w:p>
        </w:tc>
        <w:tc>
          <w:tcPr>
            <w:tcW w:w="2088" w:type="pct"/>
            <w:tcBorders>
              <w:top w:val="single" w:sz="4" w:space="0" w:color="FFFFFF" w:themeColor="background1"/>
              <w:left w:val="single" w:sz="4" w:space="0" w:color="FFFFFF" w:themeColor="background1"/>
            </w:tcBorders>
            <w:shd w:val="clear" w:color="auto" w:fill="3C533C" w:themeFill="text2"/>
          </w:tcPr>
          <w:p w14:paraId="6903340B" w14:textId="77777777" w:rsidR="00A467D6" w:rsidRPr="00336C85" w:rsidRDefault="00A467D6" w:rsidP="00F62C9B">
            <w:pPr>
              <w:keepNext/>
              <w:rPr>
                <w:rFonts w:eastAsia="Calibri"/>
                <w:b/>
                <w:color w:val="FFFFFF" w:themeColor="background1"/>
                <w:sz w:val="20"/>
              </w:rPr>
            </w:pPr>
            <w:r>
              <w:rPr>
                <w:rFonts w:eastAsia="Calibri"/>
                <w:b/>
                <w:color w:val="FFFFFF" w:themeColor="background1"/>
                <w:sz w:val="20"/>
              </w:rPr>
              <w:t>Comment</w:t>
            </w:r>
          </w:p>
        </w:tc>
      </w:tr>
      <w:tr w:rsidR="00A467D6" w:rsidRPr="00336C85" w14:paraId="6860E26E" w14:textId="77777777" w:rsidTr="00F62C9B">
        <w:trPr>
          <w:trHeight w:val="53"/>
        </w:trPr>
        <w:tc>
          <w:tcPr>
            <w:tcW w:w="2181" w:type="pct"/>
          </w:tcPr>
          <w:p w14:paraId="33A01580" w14:textId="77777777" w:rsidR="00A467D6" w:rsidRPr="00336C85" w:rsidRDefault="00A467D6" w:rsidP="00F62C9B">
            <w:pPr>
              <w:rPr>
                <w:b/>
                <w:bCs/>
                <w:sz w:val="20"/>
              </w:rPr>
            </w:pPr>
            <w:r w:rsidRPr="00336C85">
              <w:rPr>
                <w:b/>
                <w:bCs/>
                <w:sz w:val="20"/>
              </w:rPr>
              <w:t>Selection</w:t>
            </w:r>
          </w:p>
        </w:tc>
        <w:tc>
          <w:tcPr>
            <w:tcW w:w="731" w:type="pct"/>
          </w:tcPr>
          <w:p w14:paraId="1F65A5BF" w14:textId="77777777" w:rsidR="00A467D6" w:rsidRPr="00336C85" w:rsidRDefault="00A467D6" w:rsidP="00F62C9B">
            <w:pPr>
              <w:rPr>
                <w:sz w:val="20"/>
              </w:rPr>
            </w:pPr>
          </w:p>
        </w:tc>
        <w:tc>
          <w:tcPr>
            <w:tcW w:w="2088" w:type="pct"/>
          </w:tcPr>
          <w:p w14:paraId="1994467D" w14:textId="77777777" w:rsidR="00A467D6" w:rsidRPr="00336C85" w:rsidRDefault="00A467D6" w:rsidP="00F62C9B">
            <w:pPr>
              <w:rPr>
                <w:sz w:val="20"/>
              </w:rPr>
            </w:pPr>
          </w:p>
        </w:tc>
      </w:tr>
      <w:tr w:rsidR="00A467D6" w:rsidRPr="00336C85" w14:paraId="10A63A55" w14:textId="77777777" w:rsidTr="00F62C9B">
        <w:trPr>
          <w:trHeight w:val="52"/>
        </w:trPr>
        <w:tc>
          <w:tcPr>
            <w:tcW w:w="2181" w:type="pct"/>
          </w:tcPr>
          <w:p w14:paraId="67DB7891" w14:textId="77777777" w:rsidR="00A467D6" w:rsidRPr="00336C85" w:rsidRDefault="00A467D6" w:rsidP="00F62C9B">
            <w:pPr>
              <w:rPr>
                <w:sz w:val="20"/>
              </w:rPr>
            </w:pPr>
            <w:r w:rsidRPr="00336C85">
              <w:rPr>
                <w:sz w:val="20"/>
              </w:rPr>
              <w:t>Was administered dose or exposure level adequately randomized?</w:t>
            </w:r>
          </w:p>
        </w:tc>
        <w:tc>
          <w:tcPr>
            <w:tcW w:w="731" w:type="pct"/>
            <w:shd w:val="clear" w:color="auto" w:fill="92D050"/>
          </w:tcPr>
          <w:p w14:paraId="69AD2E03" w14:textId="77777777" w:rsidR="00A467D6" w:rsidRPr="00336C85" w:rsidRDefault="00A467D6" w:rsidP="00F62C9B">
            <w:pPr>
              <w:rPr>
                <w:sz w:val="20"/>
              </w:rPr>
            </w:pPr>
            <w:r>
              <w:rPr>
                <w:sz w:val="20"/>
              </w:rPr>
              <w:t>+</w:t>
            </w:r>
          </w:p>
        </w:tc>
        <w:tc>
          <w:tcPr>
            <w:tcW w:w="2088" w:type="pct"/>
          </w:tcPr>
          <w:p w14:paraId="33CB130A" w14:textId="77777777" w:rsidR="00A467D6" w:rsidRPr="00336C85" w:rsidRDefault="00A467D6" w:rsidP="00F62C9B">
            <w:pPr>
              <w:rPr>
                <w:sz w:val="20"/>
              </w:rPr>
            </w:pPr>
            <w:r w:rsidRPr="00974BE6">
              <w:rPr>
                <w:sz w:val="20"/>
              </w:rPr>
              <w:t>Group allocation appears to have been based on body-weight standardisation rather than explicit randomisation. This may have reduced baseline differences, but no formal randomisation method was reported</w:t>
            </w:r>
            <w:r w:rsidRPr="00C22DDF">
              <w:rPr>
                <w:sz w:val="20"/>
              </w:rPr>
              <w:t>.</w:t>
            </w:r>
          </w:p>
        </w:tc>
      </w:tr>
      <w:tr w:rsidR="00A467D6" w:rsidRPr="00336C85" w14:paraId="201AA43A" w14:textId="77777777" w:rsidTr="00F62C9B">
        <w:trPr>
          <w:trHeight w:val="52"/>
        </w:trPr>
        <w:tc>
          <w:tcPr>
            <w:tcW w:w="2181" w:type="pct"/>
          </w:tcPr>
          <w:p w14:paraId="54187E3C" w14:textId="77777777" w:rsidR="00A467D6" w:rsidRPr="00336C85" w:rsidRDefault="00A467D6" w:rsidP="00F62C9B">
            <w:pPr>
              <w:rPr>
                <w:sz w:val="20"/>
              </w:rPr>
            </w:pPr>
            <w:r w:rsidRPr="00336C85">
              <w:rPr>
                <w:sz w:val="20"/>
              </w:rPr>
              <w:t>Was allocation to study groups adequately concealed?</w:t>
            </w:r>
          </w:p>
        </w:tc>
        <w:tc>
          <w:tcPr>
            <w:tcW w:w="731" w:type="pct"/>
            <w:shd w:val="clear" w:color="auto" w:fill="FDCBD1"/>
          </w:tcPr>
          <w:p w14:paraId="4AAF95D8" w14:textId="77777777" w:rsidR="00A467D6" w:rsidRPr="00336C85" w:rsidRDefault="00A467D6" w:rsidP="00F62C9B">
            <w:pPr>
              <w:rPr>
                <w:sz w:val="20"/>
              </w:rPr>
            </w:pPr>
            <w:r>
              <w:rPr>
                <w:sz w:val="20"/>
              </w:rPr>
              <w:t>NR</w:t>
            </w:r>
          </w:p>
        </w:tc>
        <w:tc>
          <w:tcPr>
            <w:tcW w:w="2088" w:type="pct"/>
          </w:tcPr>
          <w:p w14:paraId="4D145556" w14:textId="77777777" w:rsidR="00A467D6" w:rsidRPr="00336C85" w:rsidRDefault="00A467D6" w:rsidP="00F62C9B">
            <w:pPr>
              <w:rPr>
                <w:sz w:val="20"/>
              </w:rPr>
            </w:pPr>
            <w:r w:rsidRPr="00C22DDF">
              <w:rPr>
                <w:sz w:val="20"/>
              </w:rPr>
              <w:t xml:space="preserve">Allocation concealment is not reported. </w:t>
            </w:r>
          </w:p>
        </w:tc>
      </w:tr>
      <w:tr w:rsidR="00A467D6" w:rsidRPr="00336C85" w14:paraId="704ECD19" w14:textId="77777777" w:rsidTr="004D253D">
        <w:trPr>
          <w:trHeight w:val="52"/>
        </w:trPr>
        <w:tc>
          <w:tcPr>
            <w:tcW w:w="2181" w:type="pct"/>
          </w:tcPr>
          <w:p w14:paraId="391B12B2" w14:textId="77777777" w:rsidR="00A467D6" w:rsidRPr="00336C85" w:rsidRDefault="00A467D6" w:rsidP="00F62C9B">
            <w:pPr>
              <w:rPr>
                <w:sz w:val="20"/>
              </w:rPr>
            </w:pPr>
            <w:r w:rsidRPr="00336C85">
              <w:rPr>
                <w:sz w:val="20"/>
              </w:rPr>
              <w:t>Were the comparison groups appropriate?</w:t>
            </w:r>
          </w:p>
        </w:tc>
        <w:tc>
          <w:tcPr>
            <w:tcW w:w="731" w:type="pct"/>
            <w:shd w:val="clear" w:color="auto" w:fill="92D050"/>
          </w:tcPr>
          <w:p w14:paraId="5EA91765" w14:textId="15A692EF" w:rsidR="00A467D6" w:rsidRPr="00336C85" w:rsidRDefault="00A467D6" w:rsidP="00F62C9B">
            <w:pPr>
              <w:rPr>
                <w:sz w:val="20"/>
              </w:rPr>
            </w:pPr>
            <w:r>
              <w:rPr>
                <w:sz w:val="20"/>
              </w:rPr>
              <w:t>+</w:t>
            </w:r>
          </w:p>
        </w:tc>
        <w:tc>
          <w:tcPr>
            <w:tcW w:w="2088" w:type="pct"/>
          </w:tcPr>
          <w:p w14:paraId="17F36AA4" w14:textId="04F7BDC6" w:rsidR="00A467D6" w:rsidRPr="00336C85" w:rsidRDefault="004D253D" w:rsidP="00F62C9B">
            <w:pPr>
              <w:rPr>
                <w:sz w:val="20"/>
              </w:rPr>
            </w:pPr>
            <w:r>
              <w:rPr>
                <w:sz w:val="20"/>
              </w:rPr>
              <w:t xml:space="preserve">Small group size (n=4). </w:t>
            </w:r>
            <w:r w:rsidR="00A467D6" w:rsidRPr="00974BE6">
              <w:rPr>
                <w:sz w:val="20"/>
              </w:rPr>
              <w:t>Vehicle/untreated controls were included at all necropsy time points, and the use of multiple CNS and PNS neurotoxicant models provided a strong comparative framework.</w:t>
            </w:r>
          </w:p>
        </w:tc>
      </w:tr>
      <w:tr w:rsidR="00A467D6" w:rsidRPr="00336C85" w14:paraId="6238830D" w14:textId="77777777" w:rsidTr="00F62C9B">
        <w:trPr>
          <w:trHeight w:val="79"/>
        </w:trPr>
        <w:tc>
          <w:tcPr>
            <w:tcW w:w="2181" w:type="pct"/>
          </w:tcPr>
          <w:p w14:paraId="1A1F28C7" w14:textId="77777777" w:rsidR="00A467D6" w:rsidRPr="00336C85" w:rsidRDefault="00A467D6" w:rsidP="00F62C9B">
            <w:pPr>
              <w:rPr>
                <w:b/>
                <w:bCs/>
                <w:sz w:val="20"/>
              </w:rPr>
            </w:pPr>
            <w:r w:rsidRPr="00336C85">
              <w:rPr>
                <w:b/>
                <w:bCs/>
                <w:sz w:val="20"/>
              </w:rPr>
              <w:t>Confounding – KEY DOMAIN</w:t>
            </w:r>
          </w:p>
        </w:tc>
        <w:tc>
          <w:tcPr>
            <w:tcW w:w="731" w:type="pct"/>
          </w:tcPr>
          <w:p w14:paraId="386C14F6" w14:textId="77777777" w:rsidR="00A467D6" w:rsidRPr="00336C85" w:rsidRDefault="00A467D6" w:rsidP="00F62C9B">
            <w:pPr>
              <w:rPr>
                <w:sz w:val="20"/>
              </w:rPr>
            </w:pPr>
          </w:p>
        </w:tc>
        <w:tc>
          <w:tcPr>
            <w:tcW w:w="2088" w:type="pct"/>
          </w:tcPr>
          <w:p w14:paraId="256D03D3" w14:textId="77777777" w:rsidR="00A467D6" w:rsidRPr="00336C85" w:rsidRDefault="00A467D6" w:rsidP="00F62C9B">
            <w:pPr>
              <w:rPr>
                <w:sz w:val="20"/>
              </w:rPr>
            </w:pPr>
          </w:p>
        </w:tc>
      </w:tr>
      <w:tr w:rsidR="00A467D6" w:rsidRPr="00336C85" w14:paraId="44B17F50" w14:textId="77777777" w:rsidTr="00F62C9B">
        <w:trPr>
          <w:trHeight w:val="78"/>
        </w:trPr>
        <w:tc>
          <w:tcPr>
            <w:tcW w:w="2181" w:type="pct"/>
          </w:tcPr>
          <w:p w14:paraId="2D087BEA" w14:textId="77777777" w:rsidR="00A467D6" w:rsidRPr="00336C85" w:rsidRDefault="00A467D6" w:rsidP="00F62C9B">
            <w:pPr>
              <w:rPr>
                <w:sz w:val="20"/>
              </w:rPr>
            </w:pPr>
            <w:r w:rsidRPr="00336C85">
              <w:rPr>
                <w:sz w:val="20"/>
              </w:rPr>
              <w:t>Does the study design or analysis account for important confounding and modifying variables?</w:t>
            </w:r>
          </w:p>
        </w:tc>
        <w:tc>
          <w:tcPr>
            <w:tcW w:w="731" w:type="pct"/>
            <w:shd w:val="clear" w:color="auto" w:fill="92D050"/>
          </w:tcPr>
          <w:p w14:paraId="398692F4" w14:textId="77777777" w:rsidR="00A467D6" w:rsidRPr="00336C85" w:rsidRDefault="00A467D6" w:rsidP="00F62C9B">
            <w:pPr>
              <w:rPr>
                <w:sz w:val="20"/>
              </w:rPr>
            </w:pPr>
            <w:r>
              <w:rPr>
                <w:sz w:val="20"/>
              </w:rPr>
              <w:t>+</w:t>
            </w:r>
          </w:p>
        </w:tc>
        <w:tc>
          <w:tcPr>
            <w:tcW w:w="2088" w:type="pct"/>
          </w:tcPr>
          <w:p w14:paraId="7AC07766" w14:textId="77777777" w:rsidR="00A467D6" w:rsidRPr="00336C85" w:rsidRDefault="00A467D6" w:rsidP="00F62C9B">
            <w:pPr>
              <w:rPr>
                <w:sz w:val="20"/>
              </w:rPr>
            </w:pPr>
            <w:r w:rsidRPr="00A94EAA">
              <w:rPr>
                <w:sz w:val="20"/>
              </w:rPr>
              <w:t>no formal confounder adjustment was reported, which is typical for this controlled animal design.</w:t>
            </w:r>
          </w:p>
        </w:tc>
      </w:tr>
      <w:tr w:rsidR="00A467D6" w:rsidRPr="00336C85" w14:paraId="488CA06E" w14:textId="77777777" w:rsidTr="00F62C9B">
        <w:trPr>
          <w:trHeight w:val="53"/>
        </w:trPr>
        <w:tc>
          <w:tcPr>
            <w:tcW w:w="2181" w:type="pct"/>
          </w:tcPr>
          <w:p w14:paraId="686DF242" w14:textId="77777777" w:rsidR="00A467D6" w:rsidRPr="00336C85" w:rsidRDefault="00A467D6" w:rsidP="00F62C9B">
            <w:pPr>
              <w:rPr>
                <w:b/>
                <w:bCs/>
                <w:sz w:val="20"/>
              </w:rPr>
            </w:pPr>
            <w:r w:rsidRPr="00336C85">
              <w:rPr>
                <w:b/>
                <w:bCs/>
                <w:sz w:val="20"/>
              </w:rPr>
              <w:t>Performance</w:t>
            </w:r>
          </w:p>
        </w:tc>
        <w:tc>
          <w:tcPr>
            <w:tcW w:w="731" w:type="pct"/>
          </w:tcPr>
          <w:p w14:paraId="5CF3B1C8" w14:textId="77777777" w:rsidR="00A467D6" w:rsidRPr="00336C85" w:rsidRDefault="00A467D6" w:rsidP="00F62C9B">
            <w:pPr>
              <w:rPr>
                <w:sz w:val="20"/>
              </w:rPr>
            </w:pPr>
          </w:p>
        </w:tc>
        <w:tc>
          <w:tcPr>
            <w:tcW w:w="2088" w:type="pct"/>
          </w:tcPr>
          <w:p w14:paraId="0BF81D67" w14:textId="77777777" w:rsidR="00A467D6" w:rsidRPr="00336C85" w:rsidRDefault="00A467D6" w:rsidP="00F62C9B">
            <w:pPr>
              <w:rPr>
                <w:sz w:val="20"/>
              </w:rPr>
            </w:pPr>
          </w:p>
        </w:tc>
      </w:tr>
      <w:tr w:rsidR="00A467D6" w:rsidRPr="00336C85" w14:paraId="65551046" w14:textId="77777777" w:rsidTr="00F62C9B">
        <w:trPr>
          <w:trHeight w:val="52"/>
        </w:trPr>
        <w:tc>
          <w:tcPr>
            <w:tcW w:w="2181" w:type="pct"/>
          </w:tcPr>
          <w:p w14:paraId="55F375A6" w14:textId="77777777" w:rsidR="00A467D6" w:rsidRPr="00336C85" w:rsidRDefault="00A467D6" w:rsidP="00F62C9B">
            <w:pPr>
              <w:rPr>
                <w:sz w:val="20"/>
              </w:rPr>
            </w:pPr>
            <w:r w:rsidRPr="00336C85">
              <w:rPr>
                <w:rFonts w:eastAsia="Calibri" w:cs="Arial"/>
                <w:sz w:val="20"/>
                <w:lang w:val="en-GB"/>
              </w:rPr>
              <w:t>Were experimental conditions identical across study groups?</w:t>
            </w:r>
          </w:p>
        </w:tc>
        <w:tc>
          <w:tcPr>
            <w:tcW w:w="731" w:type="pct"/>
            <w:shd w:val="clear" w:color="auto" w:fill="00B050"/>
          </w:tcPr>
          <w:p w14:paraId="77F54B66" w14:textId="77777777" w:rsidR="00A467D6" w:rsidRPr="00336C85" w:rsidRDefault="00A467D6" w:rsidP="00F62C9B">
            <w:pPr>
              <w:rPr>
                <w:sz w:val="20"/>
              </w:rPr>
            </w:pPr>
            <w:r>
              <w:rPr>
                <w:sz w:val="20"/>
              </w:rPr>
              <w:t>++</w:t>
            </w:r>
          </w:p>
        </w:tc>
        <w:tc>
          <w:tcPr>
            <w:tcW w:w="2088" w:type="pct"/>
          </w:tcPr>
          <w:p w14:paraId="185A900D" w14:textId="77777777" w:rsidR="00A467D6" w:rsidRPr="00336C85" w:rsidRDefault="00A467D6" w:rsidP="00F62C9B">
            <w:pPr>
              <w:rPr>
                <w:sz w:val="20"/>
              </w:rPr>
            </w:pPr>
            <w:r w:rsidRPr="00A94EAA">
              <w:rPr>
                <w:sz w:val="20"/>
              </w:rPr>
              <w:t>Experimental conditions and sample collection procedures were well described and standardised across groups, supporting consistency in housing, husbandry, blood/CSF collection, and tissue processing</w:t>
            </w:r>
            <w:r w:rsidRPr="00C22DDF">
              <w:rPr>
                <w:sz w:val="20"/>
              </w:rPr>
              <w:t>.</w:t>
            </w:r>
          </w:p>
        </w:tc>
      </w:tr>
      <w:tr w:rsidR="00A467D6" w:rsidRPr="00336C85" w14:paraId="344497BF" w14:textId="77777777" w:rsidTr="00F62C9B">
        <w:trPr>
          <w:trHeight w:val="52"/>
        </w:trPr>
        <w:tc>
          <w:tcPr>
            <w:tcW w:w="2181" w:type="pct"/>
          </w:tcPr>
          <w:p w14:paraId="0B5E2733" w14:textId="77777777" w:rsidR="00A467D6" w:rsidRPr="00336C85" w:rsidRDefault="00A467D6" w:rsidP="00F62C9B">
            <w:pPr>
              <w:rPr>
                <w:rFonts w:eastAsia="Calibri" w:cs="Arial"/>
                <w:sz w:val="20"/>
                <w:lang w:val="en-GB"/>
              </w:rPr>
            </w:pPr>
            <w:r w:rsidRPr="00336C85">
              <w:rPr>
                <w:rFonts w:eastAsia="Calibri" w:cs="Arial"/>
                <w:sz w:val="20"/>
                <w:lang w:val="en-GB"/>
              </w:rPr>
              <w:t>Were the research personnel and human subjects blinded to the study group during the study?</w:t>
            </w:r>
          </w:p>
        </w:tc>
        <w:tc>
          <w:tcPr>
            <w:tcW w:w="731" w:type="pct"/>
            <w:shd w:val="clear" w:color="auto" w:fill="FDCBD1"/>
          </w:tcPr>
          <w:p w14:paraId="361273DE" w14:textId="77777777" w:rsidR="00A467D6" w:rsidRPr="00336C85" w:rsidRDefault="00A467D6" w:rsidP="00F62C9B">
            <w:pPr>
              <w:rPr>
                <w:sz w:val="20"/>
              </w:rPr>
            </w:pPr>
            <w:r>
              <w:rPr>
                <w:sz w:val="20"/>
              </w:rPr>
              <w:t>NR</w:t>
            </w:r>
          </w:p>
        </w:tc>
        <w:tc>
          <w:tcPr>
            <w:tcW w:w="2088" w:type="pct"/>
          </w:tcPr>
          <w:p w14:paraId="7CF3E928" w14:textId="77777777" w:rsidR="00A467D6" w:rsidRPr="00336C85" w:rsidRDefault="00A467D6" w:rsidP="00F62C9B">
            <w:pPr>
              <w:rPr>
                <w:sz w:val="20"/>
              </w:rPr>
            </w:pPr>
            <w:r w:rsidRPr="000305C9">
              <w:rPr>
                <w:sz w:val="20"/>
              </w:rPr>
              <w:t xml:space="preserve">Blinding was not reported for in-life observations, sample collection, or study </w:t>
            </w:r>
            <w:r w:rsidRPr="000305C9">
              <w:rPr>
                <w:sz w:val="20"/>
              </w:rPr>
              <w:lastRenderedPageBreak/>
              <w:t>personnel, so performance bias cannot be ruled out.</w:t>
            </w:r>
          </w:p>
        </w:tc>
      </w:tr>
      <w:tr w:rsidR="00A467D6" w:rsidRPr="00336C85" w14:paraId="3E84546C" w14:textId="77777777" w:rsidTr="00F62C9B">
        <w:tc>
          <w:tcPr>
            <w:tcW w:w="2181" w:type="pct"/>
          </w:tcPr>
          <w:p w14:paraId="467E49BC" w14:textId="77777777" w:rsidR="00A467D6" w:rsidRPr="00336C85" w:rsidRDefault="00A467D6" w:rsidP="00F62C9B">
            <w:pPr>
              <w:rPr>
                <w:sz w:val="20"/>
              </w:rPr>
            </w:pPr>
            <w:r w:rsidRPr="00336C85">
              <w:rPr>
                <w:rFonts w:eastAsia="Calibri" w:cs="Arial"/>
                <w:b/>
                <w:bCs/>
                <w:sz w:val="20"/>
                <w:lang w:val="en-GB"/>
              </w:rPr>
              <w:lastRenderedPageBreak/>
              <w:t xml:space="preserve">Attrition / Exclusion </w:t>
            </w:r>
          </w:p>
        </w:tc>
        <w:tc>
          <w:tcPr>
            <w:tcW w:w="731" w:type="pct"/>
          </w:tcPr>
          <w:p w14:paraId="75DF98D8" w14:textId="77777777" w:rsidR="00A467D6" w:rsidRPr="00336C85" w:rsidRDefault="00A467D6" w:rsidP="00F62C9B">
            <w:pPr>
              <w:rPr>
                <w:sz w:val="20"/>
              </w:rPr>
            </w:pPr>
          </w:p>
        </w:tc>
        <w:tc>
          <w:tcPr>
            <w:tcW w:w="2088" w:type="pct"/>
          </w:tcPr>
          <w:p w14:paraId="1DF797B9" w14:textId="77777777" w:rsidR="00A467D6" w:rsidRPr="00336C85" w:rsidRDefault="00A467D6" w:rsidP="00F62C9B">
            <w:pPr>
              <w:rPr>
                <w:sz w:val="20"/>
              </w:rPr>
            </w:pPr>
          </w:p>
        </w:tc>
      </w:tr>
      <w:tr w:rsidR="00A467D6" w:rsidRPr="00336C85" w14:paraId="7F5C222A" w14:textId="77777777" w:rsidTr="00F62C9B">
        <w:tc>
          <w:tcPr>
            <w:tcW w:w="2181" w:type="pct"/>
          </w:tcPr>
          <w:p w14:paraId="75A78042" w14:textId="77777777" w:rsidR="00A467D6" w:rsidRPr="00336C85" w:rsidRDefault="00A467D6" w:rsidP="00F62C9B">
            <w:pPr>
              <w:rPr>
                <w:rFonts w:eastAsia="Calibri" w:cs="Arial"/>
                <w:b/>
                <w:bCs/>
                <w:sz w:val="20"/>
                <w:lang w:val="en-GB"/>
              </w:rPr>
            </w:pPr>
            <w:r w:rsidRPr="00336C85">
              <w:rPr>
                <w:rFonts w:eastAsia="Calibri" w:cs="Arial"/>
                <w:sz w:val="20"/>
                <w:lang w:val="en-GB"/>
              </w:rPr>
              <w:t>Were outcome data incomplete because of attrition or exclusion from analysis?</w:t>
            </w:r>
          </w:p>
        </w:tc>
        <w:tc>
          <w:tcPr>
            <w:tcW w:w="731" w:type="pct"/>
            <w:shd w:val="clear" w:color="auto" w:fill="92D050"/>
          </w:tcPr>
          <w:p w14:paraId="35F059B1" w14:textId="77777777" w:rsidR="00A467D6" w:rsidRPr="00336C85" w:rsidRDefault="00A467D6" w:rsidP="00F62C9B">
            <w:pPr>
              <w:rPr>
                <w:sz w:val="20"/>
              </w:rPr>
            </w:pPr>
            <w:r>
              <w:rPr>
                <w:sz w:val="20"/>
              </w:rPr>
              <w:t>+</w:t>
            </w:r>
          </w:p>
        </w:tc>
        <w:tc>
          <w:tcPr>
            <w:tcW w:w="2088" w:type="pct"/>
          </w:tcPr>
          <w:p w14:paraId="60AD9C90" w14:textId="77777777" w:rsidR="00A467D6" w:rsidRPr="00336C85" w:rsidRDefault="00A467D6" w:rsidP="00F62C9B">
            <w:pPr>
              <w:rPr>
                <w:sz w:val="20"/>
              </w:rPr>
            </w:pPr>
            <w:r w:rsidRPr="000305C9">
              <w:rPr>
                <w:sz w:val="20"/>
              </w:rPr>
              <w:t>No attrition or exclusions were reported, with planned group sizes maintained. An incidental histopathology finding was noted and appropriately considered in interpretation.</w:t>
            </w:r>
          </w:p>
        </w:tc>
      </w:tr>
      <w:tr w:rsidR="00A467D6" w:rsidRPr="00336C85" w14:paraId="5CEBC7E9" w14:textId="77777777" w:rsidTr="00F62C9B">
        <w:trPr>
          <w:trHeight w:val="81"/>
        </w:trPr>
        <w:tc>
          <w:tcPr>
            <w:tcW w:w="2181" w:type="pct"/>
          </w:tcPr>
          <w:p w14:paraId="0C97AE01" w14:textId="77777777" w:rsidR="00A467D6" w:rsidRPr="00336C85" w:rsidRDefault="00A467D6" w:rsidP="00F62C9B">
            <w:pPr>
              <w:rPr>
                <w:sz w:val="20"/>
              </w:rPr>
            </w:pPr>
            <w:r w:rsidRPr="00336C85">
              <w:rPr>
                <w:rFonts w:ascii="Aptos" w:eastAsia="Calibri" w:hAnsi="Aptos" w:cs="Arial"/>
                <w:b/>
                <w:bCs/>
                <w:kern w:val="2"/>
                <w:sz w:val="20"/>
                <w:lang w:eastAsia="en-US"/>
                <w14:ligatures w14:val="standardContextual"/>
              </w:rPr>
              <w:t>Detection bias – KEY DOMAIN</w:t>
            </w:r>
          </w:p>
        </w:tc>
        <w:tc>
          <w:tcPr>
            <w:tcW w:w="731" w:type="pct"/>
          </w:tcPr>
          <w:p w14:paraId="31FB22DF" w14:textId="77777777" w:rsidR="00A467D6" w:rsidRPr="00336C85" w:rsidRDefault="00A467D6" w:rsidP="00F62C9B">
            <w:pPr>
              <w:rPr>
                <w:sz w:val="20"/>
              </w:rPr>
            </w:pPr>
          </w:p>
        </w:tc>
        <w:tc>
          <w:tcPr>
            <w:tcW w:w="2088" w:type="pct"/>
          </w:tcPr>
          <w:p w14:paraId="0A759BEF" w14:textId="77777777" w:rsidR="00A467D6" w:rsidRPr="00336C85" w:rsidRDefault="00A467D6" w:rsidP="00F62C9B">
            <w:pPr>
              <w:rPr>
                <w:sz w:val="20"/>
              </w:rPr>
            </w:pPr>
          </w:p>
        </w:tc>
      </w:tr>
      <w:tr w:rsidR="00A467D6" w:rsidRPr="00336C85" w14:paraId="377FEB79" w14:textId="77777777" w:rsidTr="00F62C9B">
        <w:trPr>
          <w:trHeight w:val="80"/>
        </w:trPr>
        <w:tc>
          <w:tcPr>
            <w:tcW w:w="2181" w:type="pct"/>
          </w:tcPr>
          <w:p w14:paraId="5C61164D" w14:textId="77777777" w:rsidR="00A467D6" w:rsidRPr="00336C85" w:rsidRDefault="00A467D6" w:rsidP="00F62C9B">
            <w:pPr>
              <w:rPr>
                <w:rFonts w:ascii="Aptos" w:eastAsia="Calibri" w:hAnsi="Aptos" w:cs="Arial"/>
                <w:b/>
                <w:bCs/>
                <w:kern w:val="2"/>
                <w:sz w:val="20"/>
                <w14:ligatures w14:val="standardContextual"/>
              </w:rPr>
            </w:pPr>
            <w:r w:rsidRPr="00336C85">
              <w:rPr>
                <w:rFonts w:eastAsia="Calibri" w:cs="Arial"/>
                <w:sz w:val="20"/>
                <w:lang w:val="en-GB"/>
              </w:rPr>
              <w:t>KEY - Can we be confident in the exposure characterisation?</w:t>
            </w:r>
          </w:p>
        </w:tc>
        <w:tc>
          <w:tcPr>
            <w:tcW w:w="731" w:type="pct"/>
            <w:shd w:val="clear" w:color="auto" w:fill="00B050"/>
          </w:tcPr>
          <w:p w14:paraId="13A16DF4" w14:textId="77777777" w:rsidR="00A467D6" w:rsidRPr="00336C85" w:rsidRDefault="00A467D6" w:rsidP="00F62C9B">
            <w:pPr>
              <w:rPr>
                <w:sz w:val="20"/>
              </w:rPr>
            </w:pPr>
            <w:r>
              <w:rPr>
                <w:sz w:val="20"/>
              </w:rPr>
              <w:t>++</w:t>
            </w:r>
          </w:p>
        </w:tc>
        <w:tc>
          <w:tcPr>
            <w:tcW w:w="2088" w:type="pct"/>
          </w:tcPr>
          <w:p w14:paraId="3303E549" w14:textId="77777777" w:rsidR="00A467D6" w:rsidRPr="00336C85" w:rsidRDefault="00A467D6" w:rsidP="00F62C9B">
            <w:pPr>
              <w:rPr>
                <w:sz w:val="20"/>
              </w:rPr>
            </w:pPr>
            <w:r w:rsidRPr="000305C9">
              <w:rPr>
                <w:sz w:val="20"/>
              </w:rPr>
              <w:t>Exposure characterisation was clearly reported, including dose, route, timing, dosing rationale, and chemical sources for all compounds.</w:t>
            </w:r>
          </w:p>
        </w:tc>
      </w:tr>
      <w:tr w:rsidR="004D253D" w:rsidRPr="00336C85" w14:paraId="2A402E95" w14:textId="77777777" w:rsidTr="00665072">
        <w:trPr>
          <w:trHeight w:val="80"/>
        </w:trPr>
        <w:tc>
          <w:tcPr>
            <w:tcW w:w="2181" w:type="pct"/>
          </w:tcPr>
          <w:p w14:paraId="41796583" w14:textId="77777777" w:rsidR="004D253D" w:rsidRPr="00336C85" w:rsidRDefault="004D253D" w:rsidP="004D253D">
            <w:pPr>
              <w:rPr>
                <w:rFonts w:eastAsia="Calibri" w:cs="Arial"/>
                <w:sz w:val="20"/>
                <w:lang w:val="en-GB"/>
              </w:rPr>
            </w:pPr>
            <w:r w:rsidRPr="00336C85">
              <w:rPr>
                <w:rFonts w:eastAsia="Calibri" w:cs="Arial"/>
                <w:sz w:val="20"/>
                <w:lang w:val="en-GB"/>
              </w:rPr>
              <w:t>KEY - Can we be confident in the outcome assessment?</w:t>
            </w:r>
          </w:p>
        </w:tc>
        <w:tc>
          <w:tcPr>
            <w:tcW w:w="731" w:type="pct"/>
            <w:shd w:val="clear" w:color="auto" w:fill="FDCBD1"/>
          </w:tcPr>
          <w:p w14:paraId="69382349" w14:textId="4B6D5C65" w:rsidR="004D253D" w:rsidRPr="00336C85" w:rsidRDefault="004D253D" w:rsidP="004D253D">
            <w:pPr>
              <w:rPr>
                <w:sz w:val="20"/>
              </w:rPr>
            </w:pPr>
            <w:r>
              <w:rPr>
                <w:sz w:val="20"/>
              </w:rPr>
              <w:t>-</w:t>
            </w:r>
          </w:p>
        </w:tc>
        <w:tc>
          <w:tcPr>
            <w:tcW w:w="2088" w:type="pct"/>
          </w:tcPr>
          <w:p w14:paraId="29AE996A" w14:textId="2EF311A1" w:rsidR="004D253D" w:rsidRPr="00336C85" w:rsidRDefault="004D253D" w:rsidP="004D253D">
            <w:pPr>
              <w:rPr>
                <w:sz w:val="20"/>
              </w:rPr>
            </w:pPr>
            <w:r>
              <w:rPr>
                <w:sz w:val="20"/>
              </w:rPr>
              <w:t>I</w:t>
            </w:r>
            <w:r w:rsidRPr="004D253D">
              <w:rPr>
                <w:sz w:val="20"/>
              </w:rPr>
              <w:t>ncomplete outcome data for the pyridoxine (excluded from the day 8 necropsy cohort unlike the trimethyltin (TMT) comparator)</w:t>
            </w:r>
            <w:r>
              <w:rPr>
                <w:sz w:val="20"/>
              </w:rPr>
              <w:t>.</w:t>
            </w:r>
          </w:p>
        </w:tc>
      </w:tr>
      <w:tr w:rsidR="00A467D6" w:rsidRPr="00336C85" w14:paraId="2BAE0C04" w14:textId="77777777" w:rsidTr="00F62C9B">
        <w:trPr>
          <w:trHeight w:val="236"/>
        </w:trPr>
        <w:tc>
          <w:tcPr>
            <w:tcW w:w="2181" w:type="pct"/>
          </w:tcPr>
          <w:p w14:paraId="7B47D102" w14:textId="77777777" w:rsidR="00A467D6" w:rsidRPr="00336C85" w:rsidRDefault="00A467D6" w:rsidP="00F62C9B">
            <w:pPr>
              <w:rPr>
                <w:sz w:val="20"/>
              </w:rPr>
            </w:pPr>
            <w:r w:rsidRPr="00336C85">
              <w:rPr>
                <w:rFonts w:eastAsia="Calibri" w:cs="Arial"/>
                <w:b/>
                <w:bCs/>
                <w:sz w:val="20"/>
                <w:lang w:val="en-GB"/>
              </w:rPr>
              <w:t>Selective Reporting</w:t>
            </w:r>
          </w:p>
        </w:tc>
        <w:tc>
          <w:tcPr>
            <w:tcW w:w="731" w:type="pct"/>
          </w:tcPr>
          <w:p w14:paraId="0D2A337D" w14:textId="77777777" w:rsidR="00A467D6" w:rsidRPr="00336C85" w:rsidRDefault="00A467D6" w:rsidP="00F62C9B">
            <w:pPr>
              <w:rPr>
                <w:sz w:val="20"/>
              </w:rPr>
            </w:pPr>
          </w:p>
        </w:tc>
        <w:tc>
          <w:tcPr>
            <w:tcW w:w="2088" w:type="pct"/>
          </w:tcPr>
          <w:p w14:paraId="2705FC55" w14:textId="77777777" w:rsidR="00A467D6" w:rsidRPr="00336C85" w:rsidRDefault="00A467D6" w:rsidP="00F62C9B">
            <w:pPr>
              <w:rPr>
                <w:sz w:val="20"/>
              </w:rPr>
            </w:pPr>
          </w:p>
        </w:tc>
      </w:tr>
      <w:tr w:rsidR="00A467D6" w:rsidRPr="00336C85" w14:paraId="7417C61C" w14:textId="77777777" w:rsidTr="00F62C9B">
        <w:trPr>
          <w:trHeight w:val="235"/>
        </w:trPr>
        <w:tc>
          <w:tcPr>
            <w:tcW w:w="2181" w:type="pct"/>
          </w:tcPr>
          <w:p w14:paraId="4F0FC5B3" w14:textId="77777777" w:rsidR="00A467D6" w:rsidRPr="00336C85" w:rsidRDefault="00A467D6" w:rsidP="00F62C9B">
            <w:pPr>
              <w:rPr>
                <w:rFonts w:eastAsia="Calibri" w:cs="Arial"/>
                <w:b/>
                <w:bCs/>
                <w:sz w:val="20"/>
                <w:lang w:val="en-GB"/>
              </w:rPr>
            </w:pPr>
            <w:r w:rsidRPr="00336C85">
              <w:rPr>
                <w:rFonts w:eastAsia="Calibri" w:cs="Arial"/>
                <w:sz w:val="20"/>
                <w:lang w:val="en-GB"/>
              </w:rPr>
              <w:t>Were all measured outcomes reported?</w:t>
            </w:r>
          </w:p>
        </w:tc>
        <w:tc>
          <w:tcPr>
            <w:tcW w:w="731" w:type="pct"/>
            <w:shd w:val="clear" w:color="auto" w:fill="92D050"/>
          </w:tcPr>
          <w:p w14:paraId="2B205279" w14:textId="77777777" w:rsidR="00A467D6" w:rsidRPr="00336C85" w:rsidRDefault="00A467D6" w:rsidP="00F62C9B">
            <w:pPr>
              <w:rPr>
                <w:sz w:val="20"/>
              </w:rPr>
            </w:pPr>
            <w:r>
              <w:rPr>
                <w:sz w:val="20"/>
              </w:rPr>
              <w:t>+</w:t>
            </w:r>
          </w:p>
        </w:tc>
        <w:tc>
          <w:tcPr>
            <w:tcW w:w="2088" w:type="pct"/>
          </w:tcPr>
          <w:p w14:paraId="1208BBC2" w14:textId="77777777" w:rsidR="00A467D6" w:rsidRPr="00336C85" w:rsidRDefault="00A467D6" w:rsidP="00F62C9B">
            <w:pPr>
              <w:rPr>
                <w:sz w:val="20"/>
              </w:rPr>
            </w:pPr>
            <w:r w:rsidRPr="000305C9">
              <w:rPr>
                <w:sz w:val="20"/>
              </w:rPr>
              <w:t>All specified outcomes were reported across treatment groups and time points, with supplementary data referenced. However, lack of protocol registration prevents confirmation against a pre-specified analysis plan.</w:t>
            </w:r>
          </w:p>
        </w:tc>
      </w:tr>
      <w:tr w:rsidR="00A467D6" w:rsidRPr="00336C85" w14:paraId="4624474B" w14:textId="77777777" w:rsidTr="00F62C9B">
        <w:tc>
          <w:tcPr>
            <w:tcW w:w="2181" w:type="pct"/>
          </w:tcPr>
          <w:p w14:paraId="4F1808B2" w14:textId="77777777" w:rsidR="00A467D6" w:rsidRPr="00336C85" w:rsidRDefault="00A467D6" w:rsidP="00F62C9B">
            <w:pPr>
              <w:rPr>
                <w:b/>
                <w:bCs/>
                <w:sz w:val="20"/>
              </w:rPr>
            </w:pPr>
            <w:r w:rsidRPr="00336C85">
              <w:rPr>
                <w:rFonts w:eastAsia="Calibri" w:cs="Arial"/>
                <w:b/>
                <w:bCs/>
                <w:sz w:val="20"/>
                <w:lang w:val="en-GB"/>
              </w:rPr>
              <w:t>Other Sources of bias</w:t>
            </w:r>
          </w:p>
        </w:tc>
        <w:tc>
          <w:tcPr>
            <w:tcW w:w="731" w:type="pct"/>
          </w:tcPr>
          <w:p w14:paraId="68127D7D" w14:textId="77777777" w:rsidR="00A467D6" w:rsidRPr="00336C85" w:rsidRDefault="00A467D6" w:rsidP="00F62C9B">
            <w:pPr>
              <w:rPr>
                <w:sz w:val="20"/>
              </w:rPr>
            </w:pPr>
          </w:p>
        </w:tc>
        <w:tc>
          <w:tcPr>
            <w:tcW w:w="2088" w:type="pct"/>
          </w:tcPr>
          <w:p w14:paraId="286502AC" w14:textId="77777777" w:rsidR="00A467D6" w:rsidRPr="00336C85" w:rsidRDefault="00A467D6" w:rsidP="00F62C9B">
            <w:pPr>
              <w:rPr>
                <w:sz w:val="20"/>
              </w:rPr>
            </w:pPr>
          </w:p>
        </w:tc>
      </w:tr>
      <w:tr w:rsidR="00A467D6" w:rsidRPr="00336C85" w14:paraId="2CA6A19B" w14:textId="77777777" w:rsidTr="00F62C9B">
        <w:tc>
          <w:tcPr>
            <w:tcW w:w="2181" w:type="pct"/>
          </w:tcPr>
          <w:p w14:paraId="78CFD4AB" w14:textId="77777777" w:rsidR="00A467D6" w:rsidRPr="00336C85" w:rsidRDefault="00A467D6" w:rsidP="00F62C9B">
            <w:pPr>
              <w:rPr>
                <w:rFonts w:eastAsia="Calibri" w:cs="Arial"/>
                <w:b/>
                <w:bCs/>
                <w:sz w:val="20"/>
                <w:lang w:val="en-GB"/>
              </w:rPr>
            </w:pPr>
            <w:r w:rsidRPr="00336C85">
              <w:rPr>
                <w:rFonts w:eastAsia="Calibri" w:cs="Arial"/>
                <w:sz w:val="20"/>
                <w:lang w:val="en-GB"/>
              </w:rPr>
              <w:t>Were there any other potential threats to internal validity (e.g., inappropriate statistical methods)?</w:t>
            </w:r>
          </w:p>
        </w:tc>
        <w:tc>
          <w:tcPr>
            <w:tcW w:w="731" w:type="pct"/>
            <w:shd w:val="clear" w:color="auto" w:fill="FDCBD1"/>
          </w:tcPr>
          <w:p w14:paraId="581EAED0" w14:textId="77777777" w:rsidR="00A467D6" w:rsidRPr="00336C85" w:rsidRDefault="00A467D6" w:rsidP="00F62C9B">
            <w:pPr>
              <w:rPr>
                <w:sz w:val="20"/>
              </w:rPr>
            </w:pPr>
            <w:r>
              <w:rPr>
                <w:sz w:val="20"/>
              </w:rPr>
              <w:t>-</w:t>
            </w:r>
          </w:p>
        </w:tc>
        <w:tc>
          <w:tcPr>
            <w:tcW w:w="2088" w:type="pct"/>
          </w:tcPr>
          <w:p w14:paraId="60DAF00E" w14:textId="77777777" w:rsidR="00A467D6" w:rsidRDefault="00A467D6" w:rsidP="00F62C9B">
            <w:pPr>
              <w:rPr>
                <w:sz w:val="20"/>
              </w:rPr>
            </w:pPr>
            <w:r w:rsidRPr="000305C9">
              <w:rPr>
                <w:sz w:val="20"/>
              </w:rPr>
              <w:t>Key limitations include very small group sizes, limited statistical testing, no multiple-comparison correction, and mostly narrative reporting of NfL findings. All authors were Takeda employees, indicating a potential conflict of interest, although this does not necessarily imply bias.</w:t>
            </w:r>
          </w:p>
          <w:p w14:paraId="2C2543CC" w14:textId="7E145CAF" w:rsidR="004D253D" w:rsidRPr="00336C85" w:rsidRDefault="004D253D" w:rsidP="00F62C9B">
            <w:pPr>
              <w:rPr>
                <w:sz w:val="20"/>
              </w:rPr>
            </w:pPr>
            <w:r w:rsidRPr="004D253D">
              <w:rPr>
                <w:sz w:val="20"/>
              </w:rPr>
              <w:t>A full GLP study report with complete data may have warranted a lower risk of bias rating.</w:t>
            </w:r>
          </w:p>
        </w:tc>
      </w:tr>
      <w:tr w:rsidR="00A467D6" w:rsidRPr="00336C85" w14:paraId="4732DCE2" w14:textId="77777777" w:rsidTr="00F62C9B">
        <w:tc>
          <w:tcPr>
            <w:tcW w:w="2181" w:type="pct"/>
          </w:tcPr>
          <w:p w14:paraId="0F928F81" w14:textId="77777777" w:rsidR="00A467D6" w:rsidRPr="00336C85" w:rsidRDefault="00A467D6" w:rsidP="00F62C9B">
            <w:pPr>
              <w:rPr>
                <w:sz w:val="20"/>
              </w:rPr>
            </w:pPr>
            <w:r w:rsidRPr="00336C85">
              <w:rPr>
                <w:rFonts w:eastAsia="Calibri" w:cs="Arial"/>
                <w:b/>
                <w:bCs/>
                <w:sz w:val="20"/>
                <w:lang w:val="en-GB"/>
              </w:rPr>
              <w:t>Overall risk of bias for the study (Low/Moderate/High)</w:t>
            </w:r>
          </w:p>
        </w:tc>
        <w:tc>
          <w:tcPr>
            <w:tcW w:w="731" w:type="pct"/>
          </w:tcPr>
          <w:p w14:paraId="0497F353" w14:textId="0388768A" w:rsidR="00A467D6" w:rsidRPr="00336C85" w:rsidRDefault="004D253D" w:rsidP="00F62C9B">
            <w:pPr>
              <w:rPr>
                <w:b/>
                <w:bCs/>
                <w:sz w:val="20"/>
              </w:rPr>
            </w:pPr>
            <w:r>
              <w:rPr>
                <w:b/>
                <w:bCs/>
                <w:sz w:val="20"/>
              </w:rPr>
              <w:t>High</w:t>
            </w:r>
          </w:p>
        </w:tc>
        <w:tc>
          <w:tcPr>
            <w:tcW w:w="2088" w:type="pct"/>
          </w:tcPr>
          <w:p w14:paraId="545E781D" w14:textId="0B81F2F0" w:rsidR="00A467D6" w:rsidRPr="00336C85" w:rsidRDefault="004D253D" w:rsidP="00F62C9B">
            <w:pPr>
              <w:rPr>
                <w:b/>
                <w:bCs/>
                <w:sz w:val="20"/>
              </w:rPr>
            </w:pPr>
            <w:r>
              <w:rPr>
                <w:b/>
                <w:bCs/>
                <w:sz w:val="20"/>
              </w:rPr>
              <w:t>V</w:t>
            </w:r>
            <w:r w:rsidRPr="004D253D">
              <w:rPr>
                <w:b/>
                <w:bCs/>
                <w:sz w:val="20"/>
              </w:rPr>
              <w:t>ery small group sizes (n=4), incomplete outcome data for the pyridoxine (excluded from the day 8 necropsy cohort unlike the trimethyltin (TMT) comparator), and a dose rationale partly based on unpublished internal data. A full GLP study report with complete data may have warranted a lower risk of bias rating.</w:t>
            </w:r>
          </w:p>
        </w:tc>
      </w:tr>
    </w:tbl>
    <w:p w14:paraId="0550969B" w14:textId="77777777" w:rsidR="00A467D6" w:rsidRDefault="00A467D6" w:rsidP="00A467D6">
      <w:pPr>
        <w:pStyle w:val="BodyText"/>
      </w:pPr>
    </w:p>
    <w:p w14:paraId="7FAE7D3D" w14:textId="77777777" w:rsidR="00A467D6" w:rsidRDefault="00A467D6" w:rsidP="00A467D6">
      <w:pPr>
        <w:pStyle w:val="Heading9"/>
      </w:pPr>
      <w:bookmarkStart w:id="94" w:name="_Toc233022908"/>
      <w:r>
        <w:lastRenderedPageBreak/>
        <w:t>Stewart et al. 2022</w:t>
      </w:r>
      <w:bookmarkEnd w:id="94"/>
    </w:p>
    <w:p w14:paraId="6407918E" w14:textId="77777777" w:rsidR="00A467D6" w:rsidRPr="00306EFF" w:rsidRDefault="00A467D6" w:rsidP="00A467D6">
      <w:pPr>
        <w:rPr>
          <w:rFonts w:eastAsia="Calibri" w:cs="Arial"/>
          <w:szCs w:val="22"/>
        </w:rPr>
      </w:pPr>
      <w:r w:rsidRPr="00E45AB2">
        <w:rPr>
          <w:rFonts w:eastAsia="Calibri" w:cs="Arial"/>
          <w:szCs w:val="22"/>
        </w:rPr>
        <w:t xml:space="preserve">Rating key: </w:t>
      </w:r>
      <w:r w:rsidRPr="00E45AB2">
        <w:rPr>
          <w:rFonts w:eastAsia="Calibri" w:cs="Arial"/>
          <w:szCs w:val="22"/>
          <w:shd w:val="clear" w:color="auto" w:fill="00B050"/>
        </w:rPr>
        <w:t>++</w:t>
      </w:r>
      <w:r w:rsidRPr="00E45AB2">
        <w:rPr>
          <w:rFonts w:eastAsia="Calibri" w:cs="Arial"/>
          <w:szCs w:val="22"/>
        </w:rPr>
        <w:t xml:space="preserve"> = definitely low RoB; </w:t>
      </w:r>
      <w:r w:rsidRPr="00E45AB2">
        <w:rPr>
          <w:rFonts w:eastAsia="Calibri" w:cs="Arial"/>
          <w:szCs w:val="22"/>
          <w:shd w:val="clear" w:color="auto" w:fill="92D050"/>
        </w:rPr>
        <w:t>+</w:t>
      </w:r>
      <w:r w:rsidRPr="00E45AB2">
        <w:rPr>
          <w:rFonts w:eastAsia="Calibri" w:cs="Arial"/>
          <w:szCs w:val="22"/>
        </w:rPr>
        <w:t xml:space="preserve"> = probably low RoB; </w:t>
      </w:r>
      <w:r w:rsidRPr="00E45AB2">
        <w:rPr>
          <w:rFonts w:eastAsia="Calibri" w:cs="Arial"/>
          <w:szCs w:val="22"/>
          <w:shd w:val="clear" w:color="auto" w:fill="FFC1C1"/>
        </w:rPr>
        <w:t>NR</w:t>
      </w:r>
      <w:r w:rsidRPr="00E45AB2">
        <w:rPr>
          <w:rFonts w:eastAsia="Calibri" w:cs="Arial"/>
          <w:szCs w:val="22"/>
        </w:rPr>
        <w:t xml:space="preserve"> = not reported; </w:t>
      </w:r>
      <w:r w:rsidRPr="00E45AB2">
        <w:rPr>
          <w:rFonts w:eastAsia="Calibri" w:cs="Arial"/>
          <w:szCs w:val="22"/>
          <w:shd w:val="clear" w:color="auto" w:fill="FFC1C1"/>
        </w:rPr>
        <w:t>−</w:t>
      </w:r>
      <w:r w:rsidRPr="00E45AB2">
        <w:rPr>
          <w:rFonts w:eastAsia="Calibri" w:cs="Arial"/>
          <w:szCs w:val="22"/>
        </w:rPr>
        <w:t xml:space="preserve"> = probably high RoB; </w:t>
      </w:r>
      <w:r w:rsidRPr="00E45AB2">
        <w:rPr>
          <w:rFonts w:eastAsia="Calibri" w:cs="Arial"/>
          <w:szCs w:val="22"/>
          <w:shd w:val="clear" w:color="auto" w:fill="FF2F2F"/>
        </w:rPr>
        <w:t>−−</w:t>
      </w:r>
      <w:r w:rsidRPr="00E45AB2">
        <w:rPr>
          <w:rFonts w:eastAsia="Calibri" w:cs="Arial"/>
          <w:szCs w:val="22"/>
        </w:rPr>
        <w:t xml:space="preserve"> = definitely high RoB; </w:t>
      </w:r>
      <w:r w:rsidRPr="00E45AB2">
        <w:rPr>
          <w:rFonts w:eastAsia="Calibri" w:cs="Arial"/>
          <w:szCs w:val="22"/>
          <w:highlight w:val="lightGray"/>
        </w:rPr>
        <w:t>NA</w:t>
      </w:r>
      <w:r w:rsidRPr="00E45AB2">
        <w:rPr>
          <w:rFonts w:eastAsia="Calibri" w:cs="Arial"/>
          <w:szCs w:val="22"/>
        </w:rPr>
        <w:t xml:space="preserve"> = not applicable to this study design </w:t>
      </w:r>
    </w:p>
    <w:tbl>
      <w:tblPr>
        <w:tblStyle w:val="SLROption1"/>
        <w:tblW w:w="5000" w:type="pct"/>
        <w:tblLook w:val="01E0" w:firstRow="1" w:lastRow="1" w:firstColumn="1" w:lastColumn="1" w:noHBand="0" w:noVBand="0"/>
      </w:tblPr>
      <w:tblGrid>
        <w:gridCol w:w="3934"/>
        <w:gridCol w:w="1319"/>
        <w:gridCol w:w="3766"/>
      </w:tblGrid>
      <w:tr w:rsidR="00A467D6" w:rsidRPr="00336C85" w14:paraId="5CFA8F7D" w14:textId="77777777" w:rsidTr="00F62C9B">
        <w:trPr>
          <w:cnfStyle w:val="100000000000" w:firstRow="1" w:lastRow="0" w:firstColumn="0" w:lastColumn="0" w:oddVBand="0" w:evenVBand="0" w:oddHBand="0" w:evenHBand="0" w:firstRowFirstColumn="0" w:firstRowLastColumn="0" w:lastRowFirstColumn="0" w:lastRowLastColumn="0"/>
        </w:trPr>
        <w:tc>
          <w:tcPr>
            <w:tcW w:w="2181" w:type="pct"/>
            <w:tcBorders>
              <w:bottom w:val="single" w:sz="4" w:space="0" w:color="FFFFFF" w:themeColor="background1"/>
              <w:right w:val="single" w:sz="4" w:space="0" w:color="FFFFFF" w:themeColor="background1"/>
            </w:tcBorders>
            <w:shd w:val="clear" w:color="auto" w:fill="3C533C" w:themeFill="text2"/>
          </w:tcPr>
          <w:p w14:paraId="1167F34B" w14:textId="77777777" w:rsidR="00A467D6" w:rsidRPr="00336C85" w:rsidRDefault="00A467D6" w:rsidP="00F62C9B">
            <w:pPr>
              <w:keepNext/>
              <w:jc w:val="left"/>
              <w:rPr>
                <w:rFonts w:eastAsia="Calibri"/>
                <w:b/>
                <w:color w:val="FFFFFF" w:themeColor="background1"/>
                <w:sz w:val="20"/>
              </w:rPr>
            </w:pPr>
            <w:r w:rsidRPr="00336C85">
              <w:rPr>
                <w:rFonts w:eastAsia="Calibri"/>
                <w:b/>
                <w:color w:val="FFFFFF" w:themeColor="background1"/>
                <w:sz w:val="20"/>
              </w:rPr>
              <w:t>Study Type:</w:t>
            </w:r>
          </w:p>
        </w:tc>
        <w:tc>
          <w:tcPr>
            <w:tcW w:w="731" w:type="pct"/>
            <w:tcBorders>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5BED3DA4" w14:textId="77777777" w:rsidR="00A467D6" w:rsidRPr="00336C85" w:rsidRDefault="00A467D6" w:rsidP="00F62C9B">
            <w:pPr>
              <w:keepNext/>
              <w:jc w:val="left"/>
              <w:rPr>
                <w:rFonts w:eastAsia="Calibri"/>
                <w:bCs/>
                <w:color w:val="FFFFFF" w:themeColor="background1"/>
                <w:sz w:val="20"/>
              </w:rPr>
            </w:pPr>
          </w:p>
        </w:tc>
        <w:tc>
          <w:tcPr>
            <w:tcW w:w="2088" w:type="pct"/>
            <w:tcBorders>
              <w:left w:val="single" w:sz="4" w:space="0" w:color="FFFFFF" w:themeColor="background1"/>
              <w:bottom w:val="single" w:sz="4" w:space="0" w:color="FFFFFF" w:themeColor="background1"/>
            </w:tcBorders>
            <w:shd w:val="clear" w:color="auto" w:fill="3C533C" w:themeFill="text2"/>
          </w:tcPr>
          <w:p w14:paraId="37629BAA" w14:textId="77777777" w:rsidR="00A467D6" w:rsidRPr="00336C85" w:rsidRDefault="00A467D6" w:rsidP="00F62C9B">
            <w:pPr>
              <w:keepNext/>
              <w:jc w:val="left"/>
              <w:rPr>
                <w:rFonts w:eastAsia="Calibri"/>
                <w:bCs/>
                <w:color w:val="FFFFFF" w:themeColor="background1"/>
                <w:sz w:val="20"/>
              </w:rPr>
            </w:pPr>
            <w:r w:rsidRPr="001D2568">
              <w:rPr>
                <w:rFonts w:eastAsia="Calibri"/>
                <w:bCs/>
                <w:color w:val="FFFFFF" w:themeColor="background1"/>
                <w:sz w:val="20"/>
              </w:rPr>
              <w:t>Cross-sectional observational study (retrospective analysis of a prospective registry)</w:t>
            </w:r>
          </w:p>
        </w:tc>
      </w:tr>
      <w:tr w:rsidR="00A467D6" w:rsidRPr="00336C85" w14:paraId="3DC81584" w14:textId="77777777" w:rsidTr="00F62C9B">
        <w:tc>
          <w:tcPr>
            <w:tcW w:w="2181" w:type="pct"/>
            <w:tcBorders>
              <w:top w:val="single" w:sz="4" w:space="0" w:color="FFFFFF" w:themeColor="background1"/>
              <w:bottom w:val="single" w:sz="4" w:space="0" w:color="FFFFFF" w:themeColor="background1"/>
              <w:right w:val="single" w:sz="4" w:space="0" w:color="FFFFFF" w:themeColor="background1"/>
            </w:tcBorders>
            <w:shd w:val="clear" w:color="auto" w:fill="3C533C" w:themeFill="text2"/>
          </w:tcPr>
          <w:p w14:paraId="135F9A3C" w14:textId="77777777" w:rsidR="00A467D6" w:rsidRPr="00336C85" w:rsidRDefault="00A467D6" w:rsidP="00F62C9B">
            <w:pPr>
              <w:keepNext/>
              <w:rPr>
                <w:rFonts w:eastAsia="Calibri"/>
                <w:b/>
                <w:color w:val="FFFFFF" w:themeColor="background1"/>
                <w:sz w:val="20"/>
              </w:rPr>
            </w:pPr>
            <w:r w:rsidRPr="00336C85">
              <w:rPr>
                <w:rFonts w:eastAsia="Calibri"/>
                <w:b/>
                <w:color w:val="FFFFFF" w:themeColor="background1"/>
                <w:sz w:val="20"/>
              </w:rPr>
              <w:t>Study ID:</w:t>
            </w:r>
          </w:p>
        </w:tc>
        <w:tc>
          <w:tcPr>
            <w:tcW w:w="7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55ACB1E2" w14:textId="77777777" w:rsidR="00A467D6" w:rsidRPr="00336C85" w:rsidRDefault="00A467D6" w:rsidP="00F62C9B">
            <w:pPr>
              <w:keepNext/>
              <w:rPr>
                <w:rFonts w:eastAsia="Calibri"/>
                <w:bCs/>
                <w:color w:val="FFFFFF" w:themeColor="background1"/>
                <w:sz w:val="20"/>
              </w:rPr>
            </w:pPr>
          </w:p>
        </w:tc>
        <w:tc>
          <w:tcPr>
            <w:tcW w:w="2088" w:type="pct"/>
            <w:tcBorders>
              <w:top w:val="single" w:sz="4" w:space="0" w:color="FFFFFF" w:themeColor="background1"/>
              <w:left w:val="single" w:sz="4" w:space="0" w:color="FFFFFF" w:themeColor="background1"/>
              <w:bottom w:val="single" w:sz="4" w:space="0" w:color="FFFFFF" w:themeColor="background1"/>
            </w:tcBorders>
            <w:shd w:val="clear" w:color="auto" w:fill="3C533C" w:themeFill="text2"/>
          </w:tcPr>
          <w:p w14:paraId="5D310CE2" w14:textId="77777777" w:rsidR="00A467D6" w:rsidRPr="00336C85" w:rsidRDefault="00A467D6" w:rsidP="00F62C9B">
            <w:pPr>
              <w:keepNext/>
              <w:rPr>
                <w:rFonts w:eastAsia="Calibri"/>
                <w:bCs/>
                <w:color w:val="FFFFFF" w:themeColor="background1"/>
                <w:sz w:val="20"/>
              </w:rPr>
            </w:pPr>
            <w:r w:rsidRPr="001D2568">
              <w:rPr>
                <w:rFonts w:eastAsia="Calibri"/>
                <w:bCs/>
                <w:color w:val="FFFFFF" w:themeColor="background1"/>
                <w:sz w:val="20"/>
              </w:rPr>
              <w:t>Stewart et al. 2022</w:t>
            </w:r>
          </w:p>
        </w:tc>
      </w:tr>
      <w:tr w:rsidR="00A467D6" w:rsidRPr="00336C85" w14:paraId="2A843834" w14:textId="77777777" w:rsidTr="00F62C9B">
        <w:tc>
          <w:tcPr>
            <w:tcW w:w="2181" w:type="pct"/>
            <w:tcBorders>
              <w:top w:val="single" w:sz="4" w:space="0" w:color="FFFFFF" w:themeColor="background1"/>
              <w:bottom w:val="single" w:sz="4" w:space="0" w:color="FFFFFF" w:themeColor="background1"/>
              <w:right w:val="single" w:sz="4" w:space="0" w:color="FFFFFF" w:themeColor="background1"/>
            </w:tcBorders>
            <w:shd w:val="clear" w:color="auto" w:fill="3C533C" w:themeFill="text2"/>
          </w:tcPr>
          <w:p w14:paraId="3FEE3382" w14:textId="77777777" w:rsidR="00A467D6" w:rsidRPr="00336C85" w:rsidRDefault="00A467D6" w:rsidP="00F62C9B">
            <w:pPr>
              <w:keepNext/>
              <w:rPr>
                <w:rFonts w:eastAsia="Calibri"/>
                <w:b/>
                <w:color w:val="FFFFFF" w:themeColor="background1"/>
                <w:sz w:val="20"/>
              </w:rPr>
            </w:pPr>
            <w:r w:rsidRPr="00336C85">
              <w:rPr>
                <w:rFonts w:eastAsia="Calibri"/>
                <w:b/>
                <w:color w:val="FFFFFF" w:themeColor="background1"/>
                <w:sz w:val="20"/>
              </w:rPr>
              <w:t>Health Outcome:</w:t>
            </w:r>
          </w:p>
        </w:tc>
        <w:tc>
          <w:tcPr>
            <w:tcW w:w="7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303AD1CD" w14:textId="77777777" w:rsidR="00A467D6" w:rsidRPr="00336C85" w:rsidRDefault="00A467D6" w:rsidP="00F62C9B">
            <w:pPr>
              <w:keepNext/>
              <w:rPr>
                <w:rFonts w:eastAsia="Calibri"/>
                <w:bCs/>
                <w:color w:val="FFFFFF" w:themeColor="background1"/>
                <w:sz w:val="20"/>
              </w:rPr>
            </w:pPr>
          </w:p>
        </w:tc>
        <w:tc>
          <w:tcPr>
            <w:tcW w:w="2088" w:type="pct"/>
            <w:tcBorders>
              <w:top w:val="single" w:sz="4" w:space="0" w:color="FFFFFF" w:themeColor="background1"/>
              <w:left w:val="single" w:sz="4" w:space="0" w:color="FFFFFF" w:themeColor="background1"/>
              <w:bottom w:val="single" w:sz="4" w:space="0" w:color="FFFFFF" w:themeColor="background1"/>
            </w:tcBorders>
            <w:shd w:val="clear" w:color="auto" w:fill="3C533C" w:themeFill="text2"/>
          </w:tcPr>
          <w:p w14:paraId="5B8F7B90" w14:textId="77777777" w:rsidR="00A467D6" w:rsidRPr="00336C85" w:rsidRDefault="00A467D6" w:rsidP="00F62C9B">
            <w:pPr>
              <w:keepNext/>
              <w:rPr>
                <w:rFonts w:eastAsia="Calibri"/>
                <w:bCs/>
                <w:color w:val="FFFFFF" w:themeColor="background1"/>
                <w:sz w:val="20"/>
              </w:rPr>
            </w:pPr>
            <w:r>
              <w:rPr>
                <w:rFonts w:eastAsia="Calibri"/>
                <w:bCs/>
                <w:color w:val="FFFFFF" w:themeColor="background1"/>
                <w:sz w:val="20"/>
              </w:rPr>
              <w:t>N</w:t>
            </w:r>
            <w:r w:rsidRPr="001D2568">
              <w:rPr>
                <w:rFonts w:eastAsia="Calibri"/>
                <w:bCs/>
                <w:color w:val="FFFFFF" w:themeColor="background1"/>
                <w:sz w:val="20"/>
              </w:rPr>
              <w:t>europathy severity (NCS, neurological examination, patient-reported symptoms) in chronic idiopathic axonal polyneuropathy (CIAP)</w:t>
            </w:r>
          </w:p>
        </w:tc>
      </w:tr>
      <w:tr w:rsidR="00A467D6" w:rsidRPr="00336C85" w14:paraId="371A80BF" w14:textId="77777777" w:rsidTr="00F62C9B">
        <w:tc>
          <w:tcPr>
            <w:tcW w:w="2181" w:type="pct"/>
            <w:tcBorders>
              <w:top w:val="single" w:sz="4" w:space="0" w:color="FFFFFF" w:themeColor="background1"/>
              <w:right w:val="single" w:sz="4" w:space="0" w:color="FFFFFF" w:themeColor="background1"/>
            </w:tcBorders>
            <w:shd w:val="clear" w:color="auto" w:fill="3C533C" w:themeFill="text2"/>
          </w:tcPr>
          <w:p w14:paraId="2D6CE428" w14:textId="77777777" w:rsidR="00A467D6" w:rsidRPr="00336C85" w:rsidRDefault="00A467D6" w:rsidP="00F62C9B">
            <w:pPr>
              <w:keepNext/>
              <w:rPr>
                <w:rFonts w:eastAsia="Calibri"/>
                <w:b/>
                <w:color w:val="FFFFFF" w:themeColor="background1"/>
                <w:sz w:val="20"/>
              </w:rPr>
            </w:pPr>
            <w:r w:rsidRPr="00336C85">
              <w:rPr>
                <w:rFonts w:eastAsia="Calibri"/>
                <w:b/>
                <w:color w:val="FFFFFF" w:themeColor="background1"/>
                <w:sz w:val="20"/>
              </w:rPr>
              <w:t>Bias Domain</w:t>
            </w:r>
          </w:p>
        </w:tc>
        <w:tc>
          <w:tcPr>
            <w:tcW w:w="731" w:type="pct"/>
            <w:tcBorders>
              <w:top w:val="single" w:sz="4" w:space="0" w:color="FFFFFF" w:themeColor="background1"/>
              <w:left w:val="single" w:sz="4" w:space="0" w:color="FFFFFF" w:themeColor="background1"/>
              <w:right w:val="single" w:sz="4" w:space="0" w:color="FFFFFF" w:themeColor="background1"/>
            </w:tcBorders>
            <w:shd w:val="clear" w:color="auto" w:fill="3C533C" w:themeFill="text2"/>
          </w:tcPr>
          <w:p w14:paraId="45798E06" w14:textId="77777777" w:rsidR="00A467D6" w:rsidRPr="00336C85" w:rsidRDefault="00A467D6" w:rsidP="00F62C9B">
            <w:pPr>
              <w:keepNext/>
              <w:rPr>
                <w:rFonts w:eastAsia="Calibri"/>
                <w:b/>
                <w:color w:val="FFFFFF" w:themeColor="background1"/>
                <w:sz w:val="20"/>
              </w:rPr>
            </w:pPr>
            <w:r>
              <w:rPr>
                <w:rFonts w:eastAsia="Calibri"/>
                <w:b/>
                <w:color w:val="FFFFFF" w:themeColor="background1"/>
                <w:sz w:val="20"/>
              </w:rPr>
              <w:t>Rate</w:t>
            </w:r>
          </w:p>
        </w:tc>
        <w:tc>
          <w:tcPr>
            <w:tcW w:w="2088" w:type="pct"/>
            <w:tcBorders>
              <w:top w:val="single" w:sz="4" w:space="0" w:color="FFFFFF" w:themeColor="background1"/>
              <w:left w:val="single" w:sz="4" w:space="0" w:color="FFFFFF" w:themeColor="background1"/>
            </w:tcBorders>
            <w:shd w:val="clear" w:color="auto" w:fill="3C533C" w:themeFill="text2"/>
          </w:tcPr>
          <w:p w14:paraId="634A5E8F" w14:textId="77777777" w:rsidR="00A467D6" w:rsidRPr="00336C85" w:rsidRDefault="00A467D6" w:rsidP="00F62C9B">
            <w:pPr>
              <w:keepNext/>
              <w:rPr>
                <w:rFonts w:eastAsia="Calibri"/>
                <w:b/>
                <w:color w:val="FFFFFF" w:themeColor="background1"/>
                <w:sz w:val="20"/>
              </w:rPr>
            </w:pPr>
            <w:r>
              <w:rPr>
                <w:rFonts w:eastAsia="Calibri"/>
                <w:b/>
                <w:color w:val="FFFFFF" w:themeColor="background1"/>
                <w:sz w:val="20"/>
              </w:rPr>
              <w:t>Comment</w:t>
            </w:r>
          </w:p>
        </w:tc>
      </w:tr>
      <w:tr w:rsidR="00A467D6" w:rsidRPr="00336C85" w14:paraId="5A490F0B" w14:textId="77777777" w:rsidTr="00F62C9B">
        <w:trPr>
          <w:trHeight w:val="53"/>
        </w:trPr>
        <w:tc>
          <w:tcPr>
            <w:tcW w:w="2181" w:type="pct"/>
          </w:tcPr>
          <w:p w14:paraId="0EC9EF57" w14:textId="77777777" w:rsidR="00A467D6" w:rsidRPr="00336C85" w:rsidRDefault="00A467D6" w:rsidP="00F62C9B">
            <w:pPr>
              <w:rPr>
                <w:b/>
                <w:bCs/>
                <w:sz w:val="20"/>
              </w:rPr>
            </w:pPr>
            <w:r w:rsidRPr="00336C85">
              <w:rPr>
                <w:b/>
                <w:bCs/>
                <w:sz w:val="20"/>
              </w:rPr>
              <w:t>Selection</w:t>
            </w:r>
          </w:p>
        </w:tc>
        <w:tc>
          <w:tcPr>
            <w:tcW w:w="731" w:type="pct"/>
          </w:tcPr>
          <w:p w14:paraId="73EF88CF" w14:textId="77777777" w:rsidR="00A467D6" w:rsidRPr="00336C85" w:rsidRDefault="00A467D6" w:rsidP="00F62C9B">
            <w:pPr>
              <w:rPr>
                <w:sz w:val="20"/>
              </w:rPr>
            </w:pPr>
          </w:p>
        </w:tc>
        <w:tc>
          <w:tcPr>
            <w:tcW w:w="2088" w:type="pct"/>
          </w:tcPr>
          <w:p w14:paraId="476073D8" w14:textId="77777777" w:rsidR="00A467D6" w:rsidRPr="00336C85" w:rsidRDefault="00A467D6" w:rsidP="00F62C9B">
            <w:pPr>
              <w:rPr>
                <w:sz w:val="20"/>
              </w:rPr>
            </w:pPr>
          </w:p>
        </w:tc>
      </w:tr>
      <w:tr w:rsidR="00A467D6" w:rsidRPr="00336C85" w14:paraId="1DF632AF" w14:textId="77777777" w:rsidTr="00F62C9B">
        <w:trPr>
          <w:trHeight w:val="52"/>
        </w:trPr>
        <w:tc>
          <w:tcPr>
            <w:tcW w:w="2181" w:type="pct"/>
          </w:tcPr>
          <w:p w14:paraId="3FD2F037" w14:textId="77777777" w:rsidR="00A467D6" w:rsidRPr="00336C85" w:rsidRDefault="00A467D6" w:rsidP="00F62C9B">
            <w:pPr>
              <w:rPr>
                <w:sz w:val="20"/>
              </w:rPr>
            </w:pPr>
            <w:r w:rsidRPr="00336C85">
              <w:rPr>
                <w:sz w:val="20"/>
              </w:rPr>
              <w:t>Was administered dose or exposure level adequately randomized?</w:t>
            </w:r>
          </w:p>
        </w:tc>
        <w:tc>
          <w:tcPr>
            <w:tcW w:w="731" w:type="pct"/>
            <w:shd w:val="clear" w:color="auto" w:fill="D9D9D9" w:themeFill="background1" w:themeFillShade="D9"/>
          </w:tcPr>
          <w:p w14:paraId="1A5631F1" w14:textId="77777777" w:rsidR="00A467D6" w:rsidRPr="00336C85" w:rsidRDefault="00A467D6" w:rsidP="00F62C9B">
            <w:pPr>
              <w:rPr>
                <w:sz w:val="20"/>
              </w:rPr>
            </w:pPr>
            <w:r>
              <w:rPr>
                <w:sz w:val="20"/>
              </w:rPr>
              <w:t>NA</w:t>
            </w:r>
          </w:p>
        </w:tc>
        <w:tc>
          <w:tcPr>
            <w:tcW w:w="2088" w:type="pct"/>
          </w:tcPr>
          <w:p w14:paraId="77C6BAB9" w14:textId="77777777" w:rsidR="00A467D6" w:rsidRPr="00336C85" w:rsidRDefault="00A467D6" w:rsidP="00F62C9B">
            <w:pPr>
              <w:rPr>
                <w:sz w:val="20"/>
              </w:rPr>
            </w:pPr>
            <w:r w:rsidRPr="005C5263">
              <w:rPr>
                <w:sz w:val="20"/>
              </w:rPr>
              <w:t>This was a cross-sectional observational study, so there was no experimental exposure allocation.</w:t>
            </w:r>
          </w:p>
        </w:tc>
      </w:tr>
      <w:tr w:rsidR="00A467D6" w:rsidRPr="00336C85" w14:paraId="2055CEDB" w14:textId="77777777" w:rsidTr="00F62C9B">
        <w:trPr>
          <w:trHeight w:val="52"/>
        </w:trPr>
        <w:tc>
          <w:tcPr>
            <w:tcW w:w="2181" w:type="pct"/>
          </w:tcPr>
          <w:p w14:paraId="09033793" w14:textId="77777777" w:rsidR="00A467D6" w:rsidRPr="00336C85" w:rsidRDefault="00A467D6" w:rsidP="00F62C9B">
            <w:pPr>
              <w:rPr>
                <w:sz w:val="20"/>
              </w:rPr>
            </w:pPr>
            <w:r w:rsidRPr="00336C85">
              <w:rPr>
                <w:sz w:val="20"/>
              </w:rPr>
              <w:t>Was allocation to study groups adequately concealed?</w:t>
            </w:r>
          </w:p>
        </w:tc>
        <w:tc>
          <w:tcPr>
            <w:tcW w:w="731" w:type="pct"/>
            <w:shd w:val="clear" w:color="auto" w:fill="D9D9D9" w:themeFill="background1" w:themeFillShade="D9"/>
          </w:tcPr>
          <w:p w14:paraId="5B77A744" w14:textId="77777777" w:rsidR="00A467D6" w:rsidRPr="00336C85" w:rsidRDefault="00A467D6" w:rsidP="00F62C9B">
            <w:pPr>
              <w:rPr>
                <w:sz w:val="20"/>
              </w:rPr>
            </w:pPr>
            <w:r>
              <w:rPr>
                <w:sz w:val="20"/>
              </w:rPr>
              <w:t>NA</w:t>
            </w:r>
          </w:p>
        </w:tc>
        <w:tc>
          <w:tcPr>
            <w:tcW w:w="2088" w:type="pct"/>
          </w:tcPr>
          <w:p w14:paraId="1858C3A2" w14:textId="77777777" w:rsidR="00A467D6" w:rsidRPr="00336C85" w:rsidRDefault="00A467D6" w:rsidP="00F62C9B">
            <w:pPr>
              <w:rPr>
                <w:sz w:val="20"/>
              </w:rPr>
            </w:pPr>
            <w:r w:rsidRPr="006658AE">
              <w:rPr>
                <w:sz w:val="20"/>
              </w:rPr>
              <w:t>Not applicable; patients were grouped post hoc by observed plasma B6 level (normal vs elevated), not by investigator allocation.</w:t>
            </w:r>
          </w:p>
        </w:tc>
      </w:tr>
      <w:tr w:rsidR="00A467D6" w:rsidRPr="00336C85" w14:paraId="67613D19" w14:textId="77777777" w:rsidTr="00F62C9B">
        <w:trPr>
          <w:trHeight w:val="52"/>
        </w:trPr>
        <w:tc>
          <w:tcPr>
            <w:tcW w:w="2181" w:type="pct"/>
          </w:tcPr>
          <w:p w14:paraId="16ED7975" w14:textId="77777777" w:rsidR="00A467D6" w:rsidRPr="00336C85" w:rsidRDefault="00A467D6" w:rsidP="00F62C9B">
            <w:pPr>
              <w:rPr>
                <w:sz w:val="20"/>
              </w:rPr>
            </w:pPr>
            <w:r w:rsidRPr="00336C85">
              <w:rPr>
                <w:sz w:val="20"/>
              </w:rPr>
              <w:t>Were the comparison groups appropriate?</w:t>
            </w:r>
          </w:p>
        </w:tc>
        <w:tc>
          <w:tcPr>
            <w:tcW w:w="731" w:type="pct"/>
            <w:shd w:val="clear" w:color="auto" w:fill="92D050"/>
          </w:tcPr>
          <w:p w14:paraId="2F594570" w14:textId="77777777" w:rsidR="00A467D6" w:rsidRPr="00336C85" w:rsidRDefault="00A467D6" w:rsidP="00F62C9B">
            <w:pPr>
              <w:rPr>
                <w:sz w:val="20"/>
              </w:rPr>
            </w:pPr>
            <w:r>
              <w:rPr>
                <w:sz w:val="20"/>
              </w:rPr>
              <w:t>+</w:t>
            </w:r>
          </w:p>
        </w:tc>
        <w:tc>
          <w:tcPr>
            <w:tcW w:w="2088" w:type="pct"/>
          </w:tcPr>
          <w:p w14:paraId="0EC99B8E" w14:textId="77777777" w:rsidR="00A467D6" w:rsidRPr="00336C85" w:rsidRDefault="00A467D6" w:rsidP="00F62C9B">
            <w:pPr>
              <w:rPr>
                <w:sz w:val="20"/>
              </w:rPr>
            </w:pPr>
            <w:r w:rsidRPr="005C5263">
              <w:rPr>
                <w:sz w:val="20"/>
              </w:rPr>
              <w:t>Groups were defined by plasma B6 status within a CIAP registry cohort and were mostly comparable, except the elevated B6 group was older; age was adjusted for in analyses. However, exclusion of B6-deficient patients and inclusion only of complete PNRR records with B6 data may have introduced selection bias.</w:t>
            </w:r>
          </w:p>
        </w:tc>
      </w:tr>
      <w:tr w:rsidR="00A467D6" w:rsidRPr="00336C85" w14:paraId="7ADCAAEC" w14:textId="77777777" w:rsidTr="00F62C9B">
        <w:trPr>
          <w:trHeight w:val="79"/>
        </w:trPr>
        <w:tc>
          <w:tcPr>
            <w:tcW w:w="2181" w:type="pct"/>
          </w:tcPr>
          <w:p w14:paraId="1871CFDC" w14:textId="77777777" w:rsidR="00A467D6" w:rsidRPr="00336C85" w:rsidRDefault="00A467D6" w:rsidP="00F62C9B">
            <w:pPr>
              <w:rPr>
                <w:b/>
                <w:bCs/>
                <w:sz w:val="20"/>
              </w:rPr>
            </w:pPr>
            <w:r w:rsidRPr="00336C85">
              <w:rPr>
                <w:b/>
                <w:bCs/>
                <w:sz w:val="20"/>
              </w:rPr>
              <w:t>Confounding – KEY DOMAIN</w:t>
            </w:r>
          </w:p>
        </w:tc>
        <w:tc>
          <w:tcPr>
            <w:tcW w:w="731" w:type="pct"/>
          </w:tcPr>
          <w:p w14:paraId="613FF45A" w14:textId="77777777" w:rsidR="00A467D6" w:rsidRPr="00336C85" w:rsidRDefault="00A467D6" w:rsidP="00F62C9B">
            <w:pPr>
              <w:rPr>
                <w:sz w:val="20"/>
              </w:rPr>
            </w:pPr>
          </w:p>
        </w:tc>
        <w:tc>
          <w:tcPr>
            <w:tcW w:w="2088" w:type="pct"/>
          </w:tcPr>
          <w:p w14:paraId="6D8DFAD5" w14:textId="77777777" w:rsidR="00A467D6" w:rsidRPr="00336C85" w:rsidRDefault="00A467D6" w:rsidP="00F62C9B">
            <w:pPr>
              <w:rPr>
                <w:sz w:val="20"/>
              </w:rPr>
            </w:pPr>
          </w:p>
        </w:tc>
      </w:tr>
      <w:tr w:rsidR="00A467D6" w:rsidRPr="00336C85" w14:paraId="366277A1" w14:textId="77777777" w:rsidTr="00F62C9B">
        <w:trPr>
          <w:trHeight w:val="78"/>
        </w:trPr>
        <w:tc>
          <w:tcPr>
            <w:tcW w:w="2181" w:type="pct"/>
          </w:tcPr>
          <w:p w14:paraId="7E960F26" w14:textId="77777777" w:rsidR="00A467D6" w:rsidRPr="00336C85" w:rsidRDefault="00A467D6" w:rsidP="00F62C9B">
            <w:pPr>
              <w:rPr>
                <w:sz w:val="20"/>
              </w:rPr>
            </w:pPr>
            <w:r w:rsidRPr="00336C85">
              <w:rPr>
                <w:sz w:val="20"/>
              </w:rPr>
              <w:t>Does the study design or analysis account for important confounding and modifying variables?</w:t>
            </w:r>
          </w:p>
        </w:tc>
        <w:tc>
          <w:tcPr>
            <w:tcW w:w="731" w:type="pct"/>
            <w:shd w:val="clear" w:color="auto" w:fill="FDCBD1"/>
          </w:tcPr>
          <w:p w14:paraId="5DD028E7" w14:textId="77777777" w:rsidR="00A467D6" w:rsidRPr="00336C85" w:rsidRDefault="00A467D6" w:rsidP="00F62C9B">
            <w:pPr>
              <w:rPr>
                <w:sz w:val="20"/>
              </w:rPr>
            </w:pPr>
            <w:r>
              <w:rPr>
                <w:sz w:val="20"/>
              </w:rPr>
              <w:t>-</w:t>
            </w:r>
          </w:p>
        </w:tc>
        <w:tc>
          <w:tcPr>
            <w:tcW w:w="2088" w:type="pct"/>
          </w:tcPr>
          <w:p w14:paraId="15BE08C0" w14:textId="77777777" w:rsidR="00A467D6" w:rsidRPr="00336C85" w:rsidRDefault="00A467D6" w:rsidP="00F62C9B">
            <w:pPr>
              <w:rPr>
                <w:sz w:val="20"/>
              </w:rPr>
            </w:pPr>
            <w:r w:rsidRPr="005C5263">
              <w:rPr>
                <w:sz w:val="20"/>
              </w:rPr>
              <w:t>Confounding was only partly addressed, with adjustment for age and neuropathy duration. Important factors such as comorbidities, medication use, supplement dose/duration, diet, and other nutritional deficiencies were not controlled, and the cross-sectional design prevents conclusions about temporality or causality.</w:t>
            </w:r>
          </w:p>
        </w:tc>
      </w:tr>
      <w:tr w:rsidR="00A467D6" w:rsidRPr="00336C85" w14:paraId="0DDF9062" w14:textId="77777777" w:rsidTr="00F62C9B">
        <w:trPr>
          <w:trHeight w:val="53"/>
        </w:trPr>
        <w:tc>
          <w:tcPr>
            <w:tcW w:w="2181" w:type="pct"/>
          </w:tcPr>
          <w:p w14:paraId="7A943912" w14:textId="77777777" w:rsidR="00A467D6" w:rsidRPr="00336C85" w:rsidRDefault="00A467D6" w:rsidP="00F62C9B">
            <w:pPr>
              <w:rPr>
                <w:b/>
                <w:bCs/>
                <w:sz w:val="20"/>
              </w:rPr>
            </w:pPr>
            <w:r w:rsidRPr="00336C85">
              <w:rPr>
                <w:b/>
                <w:bCs/>
                <w:sz w:val="20"/>
              </w:rPr>
              <w:t>Performance</w:t>
            </w:r>
          </w:p>
        </w:tc>
        <w:tc>
          <w:tcPr>
            <w:tcW w:w="731" w:type="pct"/>
          </w:tcPr>
          <w:p w14:paraId="235E62B9" w14:textId="77777777" w:rsidR="00A467D6" w:rsidRPr="00336C85" w:rsidRDefault="00A467D6" w:rsidP="00F62C9B">
            <w:pPr>
              <w:rPr>
                <w:sz w:val="20"/>
              </w:rPr>
            </w:pPr>
          </w:p>
        </w:tc>
        <w:tc>
          <w:tcPr>
            <w:tcW w:w="2088" w:type="pct"/>
          </w:tcPr>
          <w:p w14:paraId="76FE1E5B" w14:textId="77777777" w:rsidR="00A467D6" w:rsidRPr="00336C85" w:rsidRDefault="00A467D6" w:rsidP="00F62C9B">
            <w:pPr>
              <w:rPr>
                <w:sz w:val="20"/>
              </w:rPr>
            </w:pPr>
          </w:p>
        </w:tc>
      </w:tr>
      <w:tr w:rsidR="00A467D6" w:rsidRPr="00336C85" w14:paraId="7235DFDB" w14:textId="77777777" w:rsidTr="00F62C9B">
        <w:trPr>
          <w:trHeight w:val="52"/>
        </w:trPr>
        <w:tc>
          <w:tcPr>
            <w:tcW w:w="2181" w:type="pct"/>
          </w:tcPr>
          <w:p w14:paraId="54B2B4E0" w14:textId="77777777" w:rsidR="00A467D6" w:rsidRPr="00336C85" w:rsidRDefault="00A467D6" w:rsidP="00F62C9B">
            <w:pPr>
              <w:rPr>
                <w:sz w:val="20"/>
              </w:rPr>
            </w:pPr>
            <w:r w:rsidRPr="00336C85">
              <w:rPr>
                <w:rFonts w:eastAsia="Calibri" w:cs="Arial"/>
                <w:sz w:val="20"/>
                <w:lang w:val="en-GB"/>
              </w:rPr>
              <w:t>Were experimental conditions identical across study groups?</w:t>
            </w:r>
          </w:p>
        </w:tc>
        <w:tc>
          <w:tcPr>
            <w:tcW w:w="731" w:type="pct"/>
            <w:shd w:val="clear" w:color="auto" w:fill="D9D9D9" w:themeFill="background1" w:themeFillShade="D9"/>
          </w:tcPr>
          <w:p w14:paraId="66D1D4D5" w14:textId="77777777" w:rsidR="00A467D6" w:rsidRPr="00336C85" w:rsidRDefault="00A467D6" w:rsidP="00F62C9B">
            <w:pPr>
              <w:rPr>
                <w:sz w:val="20"/>
              </w:rPr>
            </w:pPr>
            <w:r>
              <w:rPr>
                <w:sz w:val="20"/>
              </w:rPr>
              <w:t>NA</w:t>
            </w:r>
          </w:p>
        </w:tc>
        <w:tc>
          <w:tcPr>
            <w:tcW w:w="2088" w:type="pct"/>
          </w:tcPr>
          <w:p w14:paraId="1ADED8F5" w14:textId="77777777" w:rsidR="00A467D6" w:rsidRPr="00336C85" w:rsidRDefault="00A467D6" w:rsidP="00F62C9B">
            <w:pPr>
              <w:rPr>
                <w:sz w:val="20"/>
              </w:rPr>
            </w:pPr>
            <w:r w:rsidRPr="005C5263">
              <w:rPr>
                <w:sz w:val="20"/>
              </w:rPr>
              <w:t>This domain is not directly applicable to the observational registry design. Assessments used a standardised multicentre database, but inter-site variability across the three institutions may have affected examination consistency.</w:t>
            </w:r>
          </w:p>
        </w:tc>
      </w:tr>
      <w:tr w:rsidR="00A467D6" w:rsidRPr="00336C85" w14:paraId="279AAA18" w14:textId="77777777" w:rsidTr="00F62C9B">
        <w:trPr>
          <w:trHeight w:val="52"/>
        </w:trPr>
        <w:tc>
          <w:tcPr>
            <w:tcW w:w="2181" w:type="pct"/>
          </w:tcPr>
          <w:p w14:paraId="17D9BEE2" w14:textId="77777777" w:rsidR="00A467D6" w:rsidRPr="00336C85" w:rsidRDefault="00A467D6" w:rsidP="00F62C9B">
            <w:pPr>
              <w:rPr>
                <w:rFonts w:eastAsia="Calibri" w:cs="Arial"/>
                <w:sz w:val="20"/>
                <w:lang w:val="en-GB"/>
              </w:rPr>
            </w:pPr>
            <w:r w:rsidRPr="00336C85">
              <w:rPr>
                <w:rFonts w:eastAsia="Calibri" w:cs="Arial"/>
                <w:sz w:val="20"/>
                <w:lang w:val="en-GB"/>
              </w:rPr>
              <w:lastRenderedPageBreak/>
              <w:t>Were the research personnel and human subjects blinded to the study group during the study?</w:t>
            </w:r>
          </w:p>
        </w:tc>
        <w:tc>
          <w:tcPr>
            <w:tcW w:w="731" w:type="pct"/>
            <w:shd w:val="clear" w:color="auto" w:fill="FDCBD1"/>
          </w:tcPr>
          <w:p w14:paraId="177CB45A" w14:textId="77777777" w:rsidR="00A467D6" w:rsidRPr="00336C85" w:rsidRDefault="00A467D6" w:rsidP="00F62C9B">
            <w:pPr>
              <w:rPr>
                <w:sz w:val="20"/>
              </w:rPr>
            </w:pPr>
            <w:r>
              <w:rPr>
                <w:sz w:val="20"/>
              </w:rPr>
              <w:t>NR</w:t>
            </w:r>
          </w:p>
        </w:tc>
        <w:tc>
          <w:tcPr>
            <w:tcW w:w="2088" w:type="pct"/>
          </w:tcPr>
          <w:p w14:paraId="261FA8C7" w14:textId="77777777" w:rsidR="00A467D6" w:rsidRPr="00336C85" w:rsidRDefault="00A467D6" w:rsidP="00F62C9B">
            <w:pPr>
              <w:rPr>
                <w:sz w:val="20"/>
              </w:rPr>
            </w:pPr>
            <w:r w:rsidRPr="006658AE">
              <w:rPr>
                <w:sz w:val="20"/>
              </w:rPr>
              <w:t>Blinding is not described.</w:t>
            </w:r>
          </w:p>
        </w:tc>
      </w:tr>
      <w:tr w:rsidR="00A467D6" w:rsidRPr="00336C85" w14:paraId="012D30F6" w14:textId="77777777" w:rsidTr="00F62C9B">
        <w:tc>
          <w:tcPr>
            <w:tcW w:w="2181" w:type="pct"/>
          </w:tcPr>
          <w:p w14:paraId="737C1F5A" w14:textId="77777777" w:rsidR="00A467D6" w:rsidRPr="00336C85" w:rsidRDefault="00A467D6" w:rsidP="00F62C9B">
            <w:pPr>
              <w:rPr>
                <w:sz w:val="20"/>
              </w:rPr>
            </w:pPr>
            <w:r w:rsidRPr="00336C85">
              <w:rPr>
                <w:rFonts w:eastAsia="Calibri" w:cs="Arial"/>
                <w:b/>
                <w:bCs/>
                <w:sz w:val="20"/>
                <w:lang w:val="en-GB"/>
              </w:rPr>
              <w:t xml:space="preserve">Attrition / Exclusion </w:t>
            </w:r>
          </w:p>
        </w:tc>
        <w:tc>
          <w:tcPr>
            <w:tcW w:w="731" w:type="pct"/>
          </w:tcPr>
          <w:p w14:paraId="7BCBA838" w14:textId="77777777" w:rsidR="00A467D6" w:rsidRPr="00336C85" w:rsidRDefault="00A467D6" w:rsidP="00F62C9B">
            <w:pPr>
              <w:rPr>
                <w:sz w:val="20"/>
              </w:rPr>
            </w:pPr>
          </w:p>
        </w:tc>
        <w:tc>
          <w:tcPr>
            <w:tcW w:w="2088" w:type="pct"/>
          </w:tcPr>
          <w:p w14:paraId="4F01552B" w14:textId="77777777" w:rsidR="00A467D6" w:rsidRPr="00336C85" w:rsidRDefault="00A467D6" w:rsidP="00F62C9B">
            <w:pPr>
              <w:rPr>
                <w:sz w:val="20"/>
              </w:rPr>
            </w:pPr>
          </w:p>
        </w:tc>
      </w:tr>
      <w:tr w:rsidR="00A467D6" w:rsidRPr="00336C85" w14:paraId="2C435B77" w14:textId="77777777" w:rsidTr="00F62C9B">
        <w:tc>
          <w:tcPr>
            <w:tcW w:w="2181" w:type="pct"/>
          </w:tcPr>
          <w:p w14:paraId="3DBBF4C8" w14:textId="77777777" w:rsidR="00A467D6" w:rsidRPr="00336C85" w:rsidRDefault="00A467D6" w:rsidP="00F62C9B">
            <w:pPr>
              <w:rPr>
                <w:rFonts w:eastAsia="Calibri" w:cs="Arial"/>
                <w:b/>
                <w:bCs/>
                <w:sz w:val="20"/>
                <w:lang w:val="en-GB"/>
              </w:rPr>
            </w:pPr>
            <w:r w:rsidRPr="00336C85">
              <w:rPr>
                <w:rFonts w:eastAsia="Calibri" w:cs="Arial"/>
                <w:sz w:val="20"/>
                <w:lang w:val="en-GB"/>
              </w:rPr>
              <w:t>Were outcome data incomplete because of attrition or exclusion from analysis?</w:t>
            </w:r>
          </w:p>
        </w:tc>
        <w:tc>
          <w:tcPr>
            <w:tcW w:w="731" w:type="pct"/>
            <w:shd w:val="clear" w:color="auto" w:fill="FDCBD1"/>
          </w:tcPr>
          <w:p w14:paraId="6EAA64F6" w14:textId="77777777" w:rsidR="00A467D6" w:rsidRPr="00336C85" w:rsidRDefault="00A467D6" w:rsidP="00F62C9B">
            <w:pPr>
              <w:rPr>
                <w:sz w:val="20"/>
              </w:rPr>
            </w:pPr>
            <w:r>
              <w:rPr>
                <w:sz w:val="20"/>
              </w:rPr>
              <w:t>-</w:t>
            </w:r>
          </w:p>
        </w:tc>
        <w:tc>
          <w:tcPr>
            <w:tcW w:w="2088" w:type="pct"/>
          </w:tcPr>
          <w:p w14:paraId="19F0218A" w14:textId="77777777" w:rsidR="00A467D6" w:rsidRPr="00336C85" w:rsidRDefault="00A467D6" w:rsidP="00F62C9B">
            <w:pPr>
              <w:rPr>
                <w:sz w:val="20"/>
              </w:rPr>
            </w:pPr>
            <w:r w:rsidRPr="00880287">
              <w:rPr>
                <w:sz w:val="20"/>
              </w:rPr>
              <w:t>There is potential attrition/selection bias because inclusion required complete registry data with plasma B6 results, and B6 testing may have been selectively ordered. Outcome data were also incomplete for some measures, with varying denominators and limited explanation of missingness.</w:t>
            </w:r>
          </w:p>
        </w:tc>
      </w:tr>
      <w:tr w:rsidR="00A467D6" w:rsidRPr="00336C85" w14:paraId="0981FA90" w14:textId="77777777" w:rsidTr="00F62C9B">
        <w:trPr>
          <w:trHeight w:val="81"/>
        </w:trPr>
        <w:tc>
          <w:tcPr>
            <w:tcW w:w="2181" w:type="pct"/>
          </w:tcPr>
          <w:p w14:paraId="2F189DC7" w14:textId="77777777" w:rsidR="00A467D6" w:rsidRPr="00336C85" w:rsidRDefault="00A467D6" w:rsidP="00F62C9B">
            <w:pPr>
              <w:rPr>
                <w:sz w:val="20"/>
              </w:rPr>
            </w:pPr>
            <w:r w:rsidRPr="00336C85">
              <w:rPr>
                <w:rFonts w:ascii="Aptos" w:eastAsia="Calibri" w:hAnsi="Aptos" w:cs="Arial"/>
                <w:b/>
                <w:bCs/>
                <w:kern w:val="2"/>
                <w:sz w:val="20"/>
                <w:lang w:eastAsia="en-US"/>
                <w14:ligatures w14:val="standardContextual"/>
              </w:rPr>
              <w:t>Detection bias – KEY DOMAIN</w:t>
            </w:r>
          </w:p>
        </w:tc>
        <w:tc>
          <w:tcPr>
            <w:tcW w:w="731" w:type="pct"/>
          </w:tcPr>
          <w:p w14:paraId="5E69A1F3" w14:textId="77777777" w:rsidR="00A467D6" w:rsidRPr="00336C85" w:rsidRDefault="00A467D6" w:rsidP="00F62C9B">
            <w:pPr>
              <w:rPr>
                <w:sz w:val="20"/>
              </w:rPr>
            </w:pPr>
          </w:p>
        </w:tc>
        <w:tc>
          <w:tcPr>
            <w:tcW w:w="2088" w:type="pct"/>
          </w:tcPr>
          <w:p w14:paraId="1576CC22" w14:textId="77777777" w:rsidR="00A467D6" w:rsidRPr="00336C85" w:rsidRDefault="00A467D6" w:rsidP="00F62C9B">
            <w:pPr>
              <w:rPr>
                <w:sz w:val="20"/>
              </w:rPr>
            </w:pPr>
          </w:p>
        </w:tc>
      </w:tr>
      <w:tr w:rsidR="00A467D6" w:rsidRPr="00336C85" w14:paraId="653B3106" w14:textId="77777777" w:rsidTr="00F62C9B">
        <w:trPr>
          <w:trHeight w:val="80"/>
        </w:trPr>
        <w:tc>
          <w:tcPr>
            <w:tcW w:w="2181" w:type="pct"/>
          </w:tcPr>
          <w:p w14:paraId="5A76215B" w14:textId="77777777" w:rsidR="00A467D6" w:rsidRPr="00336C85" w:rsidRDefault="00A467D6" w:rsidP="00F62C9B">
            <w:pPr>
              <w:rPr>
                <w:rFonts w:ascii="Aptos" w:eastAsia="Calibri" w:hAnsi="Aptos" w:cs="Arial"/>
                <w:b/>
                <w:bCs/>
                <w:kern w:val="2"/>
                <w:sz w:val="20"/>
                <w14:ligatures w14:val="standardContextual"/>
              </w:rPr>
            </w:pPr>
            <w:r w:rsidRPr="00336C85">
              <w:rPr>
                <w:rFonts w:eastAsia="Calibri" w:cs="Arial"/>
                <w:sz w:val="20"/>
                <w:lang w:val="en-GB"/>
              </w:rPr>
              <w:t>KEY - Can we be confident in the exposure characterisation?</w:t>
            </w:r>
          </w:p>
        </w:tc>
        <w:tc>
          <w:tcPr>
            <w:tcW w:w="731" w:type="pct"/>
            <w:shd w:val="clear" w:color="auto" w:fill="FDCBD1"/>
          </w:tcPr>
          <w:p w14:paraId="00EA7EFF" w14:textId="77777777" w:rsidR="00A467D6" w:rsidRPr="00336C85" w:rsidRDefault="00A467D6" w:rsidP="00F62C9B">
            <w:pPr>
              <w:rPr>
                <w:sz w:val="20"/>
              </w:rPr>
            </w:pPr>
            <w:r>
              <w:rPr>
                <w:sz w:val="20"/>
              </w:rPr>
              <w:t>-</w:t>
            </w:r>
          </w:p>
        </w:tc>
        <w:tc>
          <w:tcPr>
            <w:tcW w:w="2088" w:type="pct"/>
          </w:tcPr>
          <w:p w14:paraId="3F16B56F" w14:textId="77777777" w:rsidR="00A467D6" w:rsidRPr="00336C85" w:rsidRDefault="00A467D6" w:rsidP="00F62C9B">
            <w:pPr>
              <w:rPr>
                <w:sz w:val="20"/>
              </w:rPr>
            </w:pPr>
            <w:r w:rsidRPr="00880287">
              <w:rPr>
                <w:sz w:val="20"/>
              </w:rPr>
              <w:t xml:space="preserve">Exposure assessment had important limitations, including use of two different B6 assays combined in analysis, reliance on a single plasma measurement, and limited supplement dose/duration data. </w:t>
            </w:r>
          </w:p>
        </w:tc>
      </w:tr>
      <w:tr w:rsidR="00A467D6" w:rsidRPr="00336C85" w14:paraId="0C60C93C" w14:textId="77777777" w:rsidTr="00F62C9B">
        <w:trPr>
          <w:trHeight w:val="80"/>
        </w:trPr>
        <w:tc>
          <w:tcPr>
            <w:tcW w:w="2181" w:type="pct"/>
          </w:tcPr>
          <w:p w14:paraId="2AD4A659" w14:textId="77777777" w:rsidR="00A467D6" w:rsidRPr="00336C85" w:rsidRDefault="00A467D6" w:rsidP="00F62C9B">
            <w:pPr>
              <w:rPr>
                <w:rFonts w:eastAsia="Calibri" w:cs="Arial"/>
                <w:sz w:val="20"/>
                <w:lang w:val="en-GB"/>
              </w:rPr>
            </w:pPr>
            <w:r w:rsidRPr="00336C85">
              <w:rPr>
                <w:rFonts w:eastAsia="Calibri" w:cs="Arial"/>
                <w:sz w:val="20"/>
                <w:lang w:val="en-GB"/>
              </w:rPr>
              <w:t>KEY - Can we be confident in the outcome assessment?</w:t>
            </w:r>
          </w:p>
        </w:tc>
        <w:tc>
          <w:tcPr>
            <w:tcW w:w="731" w:type="pct"/>
            <w:shd w:val="clear" w:color="auto" w:fill="92D050"/>
          </w:tcPr>
          <w:p w14:paraId="3AFE5EC7" w14:textId="77777777" w:rsidR="00A467D6" w:rsidRPr="00336C85" w:rsidRDefault="00A467D6" w:rsidP="00F62C9B">
            <w:pPr>
              <w:rPr>
                <w:sz w:val="20"/>
              </w:rPr>
            </w:pPr>
            <w:r>
              <w:rPr>
                <w:sz w:val="20"/>
              </w:rPr>
              <w:t>+</w:t>
            </w:r>
          </w:p>
        </w:tc>
        <w:tc>
          <w:tcPr>
            <w:tcW w:w="2088" w:type="pct"/>
          </w:tcPr>
          <w:p w14:paraId="4B86C5D8" w14:textId="77777777" w:rsidR="00A467D6" w:rsidRPr="00336C85" w:rsidRDefault="00A467D6" w:rsidP="00F62C9B">
            <w:pPr>
              <w:rPr>
                <w:sz w:val="20"/>
              </w:rPr>
            </w:pPr>
            <w:r w:rsidRPr="00880287">
              <w:rPr>
                <w:sz w:val="20"/>
              </w:rPr>
              <w:t>Outcome assessment used standardised and validated neuropathy measures, including NCS, neurological examination, and TNSr. However, subjective patient-reported symptoms may be prone to reporting bias, and blinding to B6 status was not indicated.</w:t>
            </w:r>
          </w:p>
        </w:tc>
      </w:tr>
      <w:tr w:rsidR="00A467D6" w:rsidRPr="00336C85" w14:paraId="5F1699D3" w14:textId="77777777" w:rsidTr="00F62C9B">
        <w:trPr>
          <w:trHeight w:val="236"/>
        </w:trPr>
        <w:tc>
          <w:tcPr>
            <w:tcW w:w="2181" w:type="pct"/>
          </w:tcPr>
          <w:p w14:paraId="7814CD7F" w14:textId="77777777" w:rsidR="00A467D6" w:rsidRPr="00336C85" w:rsidRDefault="00A467D6" w:rsidP="00F62C9B">
            <w:pPr>
              <w:rPr>
                <w:sz w:val="20"/>
              </w:rPr>
            </w:pPr>
            <w:r w:rsidRPr="00336C85">
              <w:rPr>
                <w:rFonts w:eastAsia="Calibri" w:cs="Arial"/>
                <w:b/>
                <w:bCs/>
                <w:sz w:val="20"/>
                <w:lang w:val="en-GB"/>
              </w:rPr>
              <w:t>Selective Reporting</w:t>
            </w:r>
          </w:p>
        </w:tc>
        <w:tc>
          <w:tcPr>
            <w:tcW w:w="731" w:type="pct"/>
          </w:tcPr>
          <w:p w14:paraId="511C8503" w14:textId="77777777" w:rsidR="00A467D6" w:rsidRPr="00336C85" w:rsidRDefault="00A467D6" w:rsidP="00F62C9B">
            <w:pPr>
              <w:rPr>
                <w:sz w:val="20"/>
              </w:rPr>
            </w:pPr>
          </w:p>
        </w:tc>
        <w:tc>
          <w:tcPr>
            <w:tcW w:w="2088" w:type="pct"/>
          </w:tcPr>
          <w:p w14:paraId="4E2791F1" w14:textId="77777777" w:rsidR="00A467D6" w:rsidRPr="00336C85" w:rsidRDefault="00A467D6" w:rsidP="00F62C9B">
            <w:pPr>
              <w:rPr>
                <w:sz w:val="20"/>
              </w:rPr>
            </w:pPr>
          </w:p>
        </w:tc>
      </w:tr>
      <w:tr w:rsidR="00A467D6" w:rsidRPr="00336C85" w14:paraId="55DE2CCF" w14:textId="77777777" w:rsidTr="00F62C9B">
        <w:trPr>
          <w:trHeight w:val="235"/>
        </w:trPr>
        <w:tc>
          <w:tcPr>
            <w:tcW w:w="2181" w:type="pct"/>
          </w:tcPr>
          <w:p w14:paraId="0118143D" w14:textId="77777777" w:rsidR="00A467D6" w:rsidRPr="00336C85" w:rsidRDefault="00A467D6" w:rsidP="00F62C9B">
            <w:pPr>
              <w:rPr>
                <w:rFonts w:eastAsia="Calibri" w:cs="Arial"/>
                <w:b/>
                <w:bCs/>
                <w:sz w:val="20"/>
                <w:lang w:val="en-GB"/>
              </w:rPr>
            </w:pPr>
            <w:r w:rsidRPr="00336C85">
              <w:rPr>
                <w:rFonts w:eastAsia="Calibri" w:cs="Arial"/>
                <w:sz w:val="20"/>
                <w:lang w:val="en-GB"/>
              </w:rPr>
              <w:t>Were all measured outcomes reported?</w:t>
            </w:r>
          </w:p>
        </w:tc>
        <w:tc>
          <w:tcPr>
            <w:tcW w:w="731" w:type="pct"/>
            <w:shd w:val="clear" w:color="auto" w:fill="92D050"/>
          </w:tcPr>
          <w:p w14:paraId="13CD20CF" w14:textId="77777777" w:rsidR="00A467D6" w:rsidRPr="00336C85" w:rsidRDefault="00A467D6" w:rsidP="00F62C9B">
            <w:pPr>
              <w:rPr>
                <w:sz w:val="20"/>
              </w:rPr>
            </w:pPr>
            <w:r>
              <w:rPr>
                <w:sz w:val="20"/>
              </w:rPr>
              <w:t>+</w:t>
            </w:r>
          </w:p>
        </w:tc>
        <w:tc>
          <w:tcPr>
            <w:tcW w:w="2088" w:type="pct"/>
          </w:tcPr>
          <w:p w14:paraId="3F7064F7" w14:textId="77777777" w:rsidR="00A467D6" w:rsidRPr="00336C85" w:rsidRDefault="00A467D6" w:rsidP="00F62C9B">
            <w:pPr>
              <w:rPr>
                <w:sz w:val="20"/>
              </w:rPr>
            </w:pPr>
            <w:r w:rsidRPr="00880287">
              <w:rPr>
                <w:sz w:val="20"/>
              </w:rPr>
              <w:t>All stated outcomes were reported, including NCS, neurological examination, TNSr, symptoms, and IENFD. An unexpected significant finding was transparently reported and contextualised, but lack of protocol registration means full outcome pre-specification cannot be confirmed.</w:t>
            </w:r>
          </w:p>
        </w:tc>
      </w:tr>
      <w:tr w:rsidR="00A467D6" w:rsidRPr="00336C85" w14:paraId="6560F0DC" w14:textId="77777777" w:rsidTr="00F62C9B">
        <w:tc>
          <w:tcPr>
            <w:tcW w:w="2181" w:type="pct"/>
          </w:tcPr>
          <w:p w14:paraId="4769F7E3" w14:textId="77777777" w:rsidR="00A467D6" w:rsidRPr="00336C85" w:rsidRDefault="00A467D6" w:rsidP="00F62C9B">
            <w:pPr>
              <w:rPr>
                <w:b/>
                <w:bCs/>
                <w:sz w:val="20"/>
              </w:rPr>
            </w:pPr>
            <w:r w:rsidRPr="00336C85">
              <w:rPr>
                <w:rFonts w:eastAsia="Calibri" w:cs="Arial"/>
                <w:b/>
                <w:bCs/>
                <w:sz w:val="20"/>
                <w:lang w:val="en-GB"/>
              </w:rPr>
              <w:t>Other Sources of bias</w:t>
            </w:r>
          </w:p>
        </w:tc>
        <w:tc>
          <w:tcPr>
            <w:tcW w:w="731" w:type="pct"/>
          </w:tcPr>
          <w:p w14:paraId="47578E84" w14:textId="77777777" w:rsidR="00A467D6" w:rsidRPr="00336C85" w:rsidRDefault="00A467D6" w:rsidP="00F62C9B">
            <w:pPr>
              <w:rPr>
                <w:sz w:val="20"/>
              </w:rPr>
            </w:pPr>
          </w:p>
        </w:tc>
        <w:tc>
          <w:tcPr>
            <w:tcW w:w="2088" w:type="pct"/>
          </w:tcPr>
          <w:p w14:paraId="050329A2" w14:textId="77777777" w:rsidR="00A467D6" w:rsidRPr="00336C85" w:rsidRDefault="00A467D6" w:rsidP="00F62C9B">
            <w:pPr>
              <w:rPr>
                <w:sz w:val="20"/>
              </w:rPr>
            </w:pPr>
          </w:p>
        </w:tc>
      </w:tr>
      <w:tr w:rsidR="00A467D6" w:rsidRPr="00336C85" w14:paraId="61CA4A9F" w14:textId="77777777" w:rsidTr="00F62C9B">
        <w:tc>
          <w:tcPr>
            <w:tcW w:w="2181" w:type="pct"/>
          </w:tcPr>
          <w:p w14:paraId="53050CED" w14:textId="77777777" w:rsidR="00A467D6" w:rsidRPr="00336C85" w:rsidRDefault="00A467D6" w:rsidP="00F62C9B">
            <w:pPr>
              <w:rPr>
                <w:rFonts w:eastAsia="Calibri" w:cs="Arial"/>
                <w:b/>
                <w:bCs/>
                <w:sz w:val="20"/>
                <w:lang w:val="en-GB"/>
              </w:rPr>
            </w:pPr>
            <w:r w:rsidRPr="00336C85">
              <w:rPr>
                <w:rFonts w:eastAsia="Calibri" w:cs="Arial"/>
                <w:sz w:val="20"/>
                <w:lang w:val="en-GB"/>
              </w:rPr>
              <w:t>Were there any other potential threats to internal validity (e.g., inappropriate statistical methods)?</w:t>
            </w:r>
          </w:p>
        </w:tc>
        <w:tc>
          <w:tcPr>
            <w:tcW w:w="731" w:type="pct"/>
            <w:shd w:val="clear" w:color="auto" w:fill="FDCBD1"/>
          </w:tcPr>
          <w:p w14:paraId="03CDB43F" w14:textId="77777777" w:rsidR="00A467D6" w:rsidRPr="00336C85" w:rsidRDefault="00A467D6" w:rsidP="00F62C9B">
            <w:pPr>
              <w:rPr>
                <w:sz w:val="20"/>
              </w:rPr>
            </w:pPr>
            <w:r>
              <w:rPr>
                <w:sz w:val="20"/>
              </w:rPr>
              <w:t>-</w:t>
            </w:r>
          </w:p>
        </w:tc>
        <w:tc>
          <w:tcPr>
            <w:tcW w:w="2088" w:type="pct"/>
          </w:tcPr>
          <w:p w14:paraId="058887B1" w14:textId="77777777" w:rsidR="00A467D6" w:rsidRPr="00336C85" w:rsidRDefault="00A467D6" w:rsidP="00F62C9B">
            <w:pPr>
              <w:rPr>
                <w:sz w:val="20"/>
              </w:rPr>
            </w:pPr>
            <w:r w:rsidRPr="00BF46B0">
              <w:rPr>
                <w:sz w:val="20"/>
              </w:rPr>
              <w:t>The cohort was predominantly White (93%), limiting generalisability to other populations. Additionally, the corresponding author serves as chair of the Scientific Advisory Board of the funding organisation (Foundation for Peripheral Neuropathy), representing a potential conflict of interest, though the authors state the FPN had no role in study conduct or reporting.</w:t>
            </w:r>
          </w:p>
        </w:tc>
      </w:tr>
      <w:tr w:rsidR="00A467D6" w:rsidRPr="00336C85" w14:paraId="018424F3" w14:textId="77777777" w:rsidTr="00F62C9B">
        <w:tc>
          <w:tcPr>
            <w:tcW w:w="2181" w:type="pct"/>
          </w:tcPr>
          <w:p w14:paraId="289D8DE1" w14:textId="77777777" w:rsidR="00A467D6" w:rsidRPr="00336C85" w:rsidRDefault="00A467D6" w:rsidP="00F62C9B">
            <w:pPr>
              <w:rPr>
                <w:sz w:val="20"/>
              </w:rPr>
            </w:pPr>
            <w:r w:rsidRPr="00336C85">
              <w:rPr>
                <w:rFonts w:eastAsia="Calibri" w:cs="Arial"/>
                <w:b/>
                <w:bCs/>
                <w:sz w:val="20"/>
                <w:lang w:val="en-GB"/>
              </w:rPr>
              <w:t>Overall risk of bias for the study (Low/Moderate/High)</w:t>
            </w:r>
          </w:p>
        </w:tc>
        <w:tc>
          <w:tcPr>
            <w:tcW w:w="731" w:type="pct"/>
          </w:tcPr>
          <w:p w14:paraId="3F58BB98" w14:textId="1CEC2617" w:rsidR="00A467D6" w:rsidRPr="00336C85" w:rsidRDefault="00C06E5B" w:rsidP="00F62C9B">
            <w:pPr>
              <w:rPr>
                <w:b/>
                <w:bCs/>
                <w:sz w:val="20"/>
              </w:rPr>
            </w:pPr>
            <w:r>
              <w:rPr>
                <w:b/>
                <w:bCs/>
                <w:sz w:val="20"/>
              </w:rPr>
              <w:t>High</w:t>
            </w:r>
          </w:p>
        </w:tc>
        <w:tc>
          <w:tcPr>
            <w:tcW w:w="2088" w:type="pct"/>
          </w:tcPr>
          <w:p w14:paraId="4A217B4D" w14:textId="2F8F6D98" w:rsidR="00A467D6" w:rsidRPr="00336C85" w:rsidRDefault="00A467D6" w:rsidP="00F62C9B">
            <w:pPr>
              <w:rPr>
                <w:b/>
                <w:bCs/>
                <w:sz w:val="20"/>
              </w:rPr>
            </w:pPr>
          </w:p>
        </w:tc>
      </w:tr>
    </w:tbl>
    <w:p w14:paraId="458A27F0" w14:textId="77777777" w:rsidR="00A467D6" w:rsidRDefault="00A467D6" w:rsidP="00A467D6">
      <w:pPr>
        <w:pStyle w:val="BodyText"/>
      </w:pPr>
    </w:p>
    <w:p w14:paraId="602AFBBA" w14:textId="77777777" w:rsidR="00A467D6" w:rsidRDefault="00A467D6" w:rsidP="00A467D6">
      <w:pPr>
        <w:pStyle w:val="Heading9"/>
      </w:pPr>
      <w:bookmarkStart w:id="95" w:name="_Toc233022909"/>
      <w:r>
        <w:t>Theil et al. 2023</w:t>
      </w:r>
      <w:bookmarkEnd w:id="95"/>
    </w:p>
    <w:p w14:paraId="6C07F632" w14:textId="77777777" w:rsidR="00A467D6" w:rsidRPr="00306EFF" w:rsidRDefault="00A467D6" w:rsidP="00A467D6">
      <w:pPr>
        <w:rPr>
          <w:rFonts w:eastAsia="Calibri" w:cs="Arial"/>
          <w:szCs w:val="22"/>
        </w:rPr>
      </w:pPr>
      <w:r w:rsidRPr="00E45AB2">
        <w:rPr>
          <w:rFonts w:eastAsia="Calibri" w:cs="Arial"/>
          <w:szCs w:val="22"/>
        </w:rPr>
        <w:t xml:space="preserve">Rating key: </w:t>
      </w:r>
      <w:r w:rsidRPr="00E45AB2">
        <w:rPr>
          <w:rFonts w:eastAsia="Calibri" w:cs="Arial"/>
          <w:szCs w:val="22"/>
          <w:shd w:val="clear" w:color="auto" w:fill="00B050"/>
        </w:rPr>
        <w:t>++</w:t>
      </w:r>
      <w:r w:rsidRPr="00E45AB2">
        <w:rPr>
          <w:rFonts w:eastAsia="Calibri" w:cs="Arial"/>
          <w:szCs w:val="22"/>
        </w:rPr>
        <w:t xml:space="preserve"> = definitely low RoB; </w:t>
      </w:r>
      <w:r w:rsidRPr="00E45AB2">
        <w:rPr>
          <w:rFonts w:eastAsia="Calibri" w:cs="Arial"/>
          <w:szCs w:val="22"/>
          <w:shd w:val="clear" w:color="auto" w:fill="92D050"/>
        </w:rPr>
        <w:t>+</w:t>
      </w:r>
      <w:r w:rsidRPr="00E45AB2">
        <w:rPr>
          <w:rFonts w:eastAsia="Calibri" w:cs="Arial"/>
          <w:szCs w:val="22"/>
        </w:rPr>
        <w:t xml:space="preserve"> = probably low RoB; </w:t>
      </w:r>
      <w:r w:rsidRPr="00E45AB2">
        <w:rPr>
          <w:rFonts w:eastAsia="Calibri" w:cs="Arial"/>
          <w:szCs w:val="22"/>
          <w:shd w:val="clear" w:color="auto" w:fill="FFC1C1"/>
        </w:rPr>
        <w:t>NR</w:t>
      </w:r>
      <w:r w:rsidRPr="00E45AB2">
        <w:rPr>
          <w:rFonts w:eastAsia="Calibri" w:cs="Arial"/>
          <w:szCs w:val="22"/>
        </w:rPr>
        <w:t xml:space="preserve"> = not reported; </w:t>
      </w:r>
      <w:r w:rsidRPr="00E45AB2">
        <w:rPr>
          <w:rFonts w:eastAsia="Calibri" w:cs="Arial"/>
          <w:szCs w:val="22"/>
          <w:shd w:val="clear" w:color="auto" w:fill="FFC1C1"/>
        </w:rPr>
        <w:t>−</w:t>
      </w:r>
      <w:r w:rsidRPr="00E45AB2">
        <w:rPr>
          <w:rFonts w:eastAsia="Calibri" w:cs="Arial"/>
          <w:szCs w:val="22"/>
        </w:rPr>
        <w:t xml:space="preserve"> = probably high RoB; </w:t>
      </w:r>
      <w:r w:rsidRPr="00E45AB2">
        <w:rPr>
          <w:rFonts w:eastAsia="Calibri" w:cs="Arial"/>
          <w:szCs w:val="22"/>
          <w:shd w:val="clear" w:color="auto" w:fill="FF2F2F"/>
        </w:rPr>
        <w:t>−−</w:t>
      </w:r>
      <w:r w:rsidRPr="00E45AB2">
        <w:rPr>
          <w:rFonts w:eastAsia="Calibri" w:cs="Arial"/>
          <w:szCs w:val="22"/>
        </w:rPr>
        <w:t xml:space="preserve"> = definitely high RoB; </w:t>
      </w:r>
      <w:r w:rsidRPr="00E45AB2">
        <w:rPr>
          <w:rFonts w:eastAsia="Calibri" w:cs="Arial"/>
          <w:szCs w:val="22"/>
          <w:highlight w:val="lightGray"/>
        </w:rPr>
        <w:t>NA</w:t>
      </w:r>
      <w:r w:rsidRPr="00E45AB2">
        <w:rPr>
          <w:rFonts w:eastAsia="Calibri" w:cs="Arial"/>
          <w:szCs w:val="22"/>
        </w:rPr>
        <w:t xml:space="preserve"> = not applicable to this study design </w:t>
      </w:r>
    </w:p>
    <w:tbl>
      <w:tblPr>
        <w:tblStyle w:val="SLROption1"/>
        <w:tblW w:w="5000" w:type="pct"/>
        <w:tblLook w:val="01E0" w:firstRow="1" w:lastRow="1" w:firstColumn="1" w:lastColumn="1" w:noHBand="0" w:noVBand="0"/>
      </w:tblPr>
      <w:tblGrid>
        <w:gridCol w:w="3934"/>
        <w:gridCol w:w="1319"/>
        <w:gridCol w:w="3766"/>
      </w:tblGrid>
      <w:tr w:rsidR="00A467D6" w:rsidRPr="00336C85" w14:paraId="3B12EB19" w14:textId="77777777" w:rsidTr="00F62C9B">
        <w:trPr>
          <w:cnfStyle w:val="100000000000" w:firstRow="1" w:lastRow="0" w:firstColumn="0" w:lastColumn="0" w:oddVBand="0" w:evenVBand="0" w:oddHBand="0" w:evenHBand="0" w:firstRowFirstColumn="0" w:firstRowLastColumn="0" w:lastRowFirstColumn="0" w:lastRowLastColumn="0"/>
        </w:trPr>
        <w:tc>
          <w:tcPr>
            <w:tcW w:w="2181" w:type="pct"/>
            <w:tcBorders>
              <w:bottom w:val="single" w:sz="4" w:space="0" w:color="FFFFFF" w:themeColor="background1"/>
              <w:right w:val="single" w:sz="4" w:space="0" w:color="FFFFFF" w:themeColor="background1"/>
            </w:tcBorders>
            <w:shd w:val="clear" w:color="auto" w:fill="3C533C" w:themeFill="text2"/>
          </w:tcPr>
          <w:p w14:paraId="087CBE06" w14:textId="77777777" w:rsidR="00A467D6" w:rsidRPr="00336C85" w:rsidRDefault="00A467D6" w:rsidP="00F62C9B">
            <w:pPr>
              <w:keepNext/>
              <w:jc w:val="left"/>
              <w:rPr>
                <w:rFonts w:eastAsia="Calibri"/>
                <w:b/>
                <w:color w:val="FFFFFF" w:themeColor="background1"/>
                <w:sz w:val="20"/>
              </w:rPr>
            </w:pPr>
            <w:r w:rsidRPr="00336C85">
              <w:rPr>
                <w:rFonts w:eastAsia="Calibri"/>
                <w:b/>
                <w:color w:val="FFFFFF" w:themeColor="background1"/>
                <w:sz w:val="20"/>
              </w:rPr>
              <w:t>Study Type:</w:t>
            </w:r>
          </w:p>
        </w:tc>
        <w:tc>
          <w:tcPr>
            <w:tcW w:w="731" w:type="pct"/>
            <w:tcBorders>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3492A859" w14:textId="77777777" w:rsidR="00A467D6" w:rsidRPr="00336C85" w:rsidRDefault="00A467D6" w:rsidP="00F62C9B">
            <w:pPr>
              <w:keepNext/>
              <w:jc w:val="left"/>
              <w:rPr>
                <w:rFonts w:eastAsia="Calibri"/>
                <w:bCs/>
                <w:color w:val="FFFFFF" w:themeColor="background1"/>
                <w:sz w:val="20"/>
              </w:rPr>
            </w:pPr>
          </w:p>
        </w:tc>
        <w:tc>
          <w:tcPr>
            <w:tcW w:w="2088" w:type="pct"/>
            <w:tcBorders>
              <w:left w:val="single" w:sz="4" w:space="0" w:color="FFFFFF" w:themeColor="background1"/>
              <w:bottom w:val="single" w:sz="4" w:space="0" w:color="FFFFFF" w:themeColor="background1"/>
            </w:tcBorders>
            <w:shd w:val="clear" w:color="auto" w:fill="3C533C" w:themeFill="text2"/>
          </w:tcPr>
          <w:p w14:paraId="795132B3" w14:textId="77777777" w:rsidR="00A467D6" w:rsidRPr="00336C85" w:rsidRDefault="00A467D6" w:rsidP="00F62C9B">
            <w:pPr>
              <w:keepNext/>
              <w:jc w:val="left"/>
              <w:rPr>
                <w:rFonts w:eastAsia="Calibri"/>
                <w:bCs/>
                <w:color w:val="FFFFFF" w:themeColor="background1"/>
                <w:sz w:val="20"/>
              </w:rPr>
            </w:pPr>
            <w:r w:rsidRPr="000002F2">
              <w:rPr>
                <w:rFonts w:eastAsia="Calibri"/>
                <w:bCs/>
                <w:color w:val="FFFFFF" w:themeColor="background1"/>
                <w:sz w:val="20"/>
              </w:rPr>
              <w:t>Controlled animal experiment</w:t>
            </w:r>
          </w:p>
        </w:tc>
      </w:tr>
      <w:tr w:rsidR="00A467D6" w:rsidRPr="00336C85" w14:paraId="0AD881C6" w14:textId="77777777" w:rsidTr="00F62C9B">
        <w:tc>
          <w:tcPr>
            <w:tcW w:w="2181" w:type="pct"/>
            <w:tcBorders>
              <w:top w:val="single" w:sz="4" w:space="0" w:color="FFFFFF" w:themeColor="background1"/>
              <w:bottom w:val="single" w:sz="4" w:space="0" w:color="FFFFFF" w:themeColor="background1"/>
              <w:right w:val="single" w:sz="4" w:space="0" w:color="FFFFFF" w:themeColor="background1"/>
            </w:tcBorders>
            <w:shd w:val="clear" w:color="auto" w:fill="3C533C" w:themeFill="text2"/>
          </w:tcPr>
          <w:p w14:paraId="5FD1F17A" w14:textId="77777777" w:rsidR="00A467D6" w:rsidRPr="00336C85" w:rsidRDefault="00A467D6" w:rsidP="00F62C9B">
            <w:pPr>
              <w:keepNext/>
              <w:rPr>
                <w:rFonts w:eastAsia="Calibri"/>
                <w:b/>
                <w:color w:val="FFFFFF" w:themeColor="background1"/>
                <w:sz w:val="20"/>
              </w:rPr>
            </w:pPr>
            <w:r w:rsidRPr="00336C85">
              <w:rPr>
                <w:rFonts w:eastAsia="Calibri"/>
                <w:b/>
                <w:color w:val="FFFFFF" w:themeColor="background1"/>
                <w:sz w:val="20"/>
              </w:rPr>
              <w:t>Study ID:</w:t>
            </w:r>
          </w:p>
        </w:tc>
        <w:tc>
          <w:tcPr>
            <w:tcW w:w="7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1429B588" w14:textId="77777777" w:rsidR="00A467D6" w:rsidRPr="00336C85" w:rsidRDefault="00A467D6" w:rsidP="00F62C9B">
            <w:pPr>
              <w:keepNext/>
              <w:rPr>
                <w:rFonts w:eastAsia="Calibri"/>
                <w:bCs/>
                <w:color w:val="FFFFFF" w:themeColor="background1"/>
                <w:sz w:val="20"/>
              </w:rPr>
            </w:pPr>
          </w:p>
        </w:tc>
        <w:tc>
          <w:tcPr>
            <w:tcW w:w="2088" w:type="pct"/>
            <w:tcBorders>
              <w:top w:val="single" w:sz="4" w:space="0" w:color="FFFFFF" w:themeColor="background1"/>
              <w:left w:val="single" w:sz="4" w:space="0" w:color="FFFFFF" w:themeColor="background1"/>
              <w:bottom w:val="single" w:sz="4" w:space="0" w:color="FFFFFF" w:themeColor="background1"/>
            </w:tcBorders>
            <w:shd w:val="clear" w:color="auto" w:fill="3C533C" w:themeFill="text2"/>
          </w:tcPr>
          <w:p w14:paraId="1F25DE93" w14:textId="77777777" w:rsidR="00A467D6" w:rsidRPr="00336C85" w:rsidRDefault="00A467D6" w:rsidP="00F62C9B">
            <w:pPr>
              <w:keepNext/>
              <w:rPr>
                <w:rFonts w:eastAsia="Calibri"/>
                <w:bCs/>
                <w:color w:val="FFFFFF" w:themeColor="background1"/>
                <w:sz w:val="20"/>
              </w:rPr>
            </w:pPr>
            <w:r w:rsidRPr="000002F2">
              <w:rPr>
                <w:rFonts w:eastAsia="Calibri"/>
                <w:bCs/>
                <w:color w:val="FFFFFF" w:themeColor="background1"/>
                <w:sz w:val="20"/>
              </w:rPr>
              <w:t>Theil et al. 2023</w:t>
            </w:r>
          </w:p>
        </w:tc>
      </w:tr>
      <w:tr w:rsidR="00A467D6" w:rsidRPr="00336C85" w14:paraId="0C674062" w14:textId="77777777" w:rsidTr="00F62C9B">
        <w:tc>
          <w:tcPr>
            <w:tcW w:w="2181" w:type="pct"/>
            <w:tcBorders>
              <w:top w:val="single" w:sz="4" w:space="0" w:color="FFFFFF" w:themeColor="background1"/>
              <w:bottom w:val="single" w:sz="4" w:space="0" w:color="FFFFFF" w:themeColor="background1"/>
              <w:right w:val="single" w:sz="4" w:space="0" w:color="FFFFFF" w:themeColor="background1"/>
            </w:tcBorders>
            <w:shd w:val="clear" w:color="auto" w:fill="3C533C" w:themeFill="text2"/>
          </w:tcPr>
          <w:p w14:paraId="2EF750A3" w14:textId="77777777" w:rsidR="00A467D6" w:rsidRPr="00336C85" w:rsidRDefault="00A467D6" w:rsidP="00F62C9B">
            <w:pPr>
              <w:keepNext/>
              <w:rPr>
                <w:rFonts w:eastAsia="Calibri"/>
                <w:b/>
                <w:color w:val="FFFFFF" w:themeColor="background1"/>
                <w:sz w:val="20"/>
              </w:rPr>
            </w:pPr>
            <w:r w:rsidRPr="00336C85">
              <w:rPr>
                <w:rFonts w:eastAsia="Calibri"/>
                <w:b/>
                <w:color w:val="FFFFFF" w:themeColor="background1"/>
                <w:sz w:val="20"/>
              </w:rPr>
              <w:t>Health Outcome:</w:t>
            </w:r>
          </w:p>
        </w:tc>
        <w:tc>
          <w:tcPr>
            <w:tcW w:w="7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60DD5089" w14:textId="77777777" w:rsidR="00A467D6" w:rsidRPr="00336C85" w:rsidRDefault="00A467D6" w:rsidP="00F62C9B">
            <w:pPr>
              <w:keepNext/>
              <w:rPr>
                <w:rFonts w:eastAsia="Calibri"/>
                <w:bCs/>
                <w:color w:val="FFFFFF" w:themeColor="background1"/>
                <w:sz w:val="20"/>
              </w:rPr>
            </w:pPr>
          </w:p>
        </w:tc>
        <w:tc>
          <w:tcPr>
            <w:tcW w:w="2088" w:type="pct"/>
            <w:tcBorders>
              <w:top w:val="single" w:sz="4" w:space="0" w:color="FFFFFF" w:themeColor="background1"/>
              <w:left w:val="single" w:sz="4" w:space="0" w:color="FFFFFF" w:themeColor="background1"/>
              <w:bottom w:val="single" w:sz="4" w:space="0" w:color="FFFFFF" w:themeColor="background1"/>
            </w:tcBorders>
            <w:shd w:val="clear" w:color="auto" w:fill="3C533C" w:themeFill="text2"/>
          </w:tcPr>
          <w:p w14:paraId="25677103" w14:textId="77777777" w:rsidR="00A467D6" w:rsidRPr="00336C85" w:rsidRDefault="00A467D6" w:rsidP="00F62C9B">
            <w:pPr>
              <w:keepNext/>
              <w:rPr>
                <w:rFonts w:eastAsia="Calibri"/>
                <w:bCs/>
                <w:color w:val="FFFFFF" w:themeColor="background1"/>
                <w:sz w:val="20"/>
              </w:rPr>
            </w:pPr>
            <w:r w:rsidRPr="000002F2">
              <w:rPr>
                <w:rFonts w:eastAsia="Calibri"/>
                <w:bCs/>
                <w:color w:val="FFFFFF" w:themeColor="background1"/>
                <w:sz w:val="20"/>
              </w:rPr>
              <w:t>Serum neurofilament light chain (NfL) as a biomarker of drug-induced peripheral neurotoxicity</w:t>
            </w:r>
          </w:p>
        </w:tc>
      </w:tr>
      <w:tr w:rsidR="00A467D6" w:rsidRPr="00336C85" w14:paraId="06649B2E" w14:textId="77777777" w:rsidTr="00F62C9B">
        <w:tc>
          <w:tcPr>
            <w:tcW w:w="2181" w:type="pct"/>
            <w:tcBorders>
              <w:top w:val="single" w:sz="4" w:space="0" w:color="FFFFFF" w:themeColor="background1"/>
              <w:right w:val="single" w:sz="4" w:space="0" w:color="FFFFFF" w:themeColor="background1"/>
            </w:tcBorders>
            <w:shd w:val="clear" w:color="auto" w:fill="3C533C" w:themeFill="text2"/>
          </w:tcPr>
          <w:p w14:paraId="701D9D3B" w14:textId="77777777" w:rsidR="00A467D6" w:rsidRPr="00336C85" w:rsidRDefault="00A467D6" w:rsidP="00F62C9B">
            <w:pPr>
              <w:keepNext/>
              <w:rPr>
                <w:rFonts w:eastAsia="Calibri"/>
                <w:b/>
                <w:color w:val="FFFFFF" w:themeColor="background1"/>
                <w:sz w:val="20"/>
              </w:rPr>
            </w:pPr>
            <w:r w:rsidRPr="00336C85">
              <w:rPr>
                <w:rFonts w:eastAsia="Calibri"/>
                <w:b/>
                <w:color w:val="FFFFFF" w:themeColor="background1"/>
                <w:sz w:val="20"/>
              </w:rPr>
              <w:t>Bias Domain</w:t>
            </w:r>
          </w:p>
        </w:tc>
        <w:tc>
          <w:tcPr>
            <w:tcW w:w="731" w:type="pct"/>
            <w:tcBorders>
              <w:top w:val="single" w:sz="4" w:space="0" w:color="FFFFFF" w:themeColor="background1"/>
              <w:left w:val="single" w:sz="4" w:space="0" w:color="FFFFFF" w:themeColor="background1"/>
              <w:right w:val="single" w:sz="4" w:space="0" w:color="FFFFFF" w:themeColor="background1"/>
            </w:tcBorders>
            <w:shd w:val="clear" w:color="auto" w:fill="3C533C" w:themeFill="text2"/>
          </w:tcPr>
          <w:p w14:paraId="3B25D207" w14:textId="77777777" w:rsidR="00A467D6" w:rsidRPr="00336C85" w:rsidRDefault="00A467D6" w:rsidP="00F62C9B">
            <w:pPr>
              <w:keepNext/>
              <w:rPr>
                <w:rFonts w:eastAsia="Calibri"/>
                <w:b/>
                <w:color w:val="FFFFFF" w:themeColor="background1"/>
                <w:sz w:val="20"/>
              </w:rPr>
            </w:pPr>
            <w:r>
              <w:rPr>
                <w:rFonts w:eastAsia="Calibri"/>
                <w:b/>
                <w:color w:val="FFFFFF" w:themeColor="background1"/>
                <w:sz w:val="20"/>
              </w:rPr>
              <w:t>Rate</w:t>
            </w:r>
          </w:p>
        </w:tc>
        <w:tc>
          <w:tcPr>
            <w:tcW w:w="2088" w:type="pct"/>
            <w:tcBorders>
              <w:top w:val="single" w:sz="4" w:space="0" w:color="FFFFFF" w:themeColor="background1"/>
              <w:left w:val="single" w:sz="4" w:space="0" w:color="FFFFFF" w:themeColor="background1"/>
            </w:tcBorders>
            <w:shd w:val="clear" w:color="auto" w:fill="3C533C" w:themeFill="text2"/>
          </w:tcPr>
          <w:p w14:paraId="34F7181B" w14:textId="77777777" w:rsidR="00A467D6" w:rsidRPr="00336C85" w:rsidRDefault="00A467D6" w:rsidP="00F62C9B">
            <w:pPr>
              <w:keepNext/>
              <w:rPr>
                <w:rFonts w:eastAsia="Calibri"/>
                <w:b/>
                <w:color w:val="FFFFFF" w:themeColor="background1"/>
                <w:sz w:val="20"/>
              </w:rPr>
            </w:pPr>
            <w:r>
              <w:rPr>
                <w:rFonts w:eastAsia="Calibri"/>
                <w:b/>
                <w:color w:val="FFFFFF" w:themeColor="background1"/>
                <w:sz w:val="20"/>
              </w:rPr>
              <w:t>Comment</w:t>
            </w:r>
          </w:p>
        </w:tc>
      </w:tr>
      <w:tr w:rsidR="00A467D6" w:rsidRPr="00336C85" w14:paraId="10EB0A0C" w14:textId="77777777" w:rsidTr="00F62C9B">
        <w:trPr>
          <w:trHeight w:val="53"/>
        </w:trPr>
        <w:tc>
          <w:tcPr>
            <w:tcW w:w="2181" w:type="pct"/>
          </w:tcPr>
          <w:p w14:paraId="5CA1DF3E" w14:textId="77777777" w:rsidR="00A467D6" w:rsidRPr="00336C85" w:rsidRDefault="00A467D6" w:rsidP="00F62C9B">
            <w:pPr>
              <w:rPr>
                <w:b/>
                <w:bCs/>
                <w:sz w:val="20"/>
              </w:rPr>
            </w:pPr>
            <w:r w:rsidRPr="00336C85">
              <w:rPr>
                <w:b/>
                <w:bCs/>
                <w:sz w:val="20"/>
              </w:rPr>
              <w:t>Selection</w:t>
            </w:r>
          </w:p>
        </w:tc>
        <w:tc>
          <w:tcPr>
            <w:tcW w:w="731" w:type="pct"/>
          </w:tcPr>
          <w:p w14:paraId="48FE3BD1" w14:textId="77777777" w:rsidR="00A467D6" w:rsidRPr="00336C85" w:rsidRDefault="00A467D6" w:rsidP="00F62C9B">
            <w:pPr>
              <w:rPr>
                <w:sz w:val="20"/>
              </w:rPr>
            </w:pPr>
          </w:p>
        </w:tc>
        <w:tc>
          <w:tcPr>
            <w:tcW w:w="2088" w:type="pct"/>
          </w:tcPr>
          <w:p w14:paraId="5C49A926" w14:textId="77777777" w:rsidR="00A467D6" w:rsidRPr="00336C85" w:rsidRDefault="00A467D6" w:rsidP="00F62C9B">
            <w:pPr>
              <w:rPr>
                <w:sz w:val="20"/>
              </w:rPr>
            </w:pPr>
          </w:p>
        </w:tc>
      </w:tr>
      <w:tr w:rsidR="00A467D6" w:rsidRPr="00336C85" w14:paraId="1D125A7F" w14:textId="77777777" w:rsidTr="00F62C9B">
        <w:trPr>
          <w:trHeight w:val="52"/>
        </w:trPr>
        <w:tc>
          <w:tcPr>
            <w:tcW w:w="2181" w:type="pct"/>
          </w:tcPr>
          <w:p w14:paraId="23ED2FC6" w14:textId="77777777" w:rsidR="00A467D6" w:rsidRPr="00336C85" w:rsidRDefault="00A467D6" w:rsidP="00F62C9B">
            <w:pPr>
              <w:rPr>
                <w:sz w:val="20"/>
              </w:rPr>
            </w:pPr>
            <w:r w:rsidRPr="00336C85">
              <w:rPr>
                <w:sz w:val="20"/>
              </w:rPr>
              <w:t>Was administered dose or exposure level adequately randomized?</w:t>
            </w:r>
          </w:p>
        </w:tc>
        <w:tc>
          <w:tcPr>
            <w:tcW w:w="731" w:type="pct"/>
            <w:shd w:val="clear" w:color="auto" w:fill="92D050"/>
          </w:tcPr>
          <w:p w14:paraId="5D4E885C" w14:textId="77777777" w:rsidR="00A467D6" w:rsidRPr="00336C85" w:rsidRDefault="00A467D6" w:rsidP="00F62C9B">
            <w:pPr>
              <w:rPr>
                <w:sz w:val="20"/>
              </w:rPr>
            </w:pPr>
            <w:r>
              <w:rPr>
                <w:sz w:val="20"/>
              </w:rPr>
              <w:t>+</w:t>
            </w:r>
          </w:p>
        </w:tc>
        <w:tc>
          <w:tcPr>
            <w:tcW w:w="2088" w:type="pct"/>
          </w:tcPr>
          <w:p w14:paraId="28D20B90" w14:textId="77777777" w:rsidR="00A467D6" w:rsidRPr="00336C85" w:rsidRDefault="00A467D6" w:rsidP="00F62C9B">
            <w:pPr>
              <w:rPr>
                <w:sz w:val="20"/>
              </w:rPr>
            </w:pPr>
            <w:r w:rsidRPr="000002F2">
              <w:rPr>
                <w:sz w:val="20"/>
              </w:rPr>
              <w:t>Animals were randomised to groups by body weight; specific randomisation method not detailed.</w:t>
            </w:r>
          </w:p>
        </w:tc>
      </w:tr>
      <w:tr w:rsidR="00A467D6" w:rsidRPr="00336C85" w14:paraId="3438A1A9" w14:textId="77777777" w:rsidTr="00F62C9B">
        <w:trPr>
          <w:trHeight w:val="52"/>
        </w:trPr>
        <w:tc>
          <w:tcPr>
            <w:tcW w:w="2181" w:type="pct"/>
          </w:tcPr>
          <w:p w14:paraId="6426830A" w14:textId="77777777" w:rsidR="00A467D6" w:rsidRPr="00336C85" w:rsidRDefault="00A467D6" w:rsidP="00F62C9B">
            <w:pPr>
              <w:rPr>
                <w:sz w:val="20"/>
              </w:rPr>
            </w:pPr>
            <w:r w:rsidRPr="00336C85">
              <w:rPr>
                <w:sz w:val="20"/>
              </w:rPr>
              <w:t>Was allocation to study groups adequately concealed?</w:t>
            </w:r>
          </w:p>
        </w:tc>
        <w:tc>
          <w:tcPr>
            <w:tcW w:w="731" w:type="pct"/>
            <w:shd w:val="clear" w:color="auto" w:fill="FDCBD1"/>
          </w:tcPr>
          <w:p w14:paraId="347E0CB9" w14:textId="77777777" w:rsidR="00A467D6" w:rsidRPr="00336C85" w:rsidRDefault="00A467D6" w:rsidP="00F62C9B">
            <w:pPr>
              <w:rPr>
                <w:sz w:val="20"/>
              </w:rPr>
            </w:pPr>
            <w:r>
              <w:rPr>
                <w:sz w:val="20"/>
              </w:rPr>
              <w:t>NR</w:t>
            </w:r>
          </w:p>
        </w:tc>
        <w:tc>
          <w:tcPr>
            <w:tcW w:w="2088" w:type="pct"/>
          </w:tcPr>
          <w:p w14:paraId="62BAD2DF" w14:textId="77777777" w:rsidR="00A467D6" w:rsidRPr="00336C85" w:rsidRDefault="00A467D6" w:rsidP="00F62C9B">
            <w:pPr>
              <w:rPr>
                <w:sz w:val="20"/>
              </w:rPr>
            </w:pPr>
            <w:r w:rsidRPr="000002F2">
              <w:rPr>
                <w:sz w:val="20"/>
              </w:rPr>
              <w:t>Not reported; typical for nonclinical animal studies.</w:t>
            </w:r>
          </w:p>
        </w:tc>
      </w:tr>
      <w:tr w:rsidR="00A467D6" w:rsidRPr="00336C85" w14:paraId="3BEDCE4B" w14:textId="77777777" w:rsidTr="00F62C9B">
        <w:trPr>
          <w:trHeight w:val="52"/>
        </w:trPr>
        <w:tc>
          <w:tcPr>
            <w:tcW w:w="2181" w:type="pct"/>
          </w:tcPr>
          <w:p w14:paraId="7B9E9267" w14:textId="77777777" w:rsidR="00A467D6" w:rsidRPr="00336C85" w:rsidRDefault="00A467D6" w:rsidP="00F62C9B">
            <w:pPr>
              <w:rPr>
                <w:sz w:val="20"/>
              </w:rPr>
            </w:pPr>
            <w:r w:rsidRPr="00336C85">
              <w:rPr>
                <w:sz w:val="20"/>
              </w:rPr>
              <w:t>Were the comparison groups appropriate?</w:t>
            </w:r>
          </w:p>
        </w:tc>
        <w:tc>
          <w:tcPr>
            <w:tcW w:w="731" w:type="pct"/>
            <w:shd w:val="clear" w:color="auto" w:fill="00B050"/>
          </w:tcPr>
          <w:p w14:paraId="0D637A99" w14:textId="77777777" w:rsidR="00A467D6" w:rsidRPr="00336C85" w:rsidRDefault="00A467D6" w:rsidP="00F62C9B">
            <w:pPr>
              <w:rPr>
                <w:sz w:val="20"/>
              </w:rPr>
            </w:pPr>
            <w:r>
              <w:rPr>
                <w:sz w:val="20"/>
              </w:rPr>
              <w:t>++</w:t>
            </w:r>
          </w:p>
        </w:tc>
        <w:tc>
          <w:tcPr>
            <w:tcW w:w="2088" w:type="pct"/>
          </w:tcPr>
          <w:p w14:paraId="3C62F8C1" w14:textId="77777777" w:rsidR="00A467D6" w:rsidRPr="00336C85" w:rsidRDefault="00A467D6" w:rsidP="00F62C9B">
            <w:pPr>
              <w:rPr>
                <w:sz w:val="20"/>
              </w:rPr>
            </w:pPr>
            <w:r w:rsidRPr="000002F2">
              <w:rPr>
                <w:sz w:val="20"/>
              </w:rPr>
              <w:t>Vehicle (negative) and pyridoxine (positive) controls included alongside two branaplam regimens; age, weight, housing, and diet standardised.</w:t>
            </w:r>
          </w:p>
        </w:tc>
      </w:tr>
      <w:tr w:rsidR="00A467D6" w:rsidRPr="00336C85" w14:paraId="7103DAC7" w14:textId="77777777" w:rsidTr="00F62C9B">
        <w:trPr>
          <w:trHeight w:val="79"/>
        </w:trPr>
        <w:tc>
          <w:tcPr>
            <w:tcW w:w="2181" w:type="pct"/>
          </w:tcPr>
          <w:p w14:paraId="2D0FE658" w14:textId="77777777" w:rsidR="00A467D6" w:rsidRPr="00336C85" w:rsidRDefault="00A467D6" w:rsidP="00F62C9B">
            <w:pPr>
              <w:rPr>
                <w:b/>
                <w:bCs/>
                <w:sz w:val="20"/>
              </w:rPr>
            </w:pPr>
            <w:r w:rsidRPr="00336C85">
              <w:rPr>
                <w:b/>
                <w:bCs/>
                <w:sz w:val="20"/>
              </w:rPr>
              <w:t>Confounding – KEY DOMAIN</w:t>
            </w:r>
          </w:p>
        </w:tc>
        <w:tc>
          <w:tcPr>
            <w:tcW w:w="731" w:type="pct"/>
          </w:tcPr>
          <w:p w14:paraId="5604824D" w14:textId="77777777" w:rsidR="00A467D6" w:rsidRPr="00336C85" w:rsidRDefault="00A467D6" w:rsidP="00F62C9B">
            <w:pPr>
              <w:rPr>
                <w:sz w:val="20"/>
              </w:rPr>
            </w:pPr>
          </w:p>
        </w:tc>
        <w:tc>
          <w:tcPr>
            <w:tcW w:w="2088" w:type="pct"/>
          </w:tcPr>
          <w:p w14:paraId="0607B6FE" w14:textId="77777777" w:rsidR="00A467D6" w:rsidRPr="00336C85" w:rsidRDefault="00A467D6" w:rsidP="00F62C9B">
            <w:pPr>
              <w:rPr>
                <w:sz w:val="20"/>
              </w:rPr>
            </w:pPr>
          </w:p>
        </w:tc>
      </w:tr>
      <w:tr w:rsidR="00A467D6" w:rsidRPr="00336C85" w14:paraId="122C0906" w14:textId="77777777" w:rsidTr="00F62C9B">
        <w:trPr>
          <w:trHeight w:val="78"/>
        </w:trPr>
        <w:tc>
          <w:tcPr>
            <w:tcW w:w="2181" w:type="pct"/>
          </w:tcPr>
          <w:p w14:paraId="3BED0073" w14:textId="77777777" w:rsidR="00A467D6" w:rsidRPr="00336C85" w:rsidRDefault="00A467D6" w:rsidP="00F62C9B">
            <w:pPr>
              <w:rPr>
                <w:sz w:val="20"/>
              </w:rPr>
            </w:pPr>
            <w:r w:rsidRPr="00336C85">
              <w:rPr>
                <w:sz w:val="20"/>
              </w:rPr>
              <w:t>Does the study design or analysis account for important confounding and modifying variables?</w:t>
            </w:r>
          </w:p>
        </w:tc>
        <w:tc>
          <w:tcPr>
            <w:tcW w:w="731" w:type="pct"/>
            <w:shd w:val="clear" w:color="auto" w:fill="92D050"/>
          </w:tcPr>
          <w:p w14:paraId="0E3714DF" w14:textId="77777777" w:rsidR="00A467D6" w:rsidRPr="00336C85" w:rsidRDefault="00A467D6" w:rsidP="00F62C9B">
            <w:pPr>
              <w:rPr>
                <w:sz w:val="20"/>
              </w:rPr>
            </w:pPr>
            <w:r>
              <w:rPr>
                <w:sz w:val="20"/>
              </w:rPr>
              <w:t>+</w:t>
            </w:r>
          </w:p>
        </w:tc>
        <w:tc>
          <w:tcPr>
            <w:tcW w:w="2088" w:type="pct"/>
          </w:tcPr>
          <w:p w14:paraId="7228615C" w14:textId="77777777" w:rsidR="00A467D6" w:rsidRPr="00336C85" w:rsidRDefault="00A467D6" w:rsidP="00F62C9B">
            <w:pPr>
              <w:rPr>
                <w:sz w:val="20"/>
              </w:rPr>
            </w:pPr>
            <w:r w:rsidRPr="000002F2">
              <w:rPr>
                <w:sz w:val="20"/>
              </w:rPr>
              <w:t>Controlled experimental conditions minimise confounding. Only males used. Variable dosing regimens (dose reductions and interruptions across groups) complicate attributing effects to specific exposure levels.</w:t>
            </w:r>
          </w:p>
        </w:tc>
      </w:tr>
      <w:tr w:rsidR="00A467D6" w:rsidRPr="00336C85" w14:paraId="28575369" w14:textId="77777777" w:rsidTr="00F62C9B">
        <w:trPr>
          <w:trHeight w:val="53"/>
        </w:trPr>
        <w:tc>
          <w:tcPr>
            <w:tcW w:w="2181" w:type="pct"/>
          </w:tcPr>
          <w:p w14:paraId="3E62F5BC" w14:textId="77777777" w:rsidR="00A467D6" w:rsidRPr="00336C85" w:rsidRDefault="00A467D6" w:rsidP="00F62C9B">
            <w:pPr>
              <w:rPr>
                <w:b/>
                <w:bCs/>
                <w:sz w:val="20"/>
              </w:rPr>
            </w:pPr>
            <w:r w:rsidRPr="00336C85">
              <w:rPr>
                <w:b/>
                <w:bCs/>
                <w:sz w:val="20"/>
              </w:rPr>
              <w:t>Performance</w:t>
            </w:r>
          </w:p>
        </w:tc>
        <w:tc>
          <w:tcPr>
            <w:tcW w:w="731" w:type="pct"/>
          </w:tcPr>
          <w:p w14:paraId="7579FCDE" w14:textId="77777777" w:rsidR="00A467D6" w:rsidRPr="00336C85" w:rsidRDefault="00A467D6" w:rsidP="00F62C9B">
            <w:pPr>
              <w:rPr>
                <w:sz w:val="20"/>
              </w:rPr>
            </w:pPr>
          </w:p>
        </w:tc>
        <w:tc>
          <w:tcPr>
            <w:tcW w:w="2088" w:type="pct"/>
          </w:tcPr>
          <w:p w14:paraId="63E6CD1A" w14:textId="77777777" w:rsidR="00A467D6" w:rsidRPr="00336C85" w:rsidRDefault="00A467D6" w:rsidP="00F62C9B">
            <w:pPr>
              <w:rPr>
                <w:sz w:val="20"/>
              </w:rPr>
            </w:pPr>
          </w:p>
        </w:tc>
      </w:tr>
      <w:tr w:rsidR="00A467D6" w:rsidRPr="00336C85" w14:paraId="0C3F2CE0" w14:textId="77777777" w:rsidTr="00F62C9B">
        <w:trPr>
          <w:trHeight w:val="52"/>
        </w:trPr>
        <w:tc>
          <w:tcPr>
            <w:tcW w:w="2181" w:type="pct"/>
          </w:tcPr>
          <w:p w14:paraId="3927AB60" w14:textId="77777777" w:rsidR="00A467D6" w:rsidRPr="00336C85" w:rsidRDefault="00A467D6" w:rsidP="00F62C9B">
            <w:pPr>
              <w:rPr>
                <w:sz w:val="20"/>
              </w:rPr>
            </w:pPr>
            <w:r w:rsidRPr="00336C85">
              <w:rPr>
                <w:rFonts w:eastAsia="Calibri" w:cs="Arial"/>
                <w:sz w:val="20"/>
                <w:lang w:val="en-GB"/>
              </w:rPr>
              <w:t>Were experimental conditions identical across study groups?</w:t>
            </w:r>
          </w:p>
        </w:tc>
        <w:tc>
          <w:tcPr>
            <w:tcW w:w="731" w:type="pct"/>
            <w:shd w:val="clear" w:color="auto" w:fill="92D050"/>
          </w:tcPr>
          <w:p w14:paraId="41E65F9C" w14:textId="77777777" w:rsidR="00A467D6" w:rsidRPr="00336C85" w:rsidRDefault="00A467D6" w:rsidP="00F62C9B">
            <w:pPr>
              <w:rPr>
                <w:sz w:val="20"/>
              </w:rPr>
            </w:pPr>
            <w:r>
              <w:rPr>
                <w:sz w:val="20"/>
              </w:rPr>
              <w:t>+</w:t>
            </w:r>
          </w:p>
        </w:tc>
        <w:tc>
          <w:tcPr>
            <w:tcW w:w="2088" w:type="pct"/>
          </w:tcPr>
          <w:p w14:paraId="3DEEC66E" w14:textId="77777777" w:rsidR="00A467D6" w:rsidRPr="00336C85" w:rsidRDefault="00A467D6" w:rsidP="00F62C9B">
            <w:pPr>
              <w:rPr>
                <w:sz w:val="20"/>
              </w:rPr>
            </w:pPr>
            <w:r w:rsidRPr="000002F2">
              <w:rPr>
                <w:sz w:val="20"/>
              </w:rPr>
              <w:t>Housing, diet, and administration route standardised. Dosing schedules and necropsy time points intentionally differed across groups, limiting direct temporal comparisons.</w:t>
            </w:r>
          </w:p>
        </w:tc>
      </w:tr>
      <w:tr w:rsidR="00A467D6" w:rsidRPr="00336C85" w14:paraId="40239518" w14:textId="77777777" w:rsidTr="00F62C9B">
        <w:trPr>
          <w:trHeight w:val="52"/>
        </w:trPr>
        <w:tc>
          <w:tcPr>
            <w:tcW w:w="2181" w:type="pct"/>
          </w:tcPr>
          <w:p w14:paraId="6EA948B7" w14:textId="77777777" w:rsidR="00A467D6" w:rsidRPr="00336C85" w:rsidRDefault="00A467D6" w:rsidP="00F62C9B">
            <w:pPr>
              <w:rPr>
                <w:rFonts w:eastAsia="Calibri" w:cs="Arial"/>
                <w:sz w:val="20"/>
                <w:lang w:val="en-GB"/>
              </w:rPr>
            </w:pPr>
            <w:r w:rsidRPr="00336C85">
              <w:rPr>
                <w:rFonts w:eastAsia="Calibri" w:cs="Arial"/>
                <w:sz w:val="20"/>
                <w:lang w:val="en-GB"/>
              </w:rPr>
              <w:t>Were the research personnel and human subjects blinded to the study group during the study?</w:t>
            </w:r>
          </w:p>
        </w:tc>
        <w:tc>
          <w:tcPr>
            <w:tcW w:w="731" w:type="pct"/>
            <w:shd w:val="clear" w:color="auto" w:fill="FDCBD1"/>
          </w:tcPr>
          <w:p w14:paraId="6F578F49" w14:textId="77777777" w:rsidR="00A467D6" w:rsidRPr="00336C85" w:rsidRDefault="00A467D6" w:rsidP="00F62C9B">
            <w:pPr>
              <w:rPr>
                <w:sz w:val="20"/>
              </w:rPr>
            </w:pPr>
            <w:r>
              <w:rPr>
                <w:sz w:val="20"/>
              </w:rPr>
              <w:t>NR</w:t>
            </w:r>
          </w:p>
        </w:tc>
        <w:tc>
          <w:tcPr>
            <w:tcW w:w="2088" w:type="pct"/>
          </w:tcPr>
          <w:p w14:paraId="0D20D8A3" w14:textId="77777777" w:rsidR="00A467D6" w:rsidRPr="00336C85" w:rsidRDefault="00A467D6" w:rsidP="00F62C9B">
            <w:pPr>
              <w:rPr>
                <w:sz w:val="20"/>
              </w:rPr>
            </w:pPr>
            <w:r w:rsidRPr="000002F2">
              <w:rPr>
                <w:sz w:val="20"/>
              </w:rPr>
              <w:t>Not reported for in-life monitoring or histopathological evaluation.</w:t>
            </w:r>
          </w:p>
        </w:tc>
      </w:tr>
      <w:tr w:rsidR="00A467D6" w:rsidRPr="00336C85" w14:paraId="184ACC7E" w14:textId="77777777" w:rsidTr="00F62C9B">
        <w:tc>
          <w:tcPr>
            <w:tcW w:w="2181" w:type="pct"/>
          </w:tcPr>
          <w:p w14:paraId="301B962E" w14:textId="77777777" w:rsidR="00A467D6" w:rsidRPr="00336C85" w:rsidRDefault="00A467D6" w:rsidP="00F62C9B">
            <w:pPr>
              <w:rPr>
                <w:sz w:val="20"/>
              </w:rPr>
            </w:pPr>
            <w:r w:rsidRPr="00336C85">
              <w:rPr>
                <w:rFonts w:eastAsia="Calibri" w:cs="Arial"/>
                <w:b/>
                <w:bCs/>
                <w:sz w:val="20"/>
                <w:lang w:val="en-GB"/>
              </w:rPr>
              <w:t xml:space="preserve">Attrition / Exclusion </w:t>
            </w:r>
          </w:p>
        </w:tc>
        <w:tc>
          <w:tcPr>
            <w:tcW w:w="731" w:type="pct"/>
          </w:tcPr>
          <w:p w14:paraId="2D5D4219" w14:textId="77777777" w:rsidR="00A467D6" w:rsidRPr="00336C85" w:rsidRDefault="00A467D6" w:rsidP="00F62C9B">
            <w:pPr>
              <w:rPr>
                <w:sz w:val="20"/>
              </w:rPr>
            </w:pPr>
          </w:p>
        </w:tc>
        <w:tc>
          <w:tcPr>
            <w:tcW w:w="2088" w:type="pct"/>
          </w:tcPr>
          <w:p w14:paraId="6DBD7552" w14:textId="77777777" w:rsidR="00A467D6" w:rsidRPr="00336C85" w:rsidRDefault="00A467D6" w:rsidP="00F62C9B">
            <w:pPr>
              <w:rPr>
                <w:sz w:val="20"/>
              </w:rPr>
            </w:pPr>
          </w:p>
        </w:tc>
      </w:tr>
      <w:tr w:rsidR="00A467D6" w:rsidRPr="00336C85" w14:paraId="43AD5DA6" w14:textId="77777777" w:rsidTr="00F62C9B">
        <w:tc>
          <w:tcPr>
            <w:tcW w:w="2181" w:type="pct"/>
          </w:tcPr>
          <w:p w14:paraId="0893C170" w14:textId="77777777" w:rsidR="00A467D6" w:rsidRPr="00336C85" w:rsidRDefault="00A467D6" w:rsidP="00F62C9B">
            <w:pPr>
              <w:rPr>
                <w:rFonts w:eastAsia="Calibri" w:cs="Arial"/>
                <w:b/>
                <w:bCs/>
                <w:sz w:val="20"/>
                <w:lang w:val="en-GB"/>
              </w:rPr>
            </w:pPr>
            <w:r w:rsidRPr="00336C85">
              <w:rPr>
                <w:rFonts w:eastAsia="Calibri" w:cs="Arial"/>
                <w:sz w:val="20"/>
                <w:lang w:val="en-GB"/>
              </w:rPr>
              <w:t>Were outcome data incomplete because of attrition or exclusion from analysis?</w:t>
            </w:r>
          </w:p>
        </w:tc>
        <w:tc>
          <w:tcPr>
            <w:tcW w:w="731" w:type="pct"/>
            <w:shd w:val="clear" w:color="auto" w:fill="92D050"/>
          </w:tcPr>
          <w:p w14:paraId="277099FD" w14:textId="77777777" w:rsidR="00A467D6" w:rsidRPr="00336C85" w:rsidRDefault="00A467D6" w:rsidP="00F62C9B">
            <w:pPr>
              <w:rPr>
                <w:sz w:val="20"/>
              </w:rPr>
            </w:pPr>
            <w:r>
              <w:rPr>
                <w:sz w:val="20"/>
              </w:rPr>
              <w:t>+</w:t>
            </w:r>
          </w:p>
        </w:tc>
        <w:tc>
          <w:tcPr>
            <w:tcW w:w="2088" w:type="pct"/>
          </w:tcPr>
          <w:p w14:paraId="25D05082" w14:textId="77777777" w:rsidR="00A467D6" w:rsidRPr="00336C85" w:rsidRDefault="00A467D6" w:rsidP="00F62C9B">
            <w:pPr>
              <w:rPr>
                <w:sz w:val="20"/>
              </w:rPr>
            </w:pPr>
            <w:r w:rsidRPr="000002F2">
              <w:rPr>
                <w:sz w:val="20"/>
              </w:rPr>
              <w:t>No unplanned animal losses. Some morphometry data missing due to poor sample quality, transparently reported. No baseline CSF collected (justified to avoid lumbar puncture artefact).</w:t>
            </w:r>
          </w:p>
        </w:tc>
      </w:tr>
      <w:tr w:rsidR="00A467D6" w:rsidRPr="00336C85" w14:paraId="57001EC9" w14:textId="77777777" w:rsidTr="00F62C9B">
        <w:trPr>
          <w:trHeight w:val="81"/>
        </w:trPr>
        <w:tc>
          <w:tcPr>
            <w:tcW w:w="2181" w:type="pct"/>
          </w:tcPr>
          <w:p w14:paraId="6CEE7BA6" w14:textId="77777777" w:rsidR="00A467D6" w:rsidRPr="00336C85" w:rsidRDefault="00A467D6" w:rsidP="00F62C9B">
            <w:pPr>
              <w:rPr>
                <w:sz w:val="20"/>
              </w:rPr>
            </w:pPr>
            <w:r w:rsidRPr="00336C85">
              <w:rPr>
                <w:rFonts w:ascii="Aptos" w:eastAsia="Calibri" w:hAnsi="Aptos" w:cs="Arial"/>
                <w:b/>
                <w:bCs/>
                <w:kern w:val="2"/>
                <w:sz w:val="20"/>
                <w:lang w:eastAsia="en-US"/>
                <w14:ligatures w14:val="standardContextual"/>
              </w:rPr>
              <w:t>Detection bias – KEY DOMAIN</w:t>
            </w:r>
          </w:p>
        </w:tc>
        <w:tc>
          <w:tcPr>
            <w:tcW w:w="731" w:type="pct"/>
          </w:tcPr>
          <w:p w14:paraId="140A810D" w14:textId="77777777" w:rsidR="00A467D6" w:rsidRPr="00336C85" w:rsidRDefault="00A467D6" w:rsidP="00F62C9B">
            <w:pPr>
              <w:rPr>
                <w:sz w:val="20"/>
              </w:rPr>
            </w:pPr>
          </w:p>
        </w:tc>
        <w:tc>
          <w:tcPr>
            <w:tcW w:w="2088" w:type="pct"/>
          </w:tcPr>
          <w:p w14:paraId="72057901" w14:textId="77777777" w:rsidR="00A467D6" w:rsidRPr="00336C85" w:rsidRDefault="00A467D6" w:rsidP="00F62C9B">
            <w:pPr>
              <w:rPr>
                <w:sz w:val="20"/>
              </w:rPr>
            </w:pPr>
          </w:p>
        </w:tc>
      </w:tr>
      <w:tr w:rsidR="00A467D6" w:rsidRPr="00336C85" w14:paraId="28BEF45A" w14:textId="77777777" w:rsidTr="00F62C9B">
        <w:trPr>
          <w:trHeight w:val="80"/>
        </w:trPr>
        <w:tc>
          <w:tcPr>
            <w:tcW w:w="2181" w:type="pct"/>
          </w:tcPr>
          <w:p w14:paraId="3AA9F5F0" w14:textId="77777777" w:rsidR="00A467D6" w:rsidRPr="00336C85" w:rsidRDefault="00A467D6" w:rsidP="00F62C9B">
            <w:pPr>
              <w:rPr>
                <w:rFonts w:ascii="Aptos" w:eastAsia="Calibri" w:hAnsi="Aptos" w:cs="Arial"/>
                <w:b/>
                <w:bCs/>
                <w:kern w:val="2"/>
                <w:sz w:val="20"/>
                <w14:ligatures w14:val="standardContextual"/>
              </w:rPr>
            </w:pPr>
            <w:r w:rsidRPr="00336C85">
              <w:rPr>
                <w:rFonts w:eastAsia="Calibri" w:cs="Arial"/>
                <w:sz w:val="20"/>
                <w:lang w:val="en-GB"/>
              </w:rPr>
              <w:t>KEY - Can we be confident in the exposure characterisation?</w:t>
            </w:r>
          </w:p>
        </w:tc>
        <w:tc>
          <w:tcPr>
            <w:tcW w:w="731" w:type="pct"/>
            <w:shd w:val="clear" w:color="auto" w:fill="92D050"/>
          </w:tcPr>
          <w:p w14:paraId="254CC7C3" w14:textId="77777777" w:rsidR="00A467D6" w:rsidRPr="00336C85" w:rsidRDefault="00A467D6" w:rsidP="00F62C9B">
            <w:pPr>
              <w:rPr>
                <w:sz w:val="20"/>
              </w:rPr>
            </w:pPr>
            <w:r>
              <w:rPr>
                <w:sz w:val="20"/>
              </w:rPr>
              <w:t>+</w:t>
            </w:r>
          </w:p>
        </w:tc>
        <w:tc>
          <w:tcPr>
            <w:tcW w:w="2088" w:type="pct"/>
          </w:tcPr>
          <w:p w14:paraId="0D9859F0" w14:textId="77777777" w:rsidR="00A467D6" w:rsidRPr="00336C85" w:rsidRDefault="00A467D6" w:rsidP="00F62C9B">
            <w:pPr>
              <w:rPr>
                <w:sz w:val="20"/>
              </w:rPr>
            </w:pPr>
            <w:r w:rsidRPr="000002F2">
              <w:rPr>
                <w:sz w:val="20"/>
              </w:rPr>
              <w:t xml:space="preserve">Dosing well-defined; compound sources identified. No toxicokinetic data included for pyridoxine, so actual systemic </w:t>
            </w:r>
            <w:r w:rsidRPr="000002F2">
              <w:rPr>
                <w:sz w:val="20"/>
              </w:rPr>
              <w:lastRenderedPageBreak/>
              <w:t>exposure for the positive control is unconfirmed.</w:t>
            </w:r>
          </w:p>
        </w:tc>
      </w:tr>
      <w:tr w:rsidR="00A467D6" w:rsidRPr="00336C85" w14:paraId="0E8165C6" w14:textId="77777777" w:rsidTr="00F62C9B">
        <w:trPr>
          <w:trHeight w:val="80"/>
        </w:trPr>
        <w:tc>
          <w:tcPr>
            <w:tcW w:w="2181" w:type="pct"/>
          </w:tcPr>
          <w:p w14:paraId="40B0E1F5" w14:textId="77777777" w:rsidR="00A467D6" w:rsidRPr="00336C85" w:rsidRDefault="00A467D6" w:rsidP="00F62C9B">
            <w:pPr>
              <w:rPr>
                <w:rFonts w:eastAsia="Calibri" w:cs="Arial"/>
                <w:sz w:val="20"/>
                <w:lang w:val="en-GB"/>
              </w:rPr>
            </w:pPr>
            <w:r w:rsidRPr="00336C85">
              <w:rPr>
                <w:rFonts w:eastAsia="Calibri" w:cs="Arial"/>
                <w:sz w:val="20"/>
                <w:lang w:val="en-GB"/>
              </w:rPr>
              <w:lastRenderedPageBreak/>
              <w:t>KEY - Can we be confident in the outcome assessment?</w:t>
            </w:r>
          </w:p>
        </w:tc>
        <w:tc>
          <w:tcPr>
            <w:tcW w:w="731" w:type="pct"/>
            <w:shd w:val="clear" w:color="auto" w:fill="92D050"/>
          </w:tcPr>
          <w:p w14:paraId="5CD955DC" w14:textId="77777777" w:rsidR="00A467D6" w:rsidRPr="00336C85" w:rsidRDefault="00A467D6" w:rsidP="00F62C9B">
            <w:pPr>
              <w:rPr>
                <w:sz w:val="20"/>
              </w:rPr>
            </w:pPr>
            <w:r>
              <w:rPr>
                <w:sz w:val="20"/>
              </w:rPr>
              <w:t>+</w:t>
            </w:r>
          </w:p>
        </w:tc>
        <w:tc>
          <w:tcPr>
            <w:tcW w:w="2088" w:type="pct"/>
          </w:tcPr>
          <w:p w14:paraId="18BFBB4E" w14:textId="77777777" w:rsidR="00A467D6" w:rsidRPr="00336C85" w:rsidRDefault="00A467D6" w:rsidP="00F62C9B">
            <w:pPr>
              <w:rPr>
                <w:sz w:val="20"/>
              </w:rPr>
            </w:pPr>
            <w:r w:rsidRPr="000002F2">
              <w:rPr>
                <w:sz w:val="20"/>
              </w:rPr>
              <w:t>Outcome assessment used multiple validated and complementary endpoints with pre-defined NfL thresholds. However, limited statistical testing and lack of reported histopathology blinding reduce confidence in the findings.</w:t>
            </w:r>
          </w:p>
        </w:tc>
      </w:tr>
      <w:tr w:rsidR="00A467D6" w:rsidRPr="00336C85" w14:paraId="4F2F72DE" w14:textId="77777777" w:rsidTr="00F62C9B">
        <w:trPr>
          <w:trHeight w:val="236"/>
        </w:trPr>
        <w:tc>
          <w:tcPr>
            <w:tcW w:w="2181" w:type="pct"/>
          </w:tcPr>
          <w:p w14:paraId="152A0685" w14:textId="77777777" w:rsidR="00A467D6" w:rsidRPr="00336C85" w:rsidRDefault="00A467D6" w:rsidP="00F62C9B">
            <w:pPr>
              <w:rPr>
                <w:sz w:val="20"/>
              </w:rPr>
            </w:pPr>
            <w:r w:rsidRPr="00336C85">
              <w:rPr>
                <w:rFonts w:eastAsia="Calibri" w:cs="Arial"/>
                <w:b/>
                <w:bCs/>
                <w:sz w:val="20"/>
                <w:lang w:val="en-GB"/>
              </w:rPr>
              <w:t>Selective Reporting</w:t>
            </w:r>
          </w:p>
        </w:tc>
        <w:tc>
          <w:tcPr>
            <w:tcW w:w="731" w:type="pct"/>
          </w:tcPr>
          <w:p w14:paraId="0848C887" w14:textId="77777777" w:rsidR="00A467D6" w:rsidRPr="00336C85" w:rsidRDefault="00A467D6" w:rsidP="00F62C9B">
            <w:pPr>
              <w:rPr>
                <w:sz w:val="20"/>
              </w:rPr>
            </w:pPr>
          </w:p>
        </w:tc>
        <w:tc>
          <w:tcPr>
            <w:tcW w:w="2088" w:type="pct"/>
          </w:tcPr>
          <w:p w14:paraId="6B419CF6" w14:textId="77777777" w:rsidR="00A467D6" w:rsidRPr="00336C85" w:rsidRDefault="00A467D6" w:rsidP="00F62C9B">
            <w:pPr>
              <w:rPr>
                <w:sz w:val="20"/>
              </w:rPr>
            </w:pPr>
          </w:p>
        </w:tc>
      </w:tr>
      <w:tr w:rsidR="00A467D6" w:rsidRPr="00336C85" w14:paraId="395E7417" w14:textId="77777777" w:rsidTr="00F62C9B">
        <w:trPr>
          <w:trHeight w:val="235"/>
        </w:trPr>
        <w:tc>
          <w:tcPr>
            <w:tcW w:w="2181" w:type="pct"/>
          </w:tcPr>
          <w:p w14:paraId="6A567EE5" w14:textId="77777777" w:rsidR="00A467D6" w:rsidRPr="00336C85" w:rsidRDefault="00A467D6" w:rsidP="00F62C9B">
            <w:pPr>
              <w:rPr>
                <w:rFonts w:eastAsia="Calibri" w:cs="Arial"/>
                <w:b/>
                <w:bCs/>
                <w:sz w:val="20"/>
                <w:lang w:val="en-GB"/>
              </w:rPr>
            </w:pPr>
            <w:r w:rsidRPr="00336C85">
              <w:rPr>
                <w:rFonts w:eastAsia="Calibri" w:cs="Arial"/>
                <w:sz w:val="20"/>
                <w:lang w:val="en-GB"/>
              </w:rPr>
              <w:t>Were all measured outcomes reported?</w:t>
            </w:r>
          </w:p>
        </w:tc>
        <w:tc>
          <w:tcPr>
            <w:tcW w:w="731" w:type="pct"/>
            <w:shd w:val="clear" w:color="auto" w:fill="92D050"/>
          </w:tcPr>
          <w:p w14:paraId="134F05A4" w14:textId="77777777" w:rsidR="00A467D6" w:rsidRPr="00336C85" w:rsidRDefault="00A467D6" w:rsidP="00F62C9B">
            <w:pPr>
              <w:rPr>
                <w:sz w:val="20"/>
              </w:rPr>
            </w:pPr>
            <w:r>
              <w:rPr>
                <w:sz w:val="20"/>
              </w:rPr>
              <w:t>+</w:t>
            </w:r>
          </w:p>
        </w:tc>
        <w:tc>
          <w:tcPr>
            <w:tcW w:w="2088" w:type="pct"/>
          </w:tcPr>
          <w:p w14:paraId="59980E03" w14:textId="77777777" w:rsidR="00A467D6" w:rsidRPr="00336C85" w:rsidRDefault="00A467D6" w:rsidP="00F62C9B">
            <w:pPr>
              <w:rPr>
                <w:sz w:val="20"/>
              </w:rPr>
            </w:pPr>
            <w:r w:rsidRPr="000002F2">
              <w:rPr>
                <w:sz w:val="20"/>
              </w:rPr>
              <w:t>All stated outcomes reported including incidental vehicle-group findings. Supplementary data provided for individual animal NfL values. No protocol registration.</w:t>
            </w:r>
          </w:p>
        </w:tc>
      </w:tr>
      <w:tr w:rsidR="00A467D6" w:rsidRPr="00336C85" w14:paraId="02D73C3F" w14:textId="77777777" w:rsidTr="00F62C9B">
        <w:tc>
          <w:tcPr>
            <w:tcW w:w="2181" w:type="pct"/>
          </w:tcPr>
          <w:p w14:paraId="77985884" w14:textId="77777777" w:rsidR="00A467D6" w:rsidRPr="00336C85" w:rsidRDefault="00A467D6" w:rsidP="00F62C9B">
            <w:pPr>
              <w:rPr>
                <w:b/>
                <w:bCs/>
                <w:sz w:val="20"/>
              </w:rPr>
            </w:pPr>
            <w:r w:rsidRPr="00336C85">
              <w:rPr>
                <w:rFonts w:eastAsia="Calibri" w:cs="Arial"/>
                <w:b/>
                <w:bCs/>
                <w:sz w:val="20"/>
                <w:lang w:val="en-GB"/>
              </w:rPr>
              <w:t>Other Sources of bias</w:t>
            </w:r>
          </w:p>
        </w:tc>
        <w:tc>
          <w:tcPr>
            <w:tcW w:w="731" w:type="pct"/>
          </w:tcPr>
          <w:p w14:paraId="2A88A8B4" w14:textId="77777777" w:rsidR="00A467D6" w:rsidRPr="00336C85" w:rsidRDefault="00A467D6" w:rsidP="00F62C9B">
            <w:pPr>
              <w:rPr>
                <w:sz w:val="20"/>
              </w:rPr>
            </w:pPr>
          </w:p>
        </w:tc>
        <w:tc>
          <w:tcPr>
            <w:tcW w:w="2088" w:type="pct"/>
          </w:tcPr>
          <w:p w14:paraId="57BCD8D5" w14:textId="77777777" w:rsidR="00A467D6" w:rsidRPr="00336C85" w:rsidRDefault="00A467D6" w:rsidP="00F62C9B">
            <w:pPr>
              <w:rPr>
                <w:sz w:val="20"/>
              </w:rPr>
            </w:pPr>
          </w:p>
        </w:tc>
      </w:tr>
      <w:tr w:rsidR="00A467D6" w:rsidRPr="00336C85" w14:paraId="3BF659EB" w14:textId="77777777" w:rsidTr="00F62C9B">
        <w:tc>
          <w:tcPr>
            <w:tcW w:w="2181" w:type="pct"/>
          </w:tcPr>
          <w:p w14:paraId="162F00B3" w14:textId="77777777" w:rsidR="00A467D6" w:rsidRPr="00336C85" w:rsidRDefault="00A467D6" w:rsidP="00F62C9B">
            <w:pPr>
              <w:rPr>
                <w:rFonts w:eastAsia="Calibri" w:cs="Arial"/>
                <w:b/>
                <w:bCs/>
                <w:sz w:val="20"/>
                <w:lang w:val="en-GB"/>
              </w:rPr>
            </w:pPr>
            <w:r w:rsidRPr="00336C85">
              <w:rPr>
                <w:rFonts w:eastAsia="Calibri" w:cs="Arial"/>
                <w:sz w:val="20"/>
                <w:lang w:val="en-GB"/>
              </w:rPr>
              <w:t>Were there any other potential threats to internal validity (e.g., inappropriate statistical methods)?</w:t>
            </w:r>
          </w:p>
        </w:tc>
        <w:tc>
          <w:tcPr>
            <w:tcW w:w="731" w:type="pct"/>
            <w:shd w:val="clear" w:color="auto" w:fill="FDCBD1"/>
          </w:tcPr>
          <w:p w14:paraId="243A9545" w14:textId="77777777" w:rsidR="00A467D6" w:rsidRPr="00336C85" w:rsidRDefault="00A467D6" w:rsidP="00F62C9B">
            <w:pPr>
              <w:rPr>
                <w:sz w:val="20"/>
              </w:rPr>
            </w:pPr>
            <w:r>
              <w:rPr>
                <w:sz w:val="20"/>
              </w:rPr>
              <w:t>-</w:t>
            </w:r>
          </w:p>
        </w:tc>
        <w:tc>
          <w:tcPr>
            <w:tcW w:w="2088" w:type="pct"/>
          </w:tcPr>
          <w:p w14:paraId="767D320F" w14:textId="77777777" w:rsidR="00A467D6" w:rsidRPr="00336C85" w:rsidRDefault="00A467D6" w:rsidP="00F62C9B">
            <w:pPr>
              <w:rPr>
                <w:sz w:val="20"/>
              </w:rPr>
            </w:pPr>
            <w:r w:rsidRPr="000002F2">
              <w:rPr>
                <w:sz w:val="20"/>
              </w:rPr>
              <w:t>Use of juvenile male animals limits generalisability to adult or clinical populations. The strong Novartis funding/employment links and patent interest represent a substantial potential conflict of interest, although not necessarily evidence of bias.</w:t>
            </w:r>
          </w:p>
        </w:tc>
      </w:tr>
      <w:tr w:rsidR="00A467D6" w:rsidRPr="00336C85" w14:paraId="7CBE65D3" w14:textId="77777777" w:rsidTr="00F62C9B">
        <w:tc>
          <w:tcPr>
            <w:tcW w:w="2181" w:type="pct"/>
          </w:tcPr>
          <w:p w14:paraId="74E45892" w14:textId="77777777" w:rsidR="00A467D6" w:rsidRPr="00336C85" w:rsidRDefault="00A467D6" w:rsidP="00F62C9B">
            <w:pPr>
              <w:rPr>
                <w:sz w:val="20"/>
              </w:rPr>
            </w:pPr>
            <w:r w:rsidRPr="00336C85">
              <w:rPr>
                <w:rFonts w:eastAsia="Calibri" w:cs="Arial"/>
                <w:b/>
                <w:bCs/>
                <w:sz w:val="20"/>
                <w:lang w:val="en-GB"/>
              </w:rPr>
              <w:t>Overall risk of bias for the study (Low/Moderate/High)</w:t>
            </w:r>
          </w:p>
        </w:tc>
        <w:tc>
          <w:tcPr>
            <w:tcW w:w="731" w:type="pct"/>
          </w:tcPr>
          <w:p w14:paraId="7726CED3" w14:textId="77777777" w:rsidR="00A467D6" w:rsidRPr="00336C85" w:rsidRDefault="00A467D6" w:rsidP="00F62C9B">
            <w:pPr>
              <w:rPr>
                <w:b/>
                <w:bCs/>
                <w:sz w:val="20"/>
              </w:rPr>
            </w:pPr>
            <w:r>
              <w:rPr>
                <w:b/>
                <w:bCs/>
                <w:sz w:val="20"/>
              </w:rPr>
              <w:t>Moderate</w:t>
            </w:r>
          </w:p>
        </w:tc>
        <w:tc>
          <w:tcPr>
            <w:tcW w:w="2088" w:type="pct"/>
          </w:tcPr>
          <w:p w14:paraId="26D9632C" w14:textId="77777777" w:rsidR="00A467D6" w:rsidRPr="00336C85" w:rsidRDefault="00A467D6" w:rsidP="00F62C9B">
            <w:pPr>
              <w:rPr>
                <w:b/>
                <w:bCs/>
                <w:sz w:val="20"/>
              </w:rPr>
            </w:pPr>
          </w:p>
        </w:tc>
      </w:tr>
    </w:tbl>
    <w:p w14:paraId="2F553D80" w14:textId="77777777" w:rsidR="00A467D6" w:rsidRDefault="00A467D6" w:rsidP="00A467D6">
      <w:pPr>
        <w:pStyle w:val="BodyText"/>
      </w:pPr>
    </w:p>
    <w:p w14:paraId="74251610" w14:textId="77777777" w:rsidR="00A467D6" w:rsidRDefault="00A467D6" w:rsidP="00A467D6">
      <w:pPr>
        <w:pStyle w:val="Heading9"/>
      </w:pPr>
      <w:bookmarkStart w:id="96" w:name="_Toc233022910"/>
      <w:r w:rsidRPr="00152099">
        <w:t xml:space="preserve">vanHunsel </w:t>
      </w:r>
      <w:r>
        <w:t xml:space="preserve">et al. </w:t>
      </w:r>
      <w:r w:rsidRPr="00152099">
        <w:t>2025</w:t>
      </w:r>
      <w:bookmarkEnd w:id="96"/>
    </w:p>
    <w:p w14:paraId="4DCC575A" w14:textId="77777777" w:rsidR="00A467D6" w:rsidRPr="00306EFF" w:rsidRDefault="00A467D6" w:rsidP="00A467D6">
      <w:pPr>
        <w:rPr>
          <w:rFonts w:eastAsia="Calibri" w:cs="Arial"/>
          <w:szCs w:val="22"/>
        </w:rPr>
      </w:pPr>
      <w:r w:rsidRPr="00E45AB2">
        <w:rPr>
          <w:rFonts w:eastAsia="Calibri" w:cs="Arial"/>
          <w:szCs w:val="22"/>
        </w:rPr>
        <w:t xml:space="preserve">Rating key: </w:t>
      </w:r>
      <w:r w:rsidRPr="00E45AB2">
        <w:rPr>
          <w:rFonts w:eastAsia="Calibri" w:cs="Arial"/>
          <w:szCs w:val="22"/>
          <w:shd w:val="clear" w:color="auto" w:fill="00B050"/>
        </w:rPr>
        <w:t>++</w:t>
      </w:r>
      <w:r w:rsidRPr="00E45AB2">
        <w:rPr>
          <w:rFonts w:eastAsia="Calibri" w:cs="Arial"/>
          <w:szCs w:val="22"/>
        </w:rPr>
        <w:t xml:space="preserve"> = definitely low RoB; </w:t>
      </w:r>
      <w:r w:rsidRPr="00E45AB2">
        <w:rPr>
          <w:rFonts w:eastAsia="Calibri" w:cs="Arial"/>
          <w:szCs w:val="22"/>
          <w:shd w:val="clear" w:color="auto" w:fill="92D050"/>
        </w:rPr>
        <w:t>+</w:t>
      </w:r>
      <w:r w:rsidRPr="00E45AB2">
        <w:rPr>
          <w:rFonts w:eastAsia="Calibri" w:cs="Arial"/>
          <w:szCs w:val="22"/>
        </w:rPr>
        <w:t xml:space="preserve"> = probably low RoB; </w:t>
      </w:r>
      <w:r w:rsidRPr="00E45AB2">
        <w:rPr>
          <w:rFonts w:eastAsia="Calibri" w:cs="Arial"/>
          <w:szCs w:val="22"/>
          <w:shd w:val="clear" w:color="auto" w:fill="FFC1C1"/>
        </w:rPr>
        <w:t>NR</w:t>
      </w:r>
      <w:r w:rsidRPr="00E45AB2">
        <w:rPr>
          <w:rFonts w:eastAsia="Calibri" w:cs="Arial"/>
          <w:szCs w:val="22"/>
        </w:rPr>
        <w:t xml:space="preserve"> = not reported; </w:t>
      </w:r>
      <w:r w:rsidRPr="00E45AB2">
        <w:rPr>
          <w:rFonts w:eastAsia="Calibri" w:cs="Arial"/>
          <w:szCs w:val="22"/>
          <w:shd w:val="clear" w:color="auto" w:fill="FFC1C1"/>
        </w:rPr>
        <w:t>−</w:t>
      </w:r>
      <w:r w:rsidRPr="00E45AB2">
        <w:rPr>
          <w:rFonts w:eastAsia="Calibri" w:cs="Arial"/>
          <w:szCs w:val="22"/>
        </w:rPr>
        <w:t xml:space="preserve"> = probably high RoB; </w:t>
      </w:r>
      <w:r w:rsidRPr="00E45AB2">
        <w:rPr>
          <w:rFonts w:eastAsia="Calibri" w:cs="Arial"/>
          <w:szCs w:val="22"/>
          <w:shd w:val="clear" w:color="auto" w:fill="FF2F2F"/>
        </w:rPr>
        <w:t>−−</w:t>
      </w:r>
      <w:r w:rsidRPr="00E45AB2">
        <w:rPr>
          <w:rFonts w:eastAsia="Calibri" w:cs="Arial"/>
          <w:szCs w:val="22"/>
        </w:rPr>
        <w:t xml:space="preserve"> = definitely high RoB; </w:t>
      </w:r>
      <w:r w:rsidRPr="00E45AB2">
        <w:rPr>
          <w:rFonts w:eastAsia="Calibri" w:cs="Arial"/>
          <w:szCs w:val="22"/>
          <w:highlight w:val="lightGray"/>
        </w:rPr>
        <w:t>NA</w:t>
      </w:r>
      <w:r w:rsidRPr="00E45AB2">
        <w:rPr>
          <w:rFonts w:eastAsia="Calibri" w:cs="Arial"/>
          <w:szCs w:val="22"/>
        </w:rPr>
        <w:t xml:space="preserve"> = not applicable to this study design </w:t>
      </w:r>
    </w:p>
    <w:tbl>
      <w:tblPr>
        <w:tblStyle w:val="SLROption1"/>
        <w:tblW w:w="5000" w:type="pct"/>
        <w:tblLook w:val="01E0" w:firstRow="1" w:lastRow="1" w:firstColumn="1" w:lastColumn="1" w:noHBand="0" w:noVBand="0"/>
      </w:tblPr>
      <w:tblGrid>
        <w:gridCol w:w="3934"/>
        <w:gridCol w:w="1319"/>
        <w:gridCol w:w="3766"/>
      </w:tblGrid>
      <w:tr w:rsidR="00A467D6" w:rsidRPr="00336C85" w14:paraId="695A0502" w14:textId="77777777" w:rsidTr="00F62C9B">
        <w:trPr>
          <w:cnfStyle w:val="100000000000" w:firstRow="1" w:lastRow="0" w:firstColumn="0" w:lastColumn="0" w:oddVBand="0" w:evenVBand="0" w:oddHBand="0" w:evenHBand="0" w:firstRowFirstColumn="0" w:firstRowLastColumn="0" w:lastRowFirstColumn="0" w:lastRowLastColumn="0"/>
        </w:trPr>
        <w:tc>
          <w:tcPr>
            <w:tcW w:w="2181" w:type="pct"/>
            <w:tcBorders>
              <w:bottom w:val="single" w:sz="4" w:space="0" w:color="FFFFFF" w:themeColor="background1"/>
              <w:right w:val="single" w:sz="4" w:space="0" w:color="FFFFFF" w:themeColor="background1"/>
            </w:tcBorders>
            <w:shd w:val="clear" w:color="auto" w:fill="3C533C" w:themeFill="text2"/>
          </w:tcPr>
          <w:p w14:paraId="333FF522" w14:textId="77777777" w:rsidR="00A467D6" w:rsidRPr="00336C85" w:rsidRDefault="00A467D6" w:rsidP="00F62C9B">
            <w:pPr>
              <w:keepNext/>
              <w:jc w:val="left"/>
              <w:rPr>
                <w:rFonts w:eastAsia="Calibri"/>
                <w:b/>
                <w:color w:val="FFFFFF" w:themeColor="background1"/>
                <w:sz w:val="20"/>
              </w:rPr>
            </w:pPr>
            <w:r w:rsidRPr="00336C85">
              <w:rPr>
                <w:rFonts w:eastAsia="Calibri"/>
                <w:b/>
                <w:color w:val="FFFFFF" w:themeColor="background1"/>
                <w:sz w:val="20"/>
              </w:rPr>
              <w:t>Study Type:</w:t>
            </w:r>
          </w:p>
        </w:tc>
        <w:tc>
          <w:tcPr>
            <w:tcW w:w="731" w:type="pct"/>
            <w:tcBorders>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37ABE03C" w14:textId="77777777" w:rsidR="00A467D6" w:rsidRPr="00336C85" w:rsidRDefault="00A467D6" w:rsidP="00F62C9B">
            <w:pPr>
              <w:keepNext/>
              <w:jc w:val="left"/>
              <w:rPr>
                <w:rFonts w:eastAsia="Calibri"/>
                <w:bCs/>
                <w:color w:val="FFFFFF" w:themeColor="background1"/>
                <w:sz w:val="20"/>
              </w:rPr>
            </w:pPr>
          </w:p>
        </w:tc>
        <w:tc>
          <w:tcPr>
            <w:tcW w:w="2088" w:type="pct"/>
            <w:tcBorders>
              <w:left w:val="single" w:sz="4" w:space="0" w:color="FFFFFF" w:themeColor="background1"/>
              <w:bottom w:val="single" w:sz="4" w:space="0" w:color="FFFFFF" w:themeColor="background1"/>
            </w:tcBorders>
            <w:shd w:val="clear" w:color="auto" w:fill="3C533C" w:themeFill="text2"/>
          </w:tcPr>
          <w:p w14:paraId="57C63131" w14:textId="77777777" w:rsidR="00A467D6" w:rsidRPr="00336C85" w:rsidRDefault="00A467D6" w:rsidP="00F62C9B">
            <w:pPr>
              <w:keepNext/>
              <w:jc w:val="left"/>
              <w:rPr>
                <w:rFonts w:eastAsia="Calibri"/>
                <w:bCs/>
                <w:color w:val="FFFFFF" w:themeColor="background1"/>
                <w:sz w:val="20"/>
              </w:rPr>
            </w:pPr>
            <w:r w:rsidRPr="00BD55EF">
              <w:rPr>
                <w:rFonts w:eastAsia="Calibri"/>
                <w:bCs/>
                <w:color w:val="FFFFFF" w:themeColor="background1"/>
                <w:sz w:val="20"/>
              </w:rPr>
              <w:t>Pharmacovigilance study (retrospective analysis of a spontaneous reporting system)</w:t>
            </w:r>
          </w:p>
        </w:tc>
      </w:tr>
      <w:tr w:rsidR="00A467D6" w:rsidRPr="00336C85" w14:paraId="1228B0F5" w14:textId="77777777" w:rsidTr="00F62C9B">
        <w:tc>
          <w:tcPr>
            <w:tcW w:w="2181" w:type="pct"/>
            <w:tcBorders>
              <w:top w:val="single" w:sz="4" w:space="0" w:color="FFFFFF" w:themeColor="background1"/>
              <w:bottom w:val="single" w:sz="4" w:space="0" w:color="FFFFFF" w:themeColor="background1"/>
              <w:right w:val="single" w:sz="4" w:space="0" w:color="FFFFFF" w:themeColor="background1"/>
            </w:tcBorders>
            <w:shd w:val="clear" w:color="auto" w:fill="3C533C" w:themeFill="text2"/>
          </w:tcPr>
          <w:p w14:paraId="3D7F0042" w14:textId="77777777" w:rsidR="00A467D6" w:rsidRPr="00336C85" w:rsidRDefault="00A467D6" w:rsidP="00F62C9B">
            <w:pPr>
              <w:keepNext/>
              <w:rPr>
                <w:rFonts w:eastAsia="Calibri"/>
                <w:b/>
                <w:color w:val="FFFFFF" w:themeColor="background1"/>
                <w:sz w:val="20"/>
              </w:rPr>
            </w:pPr>
            <w:r w:rsidRPr="00336C85">
              <w:rPr>
                <w:rFonts w:eastAsia="Calibri"/>
                <w:b/>
                <w:color w:val="FFFFFF" w:themeColor="background1"/>
                <w:sz w:val="20"/>
              </w:rPr>
              <w:t>Study ID:</w:t>
            </w:r>
          </w:p>
        </w:tc>
        <w:tc>
          <w:tcPr>
            <w:tcW w:w="7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4C39B858" w14:textId="77777777" w:rsidR="00A467D6" w:rsidRPr="00336C85" w:rsidRDefault="00A467D6" w:rsidP="00F62C9B">
            <w:pPr>
              <w:keepNext/>
              <w:rPr>
                <w:rFonts w:eastAsia="Calibri"/>
                <w:bCs/>
                <w:color w:val="FFFFFF" w:themeColor="background1"/>
                <w:sz w:val="20"/>
              </w:rPr>
            </w:pPr>
          </w:p>
        </w:tc>
        <w:tc>
          <w:tcPr>
            <w:tcW w:w="2088" w:type="pct"/>
            <w:tcBorders>
              <w:top w:val="single" w:sz="4" w:space="0" w:color="FFFFFF" w:themeColor="background1"/>
              <w:left w:val="single" w:sz="4" w:space="0" w:color="FFFFFF" w:themeColor="background1"/>
              <w:bottom w:val="single" w:sz="4" w:space="0" w:color="FFFFFF" w:themeColor="background1"/>
            </w:tcBorders>
            <w:shd w:val="clear" w:color="auto" w:fill="3C533C" w:themeFill="text2"/>
          </w:tcPr>
          <w:p w14:paraId="5D61F609" w14:textId="77777777" w:rsidR="00A467D6" w:rsidRPr="00336C85" w:rsidRDefault="00A467D6" w:rsidP="00F62C9B">
            <w:pPr>
              <w:keepNext/>
              <w:rPr>
                <w:rFonts w:eastAsia="Calibri"/>
                <w:bCs/>
                <w:color w:val="FFFFFF" w:themeColor="background1"/>
                <w:sz w:val="20"/>
              </w:rPr>
            </w:pPr>
            <w:r w:rsidRPr="00BD55EF">
              <w:rPr>
                <w:rFonts w:eastAsia="Calibri"/>
                <w:bCs/>
                <w:color w:val="FFFFFF" w:themeColor="background1"/>
                <w:sz w:val="20"/>
              </w:rPr>
              <w:t>van Hunsel et al. 2025</w:t>
            </w:r>
          </w:p>
        </w:tc>
      </w:tr>
      <w:tr w:rsidR="00A467D6" w:rsidRPr="00336C85" w14:paraId="185A9675" w14:textId="77777777" w:rsidTr="00F62C9B">
        <w:tc>
          <w:tcPr>
            <w:tcW w:w="2181" w:type="pct"/>
            <w:tcBorders>
              <w:top w:val="single" w:sz="4" w:space="0" w:color="FFFFFF" w:themeColor="background1"/>
              <w:bottom w:val="single" w:sz="4" w:space="0" w:color="FFFFFF" w:themeColor="background1"/>
              <w:right w:val="single" w:sz="4" w:space="0" w:color="FFFFFF" w:themeColor="background1"/>
            </w:tcBorders>
            <w:shd w:val="clear" w:color="auto" w:fill="3C533C" w:themeFill="text2"/>
          </w:tcPr>
          <w:p w14:paraId="3E1959E1" w14:textId="77777777" w:rsidR="00A467D6" w:rsidRPr="00336C85" w:rsidRDefault="00A467D6" w:rsidP="00F62C9B">
            <w:pPr>
              <w:keepNext/>
              <w:rPr>
                <w:rFonts w:eastAsia="Calibri"/>
                <w:b/>
                <w:color w:val="FFFFFF" w:themeColor="background1"/>
                <w:sz w:val="20"/>
              </w:rPr>
            </w:pPr>
            <w:r w:rsidRPr="00336C85">
              <w:rPr>
                <w:rFonts w:eastAsia="Calibri"/>
                <w:b/>
                <w:color w:val="FFFFFF" w:themeColor="background1"/>
                <w:sz w:val="20"/>
              </w:rPr>
              <w:t>Health Outcome:</w:t>
            </w:r>
          </w:p>
        </w:tc>
        <w:tc>
          <w:tcPr>
            <w:tcW w:w="7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6D99F363" w14:textId="77777777" w:rsidR="00A467D6" w:rsidRPr="00336C85" w:rsidRDefault="00A467D6" w:rsidP="00F62C9B">
            <w:pPr>
              <w:keepNext/>
              <w:rPr>
                <w:rFonts w:eastAsia="Calibri"/>
                <w:bCs/>
                <w:color w:val="FFFFFF" w:themeColor="background1"/>
                <w:sz w:val="20"/>
              </w:rPr>
            </w:pPr>
          </w:p>
        </w:tc>
        <w:tc>
          <w:tcPr>
            <w:tcW w:w="2088" w:type="pct"/>
            <w:tcBorders>
              <w:top w:val="single" w:sz="4" w:space="0" w:color="FFFFFF" w:themeColor="background1"/>
              <w:left w:val="single" w:sz="4" w:space="0" w:color="FFFFFF" w:themeColor="background1"/>
              <w:bottom w:val="single" w:sz="4" w:space="0" w:color="FFFFFF" w:themeColor="background1"/>
            </w:tcBorders>
            <w:shd w:val="clear" w:color="auto" w:fill="3C533C" w:themeFill="text2"/>
          </w:tcPr>
          <w:p w14:paraId="461B1753" w14:textId="77777777" w:rsidR="00A467D6" w:rsidRPr="00336C85" w:rsidRDefault="00A467D6" w:rsidP="00F62C9B">
            <w:pPr>
              <w:keepNext/>
              <w:rPr>
                <w:rFonts w:eastAsia="Calibri"/>
                <w:bCs/>
                <w:color w:val="FFFFFF" w:themeColor="background1"/>
                <w:sz w:val="20"/>
              </w:rPr>
            </w:pPr>
            <w:r w:rsidRPr="00BD55EF">
              <w:rPr>
                <w:rFonts w:eastAsia="Calibri"/>
                <w:bCs/>
                <w:color w:val="FFFFFF" w:themeColor="background1"/>
                <w:sz w:val="20"/>
              </w:rPr>
              <w:t>Neuropathy reporting patterns</w:t>
            </w:r>
          </w:p>
        </w:tc>
      </w:tr>
      <w:tr w:rsidR="00A467D6" w:rsidRPr="00336C85" w14:paraId="6393FE7A" w14:textId="77777777" w:rsidTr="00F62C9B">
        <w:tc>
          <w:tcPr>
            <w:tcW w:w="2181" w:type="pct"/>
            <w:tcBorders>
              <w:top w:val="single" w:sz="4" w:space="0" w:color="FFFFFF" w:themeColor="background1"/>
              <w:right w:val="single" w:sz="4" w:space="0" w:color="FFFFFF" w:themeColor="background1"/>
            </w:tcBorders>
            <w:shd w:val="clear" w:color="auto" w:fill="3C533C" w:themeFill="text2"/>
          </w:tcPr>
          <w:p w14:paraId="664ACF08" w14:textId="77777777" w:rsidR="00A467D6" w:rsidRPr="00336C85" w:rsidRDefault="00A467D6" w:rsidP="00F62C9B">
            <w:pPr>
              <w:keepNext/>
              <w:rPr>
                <w:rFonts w:eastAsia="Calibri"/>
                <w:b/>
                <w:color w:val="FFFFFF" w:themeColor="background1"/>
                <w:sz w:val="20"/>
              </w:rPr>
            </w:pPr>
            <w:r w:rsidRPr="00336C85">
              <w:rPr>
                <w:rFonts w:eastAsia="Calibri"/>
                <w:b/>
                <w:color w:val="FFFFFF" w:themeColor="background1"/>
                <w:sz w:val="20"/>
              </w:rPr>
              <w:t>Bias Domain</w:t>
            </w:r>
          </w:p>
        </w:tc>
        <w:tc>
          <w:tcPr>
            <w:tcW w:w="731" w:type="pct"/>
            <w:tcBorders>
              <w:top w:val="single" w:sz="4" w:space="0" w:color="FFFFFF" w:themeColor="background1"/>
              <w:left w:val="single" w:sz="4" w:space="0" w:color="FFFFFF" w:themeColor="background1"/>
              <w:right w:val="single" w:sz="4" w:space="0" w:color="FFFFFF" w:themeColor="background1"/>
            </w:tcBorders>
            <w:shd w:val="clear" w:color="auto" w:fill="3C533C" w:themeFill="text2"/>
          </w:tcPr>
          <w:p w14:paraId="5EF55F83" w14:textId="77777777" w:rsidR="00A467D6" w:rsidRPr="00336C85" w:rsidRDefault="00A467D6" w:rsidP="00F62C9B">
            <w:pPr>
              <w:keepNext/>
              <w:rPr>
                <w:rFonts w:eastAsia="Calibri"/>
                <w:b/>
                <w:color w:val="FFFFFF" w:themeColor="background1"/>
                <w:sz w:val="20"/>
              </w:rPr>
            </w:pPr>
            <w:r>
              <w:rPr>
                <w:rFonts w:eastAsia="Calibri"/>
                <w:b/>
                <w:color w:val="FFFFFF" w:themeColor="background1"/>
                <w:sz w:val="20"/>
              </w:rPr>
              <w:t>Rate</w:t>
            </w:r>
          </w:p>
        </w:tc>
        <w:tc>
          <w:tcPr>
            <w:tcW w:w="2088" w:type="pct"/>
            <w:tcBorders>
              <w:top w:val="single" w:sz="4" w:space="0" w:color="FFFFFF" w:themeColor="background1"/>
              <w:left w:val="single" w:sz="4" w:space="0" w:color="FFFFFF" w:themeColor="background1"/>
            </w:tcBorders>
            <w:shd w:val="clear" w:color="auto" w:fill="3C533C" w:themeFill="text2"/>
          </w:tcPr>
          <w:p w14:paraId="065E1D3A" w14:textId="77777777" w:rsidR="00A467D6" w:rsidRPr="00336C85" w:rsidRDefault="00A467D6" w:rsidP="00F62C9B">
            <w:pPr>
              <w:keepNext/>
              <w:rPr>
                <w:rFonts w:eastAsia="Calibri"/>
                <w:b/>
                <w:color w:val="FFFFFF" w:themeColor="background1"/>
                <w:sz w:val="20"/>
              </w:rPr>
            </w:pPr>
            <w:r>
              <w:rPr>
                <w:rFonts w:eastAsia="Calibri"/>
                <w:b/>
                <w:color w:val="FFFFFF" w:themeColor="background1"/>
                <w:sz w:val="20"/>
              </w:rPr>
              <w:t>Comment</w:t>
            </w:r>
          </w:p>
        </w:tc>
      </w:tr>
      <w:tr w:rsidR="00A467D6" w:rsidRPr="00336C85" w14:paraId="622AB363" w14:textId="77777777" w:rsidTr="00F62C9B">
        <w:trPr>
          <w:trHeight w:val="53"/>
        </w:trPr>
        <w:tc>
          <w:tcPr>
            <w:tcW w:w="2181" w:type="pct"/>
          </w:tcPr>
          <w:p w14:paraId="3F96884E" w14:textId="77777777" w:rsidR="00A467D6" w:rsidRPr="00336C85" w:rsidRDefault="00A467D6" w:rsidP="00F62C9B">
            <w:pPr>
              <w:rPr>
                <w:b/>
                <w:bCs/>
                <w:sz w:val="20"/>
              </w:rPr>
            </w:pPr>
            <w:r w:rsidRPr="00336C85">
              <w:rPr>
                <w:b/>
                <w:bCs/>
                <w:sz w:val="20"/>
              </w:rPr>
              <w:t>Selection</w:t>
            </w:r>
          </w:p>
        </w:tc>
        <w:tc>
          <w:tcPr>
            <w:tcW w:w="731" w:type="pct"/>
          </w:tcPr>
          <w:p w14:paraId="0CF7E717" w14:textId="77777777" w:rsidR="00A467D6" w:rsidRPr="00336C85" w:rsidRDefault="00A467D6" w:rsidP="00F62C9B">
            <w:pPr>
              <w:rPr>
                <w:sz w:val="20"/>
              </w:rPr>
            </w:pPr>
          </w:p>
        </w:tc>
        <w:tc>
          <w:tcPr>
            <w:tcW w:w="2088" w:type="pct"/>
          </w:tcPr>
          <w:p w14:paraId="1D690D2A" w14:textId="77777777" w:rsidR="00A467D6" w:rsidRPr="00336C85" w:rsidRDefault="00A467D6" w:rsidP="00F62C9B">
            <w:pPr>
              <w:rPr>
                <w:sz w:val="20"/>
              </w:rPr>
            </w:pPr>
          </w:p>
        </w:tc>
      </w:tr>
      <w:tr w:rsidR="00A467D6" w:rsidRPr="00336C85" w14:paraId="6A3027C7" w14:textId="77777777" w:rsidTr="00F62C9B">
        <w:trPr>
          <w:trHeight w:val="52"/>
        </w:trPr>
        <w:tc>
          <w:tcPr>
            <w:tcW w:w="2181" w:type="pct"/>
          </w:tcPr>
          <w:p w14:paraId="1B30C079" w14:textId="77777777" w:rsidR="00A467D6" w:rsidRPr="00336C85" w:rsidRDefault="00A467D6" w:rsidP="00F62C9B">
            <w:pPr>
              <w:rPr>
                <w:sz w:val="20"/>
              </w:rPr>
            </w:pPr>
            <w:r w:rsidRPr="00336C85">
              <w:rPr>
                <w:sz w:val="20"/>
              </w:rPr>
              <w:t>Was administered dose or exposure level adequately randomized?</w:t>
            </w:r>
          </w:p>
        </w:tc>
        <w:tc>
          <w:tcPr>
            <w:tcW w:w="731" w:type="pct"/>
            <w:shd w:val="clear" w:color="auto" w:fill="D9D9D9" w:themeFill="background1" w:themeFillShade="D9"/>
          </w:tcPr>
          <w:p w14:paraId="38549DD3" w14:textId="77777777" w:rsidR="00A467D6" w:rsidRPr="00336C85" w:rsidRDefault="00A467D6" w:rsidP="00F62C9B">
            <w:pPr>
              <w:rPr>
                <w:sz w:val="20"/>
              </w:rPr>
            </w:pPr>
            <w:r>
              <w:rPr>
                <w:sz w:val="20"/>
              </w:rPr>
              <w:t>NA</w:t>
            </w:r>
          </w:p>
        </w:tc>
        <w:tc>
          <w:tcPr>
            <w:tcW w:w="2088" w:type="pct"/>
          </w:tcPr>
          <w:p w14:paraId="21378684" w14:textId="77777777" w:rsidR="00A467D6" w:rsidRPr="00336C85" w:rsidRDefault="00A467D6" w:rsidP="00F62C9B">
            <w:pPr>
              <w:rPr>
                <w:sz w:val="20"/>
              </w:rPr>
            </w:pPr>
            <w:r w:rsidRPr="00BD55EF">
              <w:rPr>
                <w:sz w:val="20"/>
              </w:rPr>
              <w:t>Observational study; no exposure was assigned.</w:t>
            </w:r>
          </w:p>
        </w:tc>
      </w:tr>
      <w:tr w:rsidR="00A467D6" w:rsidRPr="00336C85" w14:paraId="553EE162" w14:textId="77777777" w:rsidTr="00F62C9B">
        <w:trPr>
          <w:trHeight w:val="52"/>
        </w:trPr>
        <w:tc>
          <w:tcPr>
            <w:tcW w:w="2181" w:type="pct"/>
          </w:tcPr>
          <w:p w14:paraId="5472F57A" w14:textId="77777777" w:rsidR="00A467D6" w:rsidRPr="00336C85" w:rsidRDefault="00A467D6" w:rsidP="00F62C9B">
            <w:pPr>
              <w:rPr>
                <w:sz w:val="20"/>
              </w:rPr>
            </w:pPr>
            <w:r w:rsidRPr="00336C85">
              <w:rPr>
                <w:sz w:val="20"/>
              </w:rPr>
              <w:t>Was allocation to study groups adequately concealed?</w:t>
            </w:r>
          </w:p>
        </w:tc>
        <w:tc>
          <w:tcPr>
            <w:tcW w:w="731" w:type="pct"/>
            <w:shd w:val="clear" w:color="auto" w:fill="D9D9D9" w:themeFill="background1" w:themeFillShade="D9"/>
          </w:tcPr>
          <w:p w14:paraId="594030A5" w14:textId="77777777" w:rsidR="00A467D6" w:rsidRPr="00336C85" w:rsidRDefault="00A467D6" w:rsidP="00F62C9B">
            <w:pPr>
              <w:rPr>
                <w:sz w:val="20"/>
              </w:rPr>
            </w:pPr>
            <w:r>
              <w:rPr>
                <w:sz w:val="20"/>
              </w:rPr>
              <w:t>NA</w:t>
            </w:r>
          </w:p>
        </w:tc>
        <w:tc>
          <w:tcPr>
            <w:tcW w:w="2088" w:type="pct"/>
          </w:tcPr>
          <w:p w14:paraId="0E97164B" w14:textId="77777777" w:rsidR="00A467D6" w:rsidRPr="00336C85" w:rsidRDefault="00A467D6" w:rsidP="00F62C9B">
            <w:pPr>
              <w:rPr>
                <w:sz w:val="20"/>
              </w:rPr>
            </w:pPr>
            <w:r w:rsidRPr="00BD55EF">
              <w:rPr>
                <w:sz w:val="20"/>
              </w:rPr>
              <w:t>Not applicable.</w:t>
            </w:r>
          </w:p>
        </w:tc>
      </w:tr>
      <w:tr w:rsidR="00A467D6" w:rsidRPr="00336C85" w14:paraId="7A8BE30C" w14:textId="77777777" w:rsidTr="00F62C9B">
        <w:trPr>
          <w:trHeight w:val="52"/>
        </w:trPr>
        <w:tc>
          <w:tcPr>
            <w:tcW w:w="2181" w:type="pct"/>
          </w:tcPr>
          <w:p w14:paraId="685957E6" w14:textId="77777777" w:rsidR="00A467D6" w:rsidRPr="00336C85" w:rsidRDefault="00A467D6" w:rsidP="00F62C9B">
            <w:pPr>
              <w:rPr>
                <w:sz w:val="20"/>
              </w:rPr>
            </w:pPr>
            <w:r w:rsidRPr="00336C85">
              <w:rPr>
                <w:sz w:val="20"/>
              </w:rPr>
              <w:t>Were the comparison groups appropriate?</w:t>
            </w:r>
          </w:p>
        </w:tc>
        <w:tc>
          <w:tcPr>
            <w:tcW w:w="731" w:type="pct"/>
            <w:shd w:val="clear" w:color="auto" w:fill="FDCBD1"/>
          </w:tcPr>
          <w:p w14:paraId="468DF097" w14:textId="77777777" w:rsidR="00A467D6" w:rsidRPr="00336C85" w:rsidRDefault="00A467D6" w:rsidP="00F62C9B">
            <w:pPr>
              <w:rPr>
                <w:sz w:val="20"/>
              </w:rPr>
            </w:pPr>
            <w:r>
              <w:rPr>
                <w:sz w:val="20"/>
              </w:rPr>
              <w:t>-</w:t>
            </w:r>
          </w:p>
        </w:tc>
        <w:tc>
          <w:tcPr>
            <w:tcW w:w="2088" w:type="pct"/>
          </w:tcPr>
          <w:p w14:paraId="4E53A91F" w14:textId="77777777" w:rsidR="00A467D6" w:rsidRPr="00336C85" w:rsidRDefault="00A467D6" w:rsidP="00F62C9B">
            <w:pPr>
              <w:rPr>
                <w:sz w:val="20"/>
              </w:rPr>
            </w:pPr>
            <w:r w:rsidRPr="00BD55EF">
              <w:rPr>
                <w:sz w:val="20"/>
              </w:rPr>
              <w:t>There are no formal comparison groups. Reports are split by time period (pre/post-2018), but there is no control group and no denominator data on how many people used B6 products in each period.</w:t>
            </w:r>
          </w:p>
        </w:tc>
      </w:tr>
      <w:tr w:rsidR="00A467D6" w:rsidRPr="00336C85" w14:paraId="18C436E9" w14:textId="77777777" w:rsidTr="00F62C9B">
        <w:trPr>
          <w:trHeight w:val="79"/>
        </w:trPr>
        <w:tc>
          <w:tcPr>
            <w:tcW w:w="2181" w:type="pct"/>
          </w:tcPr>
          <w:p w14:paraId="63924CED" w14:textId="77777777" w:rsidR="00A467D6" w:rsidRPr="00336C85" w:rsidRDefault="00A467D6" w:rsidP="00F62C9B">
            <w:pPr>
              <w:rPr>
                <w:b/>
                <w:bCs/>
                <w:sz w:val="20"/>
              </w:rPr>
            </w:pPr>
            <w:r w:rsidRPr="00336C85">
              <w:rPr>
                <w:b/>
                <w:bCs/>
                <w:sz w:val="20"/>
              </w:rPr>
              <w:lastRenderedPageBreak/>
              <w:t>Confounding – KEY DOMAIN</w:t>
            </w:r>
          </w:p>
        </w:tc>
        <w:tc>
          <w:tcPr>
            <w:tcW w:w="731" w:type="pct"/>
          </w:tcPr>
          <w:p w14:paraId="7E9E0CD1" w14:textId="77777777" w:rsidR="00A467D6" w:rsidRPr="00336C85" w:rsidRDefault="00A467D6" w:rsidP="00F62C9B">
            <w:pPr>
              <w:rPr>
                <w:sz w:val="20"/>
              </w:rPr>
            </w:pPr>
          </w:p>
        </w:tc>
        <w:tc>
          <w:tcPr>
            <w:tcW w:w="2088" w:type="pct"/>
          </w:tcPr>
          <w:p w14:paraId="105E9D46" w14:textId="77777777" w:rsidR="00A467D6" w:rsidRPr="00336C85" w:rsidRDefault="00A467D6" w:rsidP="00F62C9B">
            <w:pPr>
              <w:rPr>
                <w:sz w:val="20"/>
              </w:rPr>
            </w:pPr>
          </w:p>
        </w:tc>
      </w:tr>
      <w:tr w:rsidR="00A467D6" w:rsidRPr="00336C85" w14:paraId="33B24658" w14:textId="77777777" w:rsidTr="00F62C9B">
        <w:trPr>
          <w:trHeight w:val="78"/>
        </w:trPr>
        <w:tc>
          <w:tcPr>
            <w:tcW w:w="2181" w:type="pct"/>
          </w:tcPr>
          <w:p w14:paraId="3A7B5020" w14:textId="77777777" w:rsidR="00A467D6" w:rsidRPr="00336C85" w:rsidRDefault="00A467D6" w:rsidP="00F62C9B">
            <w:pPr>
              <w:rPr>
                <w:sz w:val="20"/>
              </w:rPr>
            </w:pPr>
            <w:r w:rsidRPr="00336C85">
              <w:rPr>
                <w:sz w:val="20"/>
              </w:rPr>
              <w:t>Does the study design or analysis account for important confounding and modifying variables?</w:t>
            </w:r>
          </w:p>
        </w:tc>
        <w:tc>
          <w:tcPr>
            <w:tcW w:w="731" w:type="pct"/>
            <w:shd w:val="clear" w:color="auto" w:fill="EE0000"/>
          </w:tcPr>
          <w:p w14:paraId="27BDC068" w14:textId="77777777" w:rsidR="00A467D6" w:rsidRPr="00336C85" w:rsidRDefault="00A467D6" w:rsidP="00F62C9B">
            <w:pPr>
              <w:rPr>
                <w:sz w:val="20"/>
              </w:rPr>
            </w:pPr>
            <w:r>
              <w:rPr>
                <w:sz w:val="20"/>
              </w:rPr>
              <w:t>--</w:t>
            </w:r>
          </w:p>
        </w:tc>
        <w:tc>
          <w:tcPr>
            <w:tcW w:w="2088" w:type="pct"/>
          </w:tcPr>
          <w:p w14:paraId="358B1506" w14:textId="77777777" w:rsidR="00A467D6" w:rsidRPr="00336C85" w:rsidRDefault="00A467D6" w:rsidP="00F62C9B">
            <w:pPr>
              <w:rPr>
                <w:sz w:val="20"/>
              </w:rPr>
            </w:pPr>
            <w:r w:rsidRPr="00D01B64">
              <w:rPr>
                <w:sz w:val="20"/>
              </w:rPr>
              <w:t>Confounding is a major problem throughout. No adjustment was made for the steadily increasing volume of consumer reports in the Dutch SRS over time, concomitant medications, underlying conditions, vitamer type, or duration of use. Notoriety bias (media attention driving reporting spikes around 2018) is acknowledged but not corrected for.</w:t>
            </w:r>
          </w:p>
        </w:tc>
      </w:tr>
      <w:tr w:rsidR="00A467D6" w:rsidRPr="00336C85" w14:paraId="7D73076A" w14:textId="77777777" w:rsidTr="00F62C9B">
        <w:trPr>
          <w:trHeight w:val="53"/>
        </w:trPr>
        <w:tc>
          <w:tcPr>
            <w:tcW w:w="2181" w:type="pct"/>
          </w:tcPr>
          <w:p w14:paraId="59417C87" w14:textId="77777777" w:rsidR="00A467D6" w:rsidRPr="00336C85" w:rsidRDefault="00A467D6" w:rsidP="00F62C9B">
            <w:pPr>
              <w:rPr>
                <w:b/>
                <w:bCs/>
                <w:sz w:val="20"/>
              </w:rPr>
            </w:pPr>
            <w:r w:rsidRPr="00336C85">
              <w:rPr>
                <w:b/>
                <w:bCs/>
                <w:sz w:val="20"/>
              </w:rPr>
              <w:t>Performance</w:t>
            </w:r>
          </w:p>
        </w:tc>
        <w:tc>
          <w:tcPr>
            <w:tcW w:w="731" w:type="pct"/>
          </w:tcPr>
          <w:p w14:paraId="405329B9" w14:textId="77777777" w:rsidR="00A467D6" w:rsidRPr="00336C85" w:rsidRDefault="00A467D6" w:rsidP="00F62C9B">
            <w:pPr>
              <w:rPr>
                <w:sz w:val="20"/>
              </w:rPr>
            </w:pPr>
          </w:p>
        </w:tc>
        <w:tc>
          <w:tcPr>
            <w:tcW w:w="2088" w:type="pct"/>
          </w:tcPr>
          <w:p w14:paraId="51748083" w14:textId="77777777" w:rsidR="00A467D6" w:rsidRPr="00336C85" w:rsidRDefault="00A467D6" w:rsidP="00F62C9B">
            <w:pPr>
              <w:rPr>
                <w:sz w:val="20"/>
              </w:rPr>
            </w:pPr>
          </w:p>
        </w:tc>
      </w:tr>
      <w:tr w:rsidR="00A467D6" w:rsidRPr="00336C85" w14:paraId="44304453" w14:textId="77777777" w:rsidTr="00F62C9B">
        <w:trPr>
          <w:trHeight w:val="52"/>
        </w:trPr>
        <w:tc>
          <w:tcPr>
            <w:tcW w:w="2181" w:type="pct"/>
          </w:tcPr>
          <w:p w14:paraId="40F067F1" w14:textId="77777777" w:rsidR="00A467D6" w:rsidRPr="00336C85" w:rsidRDefault="00A467D6" w:rsidP="00F62C9B">
            <w:pPr>
              <w:rPr>
                <w:sz w:val="20"/>
              </w:rPr>
            </w:pPr>
            <w:r w:rsidRPr="00336C85">
              <w:rPr>
                <w:rFonts w:eastAsia="Calibri" w:cs="Arial"/>
                <w:sz w:val="20"/>
                <w:lang w:val="en-GB"/>
              </w:rPr>
              <w:t>Were experimental conditions identical across study groups?</w:t>
            </w:r>
          </w:p>
        </w:tc>
        <w:tc>
          <w:tcPr>
            <w:tcW w:w="731" w:type="pct"/>
            <w:shd w:val="clear" w:color="auto" w:fill="D9D9D9" w:themeFill="background1" w:themeFillShade="D9"/>
          </w:tcPr>
          <w:p w14:paraId="61D05AE5" w14:textId="77777777" w:rsidR="00A467D6" w:rsidRPr="00336C85" w:rsidRDefault="00A467D6" w:rsidP="00F62C9B">
            <w:pPr>
              <w:rPr>
                <w:sz w:val="20"/>
              </w:rPr>
            </w:pPr>
            <w:r>
              <w:rPr>
                <w:sz w:val="20"/>
              </w:rPr>
              <w:t>NA</w:t>
            </w:r>
          </w:p>
        </w:tc>
        <w:tc>
          <w:tcPr>
            <w:tcW w:w="2088" w:type="pct"/>
          </w:tcPr>
          <w:p w14:paraId="113BF4F0" w14:textId="77777777" w:rsidR="00A467D6" w:rsidRPr="00336C85" w:rsidRDefault="00A467D6" w:rsidP="00F62C9B">
            <w:pPr>
              <w:rPr>
                <w:sz w:val="20"/>
              </w:rPr>
            </w:pPr>
            <w:r w:rsidRPr="00D01B64">
              <w:rPr>
                <w:sz w:val="20"/>
              </w:rPr>
              <w:t>Not applicable to this study design.</w:t>
            </w:r>
          </w:p>
        </w:tc>
      </w:tr>
      <w:tr w:rsidR="00A467D6" w:rsidRPr="00336C85" w14:paraId="42F6D491" w14:textId="77777777" w:rsidTr="00F62C9B">
        <w:trPr>
          <w:trHeight w:val="52"/>
        </w:trPr>
        <w:tc>
          <w:tcPr>
            <w:tcW w:w="2181" w:type="pct"/>
          </w:tcPr>
          <w:p w14:paraId="0AB9F348" w14:textId="77777777" w:rsidR="00A467D6" w:rsidRPr="00336C85" w:rsidRDefault="00A467D6" w:rsidP="00F62C9B">
            <w:pPr>
              <w:rPr>
                <w:rFonts w:eastAsia="Calibri" w:cs="Arial"/>
                <w:sz w:val="20"/>
                <w:lang w:val="en-GB"/>
              </w:rPr>
            </w:pPr>
            <w:r w:rsidRPr="00336C85">
              <w:rPr>
                <w:rFonts w:eastAsia="Calibri" w:cs="Arial"/>
                <w:sz w:val="20"/>
                <w:lang w:val="en-GB"/>
              </w:rPr>
              <w:t>Were the research personnel and human subjects blinded to the study group during the study?</w:t>
            </w:r>
          </w:p>
        </w:tc>
        <w:tc>
          <w:tcPr>
            <w:tcW w:w="731" w:type="pct"/>
            <w:shd w:val="clear" w:color="auto" w:fill="D9D9D9" w:themeFill="background1" w:themeFillShade="D9"/>
          </w:tcPr>
          <w:p w14:paraId="1AB6BD71" w14:textId="77777777" w:rsidR="00A467D6" w:rsidRPr="00336C85" w:rsidRDefault="00A467D6" w:rsidP="00F62C9B">
            <w:pPr>
              <w:rPr>
                <w:sz w:val="20"/>
              </w:rPr>
            </w:pPr>
            <w:r>
              <w:rPr>
                <w:sz w:val="20"/>
              </w:rPr>
              <w:t>NA</w:t>
            </w:r>
          </w:p>
        </w:tc>
        <w:tc>
          <w:tcPr>
            <w:tcW w:w="2088" w:type="pct"/>
          </w:tcPr>
          <w:p w14:paraId="6F8E58F0" w14:textId="77777777" w:rsidR="00A467D6" w:rsidRPr="00336C85" w:rsidRDefault="00A467D6" w:rsidP="00F62C9B">
            <w:pPr>
              <w:rPr>
                <w:sz w:val="20"/>
              </w:rPr>
            </w:pPr>
            <w:r w:rsidRPr="00D01B64">
              <w:rPr>
                <w:sz w:val="20"/>
              </w:rPr>
              <w:t>Not applicable.</w:t>
            </w:r>
          </w:p>
        </w:tc>
      </w:tr>
      <w:tr w:rsidR="00A467D6" w:rsidRPr="00336C85" w14:paraId="631E1D70" w14:textId="77777777" w:rsidTr="00F62C9B">
        <w:tc>
          <w:tcPr>
            <w:tcW w:w="2181" w:type="pct"/>
          </w:tcPr>
          <w:p w14:paraId="12458F60" w14:textId="77777777" w:rsidR="00A467D6" w:rsidRPr="00336C85" w:rsidRDefault="00A467D6" w:rsidP="00F62C9B">
            <w:pPr>
              <w:rPr>
                <w:sz w:val="20"/>
              </w:rPr>
            </w:pPr>
            <w:r w:rsidRPr="00336C85">
              <w:rPr>
                <w:rFonts w:eastAsia="Calibri" w:cs="Arial"/>
                <w:b/>
                <w:bCs/>
                <w:sz w:val="20"/>
                <w:lang w:val="en-GB"/>
              </w:rPr>
              <w:t xml:space="preserve">Attrition / Exclusion </w:t>
            </w:r>
          </w:p>
        </w:tc>
        <w:tc>
          <w:tcPr>
            <w:tcW w:w="731" w:type="pct"/>
          </w:tcPr>
          <w:p w14:paraId="119A2168" w14:textId="77777777" w:rsidR="00A467D6" w:rsidRPr="00336C85" w:rsidRDefault="00A467D6" w:rsidP="00F62C9B">
            <w:pPr>
              <w:rPr>
                <w:sz w:val="20"/>
              </w:rPr>
            </w:pPr>
          </w:p>
        </w:tc>
        <w:tc>
          <w:tcPr>
            <w:tcW w:w="2088" w:type="pct"/>
          </w:tcPr>
          <w:p w14:paraId="610049DA" w14:textId="77777777" w:rsidR="00A467D6" w:rsidRPr="00336C85" w:rsidRDefault="00A467D6" w:rsidP="00F62C9B">
            <w:pPr>
              <w:rPr>
                <w:sz w:val="20"/>
              </w:rPr>
            </w:pPr>
          </w:p>
        </w:tc>
      </w:tr>
      <w:tr w:rsidR="00A467D6" w:rsidRPr="00336C85" w14:paraId="743E039D" w14:textId="77777777" w:rsidTr="00F62C9B">
        <w:tc>
          <w:tcPr>
            <w:tcW w:w="2181" w:type="pct"/>
          </w:tcPr>
          <w:p w14:paraId="155C4B73" w14:textId="77777777" w:rsidR="00A467D6" w:rsidRPr="00336C85" w:rsidRDefault="00A467D6" w:rsidP="00F62C9B">
            <w:pPr>
              <w:rPr>
                <w:rFonts w:eastAsia="Calibri" w:cs="Arial"/>
                <w:b/>
                <w:bCs/>
                <w:sz w:val="20"/>
                <w:lang w:val="en-GB"/>
              </w:rPr>
            </w:pPr>
            <w:r w:rsidRPr="00336C85">
              <w:rPr>
                <w:rFonts w:eastAsia="Calibri" w:cs="Arial"/>
                <w:sz w:val="20"/>
                <w:lang w:val="en-GB"/>
              </w:rPr>
              <w:t>Were outcome data incomplete because of attrition or exclusion from analysis?</w:t>
            </w:r>
          </w:p>
        </w:tc>
        <w:tc>
          <w:tcPr>
            <w:tcW w:w="731" w:type="pct"/>
            <w:shd w:val="clear" w:color="auto" w:fill="FDCBD1"/>
          </w:tcPr>
          <w:p w14:paraId="10C734A0" w14:textId="77777777" w:rsidR="00A467D6" w:rsidRPr="00336C85" w:rsidRDefault="00A467D6" w:rsidP="00F62C9B">
            <w:pPr>
              <w:rPr>
                <w:sz w:val="20"/>
              </w:rPr>
            </w:pPr>
            <w:r>
              <w:rPr>
                <w:sz w:val="20"/>
              </w:rPr>
              <w:t>-</w:t>
            </w:r>
          </w:p>
        </w:tc>
        <w:tc>
          <w:tcPr>
            <w:tcW w:w="2088" w:type="pct"/>
          </w:tcPr>
          <w:p w14:paraId="453A9A4B" w14:textId="77777777" w:rsidR="00A467D6" w:rsidRPr="00336C85" w:rsidRDefault="00A467D6" w:rsidP="00F62C9B">
            <w:pPr>
              <w:rPr>
                <w:sz w:val="20"/>
              </w:rPr>
            </w:pPr>
            <w:r w:rsidRPr="00D01B64">
              <w:rPr>
                <w:sz w:val="20"/>
              </w:rPr>
              <w:t xml:space="preserve">Spontaneous reporting is inherently incomplete. Key data were missing in many reports </w:t>
            </w:r>
            <w:r>
              <w:rPr>
                <w:sz w:val="20"/>
              </w:rPr>
              <w:t>-</w:t>
            </w:r>
            <w:r w:rsidRPr="00D01B64">
              <w:rPr>
                <w:sz w:val="20"/>
              </w:rPr>
              <w:t xml:space="preserve"> vitamer type, dosage accuracy, duration of use, timing of plasma testing, and dietary B6 intake and no imputation or sensitivity analysis was performed.</w:t>
            </w:r>
          </w:p>
        </w:tc>
      </w:tr>
      <w:tr w:rsidR="00A467D6" w:rsidRPr="00336C85" w14:paraId="44CA939D" w14:textId="77777777" w:rsidTr="00F62C9B">
        <w:trPr>
          <w:trHeight w:val="81"/>
        </w:trPr>
        <w:tc>
          <w:tcPr>
            <w:tcW w:w="2181" w:type="pct"/>
          </w:tcPr>
          <w:p w14:paraId="0A1D8C1C" w14:textId="77777777" w:rsidR="00A467D6" w:rsidRPr="00336C85" w:rsidRDefault="00A467D6" w:rsidP="00F62C9B">
            <w:pPr>
              <w:rPr>
                <w:sz w:val="20"/>
              </w:rPr>
            </w:pPr>
            <w:r w:rsidRPr="00336C85">
              <w:rPr>
                <w:rFonts w:ascii="Aptos" w:eastAsia="Calibri" w:hAnsi="Aptos" w:cs="Arial"/>
                <w:b/>
                <w:bCs/>
                <w:kern w:val="2"/>
                <w:sz w:val="20"/>
                <w:lang w:eastAsia="en-US"/>
                <w14:ligatures w14:val="standardContextual"/>
              </w:rPr>
              <w:t>Detection bias – KEY DOMAIN</w:t>
            </w:r>
          </w:p>
        </w:tc>
        <w:tc>
          <w:tcPr>
            <w:tcW w:w="731" w:type="pct"/>
          </w:tcPr>
          <w:p w14:paraId="2A94BB35" w14:textId="77777777" w:rsidR="00A467D6" w:rsidRPr="00336C85" w:rsidRDefault="00A467D6" w:rsidP="00F62C9B">
            <w:pPr>
              <w:rPr>
                <w:sz w:val="20"/>
              </w:rPr>
            </w:pPr>
          </w:p>
        </w:tc>
        <w:tc>
          <w:tcPr>
            <w:tcW w:w="2088" w:type="pct"/>
          </w:tcPr>
          <w:p w14:paraId="26DE9A1A" w14:textId="77777777" w:rsidR="00A467D6" w:rsidRPr="00336C85" w:rsidRDefault="00A467D6" w:rsidP="00F62C9B">
            <w:pPr>
              <w:rPr>
                <w:sz w:val="20"/>
              </w:rPr>
            </w:pPr>
          </w:p>
        </w:tc>
      </w:tr>
      <w:tr w:rsidR="00A467D6" w:rsidRPr="00336C85" w14:paraId="3BF6442C" w14:textId="77777777" w:rsidTr="00F62C9B">
        <w:trPr>
          <w:trHeight w:val="80"/>
        </w:trPr>
        <w:tc>
          <w:tcPr>
            <w:tcW w:w="2181" w:type="pct"/>
          </w:tcPr>
          <w:p w14:paraId="2A8DC268" w14:textId="77777777" w:rsidR="00A467D6" w:rsidRPr="00336C85" w:rsidRDefault="00A467D6" w:rsidP="00F62C9B">
            <w:pPr>
              <w:rPr>
                <w:rFonts w:ascii="Aptos" w:eastAsia="Calibri" w:hAnsi="Aptos" w:cs="Arial"/>
                <w:b/>
                <w:bCs/>
                <w:kern w:val="2"/>
                <w:sz w:val="20"/>
                <w14:ligatures w14:val="standardContextual"/>
              </w:rPr>
            </w:pPr>
            <w:r w:rsidRPr="00336C85">
              <w:rPr>
                <w:rFonts w:eastAsia="Calibri" w:cs="Arial"/>
                <w:sz w:val="20"/>
                <w:lang w:val="en-GB"/>
              </w:rPr>
              <w:t>KEY - Can we be confident in the exposure characterisation?</w:t>
            </w:r>
          </w:p>
        </w:tc>
        <w:tc>
          <w:tcPr>
            <w:tcW w:w="731" w:type="pct"/>
            <w:shd w:val="clear" w:color="auto" w:fill="EE0000"/>
          </w:tcPr>
          <w:p w14:paraId="1B67D77D" w14:textId="77777777" w:rsidR="00A467D6" w:rsidRPr="00D01B64" w:rsidRDefault="00A467D6" w:rsidP="00F62C9B">
            <w:pPr>
              <w:rPr>
                <w:color w:val="EE0000"/>
                <w:sz w:val="20"/>
              </w:rPr>
            </w:pPr>
            <w:r>
              <w:rPr>
                <w:sz w:val="20"/>
              </w:rPr>
              <w:t>--</w:t>
            </w:r>
          </w:p>
        </w:tc>
        <w:tc>
          <w:tcPr>
            <w:tcW w:w="2088" w:type="pct"/>
          </w:tcPr>
          <w:p w14:paraId="79C2A9BA" w14:textId="77777777" w:rsidR="00A467D6" w:rsidRPr="00336C85" w:rsidRDefault="00A467D6" w:rsidP="00F62C9B">
            <w:pPr>
              <w:rPr>
                <w:sz w:val="20"/>
              </w:rPr>
            </w:pPr>
            <w:r w:rsidRPr="00D01B64">
              <w:rPr>
                <w:sz w:val="20"/>
              </w:rPr>
              <w:t>Exposure assessment was weak, relying on product labels and patient recall, with limited information on vitamer type. The poor relationship between reported dose and plasma B6 suggests substantial exposure misclassification.</w:t>
            </w:r>
          </w:p>
        </w:tc>
      </w:tr>
      <w:tr w:rsidR="00A467D6" w:rsidRPr="00336C85" w14:paraId="0419736B" w14:textId="77777777" w:rsidTr="00F62C9B">
        <w:trPr>
          <w:trHeight w:val="80"/>
        </w:trPr>
        <w:tc>
          <w:tcPr>
            <w:tcW w:w="2181" w:type="pct"/>
          </w:tcPr>
          <w:p w14:paraId="71A232B5" w14:textId="77777777" w:rsidR="00A467D6" w:rsidRPr="00336C85" w:rsidRDefault="00A467D6" w:rsidP="00F62C9B">
            <w:pPr>
              <w:rPr>
                <w:rFonts w:eastAsia="Calibri" w:cs="Arial"/>
                <w:sz w:val="20"/>
                <w:lang w:val="en-GB"/>
              </w:rPr>
            </w:pPr>
            <w:r w:rsidRPr="00336C85">
              <w:rPr>
                <w:rFonts w:eastAsia="Calibri" w:cs="Arial"/>
                <w:sz w:val="20"/>
                <w:lang w:val="en-GB"/>
              </w:rPr>
              <w:t>KEY - Can we be confident in the outcome assessment?</w:t>
            </w:r>
          </w:p>
        </w:tc>
        <w:tc>
          <w:tcPr>
            <w:tcW w:w="731" w:type="pct"/>
            <w:shd w:val="clear" w:color="auto" w:fill="FDCBD1"/>
          </w:tcPr>
          <w:p w14:paraId="76804B14" w14:textId="77777777" w:rsidR="00A467D6" w:rsidRPr="00336C85" w:rsidRDefault="00A467D6" w:rsidP="00F62C9B">
            <w:pPr>
              <w:rPr>
                <w:sz w:val="20"/>
              </w:rPr>
            </w:pPr>
            <w:r>
              <w:rPr>
                <w:sz w:val="20"/>
              </w:rPr>
              <w:t>-</w:t>
            </w:r>
          </w:p>
        </w:tc>
        <w:tc>
          <w:tcPr>
            <w:tcW w:w="2088" w:type="pct"/>
          </w:tcPr>
          <w:p w14:paraId="32CD2BE3" w14:textId="77777777" w:rsidR="00A467D6" w:rsidRPr="00336C85" w:rsidRDefault="00A467D6" w:rsidP="00F62C9B">
            <w:pPr>
              <w:rPr>
                <w:sz w:val="20"/>
              </w:rPr>
            </w:pPr>
            <w:r w:rsidRPr="00D01B64">
              <w:rPr>
                <w:sz w:val="20"/>
              </w:rPr>
              <w:t>Outcome assessment was limited by broad MedDRA SMQ coding, lack of clinical verification, and no individual causality assessment. Potential alternative causes of neuropathy, including comorbidities and concomitant medications, were not systematically addressed.</w:t>
            </w:r>
          </w:p>
        </w:tc>
      </w:tr>
      <w:tr w:rsidR="00A467D6" w:rsidRPr="00336C85" w14:paraId="705EF0AB" w14:textId="77777777" w:rsidTr="00F62C9B">
        <w:trPr>
          <w:trHeight w:val="236"/>
        </w:trPr>
        <w:tc>
          <w:tcPr>
            <w:tcW w:w="2181" w:type="pct"/>
          </w:tcPr>
          <w:p w14:paraId="5F6D7C14" w14:textId="77777777" w:rsidR="00A467D6" w:rsidRPr="00336C85" w:rsidRDefault="00A467D6" w:rsidP="00F62C9B">
            <w:pPr>
              <w:rPr>
                <w:sz w:val="20"/>
              </w:rPr>
            </w:pPr>
            <w:r w:rsidRPr="00336C85">
              <w:rPr>
                <w:rFonts w:eastAsia="Calibri" w:cs="Arial"/>
                <w:b/>
                <w:bCs/>
                <w:sz w:val="20"/>
                <w:lang w:val="en-GB"/>
              </w:rPr>
              <w:t>Selective Reporting</w:t>
            </w:r>
          </w:p>
        </w:tc>
        <w:tc>
          <w:tcPr>
            <w:tcW w:w="731" w:type="pct"/>
          </w:tcPr>
          <w:p w14:paraId="063DEB8D" w14:textId="77777777" w:rsidR="00A467D6" w:rsidRPr="00336C85" w:rsidRDefault="00A467D6" w:rsidP="00F62C9B">
            <w:pPr>
              <w:rPr>
                <w:sz w:val="20"/>
              </w:rPr>
            </w:pPr>
          </w:p>
        </w:tc>
        <w:tc>
          <w:tcPr>
            <w:tcW w:w="2088" w:type="pct"/>
          </w:tcPr>
          <w:p w14:paraId="1082435D" w14:textId="77777777" w:rsidR="00A467D6" w:rsidRPr="00336C85" w:rsidRDefault="00A467D6" w:rsidP="00F62C9B">
            <w:pPr>
              <w:rPr>
                <w:sz w:val="20"/>
              </w:rPr>
            </w:pPr>
          </w:p>
        </w:tc>
      </w:tr>
      <w:tr w:rsidR="00A467D6" w:rsidRPr="00336C85" w14:paraId="5290B8F2" w14:textId="77777777" w:rsidTr="00F62C9B">
        <w:trPr>
          <w:trHeight w:val="235"/>
        </w:trPr>
        <w:tc>
          <w:tcPr>
            <w:tcW w:w="2181" w:type="pct"/>
          </w:tcPr>
          <w:p w14:paraId="0543BE92" w14:textId="77777777" w:rsidR="00A467D6" w:rsidRPr="00336C85" w:rsidRDefault="00A467D6" w:rsidP="00F62C9B">
            <w:pPr>
              <w:rPr>
                <w:rFonts w:eastAsia="Calibri" w:cs="Arial"/>
                <w:b/>
                <w:bCs/>
                <w:sz w:val="20"/>
                <w:lang w:val="en-GB"/>
              </w:rPr>
            </w:pPr>
            <w:r w:rsidRPr="00336C85">
              <w:rPr>
                <w:rFonts w:eastAsia="Calibri" w:cs="Arial"/>
                <w:sz w:val="20"/>
                <w:lang w:val="en-GB"/>
              </w:rPr>
              <w:t>Were all measured outcomes reported?</w:t>
            </w:r>
          </w:p>
        </w:tc>
        <w:tc>
          <w:tcPr>
            <w:tcW w:w="731" w:type="pct"/>
            <w:shd w:val="clear" w:color="auto" w:fill="92D050"/>
          </w:tcPr>
          <w:p w14:paraId="12F290A1" w14:textId="77777777" w:rsidR="00A467D6" w:rsidRPr="00336C85" w:rsidRDefault="00A467D6" w:rsidP="00F62C9B">
            <w:pPr>
              <w:rPr>
                <w:sz w:val="20"/>
              </w:rPr>
            </w:pPr>
            <w:r>
              <w:rPr>
                <w:sz w:val="20"/>
              </w:rPr>
              <w:t>+</w:t>
            </w:r>
          </w:p>
        </w:tc>
        <w:tc>
          <w:tcPr>
            <w:tcW w:w="2088" w:type="pct"/>
          </w:tcPr>
          <w:p w14:paraId="7EA31CB1" w14:textId="77777777" w:rsidR="00A467D6" w:rsidRPr="00336C85" w:rsidRDefault="00A467D6" w:rsidP="00F62C9B">
            <w:pPr>
              <w:rPr>
                <w:sz w:val="20"/>
              </w:rPr>
            </w:pPr>
            <w:r w:rsidRPr="00D01B64">
              <w:rPr>
                <w:sz w:val="20"/>
              </w:rPr>
              <w:t>All stated analyses (report trends, dose over time, dose-plasma correlation, changepoint analysis) are reported. Limitations are transparently acknowledged.</w:t>
            </w:r>
          </w:p>
        </w:tc>
      </w:tr>
      <w:tr w:rsidR="00A467D6" w:rsidRPr="00336C85" w14:paraId="263C9AF4" w14:textId="77777777" w:rsidTr="00F62C9B">
        <w:tc>
          <w:tcPr>
            <w:tcW w:w="2181" w:type="pct"/>
          </w:tcPr>
          <w:p w14:paraId="1514057E" w14:textId="77777777" w:rsidR="00A467D6" w:rsidRPr="00336C85" w:rsidRDefault="00A467D6" w:rsidP="00F62C9B">
            <w:pPr>
              <w:rPr>
                <w:b/>
                <w:bCs/>
                <w:sz w:val="20"/>
              </w:rPr>
            </w:pPr>
            <w:r w:rsidRPr="00336C85">
              <w:rPr>
                <w:rFonts w:eastAsia="Calibri" w:cs="Arial"/>
                <w:b/>
                <w:bCs/>
                <w:sz w:val="20"/>
                <w:lang w:val="en-GB"/>
              </w:rPr>
              <w:t>Other Sources of bias</w:t>
            </w:r>
          </w:p>
        </w:tc>
        <w:tc>
          <w:tcPr>
            <w:tcW w:w="731" w:type="pct"/>
          </w:tcPr>
          <w:p w14:paraId="3C2363A1" w14:textId="77777777" w:rsidR="00A467D6" w:rsidRPr="00336C85" w:rsidRDefault="00A467D6" w:rsidP="00F62C9B">
            <w:pPr>
              <w:rPr>
                <w:sz w:val="20"/>
              </w:rPr>
            </w:pPr>
          </w:p>
        </w:tc>
        <w:tc>
          <w:tcPr>
            <w:tcW w:w="2088" w:type="pct"/>
          </w:tcPr>
          <w:p w14:paraId="34B1DB73" w14:textId="77777777" w:rsidR="00A467D6" w:rsidRPr="00336C85" w:rsidRDefault="00A467D6" w:rsidP="00F62C9B">
            <w:pPr>
              <w:rPr>
                <w:sz w:val="20"/>
              </w:rPr>
            </w:pPr>
          </w:p>
        </w:tc>
      </w:tr>
      <w:tr w:rsidR="00A467D6" w:rsidRPr="00336C85" w14:paraId="19C5BF2B" w14:textId="77777777" w:rsidTr="00F62C9B">
        <w:tc>
          <w:tcPr>
            <w:tcW w:w="2181" w:type="pct"/>
          </w:tcPr>
          <w:p w14:paraId="7E1143C0" w14:textId="77777777" w:rsidR="00A467D6" w:rsidRPr="00336C85" w:rsidRDefault="00A467D6" w:rsidP="00F62C9B">
            <w:pPr>
              <w:rPr>
                <w:rFonts w:eastAsia="Calibri" w:cs="Arial"/>
                <w:b/>
                <w:bCs/>
                <w:sz w:val="20"/>
                <w:lang w:val="en-GB"/>
              </w:rPr>
            </w:pPr>
            <w:r w:rsidRPr="00336C85">
              <w:rPr>
                <w:rFonts w:eastAsia="Calibri" w:cs="Arial"/>
                <w:sz w:val="20"/>
                <w:lang w:val="en-GB"/>
              </w:rPr>
              <w:lastRenderedPageBreak/>
              <w:t>Were there any other potential threats to internal validity (e.g., inappropriate statistical methods)?</w:t>
            </w:r>
          </w:p>
        </w:tc>
        <w:tc>
          <w:tcPr>
            <w:tcW w:w="731" w:type="pct"/>
            <w:shd w:val="clear" w:color="auto" w:fill="FDCBD1"/>
          </w:tcPr>
          <w:p w14:paraId="77611708" w14:textId="77777777" w:rsidR="00A467D6" w:rsidRPr="00336C85" w:rsidRDefault="00A467D6" w:rsidP="00F62C9B">
            <w:pPr>
              <w:rPr>
                <w:sz w:val="20"/>
              </w:rPr>
            </w:pPr>
            <w:r>
              <w:rPr>
                <w:sz w:val="20"/>
              </w:rPr>
              <w:t>-</w:t>
            </w:r>
          </w:p>
        </w:tc>
        <w:tc>
          <w:tcPr>
            <w:tcW w:w="2088" w:type="pct"/>
          </w:tcPr>
          <w:p w14:paraId="62BD7887" w14:textId="77777777" w:rsidR="00A467D6" w:rsidRPr="00336C85" w:rsidRDefault="00A467D6" w:rsidP="00F62C9B">
            <w:pPr>
              <w:rPr>
                <w:sz w:val="20"/>
              </w:rPr>
            </w:pPr>
            <w:r w:rsidRPr="00D01B64">
              <w:rPr>
                <w:sz w:val="20"/>
              </w:rPr>
              <w:t>No conflicts of interest and no external funding, which is a strength. However, the SRS is operated by one of the authors' institutions (Lareb), and the 2018 regulatory action itself was initiated by Lareb, creating a degree of institutional interest in demonstrating its effectivenes</w:t>
            </w:r>
            <w:r>
              <w:rPr>
                <w:sz w:val="20"/>
              </w:rPr>
              <w:t>s</w:t>
            </w:r>
            <w:r w:rsidRPr="00D01B64">
              <w:rPr>
                <w:sz w:val="20"/>
              </w:rPr>
              <w:t xml:space="preserve"> though this is not necessarily a bias in the traditional sense.</w:t>
            </w:r>
          </w:p>
        </w:tc>
      </w:tr>
      <w:tr w:rsidR="00A467D6" w:rsidRPr="00336C85" w14:paraId="41D2A73E" w14:textId="77777777" w:rsidTr="00F62C9B">
        <w:tc>
          <w:tcPr>
            <w:tcW w:w="2181" w:type="pct"/>
          </w:tcPr>
          <w:p w14:paraId="52438C38" w14:textId="77777777" w:rsidR="00A467D6" w:rsidRPr="00336C85" w:rsidRDefault="00A467D6" w:rsidP="00F62C9B">
            <w:pPr>
              <w:rPr>
                <w:sz w:val="20"/>
              </w:rPr>
            </w:pPr>
            <w:r w:rsidRPr="00336C85">
              <w:rPr>
                <w:rFonts w:eastAsia="Calibri" w:cs="Arial"/>
                <w:b/>
                <w:bCs/>
                <w:sz w:val="20"/>
                <w:lang w:val="en-GB"/>
              </w:rPr>
              <w:t>Overall risk of bias for the study (Low/Moderate/High)</w:t>
            </w:r>
          </w:p>
        </w:tc>
        <w:tc>
          <w:tcPr>
            <w:tcW w:w="731" w:type="pct"/>
          </w:tcPr>
          <w:p w14:paraId="046711A5" w14:textId="77777777" w:rsidR="00A467D6" w:rsidRPr="00336C85" w:rsidRDefault="00A467D6" w:rsidP="00F62C9B">
            <w:pPr>
              <w:rPr>
                <w:b/>
                <w:bCs/>
                <w:sz w:val="20"/>
              </w:rPr>
            </w:pPr>
            <w:r>
              <w:rPr>
                <w:b/>
                <w:bCs/>
                <w:sz w:val="20"/>
              </w:rPr>
              <w:t>High</w:t>
            </w:r>
          </w:p>
        </w:tc>
        <w:tc>
          <w:tcPr>
            <w:tcW w:w="2088" w:type="pct"/>
          </w:tcPr>
          <w:p w14:paraId="011C9D7E" w14:textId="77777777" w:rsidR="00A467D6" w:rsidRPr="00336C85" w:rsidRDefault="00A467D6" w:rsidP="00F62C9B">
            <w:pPr>
              <w:rPr>
                <w:b/>
                <w:bCs/>
                <w:sz w:val="20"/>
              </w:rPr>
            </w:pPr>
          </w:p>
        </w:tc>
      </w:tr>
    </w:tbl>
    <w:p w14:paraId="4966BF67" w14:textId="77777777" w:rsidR="00A467D6" w:rsidRDefault="00A467D6" w:rsidP="00A467D6">
      <w:pPr>
        <w:pStyle w:val="BodyText"/>
      </w:pPr>
    </w:p>
    <w:p w14:paraId="036845F0" w14:textId="4220DE23" w:rsidR="00A467D6" w:rsidRDefault="00A467D6" w:rsidP="00A467D6">
      <w:pPr>
        <w:pStyle w:val="Heading9"/>
      </w:pPr>
      <w:bookmarkStart w:id="97" w:name="_Toc233022911"/>
      <w:r w:rsidRPr="00D84C69">
        <w:t>Whyte</w:t>
      </w:r>
      <w:r>
        <w:t xml:space="preserve"> et al.</w:t>
      </w:r>
      <w:r w:rsidRPr="00D84C69">
        <w:t xml:space="preserve"> 2024</w:t>
      </w:r>
      <w:r w:rsidR="007A2564">
        <w:t xml:space="preserve"> – not for dose – response health outcomes</w:t>
      </w:r>
      <w:r w:rsidR="003E2889">
        <w:t>,</w:t>
      </w:r>
      <w:r w:rsidR="007A2564">
        <w:t xml:space="preserve"> for mechanistic information</w:t>
      </w:r>
      <w:r w:rsidR="003E2889">
        <w:t xml:space="preserve"> only</w:t>
      </w:r>
      <w:bookmarkEnd w:id="97"/>
    </w:p>
    <w:p w14:paraId="524FC840" w14:textId="77777777" w:rsidR="00A467D6" w:rsidRPr="00306EFF" w:rsidRDefault="00A467D6" w:rsidP="00A467D6">
      <w:pPr>
        <w:rPr>
          <w:rFonts w:eastAsia="Calibri" w:cs="Arial"/>
          <w:szCs w:val="22"/>
        </w:rPr>
      </w:pPr>
      <w:r w:rsidRPr="00E45AB2">
        <w:rPr>
          <w:rFonts w:eastAsia="Calibri" w:cs="Arial"/>
          <w:szCs w:val="22"/>
        </w:rPr>
        <w:t xml:space="preserve">Rating key: </w:t>
      </w:r>
      <w:r w:rsidRPr="00E45AB2">
        <w:rPr>
          <w:rFonts w:eastAsia="Calibri" w:cs="Arial"/>
          <w:szCs w:val="22"/>
          <w:shd w:val="clear" w:color="auto" w:fill="00B050"/>
        </w:rPr>
        <w:t>++</w:t>
      </w:r>
      <w:r w:rsidRPr="00E45AB2">
        <w:rPr>
          <w:rFonts w:eastAsia="Calibri" w:cs="Arial"/>
          <w:szCs w:val="22"/>
        </w:rPr>
        <w:t xml:space="preserve"> = definitely low RoB; </w:t>
      </w:r>
      <w:r w:rsidRPr="00E45AB2">
        <w:rPr>
          <w:rFonts w:eastAsia="Calibri" w:cs="Arial"/>
          <w:szCs w:val="22"/>
          <w:shd w:val="clear" w:color="auto" w:fill="92D050"/>
        </w:rPr>
        <w:t>+</w:t>
      </w:r>
      <w:r w:rsidRPr="00E45AB2">
        <w:rPr>
          <w:rFonts w:eastAsia="Calibri" w:cs="Arial"/>
          <w:szCs w:val="22"/>
        </w:rPr>
        <w:t xml:space="preserve"> = probably low RoB; </w:t>
      </w:r>
      <w:r w:rsidRPr="00E45AB2">
        <w:rPr>
          <w:rFonts w:eastAsia="Calibri" w:cs="Arial"/>
          <w:szCs w:val="22"/>
          <w:shd w:val="clear" w:color="auto" w:fill="FFC1C1"/>
        </w:rPr>
        <w:t>NR</w:t>
      </w:r>
      <w:r w:rsidRPr="00E45AB2">
        <w:rPr>
          <w:rFonts w:eastAsia="Calibri" w:cs="Arial"/>
          <w:szCs w:val="22"/>
        </w:rPr>
        <w:t xml:space="preserve"> = not reported; </w:t>
      </w:r>
      <w:r w:rsidRPr="00E45AB2">
        <w:rPr>
          <w:rFonts w:eastAsia="Calibri" w:cs="Arial"/>
          <w:szCs w:val="22"/>
          <w:shd w:val="clear" w:color="auto" w:fill="FFC1C1"/>
        </w:rPr>
        <w:t>−</w:t>
      </w:r>
      <w:r w:rsidRPr="00E45AB2">
        <w:rPr>
          <w:rFonts w:eastAsia="Calibri" w:cs="Arial"/>
          <w:szCs w:val="22"/>
        </w:rPr>
        <w:t xml:space="preserve"> = probably high RoB; </w:t>
      </w:r>
      <w:r w:rsidRPr="00E45AB2">
        <w:rPr>
          <w:rFonts w:eastAsia="Calibri" w:cs="Arial"/>
          <w:szCs w:val="22"/>
          <w:shd w:val="clear" w:color="auto" w:fill="FF2F2F"/>
        </w:rPr>
        <w:t>−−</w:t>
      </w:r>
      <w:r w:rsidRPr="00E45AB2">
        <w:rPr>
          <w:rFonts w:eastAsia="Calibri" w:cs="Arial"/>
          <w:szCs w:val="22"/>
        </w:rPr>
        <w:t xml:space="preserve"> = definitely high RoB; </w:t>
      </w:r>
      <w:r w:rsidRPr="00E45AB2">
        <w:rPr>
          <w:rFonts w:eastAsia="Calibri" w:cs="Arial"/>
          <w:szCs w:val="22"/>
          <w:highlight w:val="lightGray"/>
        </w:rPr>
        <w:t>NA</w:t>
      </w:r>
      <w:r w:rsidRPr="00E45AB2">
        <w:rPr>
          <w:rFonts w:eastAsia="Calibri" w:cs="Arial"/>
          <w:szCs w:val="22"/>
        </w:rPr>
        <w:t xml:space="preserve"> = not applicable to this study design </w:t>
      </w:r>
    </w:p>
    <w:tbl>
      <w:tblPr>
        <w:tblStyle w:val="SLROption1"/>
        <w:tblW w:w="5000" w:type="pct"/>
        <w:tblLook w:val="01E0" w:firstRow="1" w:lastRow="1" w:firstColumn="1" w:lastColumn="1" w:noHBand="0" w:noVBand="0"/>
      </w:tblPr>
      <w:tblGrid>
        <w:gridCol w:w="3934"/>
        <w:gridCol w:w="1319"/>
        <w:gridCol w:w="3766"/>
      </w:tblGrid>
      <w:tr w:rsidR="00A467D6" w:rsidRPr="00336C85" w14:paraId="7BBB407A" w14:textId="77777777" w:rsidTr="00F62C9B">
        <w:trPr>
          <w:cnfStyle w:val="100000000000" w:firstRow="1" w:lastRow="0" w:firstColumn="0" w:lastColumn="0" w:oddVBand="0" w:evenVBand="0" w:oddHBand="0" w:evenHBand="0" w:firstRowFirstColumn="0" w:firstRowLastColumn="0" w:lastRowFirstColumn="0" w:lastRowLastColumn="0"/>
        </w:trPr>
        <w:tc>
          <w:tcPr>
            <w:tcW w:w="2181" w:type="pct"/>
            <w:tcBorders>
              <w:bottom w:val="single" w:sz="4" w:space="0" w:color="FFFFFF" w:themeColor="background1"/>
              <w:right w:val="single" w:sz="4" w:space="0" w:color="FFFFFF" w:themeColor="background1"/>
            </w:tcBorders>
            <w:shd w:val="clear" w:color="auto" w:fill="3C533C" w:themeFill="text2"/>
          </w:tcPr>
          <w:p w14:paraId="59C224B4" w14:textId="77777777" w:rsidR="00A467D6" w:rsidRPr="00336C85" w:rsidRDefault="00A467D6" w:rsidP="00F62C9B">
            <w:pPr>
              <w:keepNext/>
              <w:jc w:val="left"/>
              <w:rPr>
                <w:rFonts w:eastAsia="Calibri"/>
                <w:b/>
                <w:color w:val="FFFFFF" w:themeColor="background1"/>
                <w:sz w:val="20"/>
              </w:rPr>
            </w:pPr>
            <w:r w:rsidRPr="00336C85">
              <w:rPr>
                <w:rFonts w:eastAsia="Calibri"/>
                <w:b/>
                <w:color w:val="FFFFFF" w:themeColor="background1"/>
                <w:sz w:val="20"/>
              </w:rPr>
              <w:t>Study Type:</w:t>
            </w:r>
          </w:p>
        </w:tc>
        <w:tc>
          <w:tcPr>
            <w:tcW w:w="731" w:type="pct"/>
            <w:tcBorders>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0806E4FC" w14:textId="77777777" w:rsidR="00A467D6" w:rsidRPr="00336C85" w:rsidRDefault="00A467D6" w:rsidP="00F62C9B">
            <w:pPr>
              <w:keepNext/>
              <w:jc w:val="left"/>
              <w:rPr>
                <w:rFonts w:eastAsia="Calibri"/>
                <w:bCs/>
                <w:color w:val="FFFFFF" w:themeColor="background1"/>
                <w:sz w:val="20"/>
              </w:rPr>
            </w:pPr>
          </w:p>
        </w:tc>
        <w:tc>
          <w:tcPr>
            <w:tcW w:w="2088" w:type="pct"/>
            <w:tcBorders>
              <w:left w:val="single" w:sz="4" w:space="0" w:color="FFFFFF" w:themeColor="background1"/>
              <w:bottom w:val="single" w:sz="4" w:space="0" w:color="FFFFFF" w:themeColor="background1"/>
            </w:tcBorders>
            <w:shd w:val="clear" w:color="auto" w:fill="3C533C" w:themeFill="text2"/>
          </w:tcPr>
          <w:p w14:paraId="0B8B57FD" w14:textId="77777777" w:rsidR="00A467D6" w:rsidRPr="00336C85" w:rsidRDefault="00A467D6" w:rsidP="00F62C9B">
            <w:pPr>
              <w:keepNext/>
              <w:jc w:val="left"/>
              <w:rPr>
                <w:rFonts w:eastAsia="Calibri"/>
                <w:bCs/>
                <w:color w:val="FFFFFF" w:themeColor="background1"/>
                <w:sz w:val="20"/>
              </w:rPr>
            </w:pPr>
            <w:r w:rsidRPr="0049610D">
              <w:rPr>
                <w:rFonts w:eastAsia="Calibri"/>
                <w:bCs/>
                <w:color w:val="FFFFFF" w:themeColor="background1"/>
                <w:sz w:val="20"/>
              </w:rPr>
              <w:t>Controlled clinical challenge study (cross-sectional, single-centre, with historical and concurrent controls)</w:t>
            </w:r>
          </w:p>
        </w:tc>
      </w:tr>
      <w:tr w:rsidR="00A467D6" w:rsidRPr="00336C85" w14:paraId="2624DC28" w14:textId="77777777" w:rsidTr="00F62C9B">
        <w:tc>
          <w:tcPr>
            <w:tcW w:w="2181" w:type="pct"/>
            <w:tcBorders>
              <w:top w:val="single" w:sz="4" w:space="0" w:color="FFFFFF" w:themeColor="background1"/>
              <w:bottom w:val="single" w:sz="4" w:space="0" w:color="FFFFFF" w:themeColor="background1"/>
              <w:right w:val="single" w:sz="4" w:space="0" w:color="FFFFFF" w:themeColor="background1"/>
            </w:tcBorders>
            <w:shd w:val="clear" w:color="auto" w:fill="3C533C" w:themeFill="text2"/>
          </w:tcPr>
          <w:p w14:paraId="59A571AB" w14:textId="77777777" w:rsidR="00A467D6" w:rsidRPr="00336C85" w:rsidRDefault="00A467D6" w:rsidP="00F62C9B">
            <w:pPr>
              <w:keepNext/>
              <w:rPr>
                <w:rFonts w:eastAsia="Calibri"/>
                <w:b/>
                <w:color w:val="FFFFFF" w:themeColor="background1"/>
                <w:sz w:val="20"/>
              </w:rPr>
            </w:pPr>
            <w:r w:rsidRPr="00336C85">
              <w:rPr>
                <w:rFonts w:eastAsia="Calibri"/>
                <w:b/>
                <w:color w:val="FFFFFF" w:themeColor="background1"/>
                <w:sz w:val="20"/>
              </w:rPr>
              <w:t>Study ID:</w:t>
            </w:r>
          </w:p>
        </w:tc>
        <w:tc>
          <w:tcPr>
            <w:tcW w:w="7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3B0695F2" w14:textId="77777777" w:rsidR="00A467D6" w:rsidRPr="00336C85" w:rsidRDefault="00A467D6" w:rsidP="00F62C9B">
            <w:pPr>
              <w:keepNext/>
              <w:rPr>
                <w:rFonts w:eastAsia="Calibri"/>
                <w:bCs/>
                <w:color w:val="FFFFFF" w:themeColor="background1"/>
                <w:sz w:val="20"/>
              </w:rPr>
            </w:pPr>
          </w:p>
        </w:tc>
        <w:tc>
          <w:tcPr>
            <w:tcW w:w="2088" w:type="pct"/>
            <w:tcBorders>
              <w:top w:val="single" w:sz="4" w:space="0" w:color="FFFFFF" w:themeColor="background1"/>
              <w:left w:val="single" w:sz="4" w:space="0" w:color="FFFFFF" w:themeColor="background1"/>
              <w:bottom w:val="single" w:sz="4" w:space="0" w:color="FFFFFF" w:themeColor="background1"/>
            </w:tcBorders>
            <w:shd w:val="clear" w:color="auto" w:fill="3C533C" w:themeFill="text2"/>
          </w:tcPr>
          <w:p w14:paraId="06B3432D" w14:textId="77777777" w:rsidR="00A467D6" w:rsidRPr="00336C85" w:rsidRDefault="00A467D6" w:rsidP="00F62C9B">
            <w:pPr>
              <w:keepNext/>
              <w:rPr>
                <w:rFonts w:eastAsia="Calibri"/>
                <w:bCs/>
                <w:color w:val="FFFFFF" w:themeColor="background1"/>
                <w:sz w:val="20"/>
              </w:rPr>
            </w:pPr>
            <w:r w:rsidRPr="0049610D">
              <w:rPr>
                <w:rFonts w:eastAsia="Calibri"/>
                <w:bCs/>
                <w:color w:val="FFFFFF" w:themeColor="background1"/>
                <w:sz w:val="20"/>
              </w:rPr>
              <w:t>Whyte et al. 2024</w:t>
            </w:r>
          </w:p>
        </w:tc>
      </w:tr>
      <w:tr w:rsidR="00A467D6" w:rsidRPr="00336C85" w14:paraId="0B251509" w14:textId="77777777" w:rsidTr="00F62C9B">
        <w:tc>
          <w:tcPr>
            <w:tcW w:w="2181" w:type="pct"/>
            <w:tcBorders>
              <w:top w:val="single" w:sz="4" w:space="0" w:color="FFFFFF" w:themeColor="background1"/>
              <w:bottom w:val="single" w:sz="4" w:space="0" w:color="FFFFFF" w:themeColor="background1"/>
              <w:right w:val="single" w:sz="4" w:space="0" w:color="FFFFFF" w:themeColor="background1"/>
            </w:tcBorders>
            <w:shd w:val="clear" w:color="auto" w:fill="3C533C" w:themeFill="text2"/>
          </w:tcPr>
          <w:p w14:paraId="6F1EB6F5" w14:textId="77777777" w:rsidR="00A467D6" w:rsidRPr="00336C85" w:rsidRDefault="00A467D6" w:rsidP="00F62C9B">
            <w:pPr>
              <w:keepNext/>
              <w:rPr>
                <w:rFonts w:eastAsia="Calibri"/>
                <w:b/>
                <w:color w:val="FFFFFF" w:themeColor="background1"/>
                <w:sz w:val="20"/>
              </w:rPr>
            </w:pPr>
            <w:r w:rsidRPr="00336C85">
              <w:rPr>
                <w:rFonts w:eastAsia="Calibri"/>
                <w:b/>
                <w:color w:val="FFFFFF" w:themeColor="background1"/>
                <w:sz w:val="20"/>
              </w:rPr>
              <w:t>Health Outcome:</w:t>
            </w:r>
          </w:p>
        </w:tc>
        <w:tc>
          <w:tcPr>
            <w:tcW w:w="7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085DB956" w14:textId="77777777" w:rsidR="00A467D6" w:rsidRPr="00336C85" w:rsidRDefault="00A467D6" w:rsidP="00F62C9B">
            <w:pPr>
              <w:keepNext/>
              <w:rPr>
                <w:rFonts w:eastAsia="Calibri"/>
                <w:bCs/>
                <w:color w:val="FFFFFF" w:themeColor="background1"/>
                <w:sz w:val="20"/>
              </w:rPr>
            </w:pPr>
          </w:p>
        </w:tc>
        <w:tc>
          <w:tcPr>
            <w:tcW w:w="2088" w:type="pct"/>
            <w:tcBorders>
              <w:top w:val="single" w:sz="4" w:space="0" w:color="FFFFFF" w:themeColor="background1"/>
              <w:left w:val="single" w:sz="4" w:space="0" w:color="FFFFFF" w:themeColor="background1"/>
              <w:bottom w:val="single" w:sz="4" w:space="0" w:color="FFFFFF" w:themeColor="background1"/>
            </w:tcBorders>
            <w:shd w:val="clear" w:color="auto" w:fill="3C533C" w:themeFill="text2"/>
          </w:tcPr>
          <w:p w14:paraId="0E9BD41D" w14:textId="105F6A89" w:rsidR="00A467D6" w:rsidRPr="00336C85" w:rsidRDefault="00A467D6" w:rsidP="00F62C9B">
            <w:pPr>
              <w:keepNext/>
              <w:rPr>
                <w:rFonts w:eastAsia="Calibri"/>
                <w:bCs/>
                <w:color w:val="FFFFFF" w:themeColor="background1"/>
                <w:sz w:val="20"/>
              </w:rPr>
            </w:pPr>
            <w:r w:rsidRPr="0049610D">
              <w:rPr>
                <w:rFonts w:eastAsia="Calibri"/>
                <w:bCs/>
                <w:color w:val="FFFFFF" w:themeColor="background1"/>
                <w:sz w:val="20"/>
              </w:rPr>
              <w:t>Plasma B6 vitamer responses</w:t>
            </w:r>
            <w:r>
              <w:rPr>
                <w:rFonts w:eastAsia="Calibri"/>
                <w:bCs/>
                <w:color w:val="FFFFFF" w:themeColor="background1"/>
                <w:sz w:val="20"/>
              </w:rPr>
              <w:t xml:space="preserve"> </w:t>
            </w:r>
            <w:r w:rsidRPr="0049610D">
              <w:rPr>
                <w:rFonts w:eastAsia="Calibri"/>
                <w:bCs/>
                <w:color w:val="FFFFFF" w:themeColor="background1"/>
                <w:sz w:val="20"/>
              </w:rPr>
              <w:t>to oral pyridoxine challenge</w:t>
            </w:r>
            <w:r w:rsidR="007A2564">
              <w:rPr>
                <w:rFonts w:eastAsia="Calibri"/>
                <w:bCs/>
                <w:color w:val="FFFFFF" w:themeColor="background1"/>
                <w:sz w:val="20"/>
              </w:rPr>
              <w:t xml:space="preserve"> – mechanistic information only</w:t>
            </w:r>
          </w:p>
        </w:tc>
      </w:tr>
      <w:tr w:rsidR="00A467D6" w:rsidRPr="00336C85" w14:paraId="28FFF3DF" w14:textId="77777777" w:rsidTr="00F62C9B">
        <w:tc>
          <w:tcPr>
            <w:tcW w:w="2181" w:type="pct"/>
            <w:tcBorders>
              <w:top w:val="single" w:sz="4" w:space="0" w:color="FFFFFF" w:themeColor="background1"/>
              <w:right w:val="single" w:sz="4" w:space="0" w:color="FFFFFF" w:themeColor="background1"/>
            </w:tcBorders>
            <w:shd w:val="clear" w:color="auto" w:fill="3C533C" w:themeFill="text2"/>
          </w:tcPr>
          <w:p w14:paraId="28A4AC19" w14:textId="77777777" w:rsidR="00A467D6" w:rsidRPr="00336C85" w:rsidRDefault="00A467D6" w:rsidP="00F62C9B">
            <w:pPr>
              <w:keepNext/>
              <w:rPr>
                <w:rFonts w:eastAsia="Calibri"/>
                <w:b/>
                <w:color w:val="FFFFFF" w:themeColor="background1"/>
                <w:sz w:val="20"/>
              </w:rPr>
            </w:pPr>
            <w:r w:rsidRPr="00336C85">
              <w:rPr>
                <w:rFonts w:eastAsia="Calibri"/>
                <w:b/>
                <w:color w:val="FFFFFF" w:themeColor="background1"/>
                <w:sz w:val="20"/>
              </w:rPr>
              <w:t>Bias Domain</w:t>
            </w:r>
          </w:p>
        </w:tc>
        <w:tc>
          <w:tcPr>
            <w:tcW w:w="731" w:type="pct"/>
            <w:tcBorders>
              <w:top w:val="single" w:sz="4" w:space="0" w:color="FFFFFF" w:themeColor="background1"/>
              <w:left w:val="single" w:sz="4" w:space="0" w:color="FFFFFF" w:themeColor="background1"/>
              <w:right w:val="single" w:sz="4" w:space="0" w:color="FFFFFF" w:themeColor="background1"/>
            </w:tcBorders>
            <w:shd w:val="clear" w:color="auto" w:fill="3C533C" w:themeFill="text2"/>
          </w:tcPr>
          <w:p w14:paraId="506B0CE7" w14:textId="77777777" w:rsidR="00A467D6" w:rsidRPr="00336C85" w:rsidRDefault="00A467D6" w:rsidP="00F62C9B">
            <w:pPr>
              <w:keepNext/>
              <w:rPr>
                <w:rFonts w:eastAsia="Calibri"/>
                <w:b/>
                <w:color w:val="FFFFFF" w:themeColor="background1"/>
                <w:sz w:val="20"/>
              </w:rPr>
            </w:pPr>
            <w:r>
              <w:rPr>
                <w:rFonts w:eastAsia="Calibri"/>
                <w:b/>
                <w:color w:val="FFFFFF" w:themeColor="background1"/>
                <w:sz w:val="20"/>
              </w:rPr>
              <w:t>Rate</w:t>
            </w:r>
          </w:p>
        </w:tc>
        <w:tc>
          <w:tcPr>
            <w:tcW w:w="2088" w:type="pct"/>
            <w:tcBorders>
              <w:top w:val="single" w:sz="4" w:space="0" w:color="FFFFFF" w:themeColor="background1"/>
              <w:left w:val="single" w:sz="4" w:space="0" w:color="FFFFFF" w:themeColor="background1"/>
            </w:tcBorders>
            <w:shd w:val="clear" w:color="auto" w:fill="3C533C" w:themeFill="text2"/>
          </w:tcPr>
          <w:p w14:paraId="35DAE13F" w14:textId="77777777" w:rsidR="00A467D6" w:rsidRPr="00336C85" w:rsidRDefault="00A467D6" w:rsidP="00F62C9B">
            <w:pPr>
              <w:keepNext/>
              <w:rPr>
                <w:rFonts w:eastAsia="Calibri"/>
                <w:b/>
                <w:color w:val="FFFFFF" w:themeColor="background1"/>
                <w:sz w:val="20"/>
              </w:rPr>
            </w:pPr>
            <w:r>
              <w:rPr>
                <w:rFonts w:eastAsia="Calibri"/>
                <w:b/>
                <w:color w:val="FFFFFF" w:themeColor="background1"/>
                <w:sz w:val="20"/>
              </w:rPr>
              <w:t>Comment</w:t>
            </w:r>
          </w:p>
        </w:tc>
      </w:tr>
      <w:tr w:rsidR="00A467D6" w:rsidRPr="00336C85" w14:paraId="043782C5" w14:textId="77777777" w:rsidTr="00F62C9B">
        <w:trPr>
          <w:trHeight w:val="53"/>
        </w:trPr>
        <w:tc>
          <w:tcPr>
            <w:tcW w:w="2181" w:type="pct"/>
          </w:tcPr>
          <w:p w14:paraId="7E3B7E83" w14:textId="77777777" w:rsidR="00A467D6" w:rsidRPr="00336C85" w:rsidRDefault="00A467D6" w:rsidP="00F62C9B">
            <w:pPr>
              <w:rPr>
                <w:b/>
                <w:bCs/>
                <w:sz w:val="20"/>
              </w:rPr>
            </w:pPr>
            <w:r w:rsidRPr="00336C85">
              <w:rPr>
                <w:b/>
                <w:bCs/>
                <w:sz w:val="20"/>
              </w:rPr>
              <w:t>Selection</w:t>
            </w:r>
          </w:p>
        </w:tc>
        <w:tc>
          <w:tcPr>
            <w:tcW w:w="731" w:type="pct"/>
          </w:tcPr>
          <w:p w14:paraId="4B7152E3" w14:textId="77777777" w:rsidR="00A467D6" w:rsidRPr="00336C85" w:rsidRDefault="00A467D6" w:rsidP="00F62C9B">
            <w:pPr>
              <w:rPr>
                <w:sz w:val="20"/>
              </w:rPr>
            </w:pPr>
          </w:p>
        </w:tc>
        <w:tc>
          <w:tcPr>
            <w:tcW w:w="2088" w:type="pct"/>
          </w:tcPr>
          <w:p w14:paraId="5585AC80" w14:textId="77777777" w:rsidR="00A467D6" w:rsidRPr="00336C85" w:rsidRDefault="00A467D6" w:rsidP="00F62C9B">
            <w:pPr>
              <w:rPr>
                <w:sz w:val="20"/>
              </w:rPr>
            </w:pPr>
          </w:p>
        </w:tc>
      </w:tr>
      <w:tr w:rsidR="00A467D6" w:rsidRPr="00336C85" w14:paraId="3B14AFFA" w14:textId="77777777" w:rsidTr="00F62C9B">
        <w:trPr>
          <w:trHeight w:val="52"/>
        </w:trPr>
        <w:tc>
          <w:tcPr>
            <w:tcW w:w="2181" w:type="pct"/>
          </w:tcPr>
          <w:p w14:paraId="60A071FE" w14:textId="77777777" w:rsidR="00A467D6" w:rsidRPr="00336C85" w:rsidRDefault="00A467D6" w:rsidP="00F62C9B">
            <w:pPr>
              <w:rPr>
                <w:sz w:val="20"/>
              </w:rPr>
            </w:pPr>
            <w:r w:rsidRPr="00336C85">
              <w:rPr>
                <w:sz w:val="20"/>
              </w:rPr>
              <w:t>Was administered dose or exposure level adequately randomized?</w:t>
            </w:r>
          </w:p>
        </w:tc>
        <w:tc>
          <w:tcPr>
            <w:tcW w:w="731" w:type="pct"/>
            <w:shd w:val="clear" w:color="auto" w:fill="D9D9D9" w:themeFill="background1" w:themeFillShade="D9"/>
          </w:tcPr>
          <w:p w14:paraId="0642007B" w14:textId="77777777" w:rsidR="00A467D6" w:rsidRPr="00336C85" w:rsidRDefault="00A467D6" w:rsidP="00F62C9B">
            <w:pPr>
              <w:rPr>
                <w:sz w:val="20"/>
              </w:rPr>
            </w:pPr>
            <w:r>
              <w:rPr>
                <w:sz w:val="20"/>
              </w:rPr>
              <w:t>NA</w:t>
            </w:r>
          </w:p>
        </w:tc>
        <w:tc>
          <w:tcPr>
            <w:tcW w:w="2088" w:type="pct"/>
          </w:tcPr>
          <w:p w14:paraId="2D19350B" w14:textId="77777777" w:rsidR="00A467D6" w:rsidRPr="00336C85" w:rsidRDefault="00A467D6" w:rsidP="00F62C9B">
            <w:pPr>
              <w:rPr>
                <w:sz w:val="20"/>
              </w:rPr>
            </w:pPr>
            <w:r w:rsidRPr="0049610D">
              <w:rPr>
                <w:sz w:val="20"/>
              </w:rPr>
              <w:t>All participants received the same weight-based PN challenge (1/3 mg/kg/day × 6 days); no randomisation to dose groups was relevant or attempted.</w:t>
            </w:r>
          </w:p>
        </w:tc>
      </w:tr>
      <w:tr w:rsidR="00A467D6" w:rsidRPr="00336C85" w14:paraId="783E8D62" w14:textId="77777777" w:rsidTr="00F62C9B">
        <w:trPr>
          <w:trHeight w:val="52"/>
        </w:trPr>
        <w:tc>
          <w:tcPr>
            <w:tcW w:w="2181" w:type="pct"/>
          </w:tcPr>
          <w:p w14:paraId="23AFE084" w14:textId="77777777" w:rsidR="00A467D6" w:rsidRPr="00336C85" w:rsidRDefault="00A467D6" w:rsidP="00F62C9B">
            <w:pPr>
              <w:rPr>
                <w:sz w:val="20"/>
              </w:rPr>
            </w:pPr>
            <w:r w:rsidRPr="00336C85">
              <w:rPr>
                <w:sz w:val="20"/>
              </w:rPr>
              <w:t>Was allocation to study groups adequately concealed?</w:t>
            </w:r>
          </w:p>
        </w:tc>
        <w:tc>
          <w:tcPr>
            <w:tcW w:w="731" w:type="pct"/>
            <w:shd w:val="clear" w:color="auto" w:fill="D9D9D9" w:themeFill="background1" w:themeFillShade="D9"/>
          </w:tcPr>
          <w:p w14:paraId="2D44E180" w14:textId="77777777" w:rsidR="00A467D6" w:rsidRPr="00336C85" w:rsidRDefault="00A467D6" w:rsidP="00F62C9B">
            <w:pPr>
              <w:rPr>
                <w:sz w:val="20"/>
              </w:rPr>
            </w:pPr>
            <w:r>
              <w:rPr>
                <w:sz w:val="20"/>
              </w:rPr>
              <w:t>NA</w:t>
            </w:r>
          </w:p>
        </w:tc>
        <w:tc>
          <w:tcPr>
            <w:tcW w:w="2088" w:type="pct"/>
          </w:tcPr>
          <w:p w14:paraId="468BB228" w14:textId="77777777" w:rsidR="00A467D6" w:rsidRPr="00336C85" w:rsidRDefault="00A467D6" w:rsidP="00F62C9B">
            <w:pPr>
              <w:rPr>
                <w:sz w:val="20"/>
              </w:rPr>
            </w:pPr>
            <w:r w:rsidRPr="00EB2F54">
              <w:rPr>
                <w:sz w:val="20"/>
              </w:rPr>
              <w:t>Groups were defined by clinical diagnosis, not by allocation.</w:t>
            </w:r>
          </w:p>
        </w:tc>
      </w:tr>
      <w:tr w:rsidR="00A467D6" w:rsidRPr="00336C85" w14:paraId="11D30C65" w14:textId="77777777" w:rsidTr="00F62C9B">
        <w:trPr>
          <w:trHeight w:val="52"/>
        </w:trPr>
        <w:tc>
          <w:tcPr>
            <w:tcW w:w="2181" w:type="pct"/>
          </w:tcPr>
          <w:p w14:paraId="12C2D52D" w14:textId="77777777" w:rsidR="00A467D6" w:rsidRPr="00336C85" w:rsidRDefault="00A467D6" w:rsidP="00F62C9B">
            <w:pPr>
              <w:rPr>
                <w:sz w:val="20"/>
              </w:rPr>
            </w:pPr>
            <w:r w:rsidRPr="00336C85">
              <w:rPr>
                <w:sz w:val="20"/>
              </w:rPr>
              <w:t>Were the comparison groups appropriate?</w:t>
            </w:r>
          </w:p>
        </w:tc>
        <w:tc>
          <w:tcPr>
            <w:tcW w:w="731" w:type="pct"/>
            <w:shd w:val="clear" w:color="auto" w:fill="92D050"/>
          </w:tcPr>
          <w:p w14:paraId="5778DA77" w14:textId="77777777" w:rsidR="00A467D6" w:rsidRPr="00336C85" w:rsidRDefault="00A467D6" w:rsidP="00F62C9B">
            <w:pPr>
              <w:rPr>
                <w:sz w:val="20"/>
              </w:rPr>
            </w:pPr>
            <w:r>
              <w:rPr>
                <w:sz w:val="20"/>
              </w:rPr>
              <w:t>+</w:t>
            </w:r>
          </w:p>
        </w:tc>
        <w:tc>
          <w:tcPr>
            <w:tcW w:w="2088" w:type="pct"/>
          </w:tcPr>
          <w:p w14:paraId="5261ED22" w14:textId="77777777" w:rsidR="00A467D6" w:rsidRPr="00336C85" w:rsidRDefault="00A467D6" w:rsidP="00F62C9B">
            <w:pPr>
              <w:rPr>
                <w:sz w:val="20"/>
              </w:rPr>
            </w:pPr>
            <w:r w:rsidRPr="00EB2F54">
              <w:rPr>
                <w:sz w:val="20"/>
              </w:rPr>
              <w:t>Active control groups were appropriate, but some comparator limitations remain, including lack of PN challenge in healthy paediatric controls and use of historical adult reference samples, which may introduce temporal or methodological inconsistency.</w:t>
            </w:r>
          </w:p>
        </w:tc>
      </w:tr>
      <w:tr w:rsidR="00A467D6" w:rsidRPr="00336C85" w14:paraId="17CE9E9C" w14:textId="77777777" w:rsidTr="00F62C9B">
        <w:trPr>
          <w:trHeight w:val="79"/>
        </w:trPr>
        <w:tc>
          <w:tcPr>
            <w:tcW w:w="2181" w:type="pct"/>
          </w:tcPr>
          <w:p w14:paraId="688F2667" w14:textId="77777777" w:rsidR="00A467D6" w:rsidRPr="00336C85" w:rsidRDefault="00A467D6" w:rsidP="00F62C9B">
            <w:pPr>
              <w:rPr>
                <w:b/>
                <w:bCs/>
                <w:sz w:val="20"/>
              </w:rPr>
            </w:pPr>
            <w:r w:rsidRPr="00336C85">
              <w:rPr>
                <w:b/>
                <w:bCs/>
                <w:sz w:val="20"/>
              </w:rPr>
              <w:t>Confounding – KEY DOMAIN</w:t>
            </w:r>
          </w:p>
        </w:tc>
        <w:tc>
          <w:tcPr>
            <w:tcW w:w="731" w:type="pct"/>
          </w:tcPr>
          <w:p w14:paraId="56C12199" w14:textId="77777777" w:rsidR="00A467D6" w:rsidRPr="00336C85" w:rsidRDefault="00A467D6" w:rsidP="00F62C9B">
            <w:pPr>
              <w:rPr>
                <w:sz w:val="20"/>
              </w:rPr>
            </w:pPr>
          </w:p>
        </w:tc>
        <w:tc>
          <w:tcPr>
            <w:tcW w:w="2088" w:type="pct"/>
          </w:tcPr>
          <w:p w14:paraId="4A32BECD" w14:textId="77777777" w:rsidR="00A467D6" w:rsidRPr="00336C85" w:rsidRDefault="00A467D6" w:rsidP="00F62C9B">
            <w:pPr>
              <w:rPr>
                <w:sz w:val="20"/>
              </w:rPr>
            </w:pPr>
          </w:p>
        </w:tc>
      </w:tr>
      <w:tr w:rsidR="00A467D6" w:rsidRPr="00336C85" w14:paraId="0E1062F4" w14:textId="77777777" w:rsidTr="00F62C9B">
        <w:trPr>
          <w:trHeight w:val="78"/>
        </w:trPr>
        <w:tc>
          <w:tcPr>
            <w:tcW w:w="2181" w:type="pct"/>
          </w:tcPr>
          <w:p w14:paraId="6CA77BDE" w14:textId="77777777" w:rsidR="00A467D6" w:rsidRPr="00336C85" w:rsidRDefault="00A467D6" w:rsidP="00F62C9B">
            <w:pPr>
              <w:rPr>
                <w:sz w:val="20"/>
              </w:rPr>
            </w:pPr>
            <w:r w:rsidRPr="00336C85">
              <w:rPr>
                <w:sz w:val="20"/>
              </w:rPr>
              <w:t>Does the study design or analysis account for important confounding and modifying variables?</w:t>
            </w:r>
          </w:p>
        </w:tc>
        <w:tc>
          <w:tcPr>
            <w:tcW w:w="731" w:type="pct"/>
            <w:shd w:val="clear" w:color="auto" w:fill="FDCBD1"/>
          </w:tcPr>
          <w:p w14:paraId="7047F280" w14:textId="77777777" w:rsidR="00A467D6" w:rsidRPr="00336C85" w:rsidRDefault="00A467D6" w:rsidP="00F62C9B">
            <w:pPr>
              <w:rPr>
                <w:sz w:val="20"/>
              </w:rPr>
            </w:pPr>
            <w:r>
              <w:rPr>
                <w:sz w:val="20"/>
              </w:rPr>
              <w:t>-</w:t>
            </w:r>
          </w:p>
        </w:tc>
        <w:tc>
          <w:tcPr>
            <w:tcW w:w="2088" w:type="pct"/>
          </w:tcPr>
          <w:p w14:paraId="132F0646" w14:textId="77777777" w:rsidR="00A467D6" w:rsidRPr="00336C85" w:rsidRDefault="00A467D6" w:rsidP="00F62C9B">
            <w:pPr>
              <w:rPr>
                <w:sz w:val="20"/>
              </w:rPr>
            </w:pPr>
            <w:r w:rsidRPr="00EB2F54">
              <w:rPr>
                <w:sz w:val="20"/>
              </w:rPr>
              <w:t xml:space="preserve">Confounding was not well controlled across the long study period, with limited reporting on diet, nutritional status, </w:t>
            </w:r>
            <w:r w:rsidRPr="00EB2F54">
              <w:rPr>
                <w:sz w:val="20"/>
              </w:rPr>
              <w:lastRenderedPageBreak/>
              <w:t>medications, and age-related factors. The change in PN formulation over time may also have affected absorption and B6 vitamer responses.</w:t>
            </w:r>
          </w:p>
        </w:tc>
      </w:tr>
      <w:tr w:rsidR="00A467D6" w:rsidRPr="00336C85" w14:paraId="28CE9008" w14:textId="77777777" w:rsidTr="00F62C9B">
        <w:trPr>
          <w:trHeight w:val="53"/>
        </w:trPr>
        <w:tc>
          <w:tcPr>
            <w:tcW w:w="2181" w:type="pct"/>
          </w:tcPr>
          <w:p w14:paraId="25B0F4F9" w14:textId="77777777" w:rsidR="00A467D6" w:rsidRPr="00336C85" w:rsidRDefault="00A467D6" w:rsidP="00F62C9B">
            <w:pPr>
              <w:rPr>
                <w:b/>
                <w:bCs/>
                <w:sz w:val="20"/>
              </w:rPr>
            </w:pPr>
            <w:r w:rsidRPr="00336C85">
              <w:rPr>
                <w:b/>
                <w:bCs/>
                <w:sz w:val="20"/>
              </w:rPr>
              <w:lastRenderedPageBreak/>
              <w:t>Performance</w:t>
            </w:r>
          </w:p>
        </w:tc>
        <w:tc>
          <w:tcPr>
            <w:tcW w:w="731" w:type="pct"/>
          </w:tcPr>
          <w:p w14:paraId="10B2AF21" w14:textId="77777777" w:rsidR="00A467D6" w:rsidRPr="00336C85" w:rsidRDefault="00A467D6" w:rsidP="00F62C9B">
            <w:pPr>
              <w:rPr>
                <w:sz w:val="20"/>
              </w:rPr>
            </w:pPr>
          </w:p>
        </w:tc>
        <w:tc>
          <w:tcPr>
            <w:tcW w:w="2088" w:type="pct"/>
          </w:tcPr>
          <w:p w14:paraId="31F54115" w14:textId="77777777" w:rsidR="00A467D6" w:rsidRPr="00336C85" w:rsidRDefault="00A467D6" w:rsidP="00F62C9B">
            <w:pPr>
              <w:rPr>
                <w:sz w:val="20"/>
              </w:rPr>
            </w:pPr>
          </w:p>
        </w:tc>
      </w:tr>
      <w:tr w:rsidR="00A467D6" w:rsidRPr="00336C85" w14:paraId="50AAAD90" w14:textId="77777777" w:rsidTr="00F62C9B">
        <w:trPr>
          <w:trHeight w:val="52"/>
        </w:trPr>
        <w:tc>
          <w:tcPr>
            <w:tcW w:w="2181" w:type="pct"/>
          </w:tcPr>
          <w:p w14:paraId="17784EBD" w14:textId="77777777" w:rsidR="00A467D6" w:rsidRPr="00336C85" w:rsidRDefault="00A467D6" w:rsidP="00F62C9B">
            <w:pPr>
              <w:rPr>
                <w:sz w:val="20"/>
              </w:rPr>
            </w:pPr>
            <w:r w:rsidRPr="00336C85">
              <w:rPr>
                <w:rFonts w:eastAsia="Calibri" w:cs="Arial"/>
                <w:sz w:val="20"/>
                <w:lang w:val="en-GB"/>
              </w:rPr>
              <w:t>Were experimental conditions identical across study groups?</w:t>
            </w:r>
          </w:p>
        </w:tc>
        <w:tc>
          <w:tcPr>
            <w:tcW w:w="731" w:type="pct"/>
            <w:shd w:val="clear" w:color="auto" w:fill="FDCBD1"/>
          </w:tcPr>
          <w:p w14:paraId="7D71553D" w14:textId="77777777" w:rsidR="00A467D6" w:rsidRPr="00336C85" w:rsidRDefault="00A467D6" w:rsidP="00F62C9B">
            <w:pPr>
              <w:rPr>
                <w:sz w:val="20"/>
              </w:rPr>
            </w:pPr>
            <w:r>
              <w:rPr>
                <w:sz w:val="20"/>
              </w:rPr>
              <w:t>-</w:t>
            </w:r>
          </w:p>
        </w:tc>
        <w:tc>
          <w:tcPr>
            <w:tcW w:w="2088" w:type="pct"/>
          </w:tcPr>
          <w:p w14:paraId="7FE00848" w14:textId="77777777" w:rsidR="00A467D6" w:rsidRPr="00336C85" w:rsidRDefault="00A467D6" w:rsidP="00F62C9B">
            <w:pPr>
              <w:rPr>
                <w:sz w:val="20"/>
              </w:rPr>
            </w:pPr>
            <w:r w:rsidRPr="00EB2F54">
              <w:rPr>
                <w:sz w:val="20"/>
              </w:rPr>
              <w:t>Experimental conditions were not fully consistent due to differences in fasting status and PN formulation over time. However, post-challenge blood collection timing was standardised across groups.</w:t>
            </w:r>
          </w:p>
        </w:tc>
      </w:tr>
      <w:tr w:rsidR="00A467D6" w:rsidRPr="00336C85" w14:paraId="1E096879" w14:textId="77777777" w:rsidTr="00F62C9B">
        <w:trPr>
          <w:trHeight w:val="52"/>
        </w:trPr>
        <w:tc>
          <w:tcPr>
            <w:tcW w:w="2181" w:type="pct"/>
          </w:tcPr>
          <w:p w14:paraId="3ED14D72" w14:textId="77777777" w:rsidR="00A467D6" w:rsidRPr="00336C85" w:rsidRDefault="00A467D6" w:rsidP="00F62C9B">
            <w:pPr>
              <w:rPr>
                <w:rFonts w:eastAsia="Calibri" w:cs="Arial"/>
                <w:sz w:val="20"/>
                <w:lang w:val="en-GB"/>
              </w:rPr>
            </w:pPr>
            <w:r w:rsidRPr="00336C85">
              <w:rPr>
                <w:rFonts w:eastAsia="Calibri" w:cs="Arial"/>
                <w:sz w:val="20"/>
                <w:lang w:val="en-GB"/>
              </w:rPr>
              <w:t>Were the research personnel and human subjects blinded to the study group during the study?</w:t>
            </w:r>
          </w:p>
        </w:tc>
        <w:tc>
          <w:tcPr>
            <w:tcW w:w="731" w:type="pct"/>
            <w:shd w:val="clear" w:color="auto" w:fill="FDCBD1"/>
          </w:tcPr>
          <w:p w14:paraId="7E94E9F9" w14:textId="77777777" w:rsidR="00A467D6" w:rsidRPr="00336C85" w:rsidRDefault="00A467D6" w:rsidP="00F62C9B">
            <w:pPr>
              <w:rPr>
                <w:sz w:val="20"/>
              </w:rPr>
            </w:pPr>
            <w:r>
              <w:rPr>
                <w:sz w:val="20"/>
              </w:rPr>
              <w:t>NR</w:t>
            </w:r>
          </w:p>
        </w:tc>
        <w:tc>
          <w:tcPr>
            <w:tcW w:w="2088" w:type="pct"/>
          </w:tcPr>
          <w:p w14:paraId="31E0F450" w14:textId="77777777" w:rsidR="00A467D6" w:rsidRPr="00336C85" w:rsidRDefault="00A467D6" w:rsidP="00F62C9B">
            <w:pPr>
              <w:rPr>
                <w:sz w:val="20"/>
              </w:rPr>
            </w:pPr>
            <w:r w:rsidRPr="00EB2F54">
              <w:rPr>
                <w:sz w:val="20"/>
              </w:rPr>
              <w:t>Blinding is not described. B6 vitamer assays were performed at a separate laboratory (Purdue University), which provides some separation, but blinding to diagnostic group is not stated.</w:t>
            </w:r>
          </w:p>
        </w:tc>
      </w:tr>
      <w:tr w:rsidR="00A467D6" w:rsidRPr="00336C85" w14:paraId="1055A185" w14:textId="77777777" w:rsidTr="00F62C9B">
        <w:tc>
          <w:tcPr>
            <w:tcW w:w="2181" w:type="pct"/>
          </w:tcPr>
          <w:p w14:paraId="69F9A167" w14:textId="77777777" w:rsidR="00A467D6" w:rsidRPr="00336C85" w:rsidRDefault="00A467D6" w:rsidP="00F62C9B">
            <w:pPr>
              <w:rPr>
                <w:sz w:val="20"/>
              </w:rPr>
            </w:pPr>
            <w:r w:rsidRPr="00336C85">
              <w:rPr>
                <w:rFonts w:eastAsia="Calibri" w:cs="Arial"/>
                <w:b/>
                <w:bCs/>
                <w:sz w:val="20"/>
                <w:lang w:val="en-GB"/>
              </w:rPr>
              <w:t xml:space="preserve">Attrition / Exclusion </w:t>
            </w:r>
          </w:p>
        </w:tc>
        <w:tc>
          <w:tcPr>
            <w:tcW w:w="731" w:type="pct"/>
          </w:tcPr>
          <w:p w14:paraId="28B1D625" w14:textId="77777777" w:rsidR="00A467D6" w:rsidRPr="00336C85" w:rsidRDefault="00A467D6" w:rsidP="00F62C9B">
            <w:pPr>
              <w:rPr>
                <w:sz w:val="20"/>
              </w:rPr>
            </w:pPr>
          </w:p>
        </w:tc>
        <w:tc>
          <w:tcPr>
            <w:tcW w:w="2088" w:type="pct"/>
          </w:tcPr>
          <w:p w14:paraId="4971083B" w14:textId="77777777" w:rsidR="00A467D6" w:rsidRPr="00336C85" w:rsidRDefault="00A467D6" w:rsidP="00F62C9B">
            <w:pPr>
              <w:rPr>
                <w:sz w:val="20"/>
              </w:rPr>
            </w:pPr>
          </w:p>
        </w:tc>
      </w:tr>
      <w:tr w:rsidR="00A467D6" w:rsidRPr="00336C85" w14:paraId="1BBE2597" w14:textId="77777777" w:rsidTr="00F62C9B">
        <w:tc>
          <w:tcPr>
            <w:tcW w:w="2181" w:type="pct"/>
          </w:tcPr>
          <w:p w14:paraId="402215E0" w14:textId="77777777" w:rsidR="00A467D6" w:rsidRPr="00336C85" w:rsidRDefault="00A467D6" w:rsidP="00F62C9B">
            <w:pPr>
              <w:rPr>
                <w:rFonts w:eastAsia="Calibri" w:cs="Arial"/>
                <w:b/>
                <w:bCs/>
                <w:sz w:val="20"/>
                <w:lang w:val="en-GB"/>
              </w:rPr>
            </w:pPr>
            <w:r w:rsidRPr="00336C85">
              <w:rPr>
                <w:rFonts w:eastAsia="Calibri" w:cs="Arial"/>
                <w:sz w:val="20"/>
                <w:lang w:val="en-GB"/>
              </w:rPr>
              <w:t>Were outcome data incomplete because of attrition or exclusion from analysis?</w:t>
            </w:r>
          </w:p>
        </w:tc>
        <w:tc>
          <w:tcPr>
            <w:tcW w:w="731" w:type="pct"/>
            <w:shd w:val="clear" w:color="auto" w:fill="FDCBD1"/>
          </w:tcPr>
          <w:p w14:paraId="76AE12CE" w14:textId="77777777" w:rsidR="00A467D6" w:rsidRPr="00336C85" w:rsidRDefault="00A467D6" w:rsidP="00F62C9B">
            <w:pPr>
              <w:rPr>
                <w:sz w:val="20"/>
              </w:rPr>
            </w:pPr>
            <w:r>
              <w:rPr>
                <w:sz w:val="20"/>
              </w:rPr>
              <w:t>-</w:t>
            </w:r>
          </w:p>
        </w:tc>
        <w:tc>
          <w:tcPr>
            <w:tcW w:w="2088" w:type="pct"/>
          </w:tcPr>
          <w:p w14:paraId="0F146046" w14:textId="77777777" w:rsidR="00A467D6" w:rsidRPr="00336C85" w:rsidRDefault="00A467D6" w:rsidP="00F62C9B">
            <w:pPr>
              <w:rPr>
                <w:sz w:val="20"/>
              </w:rPr>
            </w:pPr>
            <w:r w:rsidRPr="00EB2F54">
              <w:rPr>
                <w:sz w:val="20"/>
              </w:rPr>
              <w:t>Attrition/exclusion concerns include exclusion of one extreme outlier without a pre-specified rule, missing pre-challenge PL data for some healthy adults, and no multiplicity assessment due to small subgroup sizes.</w:t>
            </w:r>
          </w:p>
        </w:tc>
      </w:tr>
      <w:tr w:rsidR="00A467D6" w:rsidRPr="00336C85" w14:paraId="35B5A5F3" w14:textId="77777777" w:rsidTr="00F62C9B">
        <w:trPr>
          <w:trHeight w:val="81"/>
        </w:trPr>
        <w:tc>
          <w:tcPr>
            <w:tcW w:w="2181" w:type="pct"/>
          </w:tcPr>
          <w:p w14:paraId="68B4C242" w14:textId="77777777" w:rsidR="00A467D6" w:rsidRPr="00336C85" w:rsidRDefault="00A467D6" w:rsidP="00F62C9B">
            <w:pPr>
              <w:rPr>
                <w:sz w:val="20"/>
              </w:rPr>
            </w:pPr>
            <w:r w:rsidRPr="00336C85">
              <w:rPr>
                <w:rFonts w:ascii="Aptos" w:eastAsia="Calibri" w:hAnsi="Aptos" w:cs="Arial"/>
                <w:b/>
                <w:bCs/>
                <w:kern w:val="2"/>
                <w:sz w:val="20"/>
                <w:lang w:eastAsia="en-US"/>
                <w14:ligatures w14:val="standardContextual"/>
              </w:rPr>
              <w:t>Detection bias – KEY DOMAIN</w:t>
            </w:r>
          </w:p>
        </w:tc>
        <w:tc>
          <w:tcPr>
            <w:tcW w:w="731" w:type="pct"/>
          </w:tcPr>
          <w:p w14:paraId="798D44DA" w14:textId="77777777" w:rsidR="00A467D6" w:rsidRPr="00336C85" w:rsidRDefault="00A467D6" w:rsidP="00F62C9B">
            <w:pPr>
              <w:rPr>
                <w:sz w:val="20"/>
              </w:rPr>
            </w:pPr>
          </w:p>
        </w:tc>
        <w:tc>
          <w:tcPr>
            <w:tcW w:w="2088" w:type="pct"/>
          </w:tcPr>
          <w:p w14:paraId="3B974818" w14:textId="77777777" w:rsidR="00A467D6" w:rsidRPr="00336C85" w:rsidRDefault="00A467D6" w:rsidP="00F62C9B">
            <w:pPr>
              <w:rPr>
                <w:sz w:val="20"/>
              </w:rPr>
            </w:pPr>
          </w:p>
        </w:tc>
      </w:tr>
      <w:tr w:rsidR="00A467D6" w:rsidRPr="00336C85" w14:paraId="7BA6E687" w14:textId="77777777" w:rsidTr="00F62C9B">
        <w:trPr>
          <w:trHeight w:val="80"/>
        </w:trPr>
        <w:tc>
          <w:tcPr>
            <w:tcW w:w="2181" w:type="pct"/>
          </w:tcPr>
          <w:p w14:paraId="14AC1DF7" w14:textId="77777777" w:rsidR="00A467D6" w:rsidRPr="00336C85" w:rsidRDefault="00A467D6" w:rsidP="00F62C9B">
            <w:pPr>
              <w:rPr>
                <w:rFonts w:ascii="Aptos" w:eastAsia="Calibri" w:hAnsi="Aptos" w:cs="Arial"/>
                <w:b/>
                <w:bCs/>
                <w:kern w:val="2"/>
                <w:sz w:val="20"/>
                <w14:ligatures w14:val="standardContextual"/>
              </w:rPr>
            </w:pPr>
            <w:r w:rsidRPr="00336C85">
              <w:rPr>
                <w:rFonts w:eastAsia="Calibri" w:cs="Arial"/>
                <w:sz w:val="20"/>
                <w:lang w:val="en-GB"/>
              </w:rPr>
              <w:t>KEY - Can we be confident in the exposure characterisation?</w:t>
            </w:r>
          </w:p>
        </w:tc>
        <w:tc>
          <w:tcPr>
            <w:tcW w:w="731" w:type="pct"/>
            <w:shd w:val="clear" w:color="auto" w:fill="92D050"/>
          </w:tcPr>
          <w:p w14:paraId="2A065989" w14:textId="77777777" w:rsidR="00A467D6" w:rsidRPr="00336C85" w:rsidRDefault="00A467D6" w:rsidP="00F62C9B">
            <w:pPr>
              <w:rPr>
                <w:sz w:val="20"/>
              </w:rPr>
            </w:pPr>
            <w:r>
              <w:rPr>
                <w:sz w:val="20"/>
              </w:rPr>
              <w:t>+</w:t>
            </w:r>
          </w:p>
        </w:tc>
        <w:tc>
          <w:tcPr>
            <w:tcW w:w="2088" w:type="pct"/>
          </w:tcPr>
          <w:p w14:paraId="50A59737" w14:textId="77777777" w:rsidR="00A467D6" w:rsidRPr="00336C85" w:rsidRDefault="00A467D6" w:rsidP="00F62C9B">
            <w:pPr>
              <w:rPr>
                <w:sz w:val="20"/>
              </w:rPr>
            </w:pPr>
            <w:r w:rsidRPr="00EB2F54">
              <w:rPr>
                <w:sz w:val="20"/>
              </w:rPr>
              <w:t>The PN dose was weight-based and consistently administered, with PA increases used as a compliance check. The formulation change is a limitation but is acknowledged.</w:t>
            </w:r>
          </w:p>
        </w:tc>
      </w:tr>
      <w:tr w:rsidR="00A467D6" w:rsidRPr="00336C85" w14:paraId="5015E569" w14:textId="77777777" w:rsidTr="00F62C9B">
        <w:trPr>
          <w:trHeight w:val="80"/>
        </w:trPr>
        <w:tc>
          <w:tcPr>
            <w:tcW w:w="2181" w:type="pct"/>
          </w:tcPr>
          <w:p w14:paraId="4CE6C92B" w14:textId="77777777" w:rsidR="00A467D6" w:rsidRPr="00336C85" w:rsidRDefault="00A467D6" w:rsidP="00F62C9B">
            <w:pPr>
              <w:rPr>
                <w:rFonts w:eastAsia="Calibri" w:cs="Arial"/>
                <w:sz w:val="20"/>
                <w:lang w:val="en-GB"/>
              </w:rPr>
            </w:pPr>
            <w:r w:rsidRPr="00336C85">
              <w:rPr>
                <w:rFonts w:eastAsia="Calibri" w:cs="Arial"/>
                <w:sz w:val="20"/>
                <w:lang w:val="en-GB"/>
              </w:rPr>
              <w:t>KEY - Can we be confident in the outcome assessment?</w:t>
            </w:r>
          </w:p>
        </w:tc>
        <w:tc>
          <w:tcPr>
            <w:tcW w:w="731" w:type="pct"/>
            <w:shd w:val="clear" w:color="auto" w:fill="92D050"/>
          </w:tcPr>
          <w:p w14:paraId="4CC067D6" w14:textId="77777777" w:rsidR="00A467D6" w:rsidRPr="00336C85" w:rsidRDefault="00A467D6" w:rsidP="00F62C9B">
            <w:pPr>
              <w:rPr>
                <w:sz w:val="20"/>
              </w:rPr>
            </w:pPr>
            <w:r>
              <w:rPr>
                <w:sz w:val="20"/>
              </w:rPr>
              <w:t>+</w:t>
            </w:r>
          </w:p>
        </w:tc>
        <w:tc>
          <w:tcPr>
            <w:tcW w:w="2088" w:type="pct"/>
          </w:tcPr>
          <w:p w14:paraId="0C5C6831" w14:textId="77777777" w:rsidR="00A467D6" w:rsidRPr="00336C85" w:rsidRDefault="00A467D6" w:rsidP="00F62C9B">
            <w:pPr>
              <w:rPr>
                <w:sz w:val="20"/>
              </w:rPr>
            </w:pPr>
            <w:r w:rsidRPr="00EB2F54">
              <w:rPr>
                <w:sz w:val="20"/>
              </w:rPr>
              <w:t>Exposure and clinical characterisation were generally robust, using validated HPLC B6 vitamer assays, established HPP severity classification, height Z-scores, and CLIA-certified ALP testing.</w:t>
            </w:r>
          </w:p>
        </w:tc>
      </w:tr>
      <w:tr w:rsidR="00A467D6" w:rsidRPr="00336C85" w14:paraId="4295D3D5" w14:textId="77777777" w:rsidTr="00F62C9B">
        <w:trPr>
          <w:trHeight w:val="236"/>
        </w:trPr>
        <w:tc>
          <w:tcPr>
            <w:tcW w:w="2181" w:type="pct"/>
          </w:tcPr>
          <w:p w14:paraId="730EBD2A" w14:textId="77777777" w:rsidR="00A467D6" w:rsidRPr="00336C85" w:rsidRDefault="00A467D6" w:rsidP="00F62C9B">
            <w:pPr>
              <w:rPr>
                <w:sz w:val="20"/>
              </w:rPr>
            </w:pPr>
            <w:r w:rsidRPr="00336C85">
              <w:rPr>
                <w:rFonts w:eastAsia="Calibri" w:cs="Arial"/>
                <w:b/>
                <w:bCs/>
                <w:sz w:val="20"/>
                <w:lang w:val="en-GB"/>
              </w:rPr>
              <w:t>Selective Reporting</w:t>
            </w:r>
          </w:p>
        </w:tc>
        <w:tc>
          <w:tcPr>
            <w:tcW w:w="731" w:type="pct"/>
          </w:tcPr>
          <w:p w14:paraId="177BF42A" w14:textId="77777777" w:rsidR="00A467D6" w:rsidRPr="00336C85" w:rsidRDefault="00A467D6" w:rsidP="00F62C9B">
            <w:pPr>
              <w:rPr>
                <w:sz w:val="20"/>
              </w:rPr>
            </w:pPr>
          </w:p>
        </w:tc>
        <w:tc>
          <w:tcPr>
            <w:tcW w:w="2088" w:type="pct"/>
          </w:tcPr>
          <w:p w14:paraId="0952A523" w14:textId="77777777" w:rsidR="00A467D6" w:rsidRPr="00336C85" w:rsidRDefault="00A467D6" w:rsidP="00F62C9B">
            <w:pPr>
              <w:rPr>
                <w:sz w:val="20"/>
              </w:rPr>
            </w:pPr>
          </w:p>
        </w:tc>
      </w:tr>
      <w:tr w:rsidR="00A467D6" w:rsidRPr="00336C85" w14:paraId="12EF0A23" w14:textId="77777777" w:rsidTr="00F62C9B">
        <w:trPr>
          <w:trHeight w:val="235"/>
        </w:trPr>
        <w:tc>
          <w:tcPr>
            <w:tcW w:w="2181" w:type="pct"/>
          </w:tcPr>
          <w:p w14:paraId="08EC5AFD" w14:textId="77777777" w:rsidR="00A467D6" w:rsidRPr="00336C85" w:rsidRDefault="00A467D6" w:rsidP="00F62C9B">
            <w:pPr>
              <w:rPr>
                <w:rFonts w:eastAsia="Calibri" w:cs="Arial"/>
                <w:b/>
                <w:bCs/>
                <w:sz w:val="20"/>
                <w:lang w:val="en-GB"/>
              </w:rPr>
            </w:pPr>
            <w:r w:rsidRPr="00336C85">
              <w:rPr>
                <w:rFonts w:eastAsia="Calibri" w:cs="Arial"/>
                <w:sz w:val="20"/>
                <w:lang w:val="en-GB"/>
              </w:rPr>
              <w:t>Were all measured outcomes reported?</w:t>
            </w:r>
          </w:p>
        </w:tc>
        <w:tc>
          <w:tcPr>
            <w:tcW w:w="731" w:type="pct"/>
            <w:shd w:val="clear" w:color="auto" w:fill="92D050"/>
          </w:tcPr>
          <w:p w14:paraId="6E6B4FC2" w14:textId="77777777" w:rsidR="00A467D6" w:rsidRPr="00336C85" w:rsidRDefault="00A467D6" w:rsidP="00F62C9B">
            <w:pPr>
              <w:rPr>
                <w:sz w:val="20"/>
              </w:rPr>
            </w:pPr>
            <w:r>
              <w:rPr>
                <w:sz w:val="20"/>
              </w:rPr>
              <w:t>+</w:t>
            </w:r>
          </w:p>
        </w:tc>
        <w:tc>
          <w:tcPr>
            <w:tcW w:w="2088" w:type="pct"/>
          </w:tcPr>
          <w:p w14:paraId="25DFB9FE" w14:textId="77777777" w:rsidR="00A467D6" w:rsidRPr="00336C85" w:rsidRDefault="00A467D6" w:rsidP="00F62C9B">
            <w:pPr>
              <w:rPr>
                <w:sz w:val="20"/>
              </w:rPr>
            </w:pPr>
            <w:r w:rsidRPr="00EB2F54">
              <w:rPr>
                <w:sz w:val="20"/>
              </w:rPr>
              <w:t>All stated biochemical outcomes were reported across groups and time points, including non-significant correlations with R and P values. The outlier exclusion was transparently disclosed.</w:t>
            </w:r>
          </w:p>
        </w:tc>
      </w:tr>
      <w:tr w:rsidR="00A467D6" w:rsidRPr="00336C85" w14:paraId="3548B0ED" w14:textId="77777777" w:rsidTr="00F62C9B">
        <w:tc>
          <w:tcPr>
            <w:tcW w:w="2181" w:type="pct"/>
          </w:tcPr>
          <w:p w14:paraId="7764916A" w14:textId="77777777" w:rsidR="00A467D6" w:rsidRPr="00336C85" w:rsidRDefault="00A467D6" w:rsidP="00F62C9B">
            <w:pPr>
              <w:rPr>
                <w:b/>
                <w:bCs/>
                <w:sz w:val="20"/>
              </w:rPr>
            </w:pPr>
            <w:r w:rsidRPr="00336C85">
              <w:rPr>
                <w:rFonts w:eastAsia="Calibri" w:cs="Arial"/>
                <w:b/>
                <w:bCs/>
                <w:sz w:val="20"/>
                <w:lang w:val="en-GB"/>
              </w:rPr>
              <w:t>Other Sources of bias</w:t>
            </w:r>
          </w:p>
        </w:tc>
        <w:tc>
          <w:tcPr>
            <w:tcW w:w="731" w:type="pct"/>
          </w:tcPr>
          <w:p w14:paraId="682B9241" w14:textId="77777777" w:rsidR="00A467D6" w:rsidRPr="00336C85" w:rsidRDefault="00A467D6" w:rsidP="00F62C9B">
            <w:pPr>
              <w:rPr>
                <w:sz w:val="20"/>
              </w:rPr>
            </w:pPr>
          </w:p>
        </w:tc>
        <w:tc>
          <w:tcPr>
            <w:tcW w:w="2088" w:type="pct"/>
          </w:tcPr>
          <w:p w14:paraId="6A96C677" w14:textId="77777777" w:rsidR="00A467D6" w:rsidRPr="00336C85" w:rsidRDefault="00A467D6" w:rsidP="00F62C9B">
            <w:pPr>
              <w:rPr>
                <w:sz w:val="20"/>
              </w:rPr>
            </w:pPr>
          </w:p>
        </w:tc>
      </w:tr>
      <w:tr w:rsidR="00A467D6" w:rsidRPr="00336C85" w14:paraId="0F8DB941" w14:textId="77777777" w:rsidTr="00F62C9B">
        <w:tc>
          <w:tcPr>
            <w:tcW w:w="2181" w:type="pct"/>
          </w:tcPr>
          <w:p w14:paraId="40B84AF1" w14:textId="77777777" w:rsidR="00A467D6" w:rsidRPr="00336C85" w:rsidRDefault="00A467D6" w:rsidP="00F62C9B">
            <w:pPr>
              <w:rPr>
                <w:rFonts w:eastAsia="Calibri" w:cs="Arial"/>
                <w:b/>
                <w:bCs/>
                <w:sz w:val="20"/>
                <w:lang w:val="en-GB"/>
              </w:rPr>
            </w:pPr>
            <w:r w:rsidRPr="00336C85">
              <w:rPr>
                <w:rFonts w:eastAsia="Calibri" w:cs="Arial"/>
                <w:sz w:val="20"/>
                <w:lang w:val="en-GB"/>
              </w:rPr>
              <w:t>Were there any other potential threats to internal validity (e.g., inappropriate statistical methods)?</w:t>
            </w:r>
          </w:p>
        </w:tc>
        <w:tc>
          <w:tcPr>
            <w:tcW w:w="731" w:type="pct"/>
            <w:shd w:val="clear" w:color="auto" w:fill="FDCBD1"/>
          </w:tcPr>
          <w:p w14:paraId="791FC707" w14:textId="77777777" w:rsidR="00A467D6" w:rsidRPr="00336C85" w:rsidRDefault="00A467D6" w:rsidP="00F62C9B">
            <w:pPr>
              <w:rPr>
                <w:sz w:val="20"/>
              </w:rPr>
            </w:pPr>
            <w:r>
              <w:rPr>
                <w:sz w:val="20"/>
              </w:rPr>
              <w:t>-</w:t>
            </w:r>
          </w:p>
        </w:tc>
        <w:tc>
          <w:tcPr>
            <w:tcW w:w="2088" w:type="pct"/>
          </w:tcPr>
          <w:p w14:paraId="532362AF" w14:textId="77777777" w:rsidR="00A467D6" w:rsidRPr="00336C85" w:rsidRDefault="00A467D6" w:rsidP="00F62C9B">
            <w:pPr>
              <w:rPr>
                <w:sz w:val="20"/>
              </w:rPr>
            </w:pPr>
            <w:r w:rsidRPr="00EB2F54">
              <w:rPr>
                <w:sz w:val="20"/>
              </w:rPr>
              <w:t xml:space="preserve">Generalisability is limited by the single specialised referral-centre setting and long study period, likely enriching for more complex HPP cases. There is also potential circularity because the same group developed the clinical nosology </w:t>
            </w:r>
            <w:r w:rsidRPr="00EB2F54">
              <w:rPr>
                <w:sz w:val="20"/>
              </w:rPr>
              <w:lastRenderedPageBreak/>
              <w:t>used to assess PN challenge as a severity marker.</w:t>
            </w:r>
          </w:p>
        </w:tc>
      </w:tr>
      <w:tr w:rsidR="00A467D6" w:rsidRPr="00336C85" w14:paraId="3D49748A" w14:textId="77777777" w:rsidTr="00F62C9B">
        <w:tc>
          <w:tcPr>
            <w:tcW w:w="2181" w:type="pct"/>
          </w:tcPr>
          <w:p w14:paraId="4B08B8BF" w14:textId="77777777" w:rsidR="00A467D6" w:rsidRPr="00336C85" w:rsidRDefault="00A467D6" w:rsidP="00F62C9B">
            <w:pPr>
              <w:rPr>
                <w:sz w:val="20"/>
              </w:rPr>
            </w:pPr>
            <w:r w:rsidRPr="00336C85">
              <w:rPr>
                <w:rFonts w:eastAsia="Calibri" w:cs="Arial"/>
                <w:b/>
                <w:bCs/>
                <w:sz w:val="20"/>
                <w:lang w:val="en-GB"/>
              </w:rPr>
              <w:lastRenderedPageBreak/>
              <w:t>Overall risk of bias for the study (Low/Moderate/High)</w:t>
            </w:r>
          </w:p>
        </w:tc>
        <w:tc>
          <w:tcPr>
            <w:tcW w:w="731" w:type="pct"/>
          </w:tcPr>
          <w:p w14:paraId="28A451D4" w14:textId="77777777" w:rsidR="00A467D6" w:rsidRPr="00336C85" w:rsidRDefault="00A467D6" w:rsidP="00F62C9B">
            <w:pPr>
              <w:rPr>
                <w:b/>
                <w:bCs/>
                <w:sz w:val="20"/>
              </w:rPr>
            </w:pPr>
            <w:r>
              <w:rPr>
                <w:b/>
                <w:bCs/>
                <w:sz w:val="20"/>
              </w:rPr>
              <w:t>Moderate</w:t>
            </w:r>
          </w:p>
        </w:tc>
        <w:tc>
          <w:tcPr>
            <w:tcW w:w="2088" w:type="pct"/>
          </w:tcPr>
          <w:p w14:paraId="42E3EEB5" w14:textId="3AD1EC50" w:rsidR="00A467D6" w:rsidRPr="00336C85" w:rsidRDefault="007A2564" w:rsidP="00F62C9B">
            <w:pPr>
              <w:rPr>
                <w:b/>
                <w:bCs/>
                <w:sz w:val="20"/>
              </w:rPr>
            </w:pPr>
            <w:r w:rsidRPr="007A2564">
              <w:rPr>
                <w:b/>
                <w:bCs/>
                <w:sz w:val="20"/>
              </w:rPr>
              <w:t xml:space="preserve">Whyte et al. (2024) is assessed </w:t>
            </w:r>
            <w:r>
              <w:rPr>
                <w:b/>
                <w:bCs/>
                <w:sz w:val="20"/>
              </w:rPr>
              <w:t xml:space="preserve">regarding the </w:t>
            </w:r>
            <w:r w:rsidRPr="007A2564">
              <w:rPr>
                <w:b/>
                <w:bCs/>
                <w:sz w:val="20"/>
              </w:rPr>
              <w:t>mechanistic rather than direct dose-response focus</w:t>
            </w:r>
            <w:r>
              <w:rPr>
                <w:b/>
                <w:bCs/>
                <w:sz w:val="20"/>
              </w:rPr>
              <w:t>.</w:t>
            </w:r>
            <w:r w:rsidRPr="007A2564">
              <w:rPr>
                <w:b/>
                <w:bCs/>
                <w:sz w:val="20"/>
              </w:rPr>
              <w:t xml:space="preserve"> </w:t>
            </w:r>
            <w:r>
              <w:rPr>
                <w:b/>
                <w:bCs/>
                <w:sz w:val="20"/>
              </w:rPr>
              <w:t>I</w:t>
            </w:r>
            <w:r w:rsidRPr="007A2564">
              <w:rPr>
                <w:b/>
                <w:bCs/>
                <w:sz w:val="20"/>
              </w:rPr>
              <w:t>ts finding of genotype-dependent impairment in PLP clearance is relevant to the intraspecies toxicokinetic variability component of the uncertainty factor applied in UL derivation</w:t>
            </w:r>
            <w:r w:rsidR="00225D69">
              <w:rPr>
                <w:b/>
                <w:bCs/>
                <w:sz w:val="20"/>
              </w:rPr>
              <w:t>.</w:t>
            </w:r>
          </w:p>
        </w:tc>
      </w:tr>
    </w:tbl>
    <w:p w14:paraId="0A2A0FA9" w14:textId="77777777" w:rsidR="00A467D6" w:rsidRDefault="00A467D6" w:rsidP="00A467D6">
      <w:pPr>
        <w:pStyle w:val="BodyText"/>
      </w:pPr>
    </w:p>
    <w:p w14:paraId="0AA772E8" w14:textId="396FD7C9" w:rsidR="00A467D6" w:rsidRDefault="00EC6EE1" w:rsidP="00A467D6">
      <w:pPr>
        <w:pStyle w:val="Heading9"/>
      </w:pPr>
      <w:bookmarkStart w:id="98" w:name="_Toc233022912"/>
      <w:r w:rsidRPr="00EC6EE1">
        <w:t>Paluszny and Qiu.</w:t>
      </w:r>
      <w:r>
        <w:t>,</w:t>
      </w:r>
      <w:r w:rsidR="00A467D6">
        <w:t xml:space="preserve"> </w:t>
      </w:r>
      <w:r w:rsidR="00A467D6" w:rsidRPr="00227049">
        <w:t>2023</w:t>
      </w:r>
      <w:bookmarkEnd w:id="98"/>
    </w:p>
    <w:p w14:paraId="54EFDDB6" w14:textId="77777777" w:rsidR="00A467D6" w:rsidRPr="00306EFF" w:rsidRDefault="00A467D6" w:rsidP="00A467D6">
      <w:pPr>
        <w:rPr>
          <w:rFonts w:eastAsia="Calibri" w:cs="Arial"/>
          <w:szCs w:val="22"/>
        </w:rPr>
      </w:pPr>
      <w:r w:rsidRPr="00E45AB2">
        <w:rPr>
          <w:rFonts w:eastAsia="Calibri" w:cs="Arial"/>
          <w:szCs w:val="22"/>
        </w:rPr>
        <w:t xml:space="preserve">Rating key: </w:t>
      </w:r>
      <w:r w:rsidRPr="00E45AB2">
        <w:rPr>
          <w:rFonts w:eastAsia="Calibri" w:cs="Arial"/>
          <w:szCs w:val="22"/>
          <w:shd w:val="clear" w:color="auto" w:fill="00B050"/>
        </w:rPr>
        <w:t>++</w:t>
      </w:r>
      <w:r w:rsidRPr="00E45AB2">
        <w:rPr>
          <w:rFonts w:eastAsia="Calibri" w:cs="Arial"/>
          <w:szCs w:val="22"/>
        </w:rPr>
        <w:t xml:space="preserve"> = definitely low RoB; </w:t>
      </w:r>
      <w:r w:rsidRPr="00E45AB2">
        <w:rPr>
          <w:rFonts w:eastAsia="Calibri" w:cs="Arial"/>
          <w:szCs w:val="22"/>
          <w:shd w:val="clear" w:color="auto" w:fill="92D050"/>
        </w:rPr>
        <w:t>+</w:t>
      </w:r>
      <w:r w:rsidRPr="00E45AB2">
        <w:rPr>
          <w:rFonts w:eastAsia="Calibri" w:cs="Arial"/>
          <w:szCs w:val="22"/>
        </w:rPr>
        <w:t xml:space="preserve"> = probably low RoB; </w:t>
      </w:r>
      <w:r w:rsidRPr="00E45AB2">
        <w:rPr>
          <w:rFonts w:eastAsia="Calibri" w:cs="Arial"/>
          <w:szCs w:val="22"/>
          <w:shd w:val="clear" w:color="auto" w:fill="FFC1C1"/>
        </w:rPr>
        <w:t>NR</w:t>
      </w:r>
      <w:r w:rsidRPr="00E45AB2">
        <w:rPr>
          <w:rFonts w:eastAsia="Calibri" w:cs="Arial"/>
          <w:szCs w:val="22"/>
        </w:rPr>
        <w:t xml:space="preserve"> = not reported; </w:t>
      </w:r>
      <w:r w:rsidRPr="00E45AB2">
        <w:rPr>
          <w:rFonts w:eastAsia="Calibri" w:cs="Arial"/>
          <w:szCs w:val="22"/>
          <w:shd w:val="clear" w:color="auto" w:fill="FFC1C1"/>
        </w:rPr>
        <w:t>−</w:t>
      </w:r>
      <w:r w:rsidRPr="00E45AB2">
        <w:rPr>
          <w:rFonts w:eastAsia="Calibri" w:cs="Arial"/>
          <w:szCs w:val="22"/>
        </w:rPr>
        <w:t xml:space="preserve"> = probably high RoB; </w:t>
      </w:r>
      <w:r w:rsidRPr="00E45AB2">
        <w:rPr>
          <w:rFonts w:eastAsia="Calibri" w:cs="Arial"/>
          <w:szCs w:val="22"/>
          <w:shd w:val="clear" w:color="auto" w:fill="FF2F2F"/>
        </w:rPr>
        <w:t>−−</w:t>
      </w:r>
      <w:r w:rsidRPr="00E45AB2">
        <w:rPr>
          <w:rFonts w:eastAsia="Calibri" w:cs="Arial"/>
          <w:szCs w:val="22"/>
        </w:rPr>
        <w:t xml:space="preserve"> = definitely high RoB; </w:t>
      </w:r>
      <w:r w:rsidRPr="00E45AB2">
        <w:rPr>
          <w:rFonts w:eastAsia="Calibri" w:cs="Arial"/>
          <w:szCs w:val="22"/>
          <w:highlight w:val="lightGray"/>
        </w:rPr>
        <w:t>NA</w:t>
      </w:r>
      <w:r w:rsidRPr="00E45AB2">
        <w:rPr>
          <w:rFonts w:eastAsia="Calibri" w:cs="Arial"/>
          <w:szCs w:val="22"/>
        </w:rPr>
        <w:t xml:space="preserve"> = not applicable to this study design </w:t>
      </w:r>
    </w:p>
    <w:tbl>
      <w:tblPr>
        <w:tblStyle w:val="SLROption1"/>
        <w:tblW w:w="5000" w:type="pct"/>
        <w:tblLook w:val="01E0" w:firstRow="1" w:lastRow="1" w:firstColumn="1" w:lastColumn="1" w:noHBand="0" w:noVBand="0"/>
      </w:tblPr>
      <w:tblGrid>
        <w:gridCol w:w="3934"/>
        <w:gridCol w:w="1319"/>
        <w:gridCol w:w="3766"/>
      </w:tblGrid>
      <w:tr w:rsidR="00A467D6" w:rsidRPr="00336C85" w14:paraId="5F533E27" w14:textId="77777777" w:rsidTr="00F62C9B">
        <w:trPr>
          <w:cnfStyle w:val="100000000000" w:firstRow="1" w:lastRow="0" w:firstColumn="0" w:lastColumn="0" w:oddVBand="0" w:evenVBand="0" w:oddHBand="0" w:evenHBand="0" w:firstRowFirstColumn="0" w:firstRowLastColumn="0" w:lastRowFirstColumn="0" w:lastRowLastColumn="0"/>
        </w:trPr>
        <w:tc>
          <w:tcPr>
            <w:tcW w:w="2181" w:type="pct"/>
            <w:tcBorders>
              <w:bottom w:val="single" w:sz="4" w:space="0" w:color="FFFFFF" w:themeColor="background1"/>
              <w:right w:val="single" w:sz="4" w:space="0" w:color="FFFFFF" w:themeColor="background1"/>
            </w:tcBorders>
            <w:shd w:val="clear" w:color="auto" w:fill="3C533C" w:themeFill="text2"/>
          </w:tcPr>
          <w:p w14:paraId="11196823" w14:textId="77777777" w:rsidR="00A467D6" w:rsidRPr="00336C85" w:rsidRDefault="00A467D6" w:rsidP="00F62C9B">
            <w:pPr>
              <w:keepNext/>
              <w:jc w:val="left"/>
              <w:rPr>
                <w:rFonts w:eastAsia="Calibri"/>
                <w:b/>
                <w:color w:val="FFFFFF" w:themeColor="background1"/>
                <w:sz w:val="20"/>
              </w:rPr>
            </w:pPr>
            <w:r w:rsidRPr="00336C85">
              <w:rPr>
                <w:rFonts w:eastAsia="Calibri"/>
                <w:b/>
                <w:color w:val="FFFFFF" w:themeColor="background1"/>
                <w:sz w:val="20"/>
              </w:rPr>
              <w:t>Study Type:</w:t>
            </w:r>
          </w:p>
        </w:tc>
        <w:tc>
          <w:tcPr>
            <w:tcW w:w="731" w:type="pct"/>
            <w:tcBorders>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16BCB21A" w14:textId="77777777" w:rsidR="00A467D6" w:rsidRPr="00336C85" w:rsidRDefault="00A467D6" w:rsidP="00F62C9B">
            <w:pPr>
              <w:keepNext/>
              <w:jc w:val="left"/>
              <w:rPr>
                <w:rFonts w:eastAsia="Calibri"/>
                <w:bCs/>
                <w:color w:val="FFFFFF" w:themeColor="background1"/>
                <w:sz w:val="20"/>
              </w:rPr>
            </w:pPr>
          </w:p>
        </w:tc>
        <w:tc>
          <w:tcPr>
            <w:tcW w:w="2088" w:type="pct"/>
            <w:tcBorders>
              <w:left w:val="single" w:sz="4" w:space="0" w:color="FFFFFF" w:themeColor="background1"/>
              <w:bottom w:val="single" w:sz="4" w:space="0" w:color="FFFFFF" w:themeColor="background1"/>
            </w:tcBorders>
            <w:shd w:val="clear" w:color="auto" w:fill="3C533C" w:themeFill="text2"/>
          </w:tcPr>
          <w:p w14:paraId="60094970" w14:textId="77777777" w:rsidR="00A467D6" w:rsidRPr="00336C85" w:rsidRDefault="00A467D6" w:rsidP="00F62C9B">
            <w:pPr>
              <w:keepNext/>
              <w:jc w:val="left"/>
              <w:rPr>
                <w:rFonts w:eastAsia="Calibri"/>
                <w:bCs/>
                <w:color w:val="FFFFFF" w:themeColor="background1"/>
                <w:sz w:val="20"/>
              </w:rPr>
            </w:pPr>
            <w:r w:rsidRPr="00227049">
              <w:rPr>
                <w:rFonts w:eastAsia="Calibri"/>
                <w:bCs/>
                <w:color w:val="FFFFFF" w:themeColor="background1"/>
                <w:sz w:val="20"/>
              </w:rPr>
              <w:t>Single case report</w:t>
            </w:r>
          </w:p>
        </w:tc>
      </w:tr>
      <w:tr w:rsidR="00A467D6" w:rsidRPr="00336C85" w14:paraId="163CF65A" w14:textId="77777777" w:rsidTr="00F62C9B">
        <w:tc>
          <w:tcPr>
            <w:tcW w:w="2181" w:type="pct"/>
            <w:tcBorders>
              <w:top w:val="single" w:sz="4" w:space="0" w:color="FFFFFF" w:themeColor="background1"/>
              <w:bottom w:val="single" w:sz="4" w:space="0" w:color="FFFFFF" w:themeColor="background1"/>
              <w:right w:val="single" w:sz="4" w:space="0" w:color="FFFFFF" w:themeColor="background1"/>
            </w:tcBorders>
            <w:shd w:val="clear" w:color="auto" w:fill="3C533C" w:themeFill="text2"/>
          </w:tcPr>
          <w:p w14:paraId="178450A9" w14:textId="77777777" w:rsidR="00A467D6" w:rsidRPr="00336C85" w:rsidRDefault="00A467D6" w:rsidP="00F62C9B">
            <w:pPr>
              <w:keepNext/>
              <w:rPr>
                <w:rFonts w:eastAsia="Calibri"/>
                <w:b/>
                <w:color w:val="FFFFFF" w:themeColor="background1"/>
                <w:sz w:val="20"/>
              </w:rPr>
            </w:pPr>
            <w:r w:rsidRPr="00336C85">
              <w:rPr>
                <w:rFonts w:eastAsia="Calibri"/>
                <w:b/>
                <w:color w:val="FFFFFF" w:themeColor="background1"/>
                <w:sz w:val="20"/>
              </w:rPr>
              <w:t>Study ID:</w:t>
            </w:r>
          </w:p>
        </w:tc>
        <w:tc>
          <w:tcPr>
            <w:tcW w:w="7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4A172BDA" w14:textId="77777777" w:rsidR="00A467D6" w:rsidRPr="00336C85" w:rsidRDefault="00A467D6" w:rsidP="00F62C9B">
            <w:pPr>
              <w:keepNext/>
              <w:rPr>
                <w:rFonts w:eastAsia="Calibri"/>
                <w:bCs/>
                <w:color w:val="FFFFFF" w:themeColor="background1"/>
                <w:sz w:val="20"/>
              </w:rPr>
            </w:pPr>
          </w:p>
        </w:tc>
        <w:tc>
          <w:tcPr>
            <w:tcW w:w="2088" w:type="pct"/>
            <w:tcBorders>
              <w:top w:val="single" w:sz="4" w:space="0" w:color="FFFFFF" w:themeColor="background1"/>
              <w:left w:val="single" w:sz="4" w:space="0" w:color="FFFFFF" w:themeColor="background1"/>
              <w:bottom w:val="single" w:sz="4" w:space="0" w:color="FFFFFF" w:themeColor="background1"/>
            </w:tcBorders>
            <w:shd w:val="clear" w:color="auto" w:fill="3C533C" w:themeFill="text2"/>
          </w:tcPr>
          <w:p w14:paraId="75FA1678" w14:textId="13F33A08" w:rsidR="00A467D6" w:rsidRPr="00336C85" w:rsidRDefault="00EC6EE1" w:rsidP="00F62C9B">
            <w:pPr>
              <w:keepNext/>
              <w:rPr>
                <w:rFonts w:eastAsia="Calibri"/>
                <w:bCs/>
                <w:color w:val="FFFFFF" w:themeColor="background1"/>
                <w:sz w:val="20"/>
              </w:rPr>
            </w:pPr>
            <w:r w:rsidRPr="00EC6EE1">
              <w:rPr>
                <w:rFonts w:eastAsia="Calibri"/>
                <w:bCs/>
                <w:color w:val="FFFFFF" w:themeColor="background1"/>
                <w:sz w:val="20"/>
              </w:rPr>
              <w:t>Paluszny and Qiu.</w:t>
            </w:r>
            <w:r>
              <w:rPr>
                <w:rFonts w:eastAsia="Calibri"/>
                <w:bCs/>
                <w:color w:val="FFFFFF" w:themeColor="background1"/>
                <w:sz w:val="20"/>
              </w:rPr>
              <w:t>,</w:t>
            </w:r>
            <w:r w:rsidR="00A467D6" w:rsidRPr="00227049">
              <w:rPr>
                <w:rFonts w:eastAsia="Calibri"/>
                <w:bCs/>
                <w:color w:val="FFFFFF" w:themeColor="background1"/>
                <w:sz w:val="20"/>
              </w:rPr>
              <w:t xml:space="preserve"> 2023</w:t>
            </w:r>
          </w:p>
        </w:tc>
      </w:tr>
      <w:tr w:rsidR="00A467D6" w:rsidRPr="00336C85" w14:paraId="6282EF79" w14:textId="77777777" w:rsidTr="00F62C9B">
        <w:tc>
          <w:tcPr>
            <w:tcW w:w="2181" w:type="pct"/>
            <w:tcBorders>
              <w:top w:val="single" w:sz="4" w:space="0" w:color="FFFFFF" w:themeColor="background1"/>
              <w:bottom w:val="single" w:sz="4" w:space="0" w:color="FFFFFF" w:themeColor="background1"/>
              <w:right w:val="single" w:sz="4" w:space="0" w:color="FFFFFF" w:themeColor="background1"/>
            </w:tcBorders>
            <w:shd w:val="clear" w:color="auto" w:fill="3C533C" w:themeFill="text2"/>
          </w:tcPr>
          <w:p w14:paraId="3BC39ECE" w14:textId="77777777" w:rsidR="00A467D6" w:rsidRPr="00336C85" w:rsidRDefault="00A467D6" w:rsidP="00F62C9B">
            <w:pPr>
              <w:keepNext/>
              <w:rPr>
                <w:rFonts w:eastAsia="Calibri"/>
                <w:b/>
                <w:color w:val="FFFFFF" w:themeColor="background1"/>
                <w:sz w:val="20"/>
              </w:rPr>
            </w:pPr>
            <w:r w:rsidRPr="00336C85">
              <w:rPr>
                <w:rFonts w:eastAsia="Calibri"/>
                <w:b/>
                <w:color w:val="FFFFFF" w:themeColor="background1"/>
                <w:sz w:val="20"/>
              </w:rPr>
              <w:t>Health Outcome:</w:t>
            </w:r>
          </w:p>
        </w:tc>
        <w:tc>
          <w:tcPr>
            <w:tcW w:w="7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5AB022F2" w14:textId="77777777" w:rsidR="00A467D6" w:rsidRPr="00336C85" w:rsidRDefault="00A467D6" w:rsidP="00F62C9B">
            <w:pPr>
              <w:keepNext/>
              <w:rPr>
                <w:rFonts w:eastAsia="Calibri"/>
                <w:bCs/>
                <w:color w:val="FFFFFF" w:themeColor="background1"/>
                <w:sz w:val="20"/>
              </w:rPr>
            </w:pPr>
          </w:p>
        </w:tc>
        <w:tc>
          <w:tcPr>
            <w:tcW w:w="2088" w:type="pct"/>
            <w:tcBorders>
              <w:top w:val="single" w:sz="4" w:space="0" w:color="FFFFFF" w:themeColor="background1"/>
              <w:left w:val="single" w:sz="4" w:space="0" w:color="FFFFFF" w:themeColor="background1"/>
              <w:bottom w:val="single" w:sz="4" w:space="0" w:color="FFFFFF" w:themeColor="background1"/>
            </w:tcBorders>
            <w:shd w:val="clear" w:color="auto" w:fill="3C533C" w:themeFill="text2"/>
          </w:tcPr>
          <w:p w14:paraId="32397D26" w14:textId="77777777" w:rsidR="00A467D6" w:rsidRPr="00336C85" w:rsidRDefault="00A467D6" w:rsidP="00F62C9B">
            <w:pPr>
              <w:keepNext/>
              <w:rPr>
                <w:rFonts w:eastAsia="Calibri"/>
                <w:bCs/>
                <w:color w:val="FFFFFF" w:themeColor="background1"/>
                <w:sz w:val="20"/>
              </w:rPr>
            </w:pPr>
            <w:r w:rsidRPr="00227049">
              <w:rPr>
                <w:rFonts w:eastAsia="Calibri"/>
                <w:bCs/>
                <w:color w:val="FFFFFF" w:themeColor="background1"/>
                <w:sz w:val="20"/>
              </w:rPr>
              <w:t>Peripheral neuropathy</w:t>
            </w:r>
          </w:p>
        </w:tc>
      </w:tr>
      <w:tr w:rsidR="00A467D6" w:rsidRPr="00336C85" w14:paraId="53725FF1" w14:textId="77777777" w:rsidTr="00F62C9B">
        <w:tc>
          <w:tcPr>
            <w:tcW w:w="2181" w:type="pct"/>
            <w:tcBorders>
              <w:top w:val="single" w:sz="4" w:space="0" w:color="FFFFFF" w:themeColor="background1"/>
              <w:right w:val="single" w:sz="4" w:space="0" w:color="FFFFFF" w:themeColor="background1"/>
            </w:tcBorders>
            <w:shd w:val="clear" w:color="auto" w:fill="3C533C" w:themeFill="text2"/>
          </w:tcPr>
          <w:p w14:paraId="5429D889" w14:textId="77777777" w:rsidR="00A467D6" w:rsidRPr="00336C85" w:rsidRDefault="00A467D6" w:rsidP="00F62C9B">
            <w:pPr>
              <w:keepNext/>
              <w:rPr>
                <w:rFonts w:eastAsia="Calibri"/>
                <w:b/>
                <w:color w:val="FFFFFF" w:themeColor="background1"/>
                <w:sz w:val="20"/>
              </w:rPr>
            </w:pPr>
            <w:r w:rsidRPr="00336C85">
              <w:rPr>
                <w:rFonts w:eastAsia="Calibri"/>
                <w:b/>
                <w:color w:val="FFFFFF" w:themeColor="background1"/>
                <w:sz w:val="20"/>
              </w:rPr>
              <w:t>Bias Domain</w:t>
            </w:r>
          </w:p>
        </w:tc>
        <w:tc>
          <w:tcPr>
            <w:tcW w:w="731" w:type="pct"/>
            <w:tcBorders>
              <w:top w:val="single" w:sz="4" w:space="0" w:color="FFFFFF" w:themeColor="background1"/>
              <w:left w:val="single" w:sz="4" w:space="0" w:color="FFFFFF" w:themeColor="background1"/>
              <w:right w:val="single" w:sz="4" w:space="0" w:color="FFFFFF" w:themeColor="background1"/>
            </w:tcBorders>
            <w:shd w:val="clear" w:color="auto" w:fill="3C533C" w:themeFill="text2"/>
          </w:tcPr>
          <w:p w14:paraId="6464E8F8" w14:textId="77777777" w:rsidR="00A467D6" w:rsidRPr="00336C85" w:rsidRDefault="00A467D6" w:rsidP="00F62C9B">
            <w:pPr>
              <w:keepNext/>
              <w:rPr>
                <w:rFonts w:eastAsia="Calibri"/>
                <w:b/>
                <w:color w:val="FFFFFF" w:themeColor="background1"/>
                <w:sz w:val="20"/>
              </w:rPr>
            </w:pPr>
            <w:r>
              <w:rPr>
                <w:rFonts w:eastAsia="Calibri"/>
                <w:b/>
                <w:color w:val="FFFFFF" w:themeColor="background1"/>
                <w:sz w:val="20"/>
              </w:rPr>
              <w:t>Rate</w:t>
            </w:r>
          </w:p>
        </w:tc>
        <w:tc>
          <w:tcPr>
            <w:tcW w:w="2088" w:type="pct"/>
            <w:tcBorders>
              <w:top w:val="single" w:sz="4" w:space="0" w:color="FFFFFF" w:themeColor="background1"/>
              <w:left w:val="single" w:sz="4" w:space="0" w:color="FFFFFF" w:themeColor="background1"/>
            </w:tcBorders>
            <w:shd w:val="clear" w:color="auto" w:fill="3C533C" w:themeFill="text2"/>
          </w:tcPr>
          <w:p w14:paraId="0E4A4CD6" w14:textId="77777777" w:rsidR="00A467D6" w:rsidRPr="00336C85" w:rsidRDefault="00A467D6" w:rsidP="00F62C9B">
            <w:pPr>
              <w:keepNext/>
              <w:rPr>
                <w:rFonts w:eastAsia="Calibri"/>
                <w:b/>
                <w:color w:val="FFFFFF" w:themeColor="background1"/>
                <w:sz w:val="20"/>
              </w:rPr>
            </w:pPr>
            <w:r>
              <w:rPr>
                <w:rFonts w:eastAsia="Calibri"/>
                <w:b/>
                <w:color w:val="FFFFFF" w:themeColor="background1"/>
                <w:sz w:val="20"/>
              </w:rPr>
              <w:t>Comment</w:t>
            </w:r>
          </w:p>
        </w:tc>
      </w:tr>
      <w:tr w:rsidR="00A467D6" w:rsidRPr="00336C85" w14:paraId="5824E824" w14:textId="77777777" w:rsidTr="00F62C9B">
        <w:trPr>
          <w:trHeight w:val="53"/>
        </w:trPr>
        <w:tc>
          <w:tcPr>
            <w:tcW w:w="2181" w:type="pct"/>
          </w:tcPr>
          <w:p w14:paraId="65D79536" w14:textId="77777777" w:rsidR="00A467D6" w:rsidRPr="00336C85" w:rsidRDefault="00A467D6" w:rsidP="00F62C9B">
            <w:pPr>
              <w:rPr>
                <w:b/>
                <w:bCs/>
                <w:sz w:val="20"/>
              </w:rPr>
            </w:pPr>
            <w:r w:rsidRPr="00336C85">
              <w:rPr>
                <w:b/>
                <w:bCs/>
                <w:sz w:val="20"/>
              </w:rPr>
              <w:t>Selection</w:t>
            </w:r>
          </w:p>
        </w:tc>
        <w:tc>
          <w:tcPr>
            <w:tcW w:w="731" w:type="pct"/>
          </w:tcPr>
          <w:p w14:paraId="1A8431B4" w14:textId="77777777" w:rsidR="00A467D6" w:rsidRPr="00336C85" w:rsidRDefault="00A467D6" w:rsidP="00F62C9B">
            <w:pPr>
              <w:rPr>
                <w:sz w:val="20"/>
              </w:rPr>
            </w:pPr>
          </w:p>
        </w:tc>
        <w:tc>
          <w:tcPr>
            <w:tcW w:w="2088" w:type="pct"/>
          </w:tcPr>
          <w:p w14:paraId="5C738E3F" w14:textId="77777777" w:rsidR="00A467D6" w:rsidRPr="00336C85" w:rsidRDefault="00A467D6" w:rsidP="00F62C9B">
            <w:pPr>
              <w:rPr>
                <w:sz w:val="20"/>
              </w:rPr>
            </w:pPr>
          </w:p>
        </w:tc>
      </w:tr>
      <w:tr w:rsidR="00A467D6" w:rsidRPr="00336C85" w14:paraId="614DE614" w14:textId="77777777" w:rsidTr="00F62C9B">
        <w:trPr>
          <w:trHeight w:val="52"/>
        </w:trPr>
        <w:tc>
          <w:tcPr>
            <w:tcW w:w="2181" w:type="pct"/>
          </w:tcPr>
          <w:p w14:paraId="1AEAA471" w14:textId="77777777" w:rsidR="00A467D6" w:rsidRPr="00336C85" w:rsidRDefault="00A467D6" w:rsidP="00F62C9B">
            <w:pPr>
              <w:rPr>
                <w:sz w:val="20"/>
              </w:rPr>
            </w:pPr>
            <w:r w:rsidRPr="00336C85">
              <w:rPr>
                <w:sz w:val="20"/>
              </w:rPr>
              <w:t>Was administered dose or exposure level adequately randomized?</w:t>
            </w:r>
          </w:p>
        </w:tc>
        <w:tc>
          <w:tcPr>
            <w:tcW w:w="731" w:type="pct"/>
            <w:shd w:val="clear" w:color="auto" w:fill="D9D9D9" w:themeFill="background1" w:themeFillShade="D9"/>
          </w:tcPr>
          <w:p w14:paraId="36B34417" w14:textId="77777777" w:rsidR="00A467D6" w:rsidRPr="00336C85" w:rsidRDefault="00A467D6" w:rsidP="00F62C9B">
            <w:pPr>
              <w:rPr>
                <w:sz w:val="20"/>
              </w:rPr>
            </w:pPr>
            <w:r>
              <w:rPr>
                <w:sz w:val="20"/>
              </w:rPr>
              <w:t>NA</w:t>
            </w:r>
          </w:p>
        </w:tc>
        <w:tc>
          <w:tcPr>
            <w:tcW w:w="2088" w:type="pct"/>
          </w:tcPr>
          <w:p w14:paraId="1647F34F" w14:textId="77777777" w:rsidR="00A467D6" w:rsidRPr="00336C85" w:rsidRDefault="00A467D6" w:rsidP="00F62C9B">
            <w:pPr>
              <w:rPr>
                <w:sz w:val="20"/>
              </w:rPr>
            </w:pPr>
            <w:r w:rsidRPr="00227049">
              <w:rPr>
                <w:sz w:val="20"/>
              </w:rPr>
              <w:t>Single patient; not applicable.</w:t>
            </w:r>
          </w:p>
        </w:tc>
      </w:tr>
      <w:tr w:rsidR="00A467D6" w:rsidRPr="00336C85" w14:paraId="0D6FE764" w14:textId="77777777" w:rsidTr="00F62C9B">
        <w:trPr>
          <w:trHeight w:val="52"/>
        </w:trPr>
        <w:tc>
          <w:tcPr>
            <w:tcW w:w="2181" w:type="pct"/>
          </w:tcPr>
          <w:p w14:paraId="048078F1" w14:textId="77777777" w:rsidR="00A467D6" w:rsidRPr="00336C85" w:rsidRDefault="00A467D6" w:rsidP="00F62C9B">
            <w:pPr>
              <w:rPr>
                <w:sz w:val="20"/>
              </w:rPr>
            </w:pPr>
            <w:r w:rsidRPr="00336C85">
              <w:rPr>
                <w:sz w:val="20"/>
              </w:rPr>
              <w:t>Was allocation to study groups adequately concealed?</w:t>
            </w:r>
          </w:p>
        </w:tc>
        <w:tc>
          <w:tcPr>
            <w:tcW w:w="731" w:type="pct"/>
            <w:shd w:val="clear" w:color="auto" w:fill="D9D9D9" w:themeFill="background1" w:themeFillShade="D9"/>
          </w:tcPr>
          <w:p w14:paraId="4FAC69B3" w14:textId="77777777" w:rsidR="00A467D6" w:rsidRPr="00336C85" w:rsidRDefault="00A467D6" w:rsidP="00F62C9B">
            <w:pPr>
              <w:rPr>
                <w:sz w:val="20"/>
              </w:rPr>
            </w:pPr>
            <w:r>
              <w:rPr>
                <w:sz w:val="20"/>
              </w:rPr>
              <w:t>NA</w:t>
            </w:r>
          </w:p>
        </w:tc>
        <w:tc>
          <w:tcPr>
            <w:tcW w:w="2088" w:type="pct"/>
          </w:tcPr>
          <w:p w14:paraId="245FE20E" w14:textId="77777777" w:rsidR="00A467D6" w:rsidRPr="00336C85" w:rsidRDefault="00A467D6" w:rsidP="00F62C9B">
            <w:pPr>
              <w:rPr>
                <w:sz w:val="20"/>
              </w:rPr>
            </w:pPr>
            <w:r w:rsidRPr="00227049">
              <w:rPr>
                <w:sz w:val="20"/>
              </w:rPr>
              <w:t>Not applicable.</w:t>
            </w:r>
          </w:p>
        </w:tc>
      </w:tr>
      <w:tr w:rsidR="00A467D6" w:rsidRPr="00336C85" w14:paraId="015CBB53" w14:textId="77777777" w:rsidTr="00F62C9B">
        <w:trPr>
          <w:trHeight w:val="52"/>
        </w:trPr>
        <w:tc>
          <w:tcPr>
            <w:tcW w:w="2181" w:type="pct"/>
          </w:tcPr>
          <w:p w14:paraId="190C9291" w14:textId="77777777" w:rsidR="00A467D6" w:rsidRPr="00336C85" w:rsidRDefault="00A467D6" w:rsidP="00F62C9B">
            <w:pPr>
              <w:rPr>
                <w:sz w:val="20"/>
              </w:rPr>
            </w:pPr>
            <w:r w:rsidRPr="00336C85">
              <w:rPr>
                <w:sz w:val="20"/>
              </w:rPr>
              <w:t>Were the comparison groups appropriate?</w:t>
            </w:r>
          </w:p>
        </w:tc>
        <w:tc>
          <w:tcPr>
            <w:tcW w:w="731" w:type="pct"/>
            <w:shd w:val="clear" w:color="auto" w:fill="D9D9D9" w:themeFill="background1" w:themeFillShade="D9"/>
          </w:tcPr>
          <w:p w14:paraId="125F70BD" w14:textId="77777777" w:rsidR="00A467D6" w:rsidRPr="00336C85" w:rsidRDefault="00A467D6" w:rsidP="00F62C9B">
            <w:pPr>
              <w:rPr>
                <w:sz w:val="20"/>
              </w:rPr>
            </w:pPr>
            <w:r>
              <w:rPr>
                <w:sz w:val="20"/>
              </w:rPr>
              <w:t>NA</w:t>
            </w:r>
          </w:p>
        </w:tc>
        <w:tc>
          <w:tcPr>
            <w:tcW w:w="2088" w:type="pct"/>
          </w:tcPr>
          <w:p w14:paraId="7274AEA4" w14:textId="77777777" w:rsidR="00A467D6" w:rsidRPr="00336C85" w:rsidRDefault="00A467D6" w:rsidP="00F62C9B">
            <w:pPr>
              <w:rPr>
                <w:sz w:val="20"/>
              </w:rPr>
            </w:pPr>
            <w:r w:rsidRPr="00227049">
              <w:rPr>
                <w:sz w:val="20"/>
              </w:rPr>
              <w:t>No comparison group.</w:t>
            </w:r>
          </w:p>
        </w:tc>
      </w:tr>
      <w:tr w:rsidR="00A467D6" w:rsidRPr="00336C85" w14:paraId="78529161" w14:textId="77777777" w:rsidTr="00F62C9B">
        <w:trPr>
          <w:trHeight w:val="79"/>
        </w:trPr>
        <w:tc>
          <w:tcPr>
            <w:tcW w:w="2181" w:type="pct"/>
          </w:tcPr>
          <w:p w14:paraId="5D8B0870" w14:textId="77777777" w:rsidR="00A467D6" w:rsidRPr="00336C85" w:rsidRDefault="00A467D6" w:rsidP="00F62C9B">
            <w:pPr>
              <w:rPr>
                <w:b/>
                <w:bCs/>
                <w:sz w:val="20"/>
              </w:rPr>
            </w:pPr>
            <w:r w:rsidRPr="00336C85">
              <w:rPr>
                <w:b/>
                <w:bCs/>
                <w:sz w:val="20"/>
              </w:rPr>
              <w:t>Confounding – KEY DOMAIN</w:t>
            </w:r>
          </w:p>
        </w:tc>
        <w:tc>
          <w:tcPr>
            <w:tcW w:w="731" w:type="pct"/>
          </w:tcPr>
          <w:p w14:paraId="39CF8DC0" w14:textId="77777777" w:rsidR="00A467D6" w:rsidRPr="00336C85" w:rsidRDefault="00A467D6" w:rsidP="00F62C9B">
            <w:pPr>
              <w:rPr>
                <w:sz w:val="20"/>
              </w:rPr>
            </w:pPr>
          </w:p>
        </w:tc>
        <w:tc>
          <w:tcPr>
            <w:tcW w:w="2088" w:type="pct"/>
          </w:tcPr>
          <w:p w14:paraId="6A7DD49E" w14:textId="77777777" w:rsidR="00A467D6" w:rsidRPr="00336C85" w:rsidRDefault="00A467D6" w:rsidP="00F62C9B">
            <w:pPr>
              <w:rPr>
                <w:sz w:val="20"/>
              </w:rPr>
            </w:pPr>
          </w:p>
        </w:tc>
      </w:tr>
      <w:tr w:rsidR="00A467D6" w:rsidRPr="00336C85" w14:paraId="6F6282C1" w14:textId="77777777" w:rsidTr="00F62C9B">
        <w:trPr>
          <w:trHeight w:val="78"/>
        </w:trPr>
        <w:tc>
          <w:tcPr>
            <w:tcW w:w="2181" w:type="pct"/>
          </w:tcPr>
          <w:p w14:paraId="12A02A3B" w14:textId="77777777" w:rsidR="00A467D6" w:rsidRPr="00336C85" w:rsidRDefault="00A467D6" w:rsidP="00F62C9B">
            <w:pPr>
              <w:rPr>
                <w:sz w:val="20"/>
              </w:rPr>
            </w:pPr>
            <w:r w:rsidRPr="00336C85">
              <w:rPr>
                <w:sz w:val="20"/>
              </w:rPr>
              <w:t>Does the study design or analysis account for important confounding and modifying variables?</w:t>
            </w:r>
          </w:p>
        </w:tc>
        <w:tc>
          <w:tcPr>
            <w:tcW w:w="731" w:type="pct"/>
            <w:shd w:val="clear" w:color="auto" w:fill="EE0000"/>
          </w:tcPr>
          <w:p w14:paraId="2580D3CE" w14:textId="77777777" w:rsidR="00A467D6" w:rsidRPr="00336C85" w:rsidRDefault="00A467D6" w:rsidP="00F62C9B">
            <w:pPr>
              <w:rPr>
                <w:sz w:val="20"/>
              </w:rPr>
            </w:pPr>
            <w:r>
              <w:rPr>
                <w:sz w:val="20"/>
              </w:rPr>
              <w:t>--</w:t>
            </w:r>
          </w:p>
        </w:tc>
        <w:tc>
          <w:tcPr>
            <w:tcW w:w="2088" w:type="pct"/>
          </w:tcPr>
          <w:p w14:paraId="5A4A4C6B" w14:textId="77777777" w:rsidR="00A467D6" w:rsidRPr="00336C85" w:rsidRDefault="00A467D6" w:rsidP="00F62C9B">
            <w:pPr>
              <w:rPr>
                <w:sz w:val="20"/>
              </w:rPr>
            </w:pPr>
            <w:r w:rsidRPr="00227049">
              <w:rPr>
                <w:sz w:val="20"/>
              </w:rPr>
              <w:t>Confounding could not be adequately controlled. Some alternative neuropathy causes were partly excluded, but dietary/supplement B6 exposure relied on self-report and additional unreported supplement sources could not be ruled out.</w:t>
            </w:r>
          </w:p>
        </w:tc>
      </w:tr>
      <w:tr w:rsidR="00A467D6" w:rsidRPr="00336C85" w14:paraId="58666935" w14:textId="77777777" w:rsidTr="00F62C9B">
        <w:trPr>
          <w:trHeight w:val="53"/>
        </w:trPr>
        <w:tc>
          <w:tcPr>
            <w:tcW w:w="2181" w:type="pct"/>
          </w:tcPr>
          <w:p w14:paraId="313F16CF" w14:textId="77777777" w:rsidR="00A467D6" w:rsidRPr="00336C85" w:rsidRDefault="00A467D6" w:rsidP="00F62C9B">
            <w:pPr>
              <w:rPr>
                <w:b/>
                <w:bCs/>
                <w:sz w:val="20"/>
              </w:rPr>
            </w:pPr>
            <w:r w:rsidRPr="00336C85">
              <w:rPr>
                <w:b/>
                <w:bCs/>
                <w:sz w:val="20"/>
              </w:rPr>
              <w:t>Performance</w:t>
            </w:r>
          </w:p>
        </w:tc>
        <w:tc>
          <w:tcPr>
            <w:tcW w:w="731" w:type="pct"/>
          </w:tcPr>
          <w:p w14:paraId="5C5ABDDE" w14:textId="77777777" w:rsidR="00A467D6" w:rsidRPr="00336C85" w:rsidRDefault="00A467D6" w:rsidP="00F62C9B">
            <w:pPr>
              <w:rPr>
                <w:sz w:val="20"/>
              </w:rPr>
            </w:pPr>
          </w:p>
        </w:tc>
        <w:tc>
          <w:tcPr>
            <w:tcW w:w="2088" w:type="pct"/>
          </w:tcPr>
          <w:p w14:paraId="2032D01B" w14:textId="77777777" w:rsidR="00A467D6" w:rsidRPr="00336C85" w:rsidRDefault="00A467D6" w:rsidP="00F62C9B">
            <w:pPr>
              <w:rPr>
                <w:sz w:val="20"/>
              </w:rPr>
            </w:pPr>
          </w:p>
        </w:tc>
      </w:tr>
      <w:tr w:rsidR="00A467D6" w:rsidRPr="00336C85" w14:paraId="50C75DD7" w14:textId="77777777" w:rsidTr="00F62C9B">
        <w:trPr>
          <w:trHeight w:val="52"/>
        </w:trPr>
        <w:tc>
          <w:tcPr>
            <w:tcW w:w="2181" w:type="pct"/>
          </w:tcPr>
          <w:p w14:paraId="6BDF0871" w14:textId="77777777" w:rsidR="00A467D6" w:rsidRPr="00336C85" w:rsidRDefault="00A467D6" w:rsidP="00F62C9B">
            <w:pPr>
              <w:rPr>
                <w:sz w:val="20"/>
              </w:rPr>
            </w:pPr>
            <w:r w:rsidRPr="00336C85">
              <w:rPr>
                <w:rFonts w:eastAsia="Calibri" w:cs="Arial"/>
                <w:sz w:val="20"/>
                <w:lang w:val="en-GB"/>
              </w:rPr>
              <w:t>Were experimental conditions identical across study groups?</w:t>
            </w:r>
          </w:p>
        </w:tc>
        <w:tc>
          <w:tcPr>
            <w:tcW w:w="731" w:type="pct"/>
            <w:shd w:val="clear" w:color="auto" w:fill="D9D9D9" w:themeFill="background1" w:themeFillShade="D9"/>
          </w:tcPr>
          <w:p w14:paraId="6653D05C" w14:textId="77777777" w:rsidR="00A467D6" w:rsidRPr="00336C85" w:rsidRDefault="00A467D6" w:rsidP="00F62C9B">
            <w:pPr>
              <w:rPr>
                <w:sz w:val="20"/>
              </w:rPr>
            </w:pPr>
            <w:r>
              <w:rPr>
                <w:sz w:val="20"/>
              </w:rPr>
              <w:t>NA</w:t>
            </w:r>
          </w:p>
        </w:tc>
        <w:tc>
          <w:tcPr>
            <w:tcW w:w="2088" w:type="pct"/>
          </w:tcPr>
          <w:p w14:paraId="386D3642" w14:textId="77777777" w:rsidR="00A467D6" w:rsidRPr="00336C85" w:rsidRDefault="00A467D6" w:rsidP="00F62C9B">
            <w:pPr>
              <w:rPr>
                <w:sz w:val="20"/>
              </w:rPr>
            </w:pPr>
            <w:r w:rsidRPr="00227049">
              <w:rPr>
                <w:sz w:val="20"/>
              </w:rPr>
              <w:t>Not applicable.</w:t>
            </w:r>
          </w:p>
        </w:tc>
      </w:tr>
      <w:tr w:rsidR="00A467D6" w:rsidRPr="00336C85" w14:paraId="769E1249" w14:textId="77777777" w:rsidTr="00F62C9B">
        <w:trPr>
          <w:trHeight w:val="52"/>
        </w:trPr>
        <w:tc>
          <w:tcPr>
            <w:tcW w:w="2181" w:type="pct"/>
          </w:tcPr>
          <w:p w14:paraId="0B67CF1C" w14:textId="77777777" w:rsidR="00A467D6" w:rsidRPr="00336C85" w:rsidRDefault="00A467D6" w:rsidP="00F62C9B">
            <w:pPr>
              <w:rPr>
                <w:rFonts w:eastAsia="Calibri" w:cs="Arial"/>
                <w:sz w:val="20"/>
                <w:lang w:val="en-GB"/>
              </w:rPr>
            </w:pPr>
            <w:r w:rsidRPr="00336C85">
              <w:rPr>
                <w:rFonts w:eastAsia="Calibri" w:cs="Arial"/>
                <w:sz w:val="20"/>
                <w:lang w:val="en-GB"/>
              </w:rPr>
              <w:t>Were the research personnel and human subjects blinded to the study group during the study?</w:t>
            </w:r>
          </w:p>
        </w:tc>
        <w:tc>
          <w:tcPr>
            <w:tcW w:w="731" w:type="pct"/>
            <w:shd w:val="clear" w:color="auto" w:fill="D9D9D9" w:themeFill="background1" w:themeFillShade="D9"/>
          </w:tcPr>
          <w:p w14:paraId="28811C05" w14:textId="77777777" w:rsidR="00A467D6" w:rsidRPr="00336C85" w:rsidRDefault="00A467D6" w:rsidP="00F62C9B">
            <w:pPr>
              <w:rPr>
                <w:sz w:val="20"/>
              </w:rPr>
            </w:pPr>
            <w:r>
              <w:rPr>
                <w:sz w:val="20"/>
              </w:rPr>
              <w:t>NA</w:t>
            </w:r>
          </w:p>
        </w:tc>
        <w:tc>
          <w:tcPr>
            <w:tcW w:w="2088" w:type="pct"/>
          </w:tcPr>
          <w:p w14:paraId="7C1CC427" w14:textId="77777777" w:rsidR="00A467D6" w:rsidRPr="00336C85" w:rsidRDefault="00A467D6" w:rsidP="00F62C9B">
            <w:pPr>
              <w:rPr>
                <w:sz w:val="20"/>
              </w:rPr>
            </w:pPr>
            <w:r w:rsidRPr="00227049">
              <w:rPr>
                <w:sz w:val="20"/>
              </w:rPr>
              <w:t>Not applicable.</w:t>
            </w:r>
          </w:p>
        </w:tc>
      </w:tr>
      <w:tr w:rsidR="00A467D6" w:rsidRPr="00336C85" w14:paraId="323821B4" w14:textId="77777777" w:rsidTr="00F62C9B">
        <w:tc>
          <w:tcPr>
            <w:tcW w:w="2181" w:type="pct"/>
          </w:tcPr>
          <w:p w14:paraId="2930801E" w14:textId="77777777" w:rsidR="00A467D6" w:rsidRPr="00336C85" w:rsidRDefault="00A467D6" w:rsidP="00F62C9B">
            <w:pPr>
              <w:rPr>
                <w:sz w:val="20"/>
              </w:rPr>
            </w:pPr>
            <w:r w:rsidRPr="00336C85">
              <w:rPr>
                <w:rFonts w:eastAsia="Calibri" w:cs="Arial"/>
                <w:b/>
                <w:bCs/>
                <w:sz w:val="20"/>
                <w:lang w:val="en-GB"/>
              </w:rPr>
              <w:t xml:space="preserve">Attrition / Exclusion </w:t>
            </w:r>
          </w:p>
        </w:tc>
        <w:tc>
          <w:tcPr>
            <w:tcW w:w="731" w:type="pct"/>
          </w:tcPr>
          <w:p w14:paraId="44AFD3A4" w14:textId="77777777" w:rsidR="00A467D6" w:rsidRPr="00336C85" w:rsidRDefault="00A467D6" w:rsidP="00F62C9B">
            <w:pPr>
              <w:rPr>
                <w:sz w:val="20"/>
              </w:rPr>
            </w:pPr>
          </w:p>
        </w:tc>
        <w:tc>
          <w:tcPr>
            <w:tcW w:w="2088" w:type="pct"/>
          </w:tcPr>
          <w:p w14:paraId="28572521" w14:textId="77777777" w:rsidR="00A467D6" w:rsidRPr="00336C85" w:rsidRDefault="00A467D6" w:rsidP="00F62C9B">
            <w:pPr>
              <w:rPr>
                <w:sz w:val="20"/>
              </w:rPr>
            </w:pPr>
          </w:p>
        </w:tc>
      </w:tr>
      <w:tr w:rsidR="00A467D6" w:rsidRPr="00336C85" w14:paraId="45C6B833" w14:textId="77777777" w:rsidTr="00F62C9B">
        <w:tc>
          <w:tcPr>
            <w:tcW w:w="2181" w:type="pct"/>
          </w:tcPr>
          <w:p w14:paraId="2E71D181" w14:textId="77777777" w:rsidR="00A467D6" w:rsidRPr="00336C85" w:rsidRDefault="00A467D6" w:rsidP="00F62C9B">
            <w:pPr>
              <w:rPr>
                <w:rFonts w:eastAsia="Calibri" w:cs="Arial"/>
                <w:b/>
                <w:bCs/>
                <w:sz w:val="20"/>
                <w:lang w:val="en-GB"/>
              </w:rPr>
            </w:pPr>
            <w:r w:rsidRPr="00336C85">
              <w:rPr>
                <w:rFonts w:eastAsia="Calibri" w:cs="Arial"/>
                <w:sz w:val="20"/>
                <w:lang w:val="en-GB"/>
              </w:rPr>
              <w:t>Were outcome data incomplete because of attrition or exclusion from analysis?</w:t>
            </w:r>
          </w:p>
        </w:tc>
        <w:tc>
          <w:tcPr>
            <w:tcW w:w="731" w:type="pct"/>
            <w:shd w:val="clear" w:color="auto" w:fill="FDCBD1"/>
          </w:tcPr>
          <w:p w14:paraId="5F7F16E8" w14:textId="77777777" w:rsidR="00A467D6" w:rsidRPr="00336C85" w:rsidRDefault="00A467D6" w:rsidP="00F62C9B">
            <w:pPr>
              <w:rPr>
                <w:sz w:val="20"/>
              </w:rPr>
            </w:pPr>
            <w:r>
              <w:rPr>
                <w:sz w:val="20"/>
              </w:rPr>
              <w:t>-</w:t>
            </w:r>
          </w:p>
        </w:tc>
        <w:tc>
          <w:tcPr>
            <w:tcW w:w="2088" w:type="pct"/>
          </w:tcPr>
          <w:p w14:paraId="299EA257" w14:textId="77777777" w:rsidR="00A467D6" w:rsidRPr="00336C85" w:rsidRDefault="00A467D6" w:rsidP="00F62C9B">
            <w:pPr>
              <w:rPr>
                <w:sz w:val="20"/>
              </w:rPr>
            </w:pPr>
            <w:r w:rsidRPr="00227049">
              <w:rPr>
                <w:sz w:val="20"/>
              </w:rPr>
              <w:t xml:space="preserve">Follow-up was short and based only on subjective symptom improvement. </w:t>
            </w:r>
            <w:r w:rsidRPr="00227049">
              <w:rPr>
                <w:sz w:val="20"/>
              </w:rPr>
              <w:lastRenderedPageBreak/>
              <w:t>Repeat serum B6 and EMG were not available, so causality remains unconfirmed.</w:t>
            </w:r>
          </w:p>
        </w:tc>
      </w:tr>
      <w:tr w:rsidR="00A467D6" w:rsidRPr="00336C85" w14:paraId="5515D2CF" w14:textId="77777777" w:rsidTr="00F62C9B">
        <w:trPr>
          <w:trHeight w:val="81"/>
        </w:trPr>
        <w:tc>
          <w:tcPr>
            <w:tcW w:w="2181" w:type="pct"/>
          </w:tcPr>
          <w:p w14:paraId="73955923" w14:textId="77777777" w:rsidR="00A467D6" w:rsidRPr="00336C85" w:rsidRDefault="00A467D6" w:rsidP="00F62C9B">
            <w:pPr>
              <w:rPr>
                <w:sz w:val="20"/>
              </w:rPr>
            </w:pPr>
            <w:r w:rsidRPr="00336C85">
              <w:rPr>
                <w:rFonts w:ascii="Aptos" w:eastAsia="Calibri" w:hAnsi="Aptos" w:cs="Arial"/>
                <w:b/>
                <w:bCs/>
                <w:kern w:val="2"/>
                <w:sz w:val="20"/>
                <w:lang w:eastAsia="en-US"/>
                <w14:ligatures w14:val="standardContextual"/>
              </w:rPr>
              <w:lastRenderedPageBreak/>
              <w:t>Detection bias – KEY DOMAIN</w:t>
            </w:r>
          </w:p>
        </w:tc>
        <w:tc>
          <w:tcPr>
            <w:tcW w:w="731" w:type="pct"/>
          </w:tcPr>
          <w:p w14:paraId="43898109" w14:textId="77777777" w:rsidR="00A467D6" w:rsidRPr="00336C85" w:rsidRDefault="00A467D6" w:rsidP="00F62C9B">
            <w:pPr>
              <w:rPr>
                <w:sz w:val="20"/>
              </w:rPr>
            </w:pPr>
          </w:p>
        </w:tc>
        <w:tc>
          <w:tcPr>
            <w:tcW w:w="2088" w:type="pct"/>
          </w:tcPr>
          <w:p w14:paraId="0D2810B6" w14:textId="77777777" w:rsidR="00A467D6" w:rsidRPr="00336C85" w:rsidRDefault="00A467D6" w:rsidP="00F62C9B">
            <w:pPr>
              <w:rPr>
                <w:sz w:val="20"/>
              </w:rPr>
            </w:pPr>
          </w:p>
        </w:tc>
      </w:tr>
      <w:tr w:rsidR="00A467D6" w:rsidRPr="00336C85" w14:paraId="4981862E" w14:textId="77777777" w:rsidTr="00F62C9B">
        <w:trPr>
          <w:trHeight w:val="80"/>
        </w:trPr>
        <w:tc>
          <w:tcPr>
            <w:tcW w:w="2181" w:type="pct"/>
          </w:tcPr>
          <w:p w14:paraId="41452DFC" w14:textId="77777777" w:rsidR="00A467D6" w:rsidRPr="00336C85" w:rsidRDefault="00A467D6" w:rsidP="00F62C9B">
            <w:pPr>
              <w:rPr>
                <w:rFonts w:ascii="Aptos" w:eastAsia="Calibri" w:hAnsi="Aptos" w:cs="Arial"/>
                <w:b/>
                <w:bCs/>
                <w:kern w:val="2"/>
                <w:sz w:val="20"/>
                <w14:ligatures w14:val="standardContextual"/>
              </w:rPr>
            </w:pPr>
            <w:r w:rsidRPr="00336C85">
              <w:rPr>
                <w:rFonts w:eastAsia="Calibri" w:cs="Arial"/>
                <w:sz w:val="20"/>
                <w:lang w:val="en-GB"/>
              </w:rPr>
              <w:t>KEY - Can we be confident in the exposure characterisation?</w:t>
            </w:r>
          </w:p>
        </w:tc>
        <w:tc>
          <w:tcPr>
            <w:tcW w:w="731" w:type="pct"/>
            <w:shd w:val="clear" w:color="auto" w:fill="FDCBD1"/>
          </w:tcPr>
          <w:p w14:paraId="1601EDC6" w14:textId="77777777" w:rsidR="00A467D6" w:rsidRPr="00336C85" w:rsidRDefault="00A467D6" w:rsidP="00F62C9B">
            <w:pPr>
              <w:rPr>
                <w:sz w:val="20"/>
              </w:rPr>
            </w:pPr>
            <w:r>
              <w:rPr>
                <w:sz w:val="20"/>
              </w:rPr>
              <w:t>-</w:t>
            </w:r>
          </w:p>
        </w:tc>
        <w:tc>
          <w:tcPr>
            <w:tcW w:w="2088" w:type="pct"/>
          </w:tcPr>
          <w:p w14:paraId="630B7482" w14:textId="77777777" w:rsidR="00A467D6" w:rsidRPr="00336C85" w:rsidRDefault="00A467D6" w:rsidP="00F62C9B">
            <w:pPr>
              <w:rPr>
                <w:sz w:val="20"/>
              </w:rPr>
            </w:pPr>
            <w:r w:rsidRPr="00227049">
              <w:rPr>
                <w:sz w:val="20"/>
              </w:rPr>
              <w:t>Exposure assessment was very limited, relying on self-reported long-term multivitamin use. Dietary B6 intake was not measured, and only total serum B6 was reported, limiting dose accuracy and mechanistic interpretation.</w:t>
            </w:r>
          </w:p>
        </w:tc>
      </w:tr>
      <w:tr w:rsidR="00A467D6" w:rsidRPr="00336C85" w14:paraId="05513628" w14:textId="77777777" w:rsidTr="00F62C9B">
        <w:trPr>
          <w:trHeight w:val="80"/>
        </w:trPr>
        <w:tc>
          <w:tcPr>
            <w:tcW w:w="2181" w:type="pct"/>
          </w:tcPr>
          <w:p w14:paraId="09055C38" w14:textId="77777777" w:rsidR="00A467D6" w:rsidRPr="00336C85" w:rsidRDefault="00A467D6" w:rsidP="00F62C9B">
            <w:pPr>
              <w:rPr>
                <w:rFonts w:eastAsia="Calibri" w:cs="Arial"/>
                <w:sz w:val="20"/>
                <w:lang w:val="en-GB"/>
              </w:rPr>
            </w:pPr>
            <w:r w:rsidRPr="00336C85">
              <w:rPr>
                <w:rFonts w:eastAsia="Calibri" w:cs="Arial"/>
                <w:sz w:val="20"/>
                <w:lang w:val="en-GB"/>
              </w:rPr>
              <w:t>KEY - Can we be confident in the outcome assessment?</w:t>
            </w:r>
          </w:p>
        </w:tc>
        <w:tc>
          <w:tcPr>
            <w:tcW w:w="731" w:type="pct"/>
            <w:shd w:val="clear" w:color="auto" w:fill="92D050"/>
          </w:tcPr>
          <w:p w14:paraId="2DAF8B17" w14:textId="77777777" w:rsidR="00A467D6" w:rsidRPr="00336C85" w:rsidRDefault="00A467D6" w:rsidP="00F62C9B">
            <w:pPr>
              <w:rPr>
                <w:sz w:val="20"/>
              </w:rPr>
            </w:pPr>
            <w:r>
              <w:rPr>
                <w:sz w:val="20"/>
              </w:rPr>
              <w:t>+</w:t>
            </w:r>
          </w:p>
        </w:tc>
        <w:tc>
          <w:tcPr>
            <w:tcW w:w="2088" w:type="pct"/>
          </w:tcPr>
          <w:p w14:paraId="4277B46B" w14:textId="77777777" w:rsidR="00A467D6" w:rsidRPr="00336C85" w:rsidRDefault="00A467D6" w:rsidP="00F62C9B">
            <w:pPr>
              <w:rPr>
                <w:sz w:val="20"/>
              </w:rPr>
            </w:pPr>
            <w:r w:rsidRPr="00B4544A">
              <w:rPr>
                <w:sz w:val="20"/>
              </w:rPr>
              <w:t>Peripheral neuropathy was objectively confirmed by EMG showing bilateral sensory neuropathy. Standard workup (B12, thyroid, HbA1c, ANA) was completed to exclude common alternative causes. Physical examination findings are documented across multiple visits.</w:t>
            </w:r>
          </w:p>
        </w:tc>
      </w:tr>
      <w:tr w:rsidR="00A467D6" w:rsidRPr="00336C85" w14:paraId="340856BD" w14:textId="77777777" w:rsidTr="00F62C9B">
        <w:trPr>
          <w:trHeight w:val="236"/>
        </w:trPr>
        <w:tc>
          <w:tcPr>
            <w:tcW w:w="2181" w:type="pct"/>
          </w:tcPr>
          <w:p w14:paraId="1797425F" w14:textId="77777777" w:rsidR="00A467D6" w:rsidRPr="00336C85" w:rsidRDefault="00A467D6" w:rsidP="00F62C9B">
            <w:pPr>
              <w:rPr>
                <w:sz w:val="20"/>
              </w:rPr>
            </w:pPr>
            <w:r w:rsidRPr="00336C85">
              <w:rPr>
                <w:rFonts w:eastAsia="Calibri" w:cs="Arial"/>
                <w:b/>
                <w:bCs/>
                <w:sz w:val="20"/>
                <w:lang w:val="en-GB"/>
              </w:rPr>
              <w:t>Selective Reporting</w:t>
            </w:r>
          </w:p>
        </w:tc>
        <w:tc>
          <w:tcPr>
            <w:tcW w:w="731" w:type="pct"/>
          </w:tcPr>
          <w:p w14:paraId="20DA05F0" w14:textId="77777777" w:rsidR="00A467D6" w:rsidRPr="00336C85" w:rsidRDefault="00A467D6" w:rsidP="00F62C9B">
            <w:pPr>
              <w:rPr>
                <w:sz w:val="20"/>
              </w:rPr>
            </w:pPr>
          </w:p>
        </w:tc>
        <w:tc>
          <w:tcPr>
            <w:tcW w:w="2088" w:type="pct"/>
          </w:tcPr>
          <w:p w14:paraId="67229057" w14:textId="77777777" w:rsidR="00A467D6" w:rsidRPr="00336C85" w:rsidRDefault="00A467D6" w:rsidP="00F62C9B">
            <w:pPr>
              <w:rPr>
                <w:sz w:val="20"/>
              </w:rPr>
            </w:pPr>
          </w:p>
        </w:tc>
      </w:tr>
      <w:tr w:rsidR="00A467D6" w:rsidRPr="00336C85" w14:paraId="70E56B90" w14:textId="77777777" w:rsidTr="00F62C9B">
        <w:trPr>
          <w:trHeight w:val="235"/>
        </w:trPr>
        <w:tc>
          <w:tcPr>
            <w:tcW w:w="2181" w:type="pct"/>
          </w:tcPr>
          <w:p w14:paraId="3EF4512C" w14:textId="77777777" w:rsidR="00A467D6" w:rsidRPr="00336C85" w:rsidRDefault="00A467D6" w:rsidP="00F62C9B">
            <w:pPr>
              <w:rPr>
                <w:rFonts w:eastAsia="Calibri" w:cs="Arial"/>
                <w:b/>
                <w:bCs/>
                <w:sz w:val="20"/>
                <w:lang w:val="en-GB"/>
              </w:rPr>
            </w:pPr>
            <w:r w:rsidRPr="00336C85">
              <w:rPr>
                <w:rFonts w:eastAsia="Calibri" w:cs="Arial"/>
                <w:sz w:val="20"/>
                <w:lang w:val="en-GB"/>
              </w:rPr>
              <w:t>Were all measured outcomes reported?</w:t>
            </w:r>
          </w:p>
        </w:tc>
        <w:tc>
          <w:tcPr>
            <w:tcW w:w="731" w:type="pct"/>
            <w:shd w:val="clear" w:color="auto" w:fill="92D050"/>
          </w:tcPr>
          <w:p w14:paraId="3DDAEDE2" w14:textId="77777777" w:rsidR="00A467D6" w:rsidRPr="00336C85" w:rsidRDefault="00A467D6" w:rsidP="00F62C9B">
            <w:pPr>
              <w:rPr>
                <w:sz w:val="20"/>
              </w:rPr>
            </w:pPr>
            <w:r>
              <w:rPr>
                <w:sz w:val="20"/>
              </w:rPr>
              <w:t>+</w:t>
            </w:r>
          </w:p>
        </w:tc>
        <w:tc>
          <w:tcPr>
            <w:tcW w:w="2088" w:type="pct"/>
          </w:tcPr>
          <w:p w14:paraId="12E4DC55" w14:textId="77777777" w:rsidR="00A467D6" w:rsidRPr="00336C85" w:rsidRDefault="00A467D6" w:rsidP="00F62C9B">
            <w:pPr>
              <w:rPr>
                <w:sz w:val="20"/>
              </w:rPr>
            </w:pPr>
            <w:r w:rsidRPr="00B4544A">
              <w:rPr>
                <w:sz w:val="20"/>
              </w:rPr>
              <w:t>The clinical course, laboratory results, and short-term treatment response are fully reported. No conflicts of interest and no external funding.</w:t>
            </w:r>
          </w:p>
        </w:tc>
      </w:tr>
      <w:tr w:rsidR="00A467D6" w:rsidRPr="00336C85" w14:paraId="046E83CB" w14:textId="77777777" w:rsidTr="00F62C9B">
        <w:tc>
          <w:tcPr>
            <w:tcW w:w="2181" w:type="pct"/>
          </w:tcPr>
          <w:p w14:paraId="2C5C667B" w14:textId="77777777" w:rsidR="00A467D6" w:rsidRPr="00336C85" w:rsidRDefault="00A467D6" w:rsidP="00F62C9B">
            <w:pPr>
              <w:rPr>
                <w:b/>
                <w:bCs/>
                <w:sz w:val="20"/>
              </w:rPr>
            </w:pPr>
            <w:r w:rsidRPr="00336C85">
              <w:rPr>
                <w:rFonts w:eastAsia="Calibri" w:cs="Arial"/>
                <w:b/>
                <w:bCs/>
                <w:sz w:val="20"/>
                <w:lang w:val="en-GB"/>
              </w:rPr>
              <w:t>Other Sources of bias</w:t>
            </w:r>
          </w:p>
        </w:tc>
        <w:tc>
          <w:tcPr>
            <w:tcW w:w="731" w:type="pct"/>
          </w:tcPr>
          <w:p w14:paraId="6FD43733" w14:textId="77777777" w:rsidR="00A467D6" w:rsidRPr="00336C85" w:rsidRDefault="00A467D6" w:rsidP="00F62C9B">
            <w:pPr>
              <w:rPr>
                <w:sz w:val="20"/>
              </w:rPr>
            </w:pPr>
          </w:p>
        </w:tc>
        <w:tc>
          <w:tcPr>
            <w:tcW w:w="2088" w:type="pct"/>
          </w:tcPr>
          <w:p w14:paraId="3B569A69" w14:textId="77777777" w:rsidR="00A467D6" w:rsidRPr="00336C85" w:rsidRDefault="00A467D6" w:rsidP="00F62C9B">
            <w:pPr>
              <w:rPr>
                <w:sz w:val="20"/>
              </w:rPr>
            </w:pPr>
          </w:p>
        </w:tc>
      </w:tr>
      <w:tr w:rsidR="00A467D6" w:rsidRPr="00336C85" w14:paraId="61989AC4" w14:textId="77777777" w:rsidTr="00F62C9B">
        <w:tc>
          <w:tcPr>
            <w:tcW w:w="2181" w:type="pct"/>
          </w:tcPr>
          <w:p w14:paraId="1EC2A777" w14:textId="77777777" w:rsidR="00A467D6" w:rsidRPr="00336C85" w:rsidRDefault="00A467D6" w:rsidP="00F62C9B">
            <w:pPr>
              <w:rPr>
                <w:rFonts w:eastAsia="Calibri" w:cs="Arial"/>
                <w:b/>
                <w:bCs/>
                <w:sz w:val="20"/>
                <w:lang w:val="en-GB"/>
              </w:rPr>
            </w:pPr>
            <w:r w:rsidRPr="00336C85">
              <w:rPr>
                <w:rFonts w:eastAsia="Calibri" w:cs="Arial"/>
                <w:sz w:val="20"/>
                <w:lang w:val="en-GB"/>
              </w:rPr>
              <w:t>Were there any other potential threats to internal validity (e.g., inappropriate statistical methods)?</w:t>
            </w:r>
          </w:p>
        </w:tc>
        <w:tc>
          <w:tcPr>
            <w:tcW w:w="731" w:type="pct"/>
            <w:shd w:val="clear" w:color="auto" w:fill="FDCBD1"/>
          </w:tcPr>
          <w:p w14:paraId="2C9F33DC" w14:textId="77777777" w:rsidR="00A467D6" w:rsidRPr="00336C85" w:rsidRDefault="00A467D6" w:rsidP="00F62C9B">
            <w:pPr>
              <w:rPr>
                <w:sz w:val="20"/>
              </w:rPr>
            </w:pPr>
            <w:r>
              <w:rPr>
                <w:sz w:val="20"/>
              </w:rPr>
              <w:t>-</w:t>
            </w:r>
          </w:p>
        </w:tc>
        <w:tc>
          <w:tcPr>
            <w:tcW w:w="2088" w:type="pct"/>
          </w:tcPr>
          <w:p w14:paraId="7295382A" w14:textId="77777777" w:rsidR="00A467D6" w:rsidRPr="00336C85" w:rsidRDefault="00A467D6" w:rsidP="00F62C9B">
            <w:pPr>
              <w:rPr>
                <w:sz w:val="20"/>
              </w:rPr>
            </w:pPr>
            <w:r w:rsidRPr="00B4544A">
              <w:rPr>
                <w:sz w:val="20"/>
              </w:rPr>
              <w:t>Causal attribution to B6 is uncertain because the patient is elderly, where idiopathic neuropathy is common, and the case lacks rechallenge or longer follow-up confirming resolution with normalised B6 levels.</w:t>
            </w:r>
          </w:p>
        </w:tc>
      </w:tr>
      <w:tr w:rsidR="00A467D6" w:rsidRPr="00336C85" w14:paraId="73E0F581" w14:textId="77777777" w:rsidTr="00F62C9B">
        <w:tc>
          <w:tcPr>
            <w:tcW w:w="2181" w:type="pct"/>
          </w:tcPr>
          <w:p w14:paraId="3676469E" w14:textId="77777777" w:rsidR="00A467D6" w:rsidRPr="00336C85" w:rsidRDefault="00A467D6" w:rsidP="00F62C9B">
            <w:pPr>
              <w:rPr>
                <w:sz w:val="20"/>
              </w:rPr>
            </w:pPr>
            <w:r w:rsidRPr="00336C85">
              <w:rPr>
                <w:rFonts w:eastAsia="Calibri" w:cs="Arial"/>
                <w:b/>
                <w:bCs/>
                <w:sz w:val="20"/>
                <w:lang w:val="en-GB"/>
              </w:rPr>
              <w:t>Overall risk of bias for the study (Low/Moderate/High)</w:t>
            </w:r>
          </w:p>
        </w:tc>
        <w:tc>
          <w:tcPr>
            <w:tcW w:w="731" w:type="pct"/>
          </w:tcPr>
          <w:p w14:paraId="727FE713" w14:textId="155AB629" w:rsidR="00A467D6" w:rsidRPr="00336C85" w:rsidRDefault="00A467D6" w:rsidP="00F62C9B">
            <w:pPr>
              <w:rPr>
                <w:b/>
                <w:bCs/>
                <w:sz w:val="20"/>
              </w:rPr>
            </w:pPr>
            <w:r>
              <w:rPr>
                <w:b/>
                <w:bCs/>
                <w:sz w:val="20"/>
              </w:rPr>
              <w:t>High</w:t>
            </w:r>
          </w:p>
        </w:tc>
        <w:tc>
          <w:tcPr>
            <w:tcW w:w="2088" w:type="pct"/>
          </w:tcPr>
          <w:p w14:paraId="2FD0AF47" w14:textId="77777777" w:rsidR="00A467D6" w:rsidRPr="00336C85" w:rsidRDefault="00A467D6" w:rsidP="00F62C9B">
            <w:pPr>
              <w:rPr>
                <w:b/>
                <w:bCs/>
                <w:sz w:val="20"/>
              </w:rPr>
            </w:pPr>
          </w:p>
        </w:tc>
      </w:tr>
    </w:tbl>
    <w:p w14:paraId="18375758" w14:textId="77777777" w:rsidR="00A467D6" w:rsidRDefault="00A467D6" w:rsidP="00A467D6">
      <w:pPr>
        <w:pStyle w:val="BodyText"/>
      </w:pPr>
    </w:p>
    <w:p w14:paraId="0E4E571F" w14:textId="77777777" w:rsidR="00A467D6" w:rsidRDefault="00A467D6" w:rsidP="00A467D6">
      <w:pPr>
        <w:pStyle w:val="Heading9"/>
      </w:pPr>
      <w:bookmarkStart w:id="99" w:name="_Toc233022913"/>
      <w:r w:rsidRPr="00510808">
        <w:t>Gdynia et al. 2025</w:t>
      </w:r>
      <w:bookmarkEnd w:id="99"/>
    </w:p>
    <w:p w14:paraId="6E70F442" w14:textId="77777777" w:rsidR="00A467D6" w:rsidRPr="00306EFF" w:rsidRDefault="00A467D6" w:rsidP="00A467D6">
      <w:pPr>
        <w:rPr>
          <w:rFonts w:eastAsia="Calibri" w:cs="Arial"/>
          <w:szCs w:val="22"/>
        </w:rPr>
      </w:pPr>
      <w:r w:rsidRPr="00E45AB2">
        <w:rPr>
          <w:rFonts w:eastAsia="Calibri" w:cs="Arial"/>
          <w:szCs w:val="22"/>
        </w:rPr>
        <w:t xml:space="preserve">Rating key: </w:t>
      </w:r>
      <w:r w:rsidRPr="00E45AB2">
        <w:rPr>
          <w:rFonts w:eastAsia="Calibri" w:cs="Arial"/>
          <w:szCs w:val="22"/>
          <w:shd w:val="clear" w:color="auto" w:fill="00B050"/>
        </w:rPr>
        <w:t>++</w:t>
      </w:r>
      <w:r w:rsidRPr="00E45AB2">
        <w:rPr>
          <w:rFonts w:eastAsia="Calibri" w:cs="Arial"/>
          <w:szCs w:val="22"/>
        </w:rPr>
        <w:t xml:space="preserve"> = definitely low RoB; </w:t>
      </w:r>
      <w:r w:rsidRPr="00E45AB2">
        <w:rPr>
          <w:rFonts w:eastAsia="Calibri" w:cs="Arial"/>
          <w:szCs w:val="22"/>
          <w:shd w:val="clear" w:color="auto" w:fill="92D050"/>
        </w:rPr>
        <w:t>+</w:t>
      </w:r>
      <w:r w:rsidRPr="00E45AB2">
        <w:rPr>
          <w:rFonts w:eastAsia="Calibri" w:cs="Arial"/>
          <w:szCs w:val="22"/>
        </w:rPr>
        <w:t xml:space="preserve"> = probably low RoB; </w:t>
      </w:r>
      <w:r w:rsidRPr="00E45AB2">
        <w:rPr>
          <w:rFonts w:eastAsia="Calibri" w:cs="Arial"/>
          <w:szCs w:val="22"/>
          <w:shd w:val="clear" w:color="auto" w:fill="FFC1C1"/>
        </w:rPr>
        <w:t>NR</w:t>
      </w:r>
      <w:r w:rsidRPr="00E45AB2">
        <w:rPr>
          <w:rFonts w:eastAsia="Calibri" w:cs="Arial"/>
          <w:szCs w:val="22"/>
        </w:rPr>
        <w:t xml:space="preserve"> = not reported; </w:t>
      </w:r>
      <w:r w:rsidRPr="00E45AB2">
        <w:rPr>
          <w:rFonts w:eastAsia="Calibri" w:cs="Arial"/>
          <w:szCs w:val="22"/>
          <w:shd w:val="clear" w:color="auto" w:fill="FFC1C1"/>
        </w:rPr>
        <w:t>−</w:t>
      </w:r>
      <w:r w:rsidRPr="00E45AB2">
        <w:rPr>
          <w:rFonts w:eastAsia="Calibri" w:cs="Arial"/>
          <w:szCs w:val="22"/>
        </w:rPr>
        <w:t xml:space="preserve"> = probably high RoB; </w:t>
      </w:r>
      <w:r w:rsidRPr="00E45AB2">
        <w:rPr>
          <w:rFonts w:eastAsia="Calibri" w:cs="Arial"/>
          <w:szCs w:val="22"/>
          <w:shd w:val="clear" w:color="auto" w:fill="FF2F2F"/>
        </w:rPr>
        <w:t>−−</w:t>
      </w:r>
      <w:r w:rsidRPr="00E45AB2">
        <w:rPr>
          <w:rFonts w:eastAsia="Calibri" w:cs="Arial"/>
          <w:szCs w:val="22"/>
        </w:rPr>
        <w:t xml:space="preserve"> = definitely high RoB; </w:t>
      </w:r>
      <w:r w:rsidRPr="00E45AB2">
        <w:rPr>
          <w:rFonts w:eastAsia="Calibri" w:cs="Arial"/>
          <w:szCs w:val="22"/>
          <w:highlight w:val="lightGray"/>
        </w:rPr>
        <w:t>NA</w:t>
      </w:r>
      <w:r w:rsidRPr="00E45AB2">
        <w:rPr>
          <w:rFonts w:eastAsia="Calibri" w:cs="Arial"/>
          <w:szCs w:val="22"/>
        </w:rPr>
        <w:t xml:space="preserve"> = not applicable to this study design </w:t>
      </w:r>
    </w:p>
    <w:tbl>
      <w:tblPr>
        <w:tblStyle w:val="SLROption1"/>
        <w:tblW w:w="5000" w:type="pct"/>
        <w:tblLook w:val="01E0" w:firstRow="1" w:lastRow="1" w:firstColumn="1" w:lastColumn="1" w:noHBand="0" w:noVBand="0"/>
      </w:tblPr>
      <w:tblGrid>
        <w:gridCol w:w="3934"/>
        <w:gridCol w:w="1319"/>
        <w:gridCol w:w="3766"/>
      </w:tblGrid>
      <w:tr w:rsidR="00A467D6" w:rsidRPr="00336C85" w14:paraId="676B846A" w14:textId="77777777" w:rsidTr="00F62C9B">
        <w:trPr>
          <w:cnfStyle w:val="100000000000" w:firstRow="1" w:lastRow="0" w:firstColumn="0" w:lastColumn="0" w:oddVBand="0" w:evenVBand="0" w:oddHBand="0" w:evenHBand="0" w:firstRowFirstColumn="0" w:firstRowLastColumn="0" w:lastRowFirstColumn="0" w:lastRowLastColumn="0"/>
        </w:trPr>
        <w:tc>
          <w:tcPr>
            <w:tcW w:w="2181" w:type="pct"/>
            <w:tcBorders>
              <w:bottom w:val="single" w:sz="4" w:space="0" w:color="FFFFFF" w:themeColor="background1"/>
              <w:right w:val="single" w:sz="4" w:space="0" w:color="FFFFFF" w:themeColor="background1"/>
            </w:tcBorders>
            <w:shd w:val="clear" w:color="auto" w:fill="3C533C" w:themeFill="text2"/>
          </w:tcPr>
          <w:p w14:paraId="7E578A6C" w14:textId="77777777" w:rsidR="00A467D6" w:rsidRPr="00336C85" w:rsidRDefault="00A467D6" w:rsidP="00F62C9B">
            <w:pPr>
              <w:keepNext/>
              <w:jc w:val="left"/>
              <w:rPr>
                <w:rFonts w:eastAsia="Calibri"/>
                <w:b/>
                <w:color w:val="FFFFFF" w:themeColor="background1"/>
                <w:sz w:val="20"/>
              </w:rPr>
            </w:pPr>
            <w:r w:rsidRPr="00336C85">
              <w:rPr>
                <w:rFonts w:eastAsia="Calibri"/>
                <w:b/>
                <w:color w:val="FFFFFF" w:themeColor="background1"/>
                <w:sz w:val="20"/>
              </w:rPr>
              <w:t>Study Type:</w:t>
            </w:r>
          </w:p>
        </w:tc>
        <w:tc>
          <w:tcPr>
            <w:tcW w:w="731" w:type="pct"/>
            <w:tcBorders>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7F665A93" w14:textId="77777777" w:rsidR="00A467D6" w:rsidRPr="00336C85" w:rsidRDefault="00A467D6" w:rsidP="00F62C9B">
            <w:pPr>
              <w:keepNext/>
              <w:jc w:val="left"/>
              <w:rPr>
                <w:rFonts w:eastAsia="Calibri"/>
                <w:bCs/>
                <w:color w:val="FFFFFF" w:themeColor="background1"/>
                <w:sz w:val="20"/>
              </w:rPr>
            </w:pPr>
          </w:p>
        </w:tc>
        <w:tc>
          <w:tcPr>
            <w:tcW w:w="2088" w:type="pct"/>
            <w:tcBorders>
              <w:left w:val="single" w:sz="4" w:space="0" w:color="FFFFFF" w:themeColor="background1"/>
              <w:bottom w:val="single" w:sz="4" w:space="0" w:color="FFFFFF" w:themeColor="background1"/>
            </w:tcBorders>
            <w:shd w:val="clear" w:color="auto" w:fill="3C533C" w:themeFill="text2"/>
          </w:tcPr>
          <w:p w14:paraId="14ADB7A9" w14:textId="77777777" w:rsidR="00A467D6" w:rsidRPr="00336C85" w:rsidRDefault="00A467D6" w:rsidP="00F62C9B">
            <w:pPr>
              <w:keepNext/>
              <w:jc w:val="left"/>
              <w:rPr>
                <w:rFonts w:eastAsia="Calibri"/>
                <w:bCs/>
                <w:color w:val="FFFFFF" w:themeColor="background1"/>
                <w:sz w:val="20"/>
              </w:rPr>
            </w:pPr>
            <w:r w:rsidRPr="00096CB6">
              <w:rPr>
                <w:rFonts w:eastAsia="Calibri"/>
                <w:bCs/>
                <w:color w:val="FFFFFF" w:themeColor="background1"/>
                <w:sz w:val="20"/>
              </w:rPr>
              <w:t>Retrospective single-centre case series</w:t>
            </w:r>
          </w:p>
        </w:tc>
      </w:tr>
      <w:tr w:rsidR="00A467D6" w:rsidRPr="00336C85" w14:paraId="4516A94D" w14:textId="77777777" w:rsidTr="00F62C9B">
        <w:tc>
          <w:tcPr>
            <w:tcW w:w="2181" w:type="pct"/>
            <w:tcBorders>
              <w:top w:val="single" w:sz="4" w:space="0" w:color="FFFFFF" w:themeColor="background1"/>
              <w:bottom w:val="single" w:sz="4" w:space="0" w:color="FFFFFF" w:themeColor="background1"/>
              <w:right w:val="single" w:sz="4" w:space="0" w:color="FFFFFF" w:themeColor="background1"/>
            </w:tcBorders>
            <w:shd w:val="clear" w:color="auto" w:fill="3C533C" w:themeFill="text2"/>
          </w:tcPr>
          <w:p w14:paraId="22C3D54A" w14:textId="77777777" w:rsidR="00A467D6" w:rsidRPr="00336C85" w:rsidRDefault="00A467D6" w:rsidP="00F62C9B">
            <w:pPr>
              <w:keepNext/>
              <w:rPr>
                <w:rFonts w:eastAsia="Calibri"/>
                <w:b/>
                <w:color w:val="FFFFFF" w:themeColor="background1"/>
                <w:sz w:val="20"/>
              </w:rPr>
            </w:pPr>
            <w:r w:rsidRPr="00336C85">
              <w:rPr>
                <w:rFonts w:eastAsia="Calibri"/>
                <w:b/>
                <w:color w:val="FFFFFF" w:themeColor="background1"/>
                <w:sz w:val="20"/>
              </w:rPr>
              <w:t>Study ID:</w:t>
            </w:r>
          </w:p>
        </w:tc>
        <w:tc>
          <w:tcPr>
            <w:tcW w:w="7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4DDA383F" w14:textId="77777777" w:rsidR="00A467D6" w:rsidRPr="00336C85" w:rsidRDefault="00A467D6" w:rsidP="00F62C9B">
            <w:pPr>
              <w:keepNext/>
              <w:rPr>
                <w:rFonts w:eastAsia="Calibri"/>
                <w:bCs/>
                <w:color w:val="FFFFFF" w:themeColor="background1"/>
                <w:sz w:val="20"/>
              </w:rPr>
            </w:pPr>
          </w:p>
        </w:tc>
        <w:tc>
          <w:tcPr>
            <w:tcW w:w="2088" w:type="pct"/>
            <w:tcBorders>
              <w:top w:val="single" w:sz="4" w:space="0" w:color="FFFFFF" w:themeColor="background1"/>
              <w:left w:val="single" w:sz="4" w:space="0" w:color="FFFFFF" w:themeColor="background1"/>
              <w:bottom w:val="single" w:sz="4" w:space="0" w:color="FFFFFF" w:themeColor="background1"/>
            </w:tcBorders>
            <w:shd w:val="clear" w:color="auto" w:fill="3C533C" w:themeFill="text2"/>
          </w:tcPr>
          <w:p w14:paraId="47ACA3D9" w14:textId="77777777" w:rsidR="00A467D6" w:rsidRPr="00336C85" w:rsidRDefault="00A467D6" w:rsidP="00F62C9B">
            <w:pPr>
              <w:keepNext/>
              <w:rPr>
                <w:rFonts w:eastAsia="Calibri"/>
                <w:bCs/>
                <w:color w:val="FFFFFF" w:themeColor="background1"/>
                <w:sz w:val="20"/>
              </w:rPr>
            </w:pPr>
            <w:r w:rsidRPr="00096CB6">
              <w:rPr>
                <w:rFonts w:eastAsia="Calibri"/>
                <w:bCs/>
                <w:color w:val="FFFFFF" w:themeColor="background1"/>
                <w:sz w:val="20"/>
              </w:rPr>
              <w:t>Gdynia et al. 2025</w:t>
            </w:r>
          </w:p>
        </w:tc>
      </w:tr>
      <w:tr w:rsidR="00A467D6" w:rsidRPr="00336C85" w14:paraId="12191ECD" w14:textId="77777777" w:rsidTr="00F62C9B">
        <w:tc>
          <w:tcPr>
            <w:tcW w:w="2181" w:type="pct"/>
            <w:tcBorders>
              <w:top w:val="single" w:sz="4" w:space="0" w:color="FFFFFF" w:themeColor="background1"/>
              <w:bottom w:val="single" w:sz="4" w:space="0" w:color="FFFFFF" w:themeColor="background1"/>
              <w:right w:val="single" w:sz="4" w:space="0" w:color="FFFFFF" w:themeColor="background1"/>
            </w:tcBorders>
            <w:shd w:val="clear" w:color="auto" w:fill="3C533C" w:themeFill="text2"/>
          </w:tcPr>
          <w:p w14:paraId="1169D747" w14:textId="77777777" w:rsidR="00A467D6" w:rsidRPr="00336C85" w:rsidRDefault="00A467D6" w:rsidP="00F62C9B">
            <w:pPr>
              <w:keepNext/>
              <w:rPr>
                <w:rFonts w:eastAsia="Calibri"/>
                <w:b/>
                <w:color w:val="FFFFFF" w:themeColor="background1"/>
                <w:sz w:val="20"/>
              </w:rPr>
            </w:pPr>
            <w:r w:rsidRPr="00336C85">
              <w:rPr>
                <w:rFonts w:eastAsia="Calibri"/>
                <w:b/>
                <w:color w:val="FFFFFF" w:themeColor="background1"/>
                <w:sz w:val="20"/>
              </w:rPr>
              <w:t>Health Outcome:</w:t>
            </w:r>
          </w:p>
        </w:tc>
        <w:tc>
          <w:tcPr>
            <w:tcW w:w="7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C533C" w:themeFill="text2"/>
          </w:tcPr>
          <w:p w14:paraId="24746C47" w14:textId="77777777" w:rsidR="00A467D6" w:rsidRPr="00336C85" w:rsidRDefault="00A467D6" w:rsidP="00F62C9B">
            <w:pPr>
              <w:keepNext/>
              <w:rPr>
                <w:rFonts w:eastAsia="Calibri"/>
                <w:bCs/>
                <w:color w:val="FFFFFF" w:themeColor="background1"/>
                <w:sz w:val="20"/>
              </w:rPr>
            </w:pPr>
          </w:p>
        </w:tc>
        <w:tc>
          <w:tcPr>
            <w:tcW w:w="2088" w:type="pct"/>
            <w:tcBorders>
              <w:top w:val="single" w:sz="4" w:space="0" w:color="FFFFFF" w:themeColor="background1"/>
              <w:left w:val="single" w:sz="4" w:space="0" w:color="FFFFFF" w:themeColor="background1"/>
              <w:bottom w:val="single" w:sz="4" w:space="0" w:color="FFFFFF" w:themeColor="background1"/>
            </w:tcBorders>
            <w:shd w:val="clear" w:color="auto" w:fill="3C533C" w:themeFill="text2"/>
          </w:tcPr>
          <w:p w14:paraId="216A9D16" w14:textId="77777777" w:rsidR="00A467D6" w:rsidRPr="00336C85" w:rsidRDefault="00A467D6" w:rsidP="00F62C9B">
            <w:pPr>
              <w:keepNext/>
              <w:rPr>
                <w:rFonts w:eastAsia="Calibri"/>
                <w:bCs/>
                <w:color w:val="FFFFFF" w:themeColor="background1"/>
                <w:sz w:val="20"/>
              </w:rPr>
            </w:pPr>
            <w:r w:rsidRPr="00096CB6">
              <w:rPr>
                <w:rFonts w:eastAsia="Calibri"/>
                <w:bCs/>
                <w:color w:val="FFFFFF" w:themeColor="background1"/>
                <w:sz w:val="20"/>
              </w:rPr>
              <w:t>Sensorimotor polyneuropathy</w:t>
            </w:r>
            <w:r>
              <w:rPr>
                <w:rFonts w:eastAsia="Calibri"/>
                <w:bCs/>
                <w:color w:val="FFFFFF" w:themeColor="background1"/>
                <w:sz w:val="20"/>
              </w:rPr>
              <w:t xml:space="preserve"> (PN)</w:t>
            </w:r>
            <w:r w:rsidRPr="00096CB6">
              <w:rPr>
                <w:rFonts w:eastAsia="Calibri"/>
                <w:bCs/>
                <w:color w:val="FFFFFF" w:themeColor="background1"/>
                <w:sz w:val="20"/>
              </w:rPr>
              <w:t xml:space="preserve"> associated with vitamin B6 hypervitaminosis</w:t>
            </w:r>
          </w:p>
        </w:tc>
      </w:tr>
      <w:tr w:rsidR="00A467D6" w:rsidRPr="00336C85" w14:paraId="3B6734A1" w14:textId="77777777" w:rsidTr="00F62C9B">
        <w:tc>
          <w:tcPr>
            <w:tcW w:w="2181" w:type="pct"/>
            <w:tcBorders>
              <w:top w:val="single" w:sz="4" w:space="0" w:color="FFFFFF" w:themeColor="background1"/>
              <w:right w:val="single" w:sz="4" w:space="0" w:color="FFFFFF" w:themeColor="background1"/>
            </w:tcBorders>
            <w:shd w:val="clear" w:color="auto" w:fill="3C533C" w:themeFill="text2"/>
          </w:tcPr>
          <w:p w14:paraId="68BF4EB9" w14:textId="77777777" w:rsidR="00A467D6" w:rsidRPr="00336C85" w:rsidRDefault="00A467D6" w:rsidP="00F62C9B">
            <w:pPr>
              <w:keepNext/>
              <w:rPr>
                <w:rFonts w:eastAsia="Calibri"/>
                <w:b/>
                <w:color w:val="FFFFFF" w:themeColor="background1"/>
                <w:sz w:val="20"/>
              </w:rPr>
            </w:pPr>
            <w:r w:rsidRPr="00336C85">
              <w:rPr>
                <w:rFonts w:eastAsia="Calibri"/>
                <w:b/>
                <w:color w:val="FFFFFF" w:themeColor="background1"/>
                <w:sz w:val="20"/>
              </w:rPr>
              <w:t>Bias Domain</w:t>
            </w:r>
          </w:p>
        </w:tc>
        <w:tc>
          <w:tcPr>
            <w:tcW w:w="731" w:type="pct"/>
            <w:tcBorders>
              <w:top w:val="single" w:sz="4" w:space="0" w:color="FFFFFF" w:themeColor="background1"/>
              <w:left w:val="single" w:sz="4" w:space="0" w:color="FFFFFF" w:themeColor="background1"/>
              <w:right w:val="single" w:sz="4" w:space="0" w:color="FFFFFF" w:themeColor="background1"/>
            </w:tcBorders>
            <w:shd w:val="clear" w:color="auto" w:fill="3C533C" w:themeFill="text2"/>
          </w:tcPr>
          <w:p w14:paraId="0E3C0E83" w14:textId="77777777" w:rsidR="00A467D6" w:rsidRPr="00336C85" w:rsidRDefault="00A467D6" w:rsidP="00F62C9B">
            <w:pPr>
              <w:keepNext/>
              <w:rPr>
                <w:rFonts w:eastAsia="Calibri"/>
                <w:b/>
                <w:color w:val="FFFFFF" w:themeColor="background1"/>
                <w:sz w:val="20"/>
              </w:rPr>
            </w:pPr>
            <w:r>
              <w:rPr>
                <w:rFonts w:eastAsia="Calibri"/>
                <w:b/>
                <w:color w:val="FFFFFF" w:themeColor="background1"/>
                <w:sz w:val="20"/>
              </w:rPr>
              <w:t>Rate</w:t>
            </w:r>
          </w:p>
        </w:tc>
        <w:tc>
          <w:tcPr>
            <w:tcW w:w="2088" w:type="pct"/>
            <w:tcBorders>
              <w:top w:val="single" w:sz="4" w:space="0" w:color="FFFFFF" w:themeColor="background1"/>
              <w:left w:val="single" w:sz="4" w:space="0" w:color="FFFFFF" w:themeColor="background1"/>
            </w:tcBorders>
            <w:shd w:val="clear" w:color="auto" w:fill="3C533C" w:themeFill="text2"/>
          </w:tcPr>
          <w:p w14:paraId="3105825F" w14:textId="77777777" w:rsidR="00A467D6" w:rsidRPr="00336C85" w:rsidRDefault="00A467D6" w:rsidP="00F62C9B">
            <w:pPr>
              <w:keepNext/>
              <w:rPr>
                <w:rFonts w:eastAsia="Calibri"/>
                <w:b/>
                <w:color w:val="FFFFFF" w:themeColor="background1"/>
                <w:sz w:val="20"/>
              </w:rPr>
            </w:pPr>
            <w:r>
              <w:rPr>
                <w:rFonts w:eastAsia="Calibri"/>
                <w:b/>
                <w:color w:val="FFFFFF" w:themeColor="background1"/>
                <w:sz w:val="20"/>
              </w:rPr>
              <w:t>Comment</w:t>
            </w:r>
          </w:p>
        </w:tc>
      </w:tr>
      <w:tr w:rsidR="00A467D6" w:rsidRPr="00336C85" w14:paraId="44C9E326" w14:textId="77777777" w:rsidTr="00F62C9B">
        <w:trPr>
          <w:trHeight w:val="53"/>
        </w:trPr>
        <w:tc>
          <w:tcPr>
            <w:tcW w:w="2181" w:type="pct"/>
          </w:tcPr>
          <w:p w14:paraId="015ACE39" w14:textId="77777777" w:rsidR="00A467D6" w:rsidRPr="00336C85" w:rsidRDefault="00A467D6" w:rsidP="00F62C9B">
            <w:pPr>
              <w:rPr>
                <w:b/>
                <w:bCs/>
                <w:sz w:val="20"/>
              </w:rPr>
            </w:pPr>
            <w:r w:rsidRPr="00336C85">
              <w:rPr>
                <w:b/>
                <w:bCs/>
                <w:sz w:val="20"/>
              </w:rPr>
              <w:t>Selection</w:t>
            </w:r>
          </w:p>
        </w:tc>
        <w:tc>
          <w:tcPr>
            <w:tcW w:w="731" w:type="pct"/>
          </w:tcPr>
          <w:p w14:paraId="13A609FF" w14:textId="77777777" w:rsidR="00A467D6" w:rsidRPr="00336C85" w:rsidRDefault="00A467D6" w:rsidP="00F62C9B">
            <w:pPr>
              <w:rPr>
                <w:sz w:val="20"/>
              </w:rPr>
            </w:pPr>
          </w:p>
        </w:tc>
        <w:tc>
          <w:tcPr>
            <w:tcW w:w="2088" w:type="pct"/>
          </w:tcPr>
          <w:p w14:paraId="63DA3255" w14:textId="77777777" w:rsidR="00A467D6" w:rsidRPr="00336C85" w:rsidRDefault="00A467D6" w:rsidP="00F62C9B">
            <w:pPr>
              <w:rPr>
                <w:sz w:val="20"/>
              </w:rPr>
            </w:pPr>
          </w:p>
        </w:tc>
      </w:tr>
      <w:tr w:rsidR="00A467D6" w:rsidRPr="00336C85" w14:paraId="4FED6712" w14:textId="77777777" w:rsidTr="00F62C9B">
        <w:trPr>
          <w:trHeight w:val="52"/>
        </w:trPr>
        <w:tc>
          <w:tcPr>
            <w:tcW w:w="2181" w:type="pct"/>
          </w:tcPr>
          <w:p w14:paraId="101BF922" w14:textId="77777777" w:rsidR="00A467D6" w:rsidRPr="00336C85" w:rsidRDefault="00A467D6" w:rsidP="00F62C9B">
            <w:pPr>
              <w:rPr>
                <w:sz w:val="20"/>
              </w:rPr>
            </w:pPr>
            <w:r w:rsidRPr="00336C85">
              <w:rPr>
                <w:sz w:val="20"/>
              </w:rPr>
              <w:t>Was administered dose or exposure level adequately randomized?</w:t>
            </w:r>
          </w:p>
        </w:tc>
        <w:tc>
          <w:tcPr>
            <w:tcW w:w="731" w:type="pct"/>
            <w:shd w:val="clear" w:color="auto" w:fill="D9D9D9" w:themeFill="background1" w:themeFillShade="D9"/>
          </w:tcPr>
          <w:p w14:paraId="1C31360A" w14:textId="77777777" w:rsidR="00A467D6" w:rsidRPr="00336C85" w:rsidRDefault="00A467D6" w:rsidP="00F62C9B">
            <w:pPr>
              <w:rPr>
                <w:sz w:val="20"/>
              </w:rPr>
            </w:pPr>
            <w:r>
              <w:rPr>
                <w:sz w:val="20"/>
              </w:rPr>
              <w:t>NA</w:t>
            </w:r>
          </w:p>
        </w:tc>
        <w:tc>
          <w:tcPr>
            <w:tcW w:w="2088" w:type="pct"/>
          </w:tcPr>
          <w:p w14:paraId="26F2E950" w14:textId="77777777" w:rsidR="00A467D6" w:rsidRPr="00336C85" w:rsidRDefault="00A467D6" w:rsidP="00F62C9B">
            <w:pPr>
              <w:rPr>
                <w:sz w:val="20"/>
              </w:rPr>
            </w:pPr>
            <w:r w:rsidRPr="00096CB6">
              <w:rPr>
                <w:sz w:val="20"/>
              </w:rPr>
              <w:t>No intervention assigned; observational case series.</w:t>
            </w:r>
          </w:p>
        </w:tc>
      </w:tr>
      <w:tr w:rsidR="00A467D6" w:rsidRPr="00336C85" w14:paraId="53C686B5" w14:textId="77777777" w:rsidTr="00F62C9B">
        <w:trPr>
          <w:trHeight w:val="52"/>
        </w:trPr>
        <w:tc>
          <w:tcPr>
            <w:tcW w:w="2181" w:type="pct"/>
          </w:tcPr>
          <w:p w14:paraId="6198028A" w14:textId="77777777" w:rsidR="00A467D6" w:rsidRPr="00336C85" w:rsidRDefault="00A467D6" w:rsidP="00F62C9B">
            <w:pPr>
              <w:rPr>
                <w:sz w:val="20"/>
              </w:rPr>
            </w:pPr>
            <w:r w:rsidRPr="00336C85">
              <w:rPr>
                <w:sz w:val="20"/>
              </w:rPr>
              <w:lastRenderedPageBreak/>
              <w:t>Was allocation to study groups adequately concealed?</w:t>
            </w:r>
          </w:p>
        </w:tc>
        <w:tc>
          <w:tcPr>
            <w:tcW w:w="731" w:type="pct"/>
            <w:shd w:val="clear" w:color="auto" w:fill="D9D9D9" w:themeFill="background1" w:themeFillShade="D9"/>
          </w:tcPr>
          <w:p w14:paraId="1FA662A5" w14:textId="77777777" w:rsidR="00A467D6" w:rsidRPr="00336C85" w:rsidRDefault="00A467D6" w:rsidP="00F62C9B">
            <w:pPr>
              <w:rPr>
                <w:sz w:val="20"/>
              </w:rPr>
            </w:pPr>
            <w:r>
              <w:rPr>
                <w:sz w:val="20"/>
              </w:rPr>
              <w:t>NA</w:t>
            </w:r>
          </w:p>
        </w:tc>
        <w:tc>
          <w:tcPr>
            <w:tcW w:w="2088" w:type="pct"/>
          </w:tcPr>
          <w:p w14:paraId="4D2306BE" w14:textId="77777777" w:rsidR="00A467D6" w:rsidRPr="00336C85" w:rsidRDefault="00A467D6" w:rsidP="00F62C9B">
            <w:pPr>
              <w:rPr>
                <w:sz w:val="20"/>
              </w:rPr>
            </w:pPr>
            <w:r w:rsidRPr="00096CB6">
              <w:rPr>
                <w:sz w:val="20"/>
              </w:rPr>
              <w:t>Not applicable.</w:t>
            </w:r>
          </w:p>
        </w:tc>
      </w:tr>
      <w:tr w:rsidR="00A467D6" w:rsidRPr="00336C85" w14:paraId="2A5E23E9" w14:textId="77777777" w:rsidTr="00F62C9B">
        <w:trPr>
          <w:trHeight w:val="52"/>
        </w:trPr>
        <w:tc>
          <w:tcPr>
            <w:tcW w:w="2181" w:type="pct"/>
          </w:tcPr>
          <w:p w14:paraId="022AA5E0" w14:textId="77777777" w:rsidR="00A467D6" w:rsidRPr="00336C85" w:rsidRDefault="00A467D6" w:rsidP="00F62C9B">
            <w:pPr>
              <w:rPr>
                <w:sz w:val="20"/>
              </w:rPr>
            </w:pPr>
            <w:r w:rsidRPr="00336C85">
              <w:rPr>
                <w:sz w:val="20"/>
              </w:rPr>
              <w:t>Were the comparison groups appropriate?</w:t>
            </w:r>
          </w:p>
        </w:tc>
        <w:tc>
          <w:tcPr>
            <w:tcW w:w="731" w:type="pct"/>
            <w:shd w:val="clear" w:color="auto" w:fill="D9D9D9" w:themeFill="background1" w:themeFillShade="D9"/>
          </w:tcPr>
          <w:p w14:paraId="392A26DE" w14:textId="77777777" w:rsidR="00A467D6" w:rsidRPr="00336C85" w:rsidRDefault="00A467D6" w:rsidP="00F62C9B">
            <w:pPr>
              <w:rPr>
                <w:sz w:val="20"/>
              </w:rPr>
            </w:pPr>
            <w:r>
              <w:rPr>
                <w:sz w:val="20"/>
              </w:rPr>
              <w:t>NA</w:t>
            </w:r>
          </w:p>
        </w:tc>
        <w:tc>
          <w:tcPr>
            <w:tcW w:w="2088" w:type="pct"/>
          </w:tcPr>
          <w:p w14:paraId="2121D7BD" w14:textId="77777777" w:rsidR="00A467D6" w:rsidRPr="00336C85" w:rsidRDefault="00A467D6" w:rsidP="00F62C9B">
            <w:pPr>
              <w:rPr>
                <w:sz w:val="20"/>
              </w:rPr>
            </w:pPr>
            <w:r w:rsidRPr="00096CB6">
              <w:rPr>
                <w:sz w:val="20"/>
              </w:rPr>
              <w:t xml:space="preserve">No comparison group. All eight patients were recruited from a single neurology outpatient clinic based on having elevated B6 and PN, which introduces </w:t>
            </w:r>
            <w:r>
              <w:rPr>
                <w:sz w:val="20"/>
              </w:rPr>
              <w:t>bias.</w:t>
            </w:r>
          </w:p>
        </w:tc>
      </w:tr>
      <w:tr w:rsidR="00A467D6" w:rsidRPr="00336C85" w14:paraId="09A751BF" w14:textId="77777777" w:rsidTr="00F62C9B">
        <w:trPr>
          <w:trHeight w:val="79"/>
        </w:trPr>
        <w:tc>
          <w:tcPr>
            <w:tcW w:w="2181" w:type="pct"/>
          </w:tcPr>
          <w:p w14:paraId="78946899" w14:textId="77777777" w:rsidR="00A467D6" w:rsidRPr="00336C85" w:rsidRDefault="00A467D6" w:rsidP="00F62C9B">
            <w:pPr>
              <w:rPr>
                <w:b/>
                <w:bCs/>
                <w:sz w:val="20"/>
              </w:rPr>
            </w:pPr>
            <w:r w:rsidRPr="00336C85">
              <w:rPr>
                <w:b/>
                <w:bCs/>
                <w:sz w:val="20"/>
              </w:rPr>
              <w:t>Confounding – KEY DOMAIN</w:t>
            </w:r>
          </w:p>
        </w:tc>
        <w:tc>
          <w:tcPr>
            <w:tcW w:w="731" w:type="pct"/>
          </w:tcPr>
          <w:p w14:paraId="707DB64E" w14:textId="77777777" w:rsidR="00A467D6" w:rsidRPr="00336C85" w:rsidRDefault="00A467D6" w:rsidP="00F62C9B">
            <w:pPr>
              <w:rPr>
                <w:sz w:val="20"/>
              </w:rPr>
            </w:pPr>
          </w:p>
        </w:tc>
        <w:tc>
          <w:tcPr>
            <w:tcW w:w="2088" w:type="pct"/>
          </w:tcPr>
          <w:p w14:paraId="21C7D0F0" w14:textId="77777777" w:rsidR="00A467D6" w:rsidRPr="00336C85" w:rsidRDefault="00A467D6" w:rsidP="00F62C9B">
            <w:pPr>
              <w:rPr>
                <w:sz w:val="20"/>
              </w:rPr>
            </w:pPr>
          </w:p>
        </w:tc>
      </w:tr>
      <w:tr w:rsidR="00A467D6" w:rsidRPr="00336C85" w14:paraId="5E3B9702" w14:textId="77777777" w:rsidTr="00F62C9B">
        <w:trPr>
          <w:trHeight w:val="78"/>
        </w:trPr>
        <w:tc>
          <w:tcPr>
            <w:tcW w:w="2181" w:type="pct"/>
          </w:tcPr>
          <w:p w14:paraId="72F7B598" w14:textId="77777777" w:rsidR="00A467D6" w:rsidRPr="00336C85" w:rsidRDefault="00A467D6" w:rsidP="00F62C9B">
            <w:pPr>
              <w:rPr>
                <w:sz w:val="20"/>
              </w:rPr>
            </w:pPr>
            <w:r w:rsidRPr="00336C85">
              <w:rPr>
                <w:sz w:val="20"/>
              </w:rPr>
              <w:t>Does the study design or analysis account for important confounding and modifying variables?</w:t>
            </w:r>
          </w:p>
        </w:tc>
        <w:tc>
          <w:tcPr>
            <w:tcW w:w="731" w:type="pct"/>
            <w:shd w:val="clear" w:color="auto" w:fill="FDCBD1"/>
          </w:tcPr>
          <w:p w14:paraId="23FE84AD" w14:textId="77777777" w:rsidR="00A467D6" w:rsidRPr="00336C85" w:rsidRDefault="00A467D6" w:rsidP="00F62C9B">
            <w:pPr>
              <w:rPr>
                <w:sz w:val="20"/>
              </w:rPr>
            </w:pPr>
            <w:r>
              <w:rPr>
                <w:sz w:val="20"/>
              </w:rPr>
              <w:t>-</w:t>
            </w:r>
          </w:p>
        </w:tc>
        <w:tc>
          <w:tcPr>
            <w:tcW w:w="2088" w:type="pct"/>
          </w:tcPr>
          <w:p w14:paraId="7634AF72" w14:textId="77777777" w:rsidR="00A467D6" w:rsidRPr="00336C85" w:rsidRDefault="00A467D6" w:rsidP="00F62C9B">
            <w:pPr>
              <w:rPr>
                <w:sz w:val="20"/>
              </w:rPr>
            </w:pPr>
            <w:r w:rsidRPr="00096CB6">
              <w:rPr>
                <w:sz w:val="20"/>
              </w:rPr>
              <w:t>No confounding control. Most patients are elderly (mean age 80, range 70–86), an age group where idiopathic and age-related polyneuropathy is common. Patient 1 had established uremic PN. Several patients had co-elevated B12 and B1, raising the possibility of multi-vitamer toxicity.</w:t>
            </w:r>
          </w:p>
        </w:tc>
      </w:tr>
      <w:tr w:rsidR="00A467D6" w:rsidRPr="00336C85" w14:paraId="2CFAD5FA" w14:textId="77777777" w:rsidTr="00F62C9B">
        <w:trPr>
          <w:trHeight w:val="53"/>
        </w:trPr>
        <w:tc>
          <w:tcPr>
            <w:tcW w:w="2181" w:type="pct"/>
          </w:tcPr>
          <w:p w14:paraId="2F1D0577" w14:textId="77777777" w:rsidR="00A467D6" w:rsidRPr="00336C85" w:rsidRDefault="00A467D6" w:rsidP="00F62C9B">
            <w:pPr>
              <w:rPr>
                <w:b/>
                <w:bCs/>
                <w:sz w:val="20"/>
              </w:rPr>
            </w:pPr>
            <w:r w:rsidRPr="00336C85">
              <w:rPr>
                <w:b/>
                <w:bCs/>
                <w:sz w:val="20"/>
              </w:rPr>
              <w:t>Performance</w:t>
            </w:r>
          </w:p>
        </w:tc>
        <w:tc>
          <w:tcPr>
            <w:tcW w:w="731" w:type="pct"/>
          </w:tcPr>
          <w:p w14:paraId="076762A0" w14:textId="77777777" w:rsidR="00A467D6" w:rsidRPr="00336C85" w:rsidRDefault="00A467D6" w:rsidP="00F62C9B">
            <w:pPr>
              <w:rPr>
                <w:sz w:val="20"/>
              </w:rPr>
            </w:pPr>
          </w:p>
        </w:tc>
        <w:tc>
          <w:tcPr>
            <w:tcW w:w="2088" w:type="pct"/>
          </w:tcPr>
          <w:p w14:paraId="243F570A" w14:textId="77777777" w:rsidR="00A467D6" w:rsidRPr="00336C85" w:rsidRDefault="00A467D6" w:rsidP="00F62C9B">
            <w:pPr>
              <w:rPr>
                <w:sz w:val="20"/>
              </w:rPr>
            </w:pPr>
          </w:p>
        </w:tc>
      </w:tr>
      <w:tr w:rsidR="00A467D6" w:rsidRPr="00336C85" w14:paraId="6B7C2D4D" w14:textId="77777777" w:rsidTr="00F62C9B">
        <w:trPr>
          <w:trHeight w:val="52"/>
        </w:trPr>
        <w:tc>
          <w:tcPr>
            <w:tcW w:w="2181" w:type="pct"/>
          </w:tcPr>
          <w:p w14:paraId="2DEFAC44" w14:textId="77777777" w:rsidR="00A467D6" w:rsidRPr="00336C85" w:rsidRDefault="00A467D6" w:rsidP="00F62C9B">
            <w:pPr>
              <w:rPr>
                <w:sz w:val="20"/>
              </w:rPr>
            </w:pPr>
            <w:r w:rsidRPr="00336C85">
              <w:rPr>
                <w:rFonts w:eastAsia="Calibri" w:cs="Arial"/>
                <w:sz w:val="20"/>
                <w:lang w:val="en-GB"/>
              </w:rPr>
              <w:t>Were experimental conditions identical across study groups?</w:t>
            </w:r>
          </w:p>
        </w:tc>
        <w:tc>
          <w:tcPr>
            <w:tcW w:w="731" w:type="pct"/>
            <w:shd w:val="clear" w:color="auto" w:fill="D9D9D9" w:themeFill="background1" w:themeFillShade="D9"/>
          </w:tcPr>
          <w:p w14:paraId="5EB07B60" w14:textId="77777777" w:rsidR="00A467D6" w:rsidRPr="00336C85" w:rsidRDefault="00A467D6" w:rsidP="00F62C9B">
            <w:pPr>
              <w:rPr>
                <w:sz w:val="20"/>
              </w:rPr>
            </w:pPr>
            <w:r>
              <w:rPr>
                <w:sz w:val="20"/>
              </w:rPr>
              <w:t>NA</w:t>
            </w:r>
          </w:p>
        </w:tc>
        <w:tc>
          <w:tcPr>
            <w:tcW w:w="2088" w:type="pct"/>
          </w:tcPr>
          <w:p w14:paraId="337A0770" w14:textId="77777777" w:rsidR="00A467D6" w:rsidRPr="00336C85" w:rsidRDefault="00A467D6" w:rsidP="00F62C9B">
            <w:pPr>
              <w:rPr>
                <w:sz w:val="20"/>
              </w:rPr>
            </w:pPr>
            <w:r w:rsidRPr="00096CB6">
              <w:rPr>
                <w:sz w:val="20"/>
              </w:rPr>
              <w:t>Not applicable.</w:t>
            </w:r>
          </w:p>
        </w:tc>
      </w:tr>
      <w:tr w:rsidR="00A467D6" w:rsidRPr="00336C85" w14:paraId="4DCAAEB2" w14:textId="77777777" w:rsidTr="00F62C9B">
        <w:trPr>
          <w:trHeight w:val="52"/>
        </w:trPr>
        <w:tc>
          <w:tcPr>
            <w:tcW w:w="2181" w:type="pct"/>
          </w:tcPr>
          <w:p w14:paraId="15E2C61B" w14:textId="77777777" w:rsidR="00A467D6" w:rsidRPr="00336C85" w:rsidRDefault="00A467D6" w:rsidP="00F62C9B">
            <w:pPr>
              <w:rPr>
                <w:rFonts w:eastAsia="Calibri" w:cs="Arial"/>
                <w:sz w:val="20"/>
                <w:lang w:val="en-GB"/>
              </w:rPr>
            </w:pPr>
            <w:r w:rsidRPr="00336C85">
              <w:rPr>
                <w:rFonts w:eastAsia="Calibri" w:cs="Arial"/>
                <w:sz w:val="20"/>
                <w:lang w:val="en-GB"/>
              </w:rPr>
              <w:t>Were the research personnel and human subjects blinded to the study group during the study?</w:t>
            </w:r>
          </w:p>
        </w:tc>
        <w:tc>
          <w:tcPr>
            <w:tcW w:w="731" w:type="pct"/>
            <w:shd w:val="clear" w:color="auto" w:fill="D9D9D9" w:themeFill="background1" w:themeFillShade="D9"/>
          </w:tcPr>
          <w:p w14:paraId="37D6B946" w14:textId="77777777" w:rsidR="00A467D6" w:rsidRPr="00336C85" w:rsidRDefault="00A467D6" w:rsidP="00F62C9B">
            <w:pPr>
              <w:rPr>
                <w:sz w:val="20"/>
              </w:rPr>
            </w:pPr>
            <w:r>
              <w:rPr>
                <w:sz w:val="20"/>
              </w:rPr>
              <w:t>NA</w:t>
            </w:r>
          </w:p>
        </w:tc>
        <w:tc>
          <w:tcPr>
            <w:tcW w:w="2088" w:type="pct"/>
          </w:tcPr>
          <w:p w14:paraId="438E8680" w14:textId="77777777" w:rsidR="00A467D6" w:rsidRPr="00336C85" w:rsidRDefault="00A467D6" w:rsidP="00F62C9B">
            <w:pPr>
              <w:rPr>
                <w:sz w:val="20"/>
              </w:rPr>
            </w:pPr>
            <w:r w:rsidRPr="00096CB6">
              <w:rPr>
                <w:sz w:val="20"/>
              </w:rPr>
              <w:t>Not applicable.</w:t>
            </w:r>
          </w:p>
        </w:tc>
      </w:tr>
      <w:tr w:rsidR="00A467D6" w:rsidRPr="00336C85" w14:paraId="2C7D3CF6" w14:textId="77777777" w:rsidTr="00F62C9B">
        <w:tc>
          <w:tcPr>
            <w:tcW w:w="2181" w:type="pct"/>
          </w:tcPr>
          <w:p w14:paraId="739CC677" w14:textId="77777777" w:rsidR="00A467D6" w:rsidRPr="00336C85" w:rsidRDefault="00A467D6" w:rsidP="00F62C9B">
            <w:pPr>
              <w:rPr>
                <w:sz w:val="20"/>
              </w:rPr>
            </w:pPr>
            <w:r w:rsidRPr="00336C85">
              <w:rPr>
                <w:rFonts w:eastAsia="Calibri" w:cs="Arial"/>
                <w:b/>
                <w:bCs/>
                <w:sz w:val="20"/>
                <w:lang w:val="en-GB"/>
              </w:rPr>
              <w:t xml:space="preserve">Attrition / Exclusion </w:t>
            </w:r>
          </w:p>
        </w:tc>
        <w:tc>
          <w:tcPr>
            <w:tcW w:w="731" w:type="pct"/>
          </w:tcPr>
          <w:p w14:paraId="6076C155" w14:textId="77777777" w:rsidR="00A467D6" w:rsidRPr="00336C85" w:rsidRDefault="00A467D6" w:rsidP="00F62C9B">
            <w:pPr>
              <w:rPr>
                <w:sz w:val="20"/>
              </w:rPr>
            </w:pPr>
          </w:p>
        </w:tc>
        <w:tc>
          <w:tcPr>
            <w:tcW w:w="2088" w:type="pct"/>
          </w:tcPr>
          <w:p w14:paraId="46E3CEB1" w14:textId="77777777" w:rsidR="00A467D6" w:rsidRPr="00336C85" w:rsidRDefault="00A467D6" w:rsidP="00F62C9B">
            <w:pPr>
              <w:rPr>
                <w:sz w:val="20"/>
              </w:rPr>
            </w:pPr>
          </w:p>
        </w:tc>
      </w:tr>
      <w:tr w:rsidR="00A467D6" w:rsidRPr="00336C85" w14:paraId="65028CAB" w14:textId="77777777" w:rsidTr="00F62C9B">
        <w:tc>
          <w:tcPr>
            <w:tcW w:w="2181" w:type="pct"/>
          </w:tcPr>
          <w:p w14:paraId="5B9868FB" w14:textId="77777777" w:rsidR="00A467D6" w:rsidRPr="00336C85" w:rsidRDefault="00A467D6" w:rsidP="00F62C9B">
            <w:pPr>
              <w:rPr>
                <w:rFonts w:eastAsia="Calibri" w:cs="Arial"/>
                <w:b/>
                <w:bCs/>
                <w:sz w:val="20"/>
                <w:lang w:val="en-GB"/>
              </w:rPr>
            </w:pPr>
            <w:r w:rsidRPr="00336C85">
              <w:rPr>
                <w:rFonts w:eastAsia="Calibri" w:cs="Arial"/>
                <w:sz w:val="20"/>
                <w:lang w:val="en-GB"/>
              </w:rPr>
              <w:t>Were outcome data incomplete because of attrition or exclusion from analysis?</w:t>
            </w:r>
          </w:p>
        </w:tc>
        <w:tc>
          <w:tcPr>
            <w:tcW w:w="731" w:type="pct"/>
            <w:shd w:val="clear" w:color="auto" w:fill="FDCBD1"/>
          </w:tcPr>
          <w:p w14:paraId="01004732" w14:textId="77777777" w:rsidR="00A467D6" w:rsidRPr="00336C85" w:rsidRDefault="00A467D6" w:rsidP="00F62C9B">
            <w:pPr>
              <w:rPr>
                <w:sz w:val="20"/>
              </w:rPr>
            </w:pPr>
            <w:r>
              <w:rPr>
                <w:sz w:val="20"/>
              </w:rPr>
              <w:t>-</w:t>
            </w:r>
          </w:p>
        </w:tc>
        <w:tc>
          <w:tcPr>
            <w:tcW w:w="2088" w:type="pct"/>
          </w:tcPr>
          <w:p w14:paraId="02B7ECC2" w14:textId="77777777" w:rsidR="00A467D6" w:rsidRPr="00336C85" w:rsidRDefault="00A467D6" w:rsidP="00F62C9B">
            <w:pPr>
              <w:rPr>
                <w:sz w:val="20"/>
              </w:rPr>
            </w:pPr>
            <w:r w:rsidRPr="00096CB6">
              <w:rPr>
                <w:sz w:val="20"/>
              </w:rPr>
              <w:t>Follow-up data are available for only three of the eight patients (patients 1, 6, 8), with a 12-month interval reported. The remaining five patients have no reported follow-up, so symptom progression or recovery after B6 withdrawal is largely unknown.</w:t>
            </w:r>
          </w:p>
        </w:tc>
      </w:tr>
      <w:tr w:rsidR="00A467D6" w:rsidRPr="00336C85" w14:paraId="18F6304E" w14:textId="77777777" w:rsidTr="00F62C9B">
        <w:trPr>
          <w:trHeight w:val="81"/>
        </w:trPr>
        <w:tc>
          <w:tcPr>
            <w:tcW w:w="2181" w:type="pct"/>
          </w:tcPr>
          <w:p w14:paraId="2DDB5852" w14:textId="77777777" w:rsidR="00A467D6" w:rsidRPr="00336C85" w:rsidRDefault="00A467D6" w:rsidP="00F62C9B">
            <w:pPr>
              <w:rPr>
                <w:sz w:val="20"/>
              </w:rPr>
            </w:pPr>
            <w:r w:rsidRPr="00336C85">
              <w:rPr>
                <w:rFonts w:ascii="Aptos" w:eastAsia="Calibri" w:hAnsi="Aptos" w:cs="Arial"/>
                <w:b/>
                <w:bCs/>
                <w:kern w:val="2"/>
                <w:sz w:val="20"/>
                <w:lang w:eastAsia="en-US"/>
                <w14:ligatures w14:val="standardContextual"/>
              </w:rPr>
              <w:t>Detection bias – KEY DOMAIN</w:t>
            </w:r>
          </w:p>
        </w:tc>
        <w:tc>
          <w:tcPr>
            <w:tcW w:w="731" w:type="pct"/>
          </w:tcPr>
          <w:p w14:paraId="52D80500" w14:textId="77777777" w:rsidR="00A467D6" w:rsidRPr="00336C85" w:rsidRDefault="00A467D6" w:rsidP="00F62C9B">
            <w:pPr>
              <w:rPr>
                <w:sz w:val="20"/>
              </w:rPr>
            </w:pPr>
          </w:p>
        </w:tc>
        <w:tc>
          <w:tcPr>
            <w:tcW w:w="2088" w:type="pct"/>
          </w:tcPr>
          <w:p w14:paraId="4444A837" w14:textId="77777777" w:rsidR="00A467D6" w:rsidRPr="00336C85" w:rsidRDefault="00A467D6" w:rsidP="00F62C9B">
            <w:pPr>
              <w:rPr>
                <w:sz w:val="20"/>
              </w:rPr>
            </w:pPr>
          </w:p>
        </w:tc>
      </w:tr>
      <w:tr w:rsidR="00A467D6" w:rsidRPr="00336C85" w14:paraId="4D8ADC52" w14:textId="77777777" w:rsidTr="00F62C9B">
        <w:trPr>
          <w:trHeight w:val="80"/>
        </w:trPr>
        <w:tc>
          <w:tcPr>
            <w:tcW w:w="2181" w:type="pct"/>
          </w:tcPr>
          <w:p w14:paraId="37A7F083" w14:textId="77777777" w:rsidR="00A467D6" w:rsidRPr="00336C85" w:rsidRDefault="00A467D6" w:rsidP="00F62C9B">
            <w:pPr>
              <w:rPr>
                <w:rFonts w:ascii="Aptos" w:eastAsia="Calibri" w:hAnsi="Aptos" w:cs="Arial"/>
                <w:b/>
                <w:bCs/>
                <w:kern w:val="2"/>
                <w:sz w:val="20"/>
                <w14:ligatures w14:val="standardContextual"/>
              </w:rPr>
            </w:pPr>
            <w:r w:rsidRPr="00336C85">
              <w:rPr>
                <w:rFonts w:eastAsia="Calibri" w:cs="Arial"/>
                <w:sz w:val="20"/>
                <w:lang w:val="en-GB"/>
              </w:rPr>
              <w:t>KEY - Can we be confident in the exposure characterisation?</w:t>
            </w:r>
          </w:p>
        </w:tc>
        <w:tc>
          <w:tcPr>
            <w:tcW w:w="731" w:type="pct"/>
            <w:shd w:val="clear" w:color="auto" w:fill="FDCBD1"/>
          </w:tcPr>
          <w:p w14:paraId="40C292B4" w14:textId="77777777" w:rsidR="00A467D6" w:rsidRPr="00336C85" w:rsidRDefault="00A467D6" w:rsidP="00F62C9B">
            <w:pPr>
              <w:rPr>
                <w:sz w:val="20"/>
              </w:rPr>
            </w:pPr>
            <w:r>
              <w:rPr>
                <w:sz w:val="20"/>
              </w:rPr>
              <w:t>-</w:t>
            </w:r>
          </w:p>
        </w:tc>
        <w:tc>
          <w:tcPr>
            <w:tcW w:w="2088" w:type="pct"/>
          </w:tcPr>
          <w:p w14:paraId="0382D750" w14:textId="77777777" w:rsidR="00A467D6" w:rsidRPr="00336C85" w:rsidRDefault="00A467D6" w:rsidP="00F62C9B">
            <w:pPr>
              <w:rPr>
                <w:sz w:val="20"/>
              </w:rPr>
            </w:pPr>
            <w:r w:rsidRPr="00096CB6">
              <w:rPr>
                <w:sz w:val="20"/>
              </w:rPr>
              <w:t>Exposure relies entirely on patient self-report or proxy report of supplement use.</w:t>
            </w:r>
          </w:p>
        </w:tc>
      </w:tr>
      <w:tr w:rsidR="00A467D6" w:rsidRPr="00336C85" w14:paraId="39857305" w14:textId="77777777" w:rsidTr="00F62C9B">
        <w:trPr>
          <w:trHeight w:val="80"/>
        </w:trPr>
        <w:tc>
          <w:tcPr>
            <w:tcW w:w="2181" w:type="pct"/>
          </w:tcPr>
          <w:p w14:paraId="633321D5" w14:textId="77777777" w:rsidR="00A467D6" w:rsidRPr="00336C85" w:rsidRDefault="00A467D6" w:rsidP="00F62C9B">
            <w:pPr>
              <w:rPr>
                <w:rFonts w:eastAsia="Calibri" w:cs="Arial"/>
                <w:sz w:val="20"/>
                <w:lang w:val="en-GB"/>
              </w:rPr>
            </w:pPr>
            <w:r w:rsidRPr="00336C85">
              <w:rPr>
                <w:rFonts w:eastAsia="Calibri" w:cs="Arial"/>
                <w:sz w:val="20"/>
                <w:lang w:val="en-GB"/>
              </w:rPr>
              <w:t>KEY - Can we be confident in the outcome assessment?</w:t>
            </w:r>
          </w:p>
        </w:tc>
        <w:tc>
          <w:tcPr>
            <w:tcW w:w="731" w:type="pct"/>
            <w:shd w:val="clear" w:color="auto" w:fill="92D050"/>
          </w:tcPr>
          <w:p w14:paraId="3BA5E5BC" w14:textId="77777777" w:rsidR="00A467D6" w:rsidRPr="00B00CD3" w:rsidRDefault="00A467D6" w:rsidP="00F62C9B">
            <w:pPr>
              <w:rPr>
                <w:color w:val="92D050"/>
                <w:sz w:val="20"/>
              </w:rPr>
            </w:pPr>
            <w:r>
              <w:rPr>
                <w:sz w:val="20"/>
              </w:rPr>
              <w:t>+</w:t>
            </w:r>
          </w:p>
        </w:tc>
        <w:tc>
          <w:tcPr>
            <w:tcW w:w="2088" w:type="pct"/>
          </w:tcPr>
          <w:p w14:paraId="666B32B7" w14:textId="77777777" w:rsidR="00A467D6" w:rsidRPr="00336C85" w:rsidRDefault="00A467D6" w:rsidP="00F62C9B">
            <w:pPr>
              <w:rPr>
                <w:sz w:val="20"/>
              </w:rPr>
            </w:pPr>
            <w:r w:rsidRPr="00B00CD3">
              <w:rPr>
                <w:sz w:val="20"/>
              </w:rPr>
              <w:t>Polyneuropathy</w:t>
            </w:r>
            <w:r>
              <w:rPr>
                <w:sz w:val="20"/>
              </w:rPr>
              <w:t xml:space="preserve"> (</w:t>
            </w:r>
            <w:r w:rsidRPr="00096CB6">
              <w:rPr>
                <w:sz w:val="20"/>
              </w:rPr>
              <w:t>PN</w:t>
            </w:r>
            <w:r>
              <w:rPr>
                <w:sz w:val="20"/>
              </w:rPr>
              <w:t>)</w:t>
            </w:r>
            <w:r w:rsidRPr="00096CB6">
              <w:rPr>
                <w:sz w:val="20"/>
              </w:rPr>
              <w:t xml:space="preserve"> was assessed with a comprehensive and standardised workup including clinical neurological examination, nerve conduction studies (sensory and motor), EMG, and an extensive laboratory panel to exclude other causes. This is a strength of the series.</w:t>
            </w:r>
          </w:p>
        </w:tc>
      </w:tr>
      <w:tr w:rsidR="00A467D6" w:rsidRPr="00336C85" w14:paraId="185448EE" w14:textId="77777777" w:rsidTr="00F62C9B">
        <w:trPr>
          <w:trHeight w:val="236"/>
        </w:trPr>
        <w:tc>
          <w:tcPr>
            <w:tcW w:w="2181" w:type="pct"/>
          </w:tcPr>
          <w:p w14:paraId="4F9A46CE" w14:textId="77777777" w:rsidR="00A467D6" w:rsidRPr="00336C85" w:rsidRDefault="00A467D6" w:rsidP="00F62C9B">
            <w:pPr>
              <w:rPr>
                <w:sz w:val="20"/>
              </w:rPr>
            </w:pPr>
            <w:r w:rsidRPr="00336C85">
              <w:rPr>
                <w:rFonts w:eastAsia="Calibri" w:cs="Arial"/>
                <w:b/>
                <w:bCs/>
                <w:sz w:val="20"/>
                <w:lang w:val="en-GB"/>
              </w:rPr>
              <w:t>Selective Reporting</w:t>
            </w:r>
          </w:p>
        </w:tc>
        <w:tc>
          <w:tcPr>
            <w:tcW w:w="731" w:type="pct"/>
          </w:tcPr>
          <w:p w14:paraId="6C9B2B51" w14:textId="77777777" w:rsidR="00A467D6" w:rsidRPr="00336C85" w:rsidRDefault="00A467D6" w:rsidP="00F62C9B">
            <w:pPr>
              <w:rPr>
                <w:sz w:val="20"/>
              </w:rPr>
            </w:pPr>
          </w:p>
        </w:tc>
        <w:tc>
          <w:tcPr>
            <w:tcW w:w="2088" w:type="pct"/>
          </w:tcPr>
          <w:p w14:paraId="17D9C481" w14:textId="77777777" w:rsidR="00A467D6" w:rsidRPr="00336C85" w:rsidRDefault="00A467D6" w:rsidP="00F62C9B">
            <w:pPr>
              <w:rPr>
                <w:sz w:val="20"/>
              </w:rPr>
            </w:pPr>
          </w:p>
        </w:tc>
      </w:tr>
      <w:tr w:rsidR="00A467D6" w:rsidRPr="00336C85" w14:paraId="1950C897" w14:textId="77777777" w:rsidTr="00F62C9B">
        <w:trPr>
          <w:trHeight w:val="235"/>
        </w:trPr>
        <w:tc>
          <w:tcPr>
            <w:tcW w:w="2181" w:type="pct"/>
          </w:tcPr>
          <w:p w14:paraId="747E918C" w14:textId="77777777" w:rsidR="00A467D6" w:rsidRPr="00336C85" w:rsidRDefault="00A467D6" w:rsidP="00F62C9B">
            <w:pPr>
              <w:rPr>
                <w:rFonts w:eastAsia="Calibri" w:cs="Arial"/>
                <w:b/>
                <w:bCs/>
                <w:sz w:val="20"/>
                <w:lang w:val="en-GB"/>
              </w:rPr>
            </w:pPr>
            <w:r w:rsidRPr="00336C85">
              <w:rPr>
                <w:rFonts w:eastAsia="Calibri" w:cs="Arial"/>
                <w:sz w:val="20"/>
                <w:lang w:val="en-GB"/>
              </w:rPr>
              <w:t>Were all measured outcomes reported?</w:t>
            </w:r>
          </w:p>
        </w:tc>
        <w:tc>
          <w:tcPr>
            <w:tcW w:w="731" w:type="pct"/>
            <w:shd w:val="clear" w:color="auto" w:fill="92D050"/>
          </w:tcPr>
          <w:p w14:paraId="36A2A5D1" w14:textId="77777777" w:rsidR="00A467D6" w:rsidRPr="00336C85" w:rsidRDefault="00A467D6" w:rsidP="00F62C9B">
            <w:pPr>
              <w:rPr>
                <w:sz w:val="20"/>
              </w:rPr>
            </w:pPr>
            <w:r>
              <w:rPr>
                <w:sz w:val="20"/>
              </w:rPr>
              <w:t>+</w:t>
            </w:r>
          </w:p>
        </w:tc>
        <w:tc>
          <w:tcPr>
            <w:tcW w:w="2088" w:type="pct"/>
          </w:tcPr>
          <w:p w14:paraId="18C00371" w14:textId="77777777" w:rsidR="00A467D6" w:rsidRPr="00336C85" w:rsidRDefault="00A467D6" w:rsidP="00F62C9B">
            <w:pPr>
              <w:rPr>
                <w:sz w:val="20"/>
              </w:rPr>
            </w:pPr>
            <w:r w:rsidRPr="00B00CD3">
              <w:rPr>
                <w:sz w:val="20"/>
              </w:rPr>
              <w:t>All eight patients are reported including one with a pre-existing cause (uremia). No conflicts of interest and no funding declared.</w:t>
            </w:r>
          </w:p>
        </w:tc>
      </w:tr>
      <w:tr w:rsidR="00A467D6" w:rsidRPr="00336C85" w14:paraId="168A3029" w14:textId="77777777" w:rsidTr="00F62C9B">
        <w:tc>
          <w:tcPr>
            <w:tcW w:w="2181" w:type="pct"/>
          </w:tcPr>
          <w:p w14:paraId="4B2C07B8" w14:textId="77777777" w:rsidR="00A467D6" w:rsidRPr="00336C85" w:rsidRDefault="00A467D6" w:rsidP="00F62C9B">
            <w:pPr>
              <w:rPr>
                <w:b/>
                <w:bCs/>
                <w:sz w:val="20"/>
              </w:rPr>
            </w:pPr>
            <w:r w:rsidRPr="00336C85">
              <w:rPr>
                <w:rFonts w:eastAsia="Calibri" w:cs="Arial"/>
                <w:b/>
                <w:bCs/>
                <w:sz w:val="20"/>
                <w:lang w:val="en-GB"/>
              </w:rPr>
              <w:t>Other Sources of bias</w:t>
            </w:r>
          </w:p>
        </w:tc>
        <w:tc>
          <w:tcPr>
            <w:tcW w:w="731" w:type="pct"/>
          </w:tcPr>
          <w:p w14:paraId="733106E4" w14:textId="77777777" w:rsidR="00A467D6" w:rsidRPr="00336C85" w:rsidRDefault="00A467D6" w:rsidP="00F62C9B">
            <w:pPr>
              <w:rPr>
                <w:sz w:val="20"/>
              </w:rPr>
            </w:pPr>
          </w:p>
        </w:tc>
        <w:tc>
          <w:tcPr>
            <w:tcW w:w="2088" w:type="pct"/>
          </w:tcPr>
          <w:p w14:paraId="3AE24BFE" w14:textId="77777777" w:rsidR="00A467D6" w:rsidRPr="00336C85" w:rsidRDefault="00A467D6" w:rsidP="00F62C9B">
            <w:pPr>
              <w:rPr>
                <w:sz w:val="20"/>
              </w:rPr>
            </w:pPr>
          </w:p>
        </w:tc>
      </w:tr>
      <w:tr w:rsidR="00A467D6" w:rsidRPr="00336C85" w14:paraId="76D99F0E" w14:textId="77777777" w:rsidTr="00F62C9B">
        <w:tc>
          <w:tcPr>
            <w:tcW w:w="2181" w:type="pct"/>
          </w:tcPr>
          <w:p w14:paraId="4E66430D" w14:textId="77777777" w:rsidR="00A467D6" w:rsidRPr="00336C85" w:rsidRDefault="00A467D6" w:rsidP="00F62C9B">
            <w:pPr>
              <w:rPr>
                <w:rFonts w:eastAsia="Calibri" w:cs="Arial"/>
                <w:b/>
                <w:bCs/>
                <w:sz w:val="20"/>
                <w:lang w:val="en-GB"/>
              </w:rPr>
            </w:pPr>
            <w:r w:rsidRPr="00336C85">
              <w:rPr>
                <w:rFonts w:eastAsia="Calibri" w:cs="Arial"/>
                <w:sz w:val="20"/>
                <w:lang w:val="en-GB"/>
              </w:rPr>
              <w:lastRenderedPageBreak/>
              <w:t>Were there any other potential threats to internal validity (e.g., inappropriate statistical methods)?</w:t>
            </w:r>
          </w:p>
        </w:tc>
        <w:tc>
          <w:tcPr>
            <w:tcW w:w="731" w:type="pct"/>
            <w:shd w:val="clear" w:color="auto" w:fill="FDCBD1"/>
          </w:tcPr>
          <w:p w14:paraId="44271F5E" w14:textId="77777777" w:rsidR="00A467D6" w:rsidRPr="00336C85" w:rsidRDefault="00A467D6" w:rsidP="00F62C9B">
            <w:pPr>
              <w:rPr>
                <w:sz w:val="20"/>
              </w:rPr>
            </w:pPr>
            <w:r>
              <w:rPr>
                <w:sz w:val="20"/>
              </w:rPr>
              <w:t>-</w:t>
            </w:r>
          </w:p>
        </w:tc>
        <w:tc>
          <w:tcPr>
            <w:tcW w:w="2088" w:type="pct"/>
          </w:tcPr>
          <w:p w14:paraId="2BEB243A" w14:textId="77777777" w:rsidR="00A467D6" w:rsidRPr="00336C85" w:rsidRDefault="00A467D6" w:rsidP="00F62C9B">
            <w:pPr>
              <w:rPr>
                <w:sz w:val="20"/>
              </w:rPr>
            </w:pPr>
            <w:r w:rsidRPr="00B00CD3">
              <w:rPr>
                <w:sz w:val="20"/>
              </w:rPr>
              <w:t>The study was conducted in a single specialist neurology rehabilitation clinic, which likely selected for more severe or complex cases and limits generalisability. The corresponding author had also co-authored an earlier paper describing motor involvement in vitamin B6-associated peripheral neuropathy, indicating a pre-existing research interest that may have influenced case selection or interpretation.</w:t>
            </w:r>
          </w:p>
        </w:tc>
      </w:tr>
      <w:tr w:rsidR="00A467D6" w:rsidRPr="00336C85" w14:paraId="6DD078A8" w14:textId="77777777" w:rsidTr="00F62C9B">
        <w:tc>
          <w:tcPr>
            <w:tcW w:w="2181" w:type="pct"/>
          </w:tcPr>
          <w:p w14:paraId="15B7E210" w14:textId="77777777" w:rsidR="00A467D6" w:rsidRPr="00336C85" w:rsidRDefault="00A467D6" w:rsidP="00F62C9B">
            <w:pPr>
              <w:rPr>
                <w:sz w:val="20"/>
              </w:rPr>
            </w:pPr>
            <w:r w:rsidRPr="00336C85">
              <w:rPr>
                <w:rFonts w:eastAsia="Calibri" w:cs="Arial"/>
                <w:b/>
                <w:bCs/>
                <w:sz w:val="20"/>
                <w:lang w:val="en-GB"/>
              </w:rPr>
              <w:t>Overall risk of bias for the study (Low/Moderate/High)</w:t>
            </w:r>
          </w:p>
        </w:tc>
        <w:tc>
          <w:tcPr>
            <w:tcW w:w="731" w:type="pct"/>
          </w:tcPr>
          <w:p w14:paraId="4A682A99" w14:textId="1FFAAD8F" w:rsidR="00A467D6" w:rsidRPr="00336C85" w:rsidRDefault="003E2889" w:rsidP="00F62C9B">
            <w:pPr>
              <w:rPr>
                <w:b/>
                <w:bCs/>
                <w:sz w:val="20"/>
              </w:rPr>
            </w:pPr>
            <w:r>
              <w:rPr>
                <w:b/>
                <w:bCs/>
                <w:sz w:val="20"/>
              </w:rPr>
              <w:t>High</w:t>
            </w:r>
          </w:p>
        </w:tc>
        <w:tc>
          <w:tcPr>
            <w:tcW w:w="2088" w:type="pct"/>
          </w:tcPr>
          <w:p w14:paraId="1936FE8F" w14:textId="77777777" w:rsidR="00A467D6" w:rsidRPr="00336C85" w:rsidRDefault="00A467D6" w:rsidP="00F62C9B">
            <w:pPr>
              <w:rPr>
                <w:b/>
                <w:bCs/>
                <w:sz w:val="20"/>
              </w:rPr>
            </w:pPr>
          </w:p>
        </w:tc>
      </w:tr>
    </w:tbl>
    <w:p w14:paraId="2B31766B" w14:textId="1079A461" w:rsidR="00F536AD" w:rsidRDefault="00FE5A4C" w:rsidP="00144FAB">
      <w:pPr>
        <w:pStyle w:val="Heading8"/>
      </w:pPr>
      <w:bookmarkStart w:id="100" w:name="_Toc233022914"/>
      <w:r>
        <w:t>C</w:t>
      </w:r>
      <w:r w:rsidR="00F536AD">
        <w:t xml:space="preserve">onfidence </w:t>
      </w:r>
      <w:r>
        <w:t xml:space="preserve">rating (intial and overall) </w:t>
      </w:r>
      <w:r w:rsidR="00F536AD">
        <w:t>– grouped based on health outcomes</w:t>
      </w:r>
      <w:bookmarkEnd w:id="100"/>
    </w:p>
    <w:p w14:paraId="33D90DAD" w14:textId="6E0A0595" w:rsidR="00F15123" w:rsidRPr="00F15123" w:rsidRDefault="00F15123" w:rsidP="00F15123">
      <w:pPr>
        <w:pStyle w:val="BodyText"/>
      </w:pPr>
      <w:r w:rsidRPr="00F15123">
        <w:t>The confidence in the body of evidence for each health outcome was assessed in two sequential steps. First, an initial confidence rating was assigned to each individual study based on its study design characteristics. Second, the initial ratings were adjusted upward or downward across the body of evidence within each health outcome category to arrive at a final overall confidence rating. The assessment framework applied differs by study type: for observational human studies, criteria focus on the presence of a comparison group, temporal sequence of exposure and outcome, and individual-level outcome assessment; for experimental animal studies, criteria focus on concurrent controls, sufficient group sizes, appropriate statistical analyses, and relevant adverse effect parameters. Studies for which a criterion is not applicable to their design are marked as NA.</w:t>
      </w:r>
    </w:p>
    <w:p w14:paraId="2E98A924" w14:textId="147ACD64" w:rsidR="00F536AD" w:rsidRDefault="00AB7709" w:rsidP="00AB7709">
      <w:pPr>
        <w:pStyle w:val="Heading9"/>
      </w:pPr>
      <w:bookmarkStart w:id="101" w:name="_Toc233022915"/>
      <w:r>
        <w:t>Initial confidence rating</w:t>
      </w:r>
      <w:bookmarkEnd w:id="101"/>
    </w:p>
    <w:p w14:paraId="7C44F54E" w14:textId="11AED2DA" w:rsidR="00AB7709" w:rsidRDefault="00F15123" w:rsidP="00AB7709">
      <w:pPr>
        <w:pStyle w:val="BodyText"/>
      </w:pPr>
      <w:r w:rsidRPr="00F15123">
        <w:t>The initial confidence rating for each individual study was determined based on its study design characteristics, using a structured set of criteria adapted to the study type. For observational human studies (cross-sectional, cohort, case series, case reports, and pharmacovigilance), the applicable criteria included whether exposure was controlled, whether exposure preceded the outcome, whether outcomes were assessed at the individual level, and whether a comparison group was used. For experimental animal studies, the applicable criteria included the use of appropriate statistical analyses, concurrent control groups, sufficient numbers of animals per group, and appropriate parameters to assess adverse effects. Criteria not applicable to a given study design are marked as NA and do not penalise the rating. Individual study confidence ratings were then summarised into an overall initial confidence rating for each health outcome category and study type (human or animal), which served as the starting point for subsequent adjustments. Studies under the "Other" health outcome category were not assigned an overall group initial confidence rating at this stage (indicated by "–") due to the heterogeneity of outcomes and study designs within that category, which precluded a meaningful single group rating.</w:t>
      </w:r>
    </w:p>
    <w:p w14:paraId="0524D310" w14:textId="2AD8F7C5" w:rsidR="00F15123" w:rsidRDefault="00F15123" w:rsidP="00F15123">
      <w:pPr>
        <w:pStyle w:val="Heading9"/>
      </w:pPr>
      <w:bookmarkStart w:id="102" w:name="_Toc233022916"/>
      <w:r w:rsidRPr="00F15123">
        <w:t>Adjustments to the Initial Confidence in the Body of Evidence</w:t>
      </w:r>
      <w:bookmarkEnd w:id="102"/>
    </w:p>
    <w:p w14:paraId="00D99C37" w14:textId="579A332D" w:rsidR="00796732" w:rsidRPr="00130647" w:rsidRDefault="00F15123" w:rsidP="00130647">
      <w:pPr>
        <w:pStyle w:val="BodyText"/>
      </w:pPr>
      <w:r w:rsidRPr="00F15123">
        <w:t xml:space="preserve">Following the assignment of initial confidence ratings, adjustments were applied at the level of the body of evidence within each health outcome category and study type, following a </w:t>
      </w:r>
      <w:r w:rsidRPr="00F15123">
        <w:lastRenderedPageBreak/>
        <w:t>GRADE-informed approach. Downgrade factors considered included risk of bias across studies (e.g., observational designs, absence of comparison groups, small sample sizes), inconsistency in results across studies, indirectness or limited applicability of the evidence to the population and exposure of interest, imprecision, and potential publication bias. Upgrade factors considered included large magnitude of effect, presence of a dose–response gradient, and consistency across species or populations. The net result of these adjustments to the initial confidence rating yielded the final confidence rating for each body of evidence</w:t>
      </w:r>
      <w:r w:rsidR="00FB301C">
        <w:t>.</w:t>
      </w:r>
      <w:r w:rsidR="00796732">
        <w:t xml:space="preserve"> </w:t>
      </w:r>
    </w:p>
    <w:p w14:paraId="2AD05ACD" w14:textId="627EC722" w:rsidR="00F15123" w:rsidRDefault="00F15123" w:rsidP="00AB7709">
      <w:pPr>
        <w:pStyle w:val="BodyText"/>
        <w:sectPr w:rsidR="00F15123" w:rsidSect="00144FAB">
          <w:headerReference w:type="default" r:id="rId215"/>
          <w:pgSz w:w="11909" w:h="16834" w:code="9"/>
          <w:pgMar w:top="1440" w:right="1440" w:bottom="1440" w:left="1440" w:header="576" w:footer="576" w:gutter="0"/>
          <w:pgNumType w:chapStyle="7"/>
          <w:cols w:space="720"/>
          <w:docGrid w:linePitch="360"/>
        </w:sectPr>
      </w:pPr>
    </w:p>
    <w:p w14:paraId="3E3EECB3" w14:textId="757C331F" w:rsidR="009424C4" w:rsidRPr="009424C4" w:rsidRDefault="009424C4" w:rsidP="00AB7709">
      <w:pPr>
        <w:pStyle w:val="BodyText"/>
        <w:rPr>
          <w:b/>
          <w:bCs/>
        </w:rPr>
      </w:pPr>
      <w:r w:rsidRPr="009424C4">
        <w:rPr>
          <w:b/>
          <w:bCs/>
        </w:rPr>
        <w:lastRenderedPageBreak/>
        <w:t xml:space="preserve">Initial Confidence Rating </w:t>
      </w:r>
    </w:p>
    <w:p w14:paraId="6FF7418F" w14:textId="32BAAB00" w:rsidR="00AB7709" w:rsidRDefault="00F35E52" w:rsidP="00AB7709">
      <w:pPr>
        <w:pStyle w:val="BodyText"/>
      </w:pPr>
      <w:r>
        <w:t xml:space="preserve">Rating Key: </w:t>
      </w:r>
      <w:r w:rsidR="00C759DE">
        <w:t>Yes – criterion met; No – criterion not met; NA – not applicable for this study type.</w:t>
      </w:r>
    </w:p>
    <w:p w14:paraId="0B6B2142" w14:textId="70CC2DC3" w:rsidR="00C759DE" w:rsidRDefault="00C759DE" w:rsidP="00AB7709">
      <w:pPr>
        <w:pStyle w:val="BodyText"/>
      </w:pPr>
      <w:r>
        <w:t>Confidence rating: High confidence; Moderate confidence; Low confidence.</w:t>
      </w:r>
    </w:p>
    <w:tbl>
      <w:tblPr>
        <w:tblStyle w:val="SLROption2"/>
        <w:tblW w:w="5000" w:type="pct"/>
        <w:tblLook w:val="04A0" w:firstRow="1" w:lastRow="0" w:firstColumn="1" w:lastColumn="0" w:noHBand="0" w:noVBand="1"/>
      </w:tblPr>
      <w:tblGrid>
        <w:gridCol w:w="1439"/>
        <w:gridCol w:w="2089"/>
        <w:gridCol w:w="1023"/>
        <w:gridCol w:w="1023"/>
        <w:gridCol w:w="1023"/>
        <w:gridCol w:w="1023"/>
        <w:gridCol w:w="1021"/>
        <w:gridCol w:w="1021"/>
        <w:gridCol w:w="1021"/>
        <w:gridCol w:w="1021"/>
        <w:gridCol w:w="1124"/>
        <w:gridCol w:w="1116"/>
      </w:tblGrid>
      <w:tr w:rsidR="00023CA6" w:rsidRPr="00AB7709" w14:paraId="7CFD8747" w14:textId="77777777" w:rsidTr="009C6B63">
        <w:trPr>
          <w:cnfStyle w:val="100000000000" w:firstRow="1" w:lastRow="0" w:firstColumn="0" w:lastColumn="0" w:oddVBand="0" w:evenVBand="0" w:oddHBand="0" w:evenHBand="0" w:firstRowFirstColumn="0" w:firstRowLastColumn="0" w:lastRowFirstColumn="0" w:lastRowLastColumn="0"/>
          <w:cantSplit/>
          <w:trHeight w:val="2626"/>
        </w:trPr>
        <w:tc>
          <w:tcPr>
            <w:tcW w:w="516" w:type="pct"/>
            <w:textDirection w:val="btLr"/>
            <w:vAlign w:val="center"/>
          </w:tcPr>
          <w:p w14:paraId="5246FE42" w14:textId="77777777" w:rsidR="00023CA6" w:rsidRPr="00AB7709" w:rsidRDefault="00023CA6" w:rsidP="009C6B63">
            <w:pPr>
              <w:ind w:left="113" w:right="113"/>
              <w:rPr>
                <w:rFonts w:asciiTheme="minorHAnsi" w:hAnsiTheme="minorHAnsi" w:cstheme="minorHAnsi"/>
                <w:sz w:val="20"/>
              </w:rPr>
            </w:pPr>
            <w:r w:rsidRPr="00AB7709">
              <w:rPr>
                <w:rFonts w:asciiTheme="minorHAnsi" w:hAnsiTheme="minorHAnsi" w:cstheme="minorHAnsi"/>
                <w:sz w:val="20"/>
              </w:rPr>
              <w:t>Health Outcome</w:t>
            </w:r>
          </w:p>
        </w:tc>
        <w:tc>
          <w:tcPr>
            <w:tcW w:w="749" w:type="pct"/>
            <w:textDirection w:val="btLr"/>
            <w:vAlign w:val="center"/>
          </w:tcPr>
          <w:p w14:paraId="0894FB47" w14:textId="77777777" w:rsidR="00023CA6" w:rsidRPr="00AB7709" w:rsidRDefault="00023CA6" w:rsidP="009C6B63">
            <w:pPr>
              <w:ind w:left="113" w:right="113"/>
              <w:rPr>
                <w:rFonts w:asciiTheme="minorHAnsi" w:hAnsiTheme="minorHAnsi" w:cstheme="minorHAnsi"/>
                <w:sz w:val="20"/>
              </w:rPr>
            </w:pPr>
            <w:r w:rsidRPr="00AB7709">
              <w:rPr>
                <w:rFonts w:asciiTheme="minorHAnsi" w:hAnsiTheme="minorHAnsi" w:cstheme="minorHAnsi"/>
                <w:sz w:val="20"/>
              </w:rPr>
              <w:t>Study</w:t>
            </w:r>
            <w:r>
              <w:rPr>
                <w:rFonts w:asciiTheme="minorHAnsi" w:hAnsiTheme="minorHAnsi" w:cstheme="minorHAnsi"/>
                <w:sz w:val="20"/>
              </w:rPr>
              <w:t xml:space="preserve"> Type and ID</w:t>
            </w:r>
          </w:p>
        </w:tc>
        <w:tc>
          <w:tcPr>
            <w:tcW w:w="367" w:type="pct"/>
            <w:textDirection w:val="btLr"/>
            <w:vAlign w:val="center"/>
          </w:tcPr>
          <w:p w14:paraId="56788957" w14:textId="77777777" w:rsidR="00023CA6" w:rsidRPr="00AB7709" w:rsidRDefault="00023CA6" w:rsidP="009C6B63">
            <w:pPr>
              <w:ind w:left="113" w:right="113"/>
              <w:rPr>
                <w:rFonts w:asciiTheme="minorHAnsi" w:hAnsiTheme="minorHAnsi" w:cstheme="minorHAnsi"/>
                <w:sz w:val="20"/>
              </w:rPr>
            </w:pPr>
            <w:r w:rsidRPr="00AB7709">
              <w:rPr>
                <w:rFonts w:asciiTheme="minorHAnsi" w:hAnsiTheme="minorHAnsi" w:cstheme="minorHAnsi"/>
                <w:sz w:val="20"/>
              </w:rPr>
              <w:t>Study design - controlled exposure</w:t>
            </w:r>
          </w:p>
        </w:tc>
        <w:tc>
          <w:tcPr>
            <w:tcW w:w="367" w:type="pct"/>
            <w:textDirection w:val="btLr"/>
            <w:vAlign w:val="center"/>
          </w:tcPr>
          <w:p w14:paraId="6939B16F" w14:textId="77777777" w:rsidR="00023CA6" w:rsidRPr="00AB7709" w:rsidRDefault="00023CA6" w:rsidP="009C6B63">
            <w:pPr>
              <w:ind w:left="113" w:right="113"/>
              <w:rPr>
                <w:rFonts w:asciiTheme="minorHAnsi" w:hAnsiTheme="minorHAnsi" w:cstheme="minorHAnsi"/>
                <w:sz w:val="20"/>
              </w:rPr>
            </w:pPr>
            <w:r w:rsidRPr="00AB7709">
              <w:rPr>
                <w:rFonts w:asciiTheme="minorHAnsi" w:hAnsiTheme="minorHAnsi" w:cstheme="minorHAnsi"/>
                <w:sz w:val="20"/>
              </w:rPr>
              <w:t>Study designs - Exposure prior to outcome</w:t>
            </w:r>
          </w:p>
        </w:tc>
        <w:tc>
          <w:tcPr>
            <w:tcW w:w="367" w:type="pct"/>
            <w:textDirection w:val="btLr"/>
            <w:vAlign w:val="center"/>
          </w:tcPr>
          <w:p w14:paraId="6558DF91" w14:textId="77777777" w:rsidR="00023CA6" w:rsidRPr="00AB7709" w:rsidRDefault="00023CA6" w:rsidP="009C6B63">
            <w:pPr>
              <w:ind w:left="113" w:right="113"/>
              <w:rPr>
                <w:rFonts w:asciiTheme="minorHAnsi" w:hAnsiTheme="minorHAnsi" w:cstheme="minorHAnsi"/>
                <w:sz w:val="20"/>
              </w:rPr>
            </w:pPr>
            <w:r w:rsidRPr="00AB7709">
              <w:rPr>
                <w:rFonts w:asciiTheme="minorHAnsi" w:hAnsiTheme="minorHAnsi" w:cstheme="minorHAnsi"/>
                <w:sz w:val="20"/>
              </w:rPr>
              <w:t>Study design - Outcome assessed on individual level</w:t>
            </w:r>
          </w:p>
        </w:tc>
        <w:tc>
          <w:tcPr>
            <w:tcW w:w="367" w:type="pct"/>
            <w:textDirection w:val="btLr"/>
            <w:vAlign w:val="center"/>
          </w:tcPr>
          <w:p w14:paraId="1D859B43" w14:textId="77777777" w:rsidR="00023CA6" w:rsidRPr="00AB7709" w:rsidRDefault="00023CA6" w:rsidP="009C6B63">
            <w:pPr>
              <w:ind w:left="113" w:right="113"/>
              <w:rPr>
                <w:rFonts w:asciiTheme="minorHAnsi" w:hAnsiTheme="minorHAnsi" w:cstheme="minorHAnsi"/>
                <w:sz w:val="20"/>
              </w:rPr>
            </w:pPr>
            <w:r w:rsidRPr="00AB7709">
              <w:rPr>
                <w:rFonts w:asciiTheme="minorHAnsi" w:hAnsiTheme="minorHAnsi" w:cstheme="minorHAnsi"/>
                <w:sz w:val="20"/>
              </w:rPr>
              <w:t>Study design - Use of comparison group</w:t>
            </w:r>
          </w:p>
        </w:tc>
        <w:tc>
          <w:tcPr>
            <w:tcW w:w="366" w:type="pct"/>
            <w:textDirection w:val="btLr"/>
            <w:vAlign w:val="center"/>
          </w:tcPr>
          <w:p w14:paraId="29A22E29" w14:textId="77777777" w:rsidR="00023CA6" w:rsidRPr="00AB7709" w:rsidRDefault="00023CA6" w:rsidP="009C6B63">
            <w:pPr>
              <w:ind w:left="113" w:right="113"/>
              <w:rPr>
                <w:rFonts w:asciiTheme="minorHAnsi" w:hAnsiTheme="minorHAnsi" w:cstheme="minorHAnsi"/>
                <w:sz w:val="20"/>
              </w:rPr>
            </w:pPr>
            <w:r w:rsidRPr="00AB7709">
              <w:rPr>
                <w:rFonts w:asciiTheme="minorHAnsi" w:hAnsiTheme="minorHAnsi" w:cstheme="minorHAnsi"/>
                <w:sz w:val="20"/>
              </w:rPr>
              <w:t>Study design - Appropriate statistical analyses</w:t>
            </w:r>
          </w:p>
        </w:tc>
        <w:tc>
          <w:tcPr>
            <w:tcW w:w="366" w:type="pct"/>
            <w:textDirection w:val="btLr"/>
            <w:vAlign w:val="center"/>
          </w:tcPr>
          <w:p w14:paraId="4DD1A60C" w14:textId="77777777" w:rsidR="00023CA6" w:rsidRPr="00AB7709" w:rsidRDefault="00023CA6" w:rsidP="009C6B63">
            <w:pPr>
              <w:ind w:left="113" w:right="113"/>
              <w:rPr>
                <w:rFonts w:asciiTheme="minorHAnsi" w:hAnsiTheme="minorHAnsi" w:cstheme="minorHAnsi"/>
                <w:sz w:val="20"/>
              </w:rPr>
            </w:pPr>
            <w:r w:rsidRPr="00AB7709">
              <w:rPr>
                <w:rFonts w:asciiTheme="minorHAnsi" w:hAnsiTheme="minorHAnsi" w:cstheme="minorHAnsi"/>
                <w:sz w:val="20"/>
              </w:rPr>
              <w:t>Study design - Concurrent control group</w:t>
            </w:r>
          </w:p>
        </w:tc>
        <w:tc>
          <w:tcPr>
            <w:tcW w:w="366" w:type="pct"/>
            <w:textDirection w:val="btLr"/>
            <w:vAlign w:val="center"/>
          </w:tcPr>
          <w:p w14:paraId="7EDBFB50" w14:textId="77777777" w:rsidR="00023CA6" w:rsidRPr="00AB7709" w:rsidRDefault="00023CA6" w:rsidP="009C6B63">
            <w:pPr>
              <w:ind w:left="113" w:right="113"/>
              <w:rPr>
                <w:rFonts w:asciiTheme="minorHAnsi" w:hAnsiTheme="minorHAnsi" w:cstheme="minorHAnsi"/>
                <w:sz w:val="20"/>
              </w:rPr>
            </w:pPr>
            <w:r w:rsidRPr="00AB7709">
              <w:rPr>
                <w:rFonts w:asciiTheme="minorHAnsi" w:hAnsiTheme="minorHAnsi" w:cstheme="minorHAnsi"/>
                <w:sz w:val="20"/>
              </w:rPr>
              <w:t>Study design - Sufficient number of tested per group</w:t>
            </w:r>
          </w:p>
        </w:tc>
        <w:tc>
          <w:tcPr>
            <w:tcW w:w="366" w:type="pct"/>
            <w:textDirection w:val="btLr"/>
            <w:vAlign w:val="center"/>
          </w:tcPr>
          <w:p w14:paraId="58452DE9" w14:textId="77777777" w:rsidR="00023CA6" w:rsidRPr="00AB7709" w:rsidRDefault="00023CA6" w:rsidP="009C6B63">
            <w:pPr>
              <w:ind w:left="113" w:right="113"/>
              <w:rPr>
                <w:rFonts w:asciiTheme="minorHAnsi" w:hAnsiTheme="minorHAnsi" w:cstheme="minorHAnsi"/>
                <w:sz w:val="20"/>
              </w:rPr>
            </w:pPr>
            <w:r w:rsidRPr="00AB7709">
              <w:rPr>
                <w:rFonts w:asciiTheme="minorHAnsi" w:hAnsiTheme="minorHAnsi" w:cstheme="minorHAnsi"/>
                <w:sz w:val="20"/>
              </w:rPr>
              <w:t>Study design - Appropriate parameters to assess adverse effects</w:t>
            </w:r>
          </w:p>
        </w:tc>
        <w:tc>
          <w:tcPr>
            <w:tcW w:w="403" w:type="pct"/>
            <w:shd w:val="clear" w:color="auto" w:fill="909064" w:themeFill="background2" w:themeFillShade="80"/>
            <w:textDirection w:val="btLr"/>
            <w:vAlign w:val="center"/>
          </w:tcPr>
          <w:p w14:paraId="70FF3B9A" w14:textId="77777777" w:rsidR="00023CA6" w:rsidRPr="00C759DE" w:rsidRDefault="00023CA6" w:rsidP="009C6B63">
            <w:pPr>
              <w:ind w:left="113" w:right="113"/>
              <w:rPr>
                <w:rFonts w:asciiTheme="minorHAnsi" w:hAnsiTheme="minorHAnsi" w:cstheme="minorHAnsi"/>
                <w:b/>
                <w:bCs/>
                <w:color w:val="1E1E1E" w:themeColor="text1"/>
                <w:sz w:val="20"/>
              </w:rPr>
            </w:pPr>
            <w:r w:rsidRPr="00C759DE">
              <w:rPr>
                <w:rFonts w:asciiTheme="minorHAnsi" w:hAnsiTheme="minorHAnsi" w:cstheme="minorHAnsi"/>
                <w:b/>
                <w:bCs/>
                <w:color w:val="1E1E1E" w:themeColor="text1"/>
                <w:sz w:val="20"/>
              </w:rPr>
              <w:t>Initial Study confidence</w:t>
            </w:r>
          </w:p>
        </w:tc>
        <w:tc>
          <w:tcPr>
            <w:tcW w:w="400" w:type="pct"/>
            <w:shd w:val="clear" w:color="auto" w:fill="C3C3A9" w:themeFill="background2" w:themeFillShade="BF"/>
            <w:textDirection w:val="btLr"/>
            <w:vAlign w:val="center"/>
          </w:tcPr>
          <w:p w14:paraId="0A9E7BBC" w14:textId="77777777" w:rsidR="00023CA6" w:rsidRPr="00C759DE" w:rsidRDefault="00023CA6" w:rsidP="009C6B63">
            <w:pPr>
              <w:ind w:left="113" w:right="113"/>
              <w:rPr>
                <w:rFonts w:asciiTheme="minorHAnsi" w:hAnsiTheme="minorHAnsi" w:cstheme="minorHAnsi"/>
                <w:b/>
                <w:bCs/>
                <w:color w:val="1E1E1E" w:themeColor="text1"/>
                <w:sz w:val="20"/>
              </w:rPr>
            </w:pPr>
            <w:r>
              <w:rPr>
                <w:rFonts w:asciiTheme="minorHAnsi" w:hAnsiTheme="minorHAnsi" w:cstheme="minorHAnsi"/>
                <w:b/>
                <w:bCs/>
                <w:color w:val="1E1E1E" w:themeColor="text1"/>
                <w:sz w:val="20"/>
              </w:rPr>
              <w:t>Initial Confidence rating</w:t>
            </w:r>
          </w:p>
        </w:tc>
      </w:tr>
      <w:tr w:rsidR="00023CA6" w:rsidRPr="00AB7709" w14:paraId="44E65B4F" w14:textId="77777777" w:rsidTr="009C6B63">
        <w:tc>
          <w:tcPr>
            <w:tcW w:w="516" w:type="pct"/>
          </w:tcPr>
          <w:p w14:paraId="253BA089" w14:textId="77777777" w:rsidR="00023CA6" w:rsidRPr="00AB7709" w:rsidRDefault="00023CA6" w:rsidP="009C6B63">
            <w:pPr>
              <w:rPr>
                <w:rFonts w:asciiTheme="minorHAnsi" w:hAnsiTheme="minorHAnsi" w:cstheme="minorHAnsi"/>
                <w:sz w:val="20"/>
              </w:rPr>
            </w:pPr>
            <w:r w:rsidRPr="00A93B00">
              <w:rPr>
                <w:sz w:val="20"/>
              </w:rPr>
              <w:t>Neurological</w:t>
            </w:r>
          </w:p>
        </w:tc>
        <w:tc>
          <w:tcPr>
            <w:tcW w:w="749" w:type="pct"/>
          </w:tcPr>
          <w:p w14:paraId="7B8A776A" w14:textId="77777777" w:rsidR="00023CA6" w:rsidRDefault="00023CA6" w:rsidP="009C6B63">
            <w:pPr>
              <w:rPr>
                <w:sz w:val="20"/>
              </w:rPr>
            </w:pPr>
            <w:r w:rsidRPr="00A93B00">
              <w:rPr>
                <w:sz w:val="20"/>
              </w:rPr>
              <w:t xml:space="preserve">Human cross – sectional </w:t>
            </w:r>
          </w:p>
          <w:p w14:paraId="0A1420F0" w14:textId="77777777" w:rsidR="00023CA6" w:rsidRPr="00AB7709" w:rsidRDefault="00023CA6" w:rsidP="009C6B63">
            <w:pPr>
              <w:rPr>
                <w:rFonts w:asciiTheme="minorHAnsi" w:hAnsiTheme="minorHAnsi" w:cstheme="minorHAnsi"/>
                <w:sz w:val="20"/>
              </w:rPr>
            </w:pPr>
            <w:r w:rsidRPr="00AB7709">
              <w:rPr>
                <w:rFonts w:asciiTheme="minorHAnsi" w:hAnsiTheme="minorHAnsi" w:cstheme="minorHAnsi"/>
                <w:sz w:val="20"/>
              </w:rPr>
              <w:t>Stewart et al. 2022</w:t>
            </w:r>
          </w:p>
        </w:tc>
        <w:tc>
          <w:tcPr>
            <w:tcW w:w="367" w:type="pct"/>
            <w:shd w:val="clear" w:color="auto" w:fill="C666D0"/>
          </w:tcPr>
          <w:p w14:paraId="41403B61"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No</w:t>
            </w:r>
          </w:p>
        </w:tc>
        <w:tc>
          <w:tcPr>
            <w:tcW w:w="367" w:type="pct"/>
            <w:shd w:val="clear" w:color="auto" w:fill="C666D0"/>
          </w:tcPr>
          <w:p w14:paraId="5832C7D0"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No</w:t>
            </w:r>
          </w:p>
        </w:tc>
        <w:tc>
          <w:tcPr>
            <w:tcW w:w="367" w:type="pct"/>
            <w:shd w:val="clear" w:color="auto" w:fill="F4E2F6"/>
          </w:tcPr>
          <w:p w14:paraId="2F284CA8"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Yes</w:t>
            </w:r>
          </w:p>
        </w:tc>
        <w:tc>
          <w:tcPr>
            <w:tcW w:w="367" w:type="pct"/>
            <w:shd w:val="clear" w:color="auto" w:fill="F4E2F6"/>
          </w:tcPr>
          <w:p w14:paraId="3811978F"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Yes</w:t>
            </w:r>
          </w:p>
        </w:tc>
        <w:tc>
          <w:tcPr>
            <w:tcW w:w="366" w:type="pct"/>
            <w:shd w:val="clear" w:color="auto" w:fill="D9D9D9" w:themeFill="background1" w:themeFillShade="D9"/>
          </w:tcPr>
          <w:p w14:paraId="15F00A37" w14:textId="77777777" w:rsidR="00023CA6" w:rsidRPr="00F35E52" w:rsidRDefault="00023CA6" w:rsidP="009C6B63">
            <w:pPr>
              <w:rPr>
                <w:rFonts w:asciiTheme="minorHAnsi" w:hAnsiTheme="minorHAnsi" w:cstheme="minorHAnsi"/>
                <w:color w:val="A6A6A6" w:themeColor="background1" w:themeShade="A6"/>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34C49B79" w14:textId="77777777" w:rsidR="00023CA6" w:rsidRPr="00F35E52" w:rsidRDefault="00023CA6" w:rsidP="009C6B63">
            <w:pPr>
              <w:rPr>
                <w:rFonts w:asciiTheme="minorHAnsi" w:hAnsiTheme="minorHAnsi" w:cstheme="minorHAnsi"/>
                <w:color w:val="A6A6A6" w:themeColor="background1" w:themeShade="A6"/>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758D5356" w14:textId="77777777" w:rsidR="00023CA6" w:rsidRPr="00F35E52" w:rsidRDefault="00023CA6" w:rsidP="009C6B63">
            <w:pPr>
              <w:rPr>
                <w:rFonts w:asciiTheme="minorHAnsi" w:hAnsiTheme="minorHAnsi" w:cstheme="minorHAnsi"/>
                <w:color w:val="A6A6A6" w:themeColor="background1" w:themeShade="A6"/>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49C2F70A" w14:textId="77777777" w:rsidR="00023CA6" w:rsidRPr="00F35E52" w:rsidRDefault="00023CA6" w:rsidP="009C6B63">
            <w:pPr>
              <w:rPr>
                <w:rFonts w:asciiTheme="minorHAnsi" w:hAnsiTheme="minorHAnsi" w:cstheme="minorHAnsi"/>
                <w:color w:val="A6A6A6" w:themeColor="background1" w:themeShade="A6"/>
                <w:sz w:val="20"/>
              </w:rPr>
            </w:pPr>
            <w:r w:rsidRPr="00F35E52">
              <w:rPr>
                <w:rFonts w:asciiTheme="minorHAnsi" w:hAnsiTheme="minorHAnsi" w:cstheme="minorHAnsi"/>
                <w:color w:val="A6A6A6" w:themeColor="background1" w:themeShade="A6"/>
                <w:sz w:val="20"/>
              </w:rPr>
              <w:t>NA</w:t>
            </w:r>
          </w:p>
        </w:tc>
        <w:tc>
          <w:tcPr>
            <w:tcW w:w="403" w:type="pct"/>
          </w:tcPr>
          <w:p w14:paraId="578C0A95"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Low</w:t>
            </w:r>
          </w:p>
        </w:tc>
        <w:tc>
          <w:tcPr>
            <w:tcW w:w="400" w:type="pct"/>
            <w:vMerge w:val="restart"/>
            <w:vAlign w:val="center"/>
          </w:tcPr>
          <w:p w14:paraId="327EC8B3" w14:textId="77777777" w:rsidR="00023CA6" w:rsidRDefault="00023CA6" w:rsidP="009C6B63">
            <w:pPr>
              <w:jc w:val="center"/>
              <w:rPr>
                <w:rFonts w:asciiTheme="minorHAnsi" w:hAnsiTheme="minorHAnsi" w:cstheme="minorHAnsi"/>
                <w:sz w:val="20"/>
              </w:rPr>
            </w:pPr>
            <w:r>
              <w:rPr>
                <w:rFonts w:asciiTheme="minorHAnsi" w:hAnsiTheme="minorHAnsi" w:cstheme="minorHAnsi"/>
                <w:sz w:val="20"/>
              </w:rPr>
              <w:t>Low</w:t>
            </w:r>
          </w:p>
        </w:tc>
      </w:tr>
      <w:tr w:rsidR="00023CA6" w:rsidRPr="00AB7709" w14:paraId="5A56C15E" w14:textId="77777777" w:rsidTr="009C6B63">
        <w:tc>
          <w:tcPr>
            <w:tcW w:w="516" w:type="pct"/>
          </w:tcPr>
          <w:p w14:paraId="5449CF33" w14:textId="77777777" w:rsidR="00023CA6" w:rsidRPr="00AB7709" w:rsidRDefault="00023CA6" w:rsidP="009C6B63">
            <w:pPr>
              <w:rPr>
                <w:rFonts w:asciiTheme="minorHAnsi" w:hAnsiTheme="minorHAnsi" w:cstheme="minorHAnsi"/>
                <w:sz w:val="20"/>
              </w:rPr>
            </w:pPr>
            <w:r w:rsidRPr="00A93B00">
              <w:rPr>
                <w:sz w:val="20"/>
              </w:rPr>
              <w:t>Neurological</w:t>
            </w:r>
          </w:p>
        </w:tc>
        <w:tc>
          <w:tcPr>
            <w:tcW w:w="749" w:type="pct"/>
          </w:tcPr>
          <w:p w14:paraId="2E9EA7C7" w14:textId="77777777" w:rsidR="00023CA6" w:rsidRDefault="00023CA6" w:rsidP="009C6B63">
            <w:pPr>
              <w:rPr>
                <w:sz w:val="20"/>
              </w:rPr>
            </w:pPr>
            <w:r w:rsidRPr="00A93B00">
              <w:rPr>
                <w:sz w:val="20"/>
              </w:rPr>
              <w:t>Human case series</w:t>
            </w:r>
          </w:p>
          <w:p w14:paraId="17974560" w14:textId="77777777" w:rsidR="00023CA6" w:rsidRPr="00AB7709" w:rsidRDefault="00023CA6" w:rsidP="009C6B63">
            <w:pPr>
              <w:rPr>
                <w:rFonts w:asciiTheme="minorHAnsi" w:hAnsiTheme="minorHAnsi" w:cstheme="minorHAnsi"/>
                <w:sz w:val="20"/>
              </w:rPr>
            </w:pPr>
            <w:r w:rsidRPr="00AB7709">
              <w:rPr>
                <w:rFonts w:asciiTheme="minorHAnsi" w:hAnsiTheme="minorHAnsi" w:cstheme="minorHAnsi"/>
                <w:sz w:val="20"/>
              </w:rPr>
              <w:t>Gdynia et al. 2025</w:t>
            </w:r>
          </w:p>
        </w:tc>
        <w:tc>
          <w:tcPr>
            <w:tcW w:w="367" w:type="pct"/>
            <w:shd w:val="clear" w:color="auto" w:fill="C666D0"/>
          </w:tcPr>
          <w:p w14:paraId="214D43AD"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No</w:t>
            </w:r>
          </w:p>
        </w:tc>
        <w:tc>
          <w:tcPr>
            <w:tcW w:w="367" w:type="pct"/>
            <w:shd w:val="clear" w:color="auto" w:fill="F4E2F6"/>
          </w:tcPr>
          <w:p w14:paraId="2C2A087C"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Yes</w:t>
            </w:r>
          </w:p>
        </w:tc>
        <w:tc>
          <w:tcPr>
            <w:tcW w:w="367" w:type="pct"/>
            <w:shd w:val="clear" w:color="auto" w:fill="F4E2F6"/>
          </w:tcPr>
          <w:p w14:paraId="63943F35"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Yes</w:t>
            </w:r>
          </w:p>
        </w:tc>
        <w:tc>
          <w:tcPr>
            <w:tcW w:w="367" w:type="pct"/>
            <w:shd w:val="clear" w:color="auto" w:fill="C666D0"/>
          </w:tcPr>
          <w:p w14:paraId="4949BD01"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No</w:t>
            </w:r>
          </w:p>
        </w:tc>
        <w:tc>
          <w:tcPr>
            <w:tcW w:w="366" w:type="pct"/>
            <w:shd w:val="clear" w:color="auto" w:fill="D9D9D9" w:themeFill="background1" w:themeFillShade="D9"/>
          </w:tcPr>
          <w:p w14:paraId="2CE4A6A8"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5ADA45F5"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02BABA6C"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508E82B9"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403" w:type="pct"/>
          </w:tcPr>
          <w:p w14:paraId="0639C39C"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Low</w:t>
            </w:r>
          </w:p>
        </w:tc>
        <w:tc>
          <w:tcPr>
            <w:tcW w:w="400" w:type="pct"/>
            <w:vMerge/>
          </w:tcPr>
          <w:p w14:paraId="7111FE54" w14:textId="77777777" w:rsidR="00023CA6" w:rsidRDefault="00023CA6" w:rsidP="009C6B63">
            <w:pPr>
              <w:rPr>
                <w:rFonts w:asciiTheme="minorHAnsi" w:hAnsiTheme="minorHAnsi" w:cstheme="minorHAnsi"/>
                <w:sz w:val="20"/>
              </w:rPr>
            </w:pPr>
          </w:p>
        </w:tc>
      </w:tr>
      <w:tr w:rsidR="00023CA6" w:rsidRPr="00AB7709" w14:paraId="6A1C9839" w14:textId="77777777" w:rsidTr="009C6B63">
        <w:tc>
          <w:tcPr>
            <w:tcW w:w="516" w:type="pct"/>
          </w:tcPr>
          <w:p w14:paraId="4D451FDE" w14:textId="77777777" w:rsidR="00023CA6" w:rsidRPr="00AB7709" w:rsidRDefault="00023CA6" w:rsidP="009C6B63">
            <w:pPr>
              <w:rPr>
                <w:rFonts w:asciiTheme="minorHAnsi" w:hAnsiTheme="minorHAnsi" w:cstheme="minorHAnsi"/>
                <w:sz w:val="20"/>
              </w:rPr>
            </w:pPr>
            <w:r w:rsidRPr="00A93B00">
              <w:rPr>
                <w:sz w:val="20"/>
              </w:rPr>
              <w:t>Neurological</w:t>
            </w:r>
          </w:p>
        </w:tc>
        <w:tc>
          <w:tcPr>
            <w:tcW w:w="749" w:type="pct"/>
          </w:tcPr>
          <w:p w14:paraId="6FE476FD" w14:textId="77777777" w:rsidR="00023CA6" w:rsidRDefault="00023CA6" w:rsidP="009C6B63">
            <w:pPr>
              <w:rPr>
                <w:sz w:val="20"/>
              </w:rPr>
            </w:pPr>
            <w:r>
              <w:rPr>
                <w:sz w:val="20"/>
              </w:rPr>
              <w:t>Human case control</w:t>
            </w:r>
          </w:p>
          <w:p w14:paraId="2AB5C4F8" w14:textId="57C01272" w:rsidR="00023CA6" w:rsidRPr="00AB7709" w:rsidRDefault="00EC6EE1" w:rsidP="009C6B63">
            <w:pPr>
              <w:rPr>
                <w:rFonts w:asciiTheme="minorHAnsi" w:hAnsiTheme="minorHAnsi" w:cstheme="minorHAnsi"/>
                <w:sz w:val="20"/>
              </w:rPr>
            </w:pPr>
            <w:r w:rsidRPr="00EC6EE1">
              <w:rPr>
                <w:rFonts w:asciiTheme="minorHAnsi" w:hAnsiTheme="minorHAnsi" w:cstheme="minorHAnsi"/>
                <w:sz w:val="20"/>
              </w:rPr>
              <w:t>Paluszny and Qiu</w:t>
            </w:r>
            <w:r w:rsidR="00023CA6" w:rsidRPr="00AB7709">
              <w:rPr>
                <w:rFonts w:asciiTheme="minorHAnsi" w:hAnsiTheme="minorHAnsi" w:cstheme="minorHAnsi"/>
                <w:sz w:val="20"/>
              </w:rPr>
              <w:t>. 2023</w:t>
            </w:r>
          </w:p>
        </w:tc>
        <w:tc>
          <w:tcPr>
            <w:tcW w:w="367" w:type="pct"/>
            <w:shd w:val="clear" w:color="auto" w:fill="C666D0"/>
          </w:tcPr>
          <w:p w14:paraId="1A5217B7"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No</w:t>
            </w:r>
          </w:p>
        </w:tc>
        <w:tc>
          <w:tcPr>
            <w:tcW w:w="367" w:type="pct"/>
            <w:shd w:val="clear" w:color="auto" w:fill="F4E2F6"/>
          </w:tcPr>
          <w:p w14:paraId="5A64951B"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Yes</w:t>
            </w:r>
          </w:p>
        </w:tc>
        <w:tc>
          <w:tcPr>
            <w:tcW w:w="367" w:type="pct"/>
            <w:shd w:val="clear" w:color="auto" w:fill="F4E2F6"/>
          </w:tcPr>
          <w:p w14:paraId="5FB90D8A"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Yes</w:t>
            </w:r>
          </w:p>
        </w:tc>
        <w:tc>
          <w:tcPr>
            <w:tcW w:w="367" w:type="pct"/>
            <w:shd w:val="clear" w:color="auto" w:fill="C666D0"/>
          </w:tcPr>
          <w:p w14:paraId="59495414"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No</w:t>
            </w:r>
          </w:p>
        </w:tc>
        <w:tc>
          <w:tcPr>
            <w:tcW w:w="366" w:type="pct"/>
            <w:shd w:val="clear" w:color="auto" w:fill="D9D9D9" w:themeFill="background1" w:themeFillShade="D9"/>
          </w:tcPr>
          <w:p w14:paraId="6D2B6126"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343ADF7F"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519CEC2B"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0C1D1015"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403" w:type="pct"/>
          </w:tcPr>
          <w:p w14:paraId="51FE9CAA"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Low</w:t>
            </w:r>
          </w:p>
        </w:tc>
        <w:tc>
          <w:tcPr>
            <w:tcW w:w="400" w:type="pct"/>
            <w:vMerge/>
          </w:tcPr>
          <w:p w14:paraId="2FCD17F3" w14:textId="77777777" w:rsidR="00023CA6" w:rsidRDefault="00023CA6" w:rsidP="009C6B63">
            <w:pPr>
              <w:rPr>
                <w:rFonts w:asciiTheme="minorHAnsi" w:hAnsiTheme="minorHAnsi" w:cstheme="minorHAnsi"/>
                <w:sz w:val="20"/>
              </w:rPr>
            </w:pPr>
          </w:p>
        </w:tc>
      </w:tr>
      <w:tr w:rsidR="00023CA6" w:rsidRPr="00AB7709" w14:paraId="222ABF2C" w14:textId="77777777" w:rsidTr="009C6B63">
        <w:tc>
          <w:tcPr>
            <w:tcW w:w="516" w:type="pct"/>
          </w:tcPr>
          <w:p w14:paraId="66089F77" w14:textId="77777777" w:rsidR="00023CA6" w:rsidRPr="00AB7709" w:rsidRDefault="00023CA6" w:rsidP="009C6B63">
            <w:pPr>
              <w:rPr>
                <w:rFonts w:asciiTheme="minorHAnsi" w:hAnsiTheme="minorHAnsi" w:cstheme="minorHAnsi"/>
                <w:sz w:val="20"/>
              </w:rPr>
            </w:pPr>
            <w:r w:rsidRPr="00A93B00">
              <w:rPr>
                <w:sz w:val="20"/>
              </w:rPr>
              <w:t>Neurological</w:t>
            </w:r>
          </w:p>
        </w:tc>
        <w:tc>
          <w:tcPr>
            <w:tcW w:w="749" w:type="pct"/>
          </w:tcPr>
          <w:p w14:paraId="73DA937C" w14:textId="77777777" w:rsidR="00023CA6" w:rsidRDefault="00023CA6" w:rsidP="009C6B63">
            <w:pPr>
              <w:rPr>
                <w:sz w:val="20"/>
              </w:rPr>
            </w:pPr>
            <w:r w:rsidRPr="00A93B00">
              <w:rPr>
                <w:sz w:val="20"/>
              </w:rPr>
              <w:t>Pharmacovigilance study</w:t>
            </w:r>
          </w:p>
          <w:p w14:paraId="2358F489" w14:textId="77777777" w:rsidR="00023CA6" w:rsidRPr="00AB7709" w:rsidRDefault="00023CA6" w:rsidP="009C6B63">
            <w:pPr>
              <w:rPr>
                <w:rFonts w:asciiTheme="minorHAnsi" w:hAnsiTheme="minorHAnsi" w:cstheme="minorHAnsi"/>
                <w:sz w:val="20"/>
              </w:rPr>
            </w:pPr>
            <w:r w:rsidRPr="00AB7709">
              <w:rPr>
                <w:rFonts w:asciiTheme="minorHAnsi" w:hAnsiTheme="minorHAnsi" w:cstheme="minorHAnsi"/>
                <w:sz w:val="20"/>
              </w:rPr>
              <w:t>van Hunsel et al. 2025</w:t>
            </w:r>
          </w:p>
        </w:tc>
        <w:tc>
          <w:tcPr>
            <w:tcW w:w="367" w:type="pct"/>
            <w:shd w:val="clear" w:color="auto" w:fill="C666D0"/>
          </w:tcPr>
          <w:p w14:paraId="26A9E23F"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No</w:t>
            </w:r>
          </w:p>
        </w:tc>
        <w:tc>
          <w:tcPr>
            <w:tcW w:w="367" w:type="pct"/>
            <w:shd w:val="clear" w:color="auto" w:fill="F4E2F6"/>
          </w:tcPr>
          <w:p w14:paraId="5E594062"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Yes</w:t>
            </w:r>
          </w:p>
        </w:tc>
        <w:tc>
          <w:tcPr>
            <w:tcW w:w="367" w:type="pct"/>
            <w:shd w:val="clear" w:color="auto" w:fill="F4E2F6"/>
          </w:tcPr>
          <w:p w14:paraId="2107E3F8"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Yes</w:t>
            </w:r>
          </w:p>
        </w:tc>
        <w:tc>
          <w:tcPr>
            <w:tcW w:w="367" w:type="pct"/>
            <w:shd w:val="clear" w:color="auto" w:fill="C666D0"/>
          </w:tcPr>
          <w:p w14:paraId="46C157F1"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No</w:t>
            </w:r>
          </w:p>
        </w:tc>
        <w:tc>
          <w:tcPr>
            <w:tcW w:w="366" w:type="pct"/>
            <w:shd w:val="clear" w:color="auto" w:fill="D9D9D9" w:themeFill="background1" w:themeFillShade="D9"/>
          </w:tcPr>
          <w:p w14:paraId="025790E5"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745E5A95"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62C60B94"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62B70A80"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403" w:type="pct"/>
          </w:tcPr>
          <w:p w14:paraId="231AB342"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Low</w:t>
            </w:r>
          </w:p>
        </w:tc>
        <w:tc>
          <w:tcPr>
            <w:tcW w:w="400" w:type="pct"/>
            <w:vMerge/>
          </w:tcPr>
          <w:p w14:paraId="525BADE3" w14:textId="77777777" w:rsidR="00023CA6" w:rsidRDefault="00023CA6" w:rsidP="009C6B63">
            <w:pPr>
              <w:rPr>
                <w:rFonts w:asciiTheme="minorHAnsi" w:hAnsiTheme="minorHAnsi" w:cstheme="minorHAnsi"/>
                <w:sz w:val="20"/>
              </w:rPr>
            </w:pPr>
          </w:p>
        </w:tc>
      </w:tr>
      <w:tr w:rsidR="00023CA6" w:rsidRPr="00AB7709" w14:paraId="4D5F2E2B" w14:textId="77777777" w:rsidTr="009C6B63">
        <w:tc>
          <w:tcPr>
            <w:tcW w:w="516" w:type="pct"/>
          </w:tcPr>
          <w:p w14:paraId="5CF4CF6D" w14:textId="77777777" w:rsidR="00023CA6" w:rsidRPr="00A93B00" w:rsidRDefault="00023CA6" w:rsidP="009C6B63">
            <w:pPr>
              <w:rPr>
                <w:sz w:val="20"/>
              </w:rPr>
            </w:pPr>
            <w:r w:rsidRPr="00A93B00">
              <w:rPr>
                <w:sz w:val="20"/>
              </w:rPr>
              <w:t>Neurological</w:t>
            </w:r>
          </w:p>
        </w:tc>
        <w:tc>
          <w:tcPr>
            <w:tcW w:w="749" w:type="pct"/>
          </w:tcPr>
          <w:p w14:paraId="36C67DA3" w14:textId="77777777" w:rsidR="00023CA6" w:rsidRDefault="00023CA6" w:rsidP="009C6B63">
            <w:pPr>
              <w:rPr>
                <w:sz w:val="20"/>
              </w:rPr>
            </w:pPr>
            <w:r>
              <w:rPr>
                <w:sz w:val="20"/>
              </w:rPr>
              <w:t xml:space="preserve">Animal </w:t>
            </w:r>
          </w:p>
          <w:p w14:paraId="77CEA569" w14:textId="193C7800" w:rsidR="00023CA6" w:rsidRPr="00AB7709" w:rsidRDefault="00023CA6" w:rsidP="009C6B63">
            <w:pPr>
              <w:rPr>
                <w:rFonts w:asciiTheme="minorHAnsi" w:hAnsiTheme="minorHAnsi" w:cstheme="minorHAnsi"/>
                <w:sz w:val="20"/>
              </w:rPr>
            </w:pPr>
            <w:r w:rsidRPr="00AB7709">
              <w:rPr>
                <w:rFonts w:asciiTheme="minorHAnsi" w:hAnsiTheme="minorHAnsi" w:cstheme="minorHAnsi"/>
                <w:sz w:val="20"/>
              </w:rPr>
              <w:t>Sano et al. 202</w:t>
            </w:r>
            <w:r w:rsidR="008D1458">
              <w:rPr>
                <w:rFonts w:asciiTheme="minorHAnsi" w:hAnsiTheme="minorHAnsi" w:cstheme="minorHAnsi"/>
                <w:sz w:val="20"/>
              </w:rPr>
              <w:t>2</w:t>
            </w:r>
          </w:p>
        </w:tc>
        <w:tc>
          <w:tcPr>
            <w:tcW w:w="367" w:type="pct"/>
            <w:shd w:val="clear" w:color="auto" w:fill="D9D9D9" w:themeFill="background1" w:themeFillShade="D9"/>
          </w:tcPr>
          <w:p w14:paraId="4DACAD1F"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7" w:type="pct"/>
            <w:shd w:val="clear" w:color="auto" w:fill="D9D9D9" w:themeFill="background1" w:themeFillShade="D9"/>
          </w:tcPr>
          <w:p w14:paraId="747A6164"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7" w:type="pct"/>
            <w:shd w:val="clear" w:color="auto" w:fill="D9D9D9" w:themeFill="background1" w:themeFillShade="D9"/>
          </w:tcPr>
          <w:p w14:paraId="15F71F15"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7" w:type="pct"/>
            <w:shd w:val="clear" w:color="auto" w:fill="D9D9D9" w:themeFill="background1" w:themeFillShade="D9"/>
          </w:tcPr>
          <w:p w14:paraId="447035E1"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F4E2F6"/>
          </w:tcPr>
          <w:p w14:paraId="1FCFDCFF"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Yes</w:t>
            </w:r>
          </w:p>
        </w:tc>
        <w:tc>
          <w:tcPr>
            <w:tcW w:w="366" w:type="pct"/>
            <w:shd w:val="clear" w:color="auto" w:fill="F4E2F6"/>
          </w:tcPr>
          <w:p w14:paraId="045DD777"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Yes</w:t>
            </w:r>
          </w:p>
        </w:tc>
        <w:tc>
          <w:tcPr>
            <w:tcW w:w="366" w:type="pct"/>
            <w:shd w:val="clear" w:color="auto" w:fill="C666D0"/>
          </w:tcPr>
          <w:p w14:paraId="1F1FA5E2"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No</w:t>
            </w:r>
          </w:p>
        </w:tc>
        <w:tc>
          <w:tcPr>
            <w:tcW w:w="366" w:type="pct"/>
            <w:shd w:val="clear" w:color="auto" w:fill="F4E2F6"/>
          </w:tcPr>
          <w:p w14:paraId="1C2B84AE"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Yes</w:t>
            </w:r>
          </w:p>
        </w:tc>
        <w:tc>
          <w:tcPr>
            <w:tcW w:w="403" w:type="pct"/>
          </w:tcPr>
          <w:p w14:paraId="4C8DB5D1"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Moderate</w:t>
            </w:r>
          </w:p>
        </w:tc>
        <w:tc>
          <w:tcPr>
            <w:tcW w:w="400" w:type="pct"/>
            <w:vMerge w:val="restart"/>
          </w:tcPr>
          <w:p w14:paraId="7384EC03" w14:textId="77777777" w:rsidR="00023CA6" w:rsidRDefault="00023CA6" w:rsidP="009C6B63">
            <w:pPr>
              <w:rPr>
                <w:rFonts w:asciiTheme="minorHAnsi" w:hAnsiTheme="minorHAnsi" w:cstheme="minorHAnsi"/>
                <w:sz w:val="20"/>
              </w:rPr>
            </w:pPr>
            <w:r>
              <w:rPr>
                <w:rFonts w:asciiTheme="minorHAnsi" w:hAnsiTheme="minorHAnsi" w:cstheme="minorHAnsi"/>
                <w:sz w:val="20"/>
              </w:rPr>
              <w:t>Moderate</w:t>
            </w:r>
          </w:p>
        </w:tc>
      </w:tr>
      <w:tr w:rsidR="00023CA6" w:rsidRPr="00AB7709" w14:paraId="153BDDBA" w14:textId="77777777" w:rsidTr="009C6B63">
        <w:tc>
          <w:tcPr>
            <w:tcW w:w="516" w:type="pct"/>
          </w:tcPr>
          <w:p w14:paraId="577B03DB" w14:textId="77777777" w:rsidR="00023CA6" w:rsidRPr="00A93B00" w:rsidRDefault="00023CA6" w:rsidP="009C6B63">
            <w:pPr>
              <w:rPr>
                <w:sz w:val="20"/>
              </w:rPr>
            </w:pPr>
            <w:r w:rsidRPr="00A93B00">
              <w:rPr>
                <w:sz w:val="20"/>
              </w:rPr>
              <w:t>Neurological</w:t>
            </w:r>
          </w:p>
        </w:tc>
        <w:tc>
          <w:tcPr>
            <w:tcW w:w="749" w:type="pct"/>
          </w:tcPr>
          <w:p w14:paraId="254FD967" w14:textId="77777777" w:rsidR="00023CA6" w:rsidRDefault="00023CA6" w:rsidP="009C6B63">
            <w:pPr>
              <w:rPr>
                <w:sz w:val="20"/>
              </w:rPr>
            </w:pPr>
            <w:r>
              <w:rPr>
                <w:sz w:val="20"/>
              </w:rPr>
              <w:t>Animal</w:t>
            </w:r>
          </w:p>
          <w:p w14:paraId="03540D07" w14:textId="77777777" w:rsidR="00023CA6" w:rsidRPr="00AB7709" w:rsidRDefault="00023CA6" w:rsidP="009C6B63">
            <w:pPr>
              <w:rPr>
                <w:rFonts w:asciiTheme="minorHAnsi" w:hAnsiTheme="minorHAnsi" w:cstheme="minorHAnsi"/>
                <w:sz w:val="20"/>
              </w:rPr>
            </w:pPr>
            <w:r w:rsidRPr="00AB7709">
              <w:rPr>
                <w:rFonts w:asciiTheme="minorHAnsi" w:hAnsiTheme="minorHAnsi" w:cstheme="minorHAnsi"/>
                <w:sz w:val="20"/>
              </w:rPr>
              <w:lastRenderedPageBreak/>
              <w:t>Theil et al. 2023</w:t>
            </w:r>
          </w:p>
        </w:tc>
        <w:tc>
          <w:tcPr>
            <w:tcW w:w="367" w:type="pct"/>
            <w:shd w:val="clear" w:color="auto" w:fill="D9D9D9" w:themeFill="background1" w:themeFillShade="D9"/>
          </w:tcPr>
          <w:p w14:paraId="4A847965"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lastRenderedPageBreak/>
              <w:t>NA</w:t>
            </w:r>
          </w:p>
        </w:tc>
        <w:tc>
          <w:tcPr>
            <w:tcW w:w="367" w:type="pct"/>
            <w:shd w:val="clear" w:color="auto" w:fill="D9D9D9" w:themeFill="background1" w:themeFillShade="D9"/>
          </w:tcPr>
          <w:p w14:paraId="5731E5D8"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7" w:type="pct"/>
            <w:shd w:val="clear" w:color="auto" w:fill="D9D9D9" w:themeFill="background1" w:themeFillShade="D9"/>
          </w:tcPr>
          <w:p w14:paraId="304B6B42"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7" w:type="pct"/>
            <w:shd w:val="clear" w:color="auto" w:fill="D9D9D9" w:themeFill="background1" w:themeFillShade="D9"/>
          </w:tcPr>
          <w:p w14:paraId="585E8A02"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F4E2F6"/>
          </w:tcPr>
          <w:p w14:paraId="3DE1500F"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Yes</w:t>
            </w:r>
          </w:p>
        </w:tc>
        <w:tc>
          <w:tcPr>
            <w:tcW w:w="366" w:type="pct"/>
            <w:shd w:val="clear" w:color="auto" w:fill="F4E2F6"/>
          </w:tcPr>
          <w:p w14:paraId="07C9276B"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Yes</w:t>
            </w:r>
          </w:p>
        </w:tc>
        <w:tc>
          <w:tcPr>
            <w:tcW w:w="366" w:type="pct"/>
            <w:shd w:val="clear" w:color="auto" w:fill="F4E2F6"/>
          </w:tcPr>
          <w:p w14:paraId="4AF9F0CA"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Yes</w:t>
            </w:r>
          </w:p>
        </w:tc>
        <w:tc>
          <w:tcPr>
            <w:tcW w:w="366" w:type="pct"/>
            <w:shd w:val="clear" w:color="auto" w:fill="F4E2F6"/>
          </w:tcPr>
          <w:p w14:paraId="719742B5"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Yes</w:t>
            </w:r>
          </w:p>
        </w:tc>
        <w:tc>
          <w:tcPr>
            <w:tcW w:w="403" w:type="pct"/>
          </w:tcPr>
          <w:p w14:paraId="52E704FA"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High</w:t>
            </w:r>
          </w:p>
        </w:tc>
        <w:tc>
          <w:tcPr>
            <w:tcW w:w="400" w:type="pct"/>
            <w:vMerge/>
          </w:tcPr>
          <w:p w14:paraId="03B6C1F7" w14:textId="77777777" w:rsidR="00023CA6" w:rsidRDefault="00023CA6" w:rsidP="009C6B63">
            <w:pPr>
              <w:rPr>
                <w:rFonts w:asciiTheme="minorHAnsi" w:hAnsiTheme="minorHAnsi" w:cstheme="minorHAnsi"/>
                <w:sz w:val="20"/>
              </w:rPr>
            </w:pPr>
          </w:p>
        </w:tc>
      </w:tr>
      <w:tr w:rsidR="00023CA6" w:rsidRPr="00AB7709" w14:paraId="492569FD" w14:textId="77777777" w:rsidTr="009C6B63">
        <w:tc>
          <w:tcPr>
            <w:tcW w:w="516" w:type="pct"/>
          </w:tcPr>
          <w:p w14:paraId="34B5D681" w14:textId="77777777" w:rsidR="00023CA6" w:rsidRPr="00A93B00" w:rsidRDefault="00023CA6" w:rsidP="009C6B63">
            <w:pPr>
              <w:rPr>
                <w:sz w:val="20"/>
              </w:rPr>
            </w:pPr>
            <w:r>
              <w:rPr>
                <w:sz w:val="20"/>
              </w:rPr>
              <w:t xml:space="preserve">Other </w:t>
            </w:r>
          </w:p>
        </w:tc>
        <w:tc>
          <w:tcPr>
            <w:tcW w:w="749" w:type="pct"/>
          </w:tcPr>
          <w:p w14:paraId="3EF2D39A" w14:textId="77777777" w:rsidR="00023CA6" w:rsidRDefault="00023CA6" w:rsidP="009C6B63">
            <w:pPr>
              <w:rPr>
                <w:sz w:val="20"/>
              </w:rPr>
            </w:pPr>
            <w:r>
              <w:rPr>
                <w:sz w:val="20"/>
              </w:rPr>
              <w:t>Human cross – sectional</w:t>
            </w:r>
          </w:p>
          <w:p w14:paraId="04AC9264" w14:textId="77777777" w:rsidR="00023CA6" w:rsidRPr="00AB7709" w:rsidRDefault="00023CA6" w:rsidP="009C6B63">
            <w:pPr>
              <w:rPr>
                <w:rFonts w:asciiTheme="minorHAnsi" w:hAnsiTheme="minorHAnsi" w:cstheme="minorHAnsi"/>
                <w:sz w:val="20"/>
              </w:rPr>
            </w:pPr>
            <w:r w:rsidRPr="00AB7709">
              <w:rPr>
                <w:rFonts w:asciiTheme="minorHAnsi" w:hAnsiTheme="minorHAnsi" w:cstheme="minorHAnsi"/>
                <w:sz w:val="20"/>
              </w:rPr>
              <w:t>Whyte et al. 2024</w:t>
            </w:r>
          </w:p>
        </w:tc>
        <w:tc>
          <w:tcPr>
            <w:tcW w:w="367" w:type="pct"/>
            <w:shd w:val="clear" w:color="auto" w:fill="C666D0"/>
          </w:tcPr>
          <w:p w14:paraId="6B78B8D4"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No</w:t>
            </w:r>
          </w:p>
        </w:tc>
        <w:tc>
          <w:tcPr>
            <w:tcW w:w="367" w:type="pct"/>
            <w:shd w:val="clear" w:color="auto" w:fill="C666D0"/>
          </w:tcPr>
          <w:p w14:paraId="11578731"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No</w:t>
            </w:r>
          </w:p>
        </w:tc>
        <w:tc>
          <w:tcPr>
            <w:tcW w:w="367" w:type="pct"/>
            <w:shd w:val="clear" w:color="auto" w:fill="F4E2F6"/>
          </w:tcPr>
          <w:p w14:paraId="65EA251C"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Yes</w:t>
            </w:r>
          </w:p>
        </w:tc>
        <w:tc>
          <w:tcPr>
            <w:tcW w:w="367" w:type="pct"/>
            <w:shd w:val="clear" w:color="auto" w:fill="F4E2F6"/>
          </w:tcPr>
          <w:p w14:paraId="629E99DB"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Yes</w:t>
            </w:r>
          </w:p>
        </w:tc>
        <w:tc>
          <w:tcPr>
            <w:tcW w:w="366" w:type="pct"/>
            <w:shd w:val="clear" w:color="auto" w:fill="D9D9D9" w:themeFill="background1" w:themeFillShade="D9"/>
          </w:tcPr>
          <w:p w14:paraId="79815BF8"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72B22B22"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382DA2E0"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366" w:type="pct"/>
            <w:shd w:val="clear" w:color="auto" w:fill="D9D9D9" w:themeFill="background1" w:themeFillShade="D9"/>
          </w:tcPr>
          <w:p w14:paraId="49CE3807" w14:textId="77777777" w:rsidR="00023CA6" w:rsidRPr="00AB7709" w:rsidRDefault="00023CA6" w:rsidP="009C6B63">
            <w:pPr>
              <w:rPr>
                <w:rFonts w:asciiTheme="minorHAnsi" w:hAnsiTheme="minorHAnsi" w:cstheme="minorHAnsi"/>
                <w:sz w:val="20"/>
              </w:rPr>
            </w:pPr>
            <w:r w:rsidRPr="00F35E52">
              <w:rPr>
                <w:rFonts w:asciiTheme="minorHAnsi" w:hAnsiTheme="minorHAnsi" w:cstheme="minorHAnsi"/>
                <w:color w:val="A6A6A6" w:themeColor="background1" w:themeShade="A6"/>
                <w:sz w:val="20"/>
              </w:rPr>
              <w:t>NA</w:t>
            </w:r>
          </w:p>
        </w:tc>
        <w:tc>
          <w:tcPr>
            <w:tcW w:w="403" w:type="pct"/>
          </w:tcPr>
          <w:p w14:paraId="0748376B" w14:textId="77777777" w:rsidR="00023CA6" w:rsidRPr="00AB7709" w:rsidRDefault="00023CA6" w:rsidP="009C6B63">
            <w:pPr>
              <w:rPr>
                <w:rFonts w:asciiTheme="minorHAnsi" w:hAnsiTheme="minorHAnsi" w:cstheme="minorHAnsi"/>
                <w:sz w:val="20"/>
              </w:rPr>
            </w:pPr>
            <w:r>
              <w:rPr>
                <w:rFonts w:asciiTheme="minorHAnsi" w:hAnsiTheme="minorHAnsi" w:cstheme="minorHAnsi"/>
                <w:sz w:val="20"/>
              </w:rPr>
              <w:t>Low</w:t>
            </w:r>
          </w:p>
        </w:tc>
        <w:tc>
          <w:tcPr>
            <w:tcW w:w="400" w:type="pct"/>
          </w:tcPr>
          <w:p w14:paraId="7882B34C" w14:textId="77777777" w:rsidR="00023CA6" w:rsidRDefault="00023CA6" w:rsidP="009C6B63">
            <w:pPr>
              <w:rPr>
                <w:rFonts w:asciiTheme="minorHAnsi" w:hAnsiTheme="minorHAnsi" w:cstheme="minorHAnsi"/>
                <w:sz w:val="20"/>
              </w:rPr>
            </w:pPr>
            <w:r>
              <w:rPr>
                <w:rFonts w:asciiTheme="minorHAnsi" w:hAnsiTheme="minorHAnsi" w:cstheme="minorHAnsi"/>
                <w:sz w:val="20"/>
              </w:rPr>
              <w:t>-</w:t>
            </w:r>
          </w:p>
        </w:tc>
      </w:tr>
    </w:tbl>
    <w:p w14:paraId="0CBF4189" w14:textId="77777777" w:rsidR="00AB7709" w:rsidRDefault="00AB7709" w:rsidP="00AB7709"/>
    <w:p w14:paraId="31988A3F" w14:textId="77777777" w:rsidR="006A4F63" w:rsidRDefault="006A4F63" w:rsidP="00AB7709"/>
    <w:p w14:paraId="3D3A51C8" w14:textId="550774EE" w:rsidR="009424C4" w:rsidRPr="00E439E6" w:rsidRDefault="009424C4" w:rsidP="00AB7709">
      <w:pPr>
        <w:rPr>
          <w:b/>
          <w:bCs/>
        </w:rPr>
      </w:pPr>
      <w:r w:rsidRPr="00E439E6">
        <w:rPr>
          <w:b/>
          <w:bCs/>
        </w:rPr>
        <w:t>Adjustments to the Initial Confidence in the Body of Evidence</w:t>
      </w:r>
    </w:p>
    <w:tbl>
      <w:tblPr>
        <w:tblStyle w:val="SLROption2"/>
        <w:tblW w:w="0" w:type="auto"/>
        <w:tblLook w:val="04A0" w:firstRow="1" w:lastRow="0" w:firstColumn="1" w:lastColumn="0" w:noHBand="0" w:noVBand="1"/>
      </w:tblPr>
      <w:tblGrid>
        <w:gridCol w:w="3481"/>
        <w:gridCol w:w="3481"/>
        <w:gridCol w:w="3481"/>
        <w:gridCol w:w="3481"/>
      </w:tblGrid>
      <w:tr w:rsidR="009424C4" w14:paraId="3BF095B3" w14:textId="77777777" w:rsidTr="009424C4">
        <w:trPr>
          <w:cnfStyle w:val="100000000000" w:firstRow="1" w:lastRow="0" w:firstColumn="0" w:lastColumn="0" w:oddVBand="0" w:evenVBand="0" w:oddHBand="0" w:evenHBand="0" w:firstRowFirstColumn="0" w:firstRowLastColumn="0" w:lastRowFirstColumn="0" w:lastRowLastColumn="0"/>
          <w:trHeight w:val="956"/>
        </w:trPr>
        <w:tc>
          <w:tcPr>
            <w:tcW w:w="3481" w:type="dxa"/>
          </w:tcPr>
          <w:p w14:paraId="42E4463B" w14:textId="0FCC1159" w:rsidR="009424C4" w:rsidRDefault="009424C4" w:rsidP="00AB7709">
            <w:r>
              <w:t>Health Outcome</w:t>
            </w:r>
          </w:p>
        </w:tc>
        <w:tc>
          <w:tcPr>
            <w:tcW w:w="3481" w:type="dxa"/>
          </w:tcPr>
          <w:p w14:paraId="4A67129C" w14:textId="6AAF8993" w:rsidR="009424C4" w:rsidRDefault="009424C4" w:rsidP="00AB7709">
            <w:r>
              <w:t>Initial confidence</w:t>
            </w:r>
          </w:p>
        </w:tc>
        <w:tc>
          <w:tcPr>
            <w:tcW w:w="3481" w:type="dxa"/>
          </w:tcPr>
          <w:p w14:paraId="6F41C7F4" w14:textId="6D378FF9" w:rsidR="009424C4" w:rsidRDefault="009424C4" w:rsidP="00AB7709">
            <w:r>
              <w:t>Adjustments to the intial confidence ratingt</w:t>
            </w:r>
          </w:p>
        </w:tc>
        <w:tc>
          <w:tcPr>
            <w:tcW w:w="3481" w:type="dxa"/>
          </w:tcPr>
          <w:p w14:paraId="49A0E150" w14:textId="3EF37503" w:rsidR="009424C4" w:rsidRDefault="009424C4" w:rsidP="00AB7709">
            <w:r>
              <w:t>Final confidence</w:t>
            </w:r>
          </w:p>
        </w:tc>
      </w:tr>
      <w:tr w:rsidR="009424C4" w14:paraId="2AF4BECE" w14:textId="77777777" w:rsidTr="009424C4">
        <w:tc>
          <w:tcPr>
            <w:tcW w:w="3481" w:type="dxa"/>
          </w:tcPr>
          <w:p w14:paraId="73750D61" w14:textId="7D360A00" w:rsidR="009424C4" w:rsidRDefault="00E439E6" w:rsidP="00E439E6">
            <w:r>
              <w:t>Neurological effects – Human studies</w:t>
            </w:r>
          </w:p>
        </w:tc>
        <w:tc>
          <w:tcPr>
            <w:tcW w:w="3481" w:type="dxa"/>
          </w:tcPr>
          <w:p w14:paraId="6C8F388C" w14:textId="5F5FCDEA" w:rsidR="009424C4" w:rsidRDefault="00E439E6" w:rsidP="009424C4">
            <w:pPr>
              <w:jc w:val="center"/>
            </w:pPr>
            <w:r>
              <w:t>Low</w:t>
            </w:r>
          </w:p>
        </w:tc>
        <w:tc>
          <w:tcPr>
            <w:tcW w:w="3481" w:type="dxa"/>
          </w:tcPr>
          <w:p w14:paraId="4D794BDE" w14:textId="2E0ADF5D" w:rsidR="009424C4" w:rsidRDefault="00E439E6" w:rsidP="00E439E6">
            <w:pPr>
              <w:jc w:val="center"/>
            </w:pPr>
            <w:r w:rsidRPr="00E439E6">
              <w:t>-1 Risk of bias (cross-sectional/case series designs, no comparison groups)</w:t>
            </w:r>
          </w:p>
        </w:tc>
        <w:tc>
          <w:tcPr>
            <w:tcW w:w="3481" w:type="dxa"/>
          </w:tcPr>
          <w:p w14:paraId="41606AFA" w14:textId="598C01E7" w:rsidR="009424C4" w:rsidRDefault="00E439E6" w:rsidP="009424C4">
            <w:pPr>
              <w:jc w:val="center"/>
            </w:pPr>
            <w:r>
              <w:t>Very low</w:t>
            </w:r>
          </w:p>
        </w:tc>
      </w:tr>
      <w:tr w:rsidR="009424C4" w14:paraId="12B9D542" w14:textId="77777777" w:rsidTr="009424C4">
        <w:tc>
          <w:tcPr>
            <w:tcW w:w="3481" w:type="dxa"/>
          </w:tcPr>
          <w:p w14:paraId="0A48B157" w14:textId="62773954" w:rsidR="009424C4" w:rsidRDefault="00E439E6" w:rsidP="00AB7709">
            <w:r>
              <w:t>Neurological effects – Animal studies</w:t>
            </w:r>
          </w:p>
        </w:tc>
        <w:tc>
          <w:tcPr>
            <w:tcW w:w="3481" w:type="dxa"/>
          </w:tcPr>
          <w:p w14:paraId="21C81B8B" w14:textId="60F5C891" w:rsidR="009424C4" w:rsidRDefault="00023CA6" w:rsidP="00E439E6">
            <w:pPr>
              <w:jc w:val="center"/>
            </w:pPr>
            <w:r>
              <w:t>Moderate</w:t>
            </w:r>
          </w:p>
        </w:tc>
        <w:tc>
          <w:tcPr>
            <w:tcW w:w="3481" w:type="dxa"/>
          </w:tcPr>
          <w:p w14:paraId="14D55B2C" w14:textId="657853E6" w:rsidR="009424C4" w:rsidRDefault="00E439E6" w:rsidP="00E439E6">
            <w:pPr>
              <w:jc w:val="center"/>
            </w:pPr>
            <w:r w:rsidRPr="00E439E6">
              <w:t>-1 Indirectness; +1 Large magnitude of effect</w:t>
            </w:r>
            <w:r w:rsidR="00023CA6" w:rsidRPr="00023CA6">
              <w:rPr>
                <w:vertAlign w:val="superscript"/>
              </w:rPr>
              <w:t>(1)</w:t>
            </w:r>
          </w:p>
        </w:tc>
        <w:tc>
          <w:tcPr>
            <w:tcW w:w="3481" w:type="dxa"/>
          </w:tcPr>
          <w:p w14:paraId="581758E3" w14:textId="1F03BB52" w:rsidR="009424C4" w:rsidRDefault="00023CA6" w:rsidP="00E439E6">
            <w:pPr>
              <w:jc w:val="center"/>
            </w:pPr>
            <w:r>
              <w:t>Moderate</w:t>
            </w:r>
          </w:p>
        </w:tc>
      </w:tr>
    </w:tbl>
    <w:p w14:paraId="26C7F4EA" w14:textId="0E1E4624" w:rsidR="009424C4" w:rsidRPr="00144FAB" w:rsidRDefault="00023CA6" w:rsidP="00AB7709">
      <w:pPr>
        <w:rPr>
          <w:sz w:val="18"/>
          <w:szCs w:val="16"/>
        </w:rPr>
        <w:sectPr w:rsidR="009424C4" w:rsidRPr="00144FAB" w:rsidSect="00144FAB">
          <w:headerReference w:type="default" r:id="rId216"/>
          <w:pgSz w:w="16834" w:h="11909" w:orient="landscape" w:code="9"/>
          <w:pgMar w:top="1440" w:right="1440" w:bottom="1440" w:left="1440" w:header="576" w:footer="576" w:gutter="0"/>
          <w:pgNumType w:chapStyle="7"/>
          <w:cols w:space="720"/>
          <w:docGrid w:linePitch="360"/>
        </w:sectPr>
      </w:pPr>
      <w:r w:rsidRPr="00144FAB">
        <w:rPr>
          <w:sz w:val="18"/>
          <w:szCs w:val="16"/>
        </w:rPr>
        <w:t>(1) +1 upgrade for dose-response can only be considered for Theil et al. 2023 study</w:t>
      </w:r>
    </w:p>
    <w:bookmarkEnd w:id="48"/>
    <w:bookmarkEnd w:id="49"/>
    <w:bookmarkEnd w:id="50"/>
    <w:p w14:paraId="6304DFAF" w14:textId="77777777" w:rsidR="001B70DB" w:rsidRDefault="001B70DB" w:rsidP="00144FAB">
      <w:pPr>
        <w:pStyle w:val="CoverDateXref"/>
      </w:pPr>
    </w:p>
    <w:sectPr w:rsidR="001B70DB" w:rsidSect="00A467D6">
      <w:headerReference w:type="default" r:id="rId217"/>
      <w:footerReference w:type="default" r:id="rId218"/>
      <w:pgSz w:w="11909" w:h="16834" w:code="9"/>
      <w:pgMar w:top="1440" w:right="1440" w:bottom="1440" w:left="1440" w:header="576" w:footer="576" w:gutter="0"/>
      <w:pgNumType w:start="1" w:chapStyle="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B5144" w14:textId="77777777" w:rsidR="00411E7C" w:rsidRDefault="00411E7C" w:rsidP="00B33D79">
      <w:r>
        <w:separator/>
      </w:r>
    </w:p>
    <w:p w14:paraId="2C6944AB" w14:textId="77777777" w:rsidR="00411E7C" w:rsidRDefault="00411E7C" w:rsidP="00B33D79"/>
    <w:p w14:paraId="5D7C18FB" w14:textId="77777777" w:rsidR="00411E7C" w:rsidRDefault="00411E7C"/>
  </w:endnote>
  <w:endnote w:type="continuationSeparator" w:id="0">
    <w:p w14:paraId="65C96FA2" w14:textId="77777777" w:rsidR="00411E7C" w:rsidRDefault="00411E7C" w:rsidP="00B33D79">
      <w:r>
        <w:continuationSeparator/>
      </w:r>
    </w:p>
    <w:p w14:paraId="7BCC98B4" w14:textId="77777777" w:rsidR="00411E7C" w:rsidRDefault="00411E7C" w:rsidP="00B33D79"/>
    <w:p w14:paraId="730B1F15" w14:textId="77777777" w:rsidR="00411E7C" w:rsidRDefault="00411E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igtree">
    <w:panose1 w:val="00000000000000000000"/>
    <w:charset w:val="00"/>
    <w:family w:val="auto"/>
    <w:pitch w:val="variable"/>
    <w:sig w:usb0="A000006F" w:usb1="0000007B" w:usb2="00000000" w:usb3="00000000" w:csb0="00000093"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lbra Light">
    <w:panose1 w:val="00000000000000000000"/>
    <w:charset w:val="00"/>
    <w:family w:val="auto"/>
    <w:pitch w:val="variable"/>
    <w:sig w:usb0="0000000B"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F301E8" w:rsidRPr="003D0FA8" w14:paraId="149017CF" w14:textId="77777777" w:rsidTr="00591DA0">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0D0ED9CE" w14:textId="77777777" w:rsidR="00F301E8" w:rsidRPr="003D0FA8" w:rsidRDefault="00F301E8" w:rsidP="00F301E8">
          <w:pPr>
            <w:pStyle w:val="Footer"/>
          </w:pPr>
        </w:p>
      </w:tc>
      <w:tc>
        <w:tcPr>
          <w:tcW w:w="1667" w:type="pct"/>
          <w:vAlign w:val="bottom"/>
        </w:tcPr>
        <w:p w14:paraId="0DC65E53" w14:textId="77777777" w:rsidR="00F301E8" w:rsidRPr="003D0FA8" w:rsidRDefault="00F301E8" w:rsidP="00F301E8">
          <w:pPr>
            <w:pStyle w:val="Footer"/>
          </w:pPr>
          <w:r w:rsidRPr="00CF3B45">
            <w:fldChar w:fldCharType="begin"/>
          </w:r>
          <w:r w:rsidRPr="00CF3B45">
            <w:instrText xml:space="preserve"> PAGE   \* MERGEFORMAT </w:instrText>
          </w:r>
          <w:r w:rsidRPr="00CF3B45">
            <w:fldChar w:fldCharType="separate"/>
          </w:r>
          <w:r>
            <w:t>3</w:t>
          </w:r>
          <w:r w:rsidRPr="00CF3B45">
            <w:rPr>
              <w:noProof/>
            </w:rPr>
            <w:fldChar w:fldCharType="end"/>
          </w:r>
        </w:p>
      </w:tc>
      <w:tc>
        <w:tcPr>
          <w:tcW w:w="1667" w:type="pct"/>
          <w:vAlign w:val="bottom"/>
        </w:tcPr>
        <w:p w14:paraId="0E1D4942" w14:textId="77777777" w:rsidR="00F301E8" w:rsidRPr="003D0FA8" w:rsidRDefault="00F301E8" w:rsidP="00F301E8">
          <w:pPr>
            <w:pStyle w:val="Footer"/>
            <w:jc w:val="right"/>
          </w:pPr>
          <w:r>
            <w:rPr>
              <w:noProof/>
              <w:lang w:eastAsia="en-CA"/>
            </w:rPr>
            <w:drawing>
              <wp:inline distT="0" distB="0" distL="0" distR="0" wp14:anchorId="0453DAB2" wp14:editId="1FF99584">
                <wp:extent cx="347345" cy="347345"/>
                <wp:effectExtent l="0" t="0" r="0" b="0"/>
                <wp:docPr id="1873094728" name="Picture 18730947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76EE27D4" w14:textId="77777777" w:rsidR="00F301E8" w:rsidRPr="003F51B4" w:rsidRDefault="00F301E8" w:rsidP="00F301E8">
    <w:pPr>
      <w:pStyle w:val="Footer"/>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79AE2" w14:textId="77777777" w:rsidR="00987D05" w:rsidRPr="00B7757F" w:rsidRDefault="00987D05" w:rsidP="00B7757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E1671" w14:textId="77777777" w:rsidR="00E50719" w:rsidRDefault="00E50719" w:rsidP="00B33D79">
    <w:pPr>
      <w:pStyle w:val="Coverfooter"/>
    </w:pPr>
    <w:r>
      <w:drawing>
        <wp:inline distT="0" distB="0" distL="0" distR="0" wp14:anchorId="32AF7A66" wp14:editId="10F76E9A">
          <wp:extent cx="1589567" cy="457200"/>
          <wp:effectExtent l="0" t="0" r="0" b="0"/>
          <wp:docPr id="227010720" name="Picture 22701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589567" cy="457200"/>
                  </a:xfrm>
                  <a:prstGeom prst="rect">
                    <a:avLst/>
                  </a:prstGeom>
                </pic:spPr>
              </pic:pic>
            </a:graphicData>
          </a:graphic>
        </wp:inline>
      </w:drawing>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38230" w14:textId="77777777" w:rsidR="00E50719" w:rsidRPr="00B7757F" w:rsidRDefault="00E50719" w:rsidP="00B7757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52"/>
      <w:gridCol w:w="4652"/>
    </w:tblGrid>
    <w:tr w:rsidR="00E50719" w:rsidRPr="003D0FA8" w14:paraId="0CFBCFFC" w14:textId="77777777" w:rsidTr="001427C8">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6414D300" w14:textId="77777777" w:rsidR="00E50719" w:rsidRPr="003D0FA8" w:rsidRDefault="00E50719" w:rsidP="00A9331E">
          <w:pPr>
            <w:pStyle w:val="Footer"/>
            <w:jc w:val="left"/>
          </w:pPr>
        </w:p>
      </w:tc>
      <w:tc>
        <w:tcPr>
          <w:tcW w:w="1667" w:type="pct"/>
          <w:vAlign w:val="bottom"/>
        </w:tcPr>
        <w:p w14:paraId="0DEFA4F5" w14:textId="77777777" w:rsidR="00E50719" w:rsidRPr="003D0FA8" w:rsidRDefault="00E50719" w:rsidP="00512D60">
          <w:pPr>
            <w:pStyle w:val="Footer"/>
          </w:pPr>
          <w:r w:rsidRPr="00CF3B45">
            <w:fldChar w:fldCharType="begin"/>
          </w:r>
          <w:r w:rsidRPr="00CF3B45">
            <w:instrText xml:space="preserve"> PAGE   \* MERGEFORMAT </w:instrText>
          </w:r>
          <w:r w:rsidRPr="00CF3B45">
            <w:fldChar w:fldCharType="separate"/>
          </w:r>
          <w:r>
            <w:t>4</w:t>
          </w:r>
          <w:r w:rsidRPr="00CF3B45">
            <w:rPr>
              <w:noProof/>
            </w:rPr>
            <w:fldChar w:fldCharType="end"/>
          </w:r>
        </w:p>
      </w:tc>
      <w:tc>
        <w:tcPr>
          <w:tcW w:w="1667" w:type="pct"/>
          <w:vAlign w:val="bottom"/>
        </w:tcPr>
        <w:p w14:paraId="3D980B71" w14:textId="77777777" w:rsidR="00E50719" w:rsidRPr="003D0FA8" w:rsidRDefault="00E50719" w:rsidP="00512D60">
          <w:pPr>
            <w:pStyle w:val="Footer"/>
            <w:jc w:val="right"/>
          </w:pPr>
          <w:r>
            <w:rPr>
              <w:noProof/>
              <w:lang w:eastAsia="en-CA"/>
            </w:rPr>
            <w:drawing>
              <wp:inline distT="0" distB="0" distL="0" distR="0" wp14:anchorId="7F5AD1B9" wp14:editId="5A2CA6DC">
                <wp:extent cx="347345" cy="347345"/>
                <wp:effectExtent l="0" t="0" r="0" b="0"/>
                <wp:docPr id="1172415339" name="Picture 11724153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3366B989" w14:textId="77777777" w:rsidR="00E50719" w:rsidRPr="003F51B4" w:rsidRDefault="00E50719" w:rsidP="00512D60">
    <w:pPr>
      <w:pStyle w:val="Footer"/>
      <w:rPr>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BACFB" w14:textId="77777777" w:rsidR="00E50719" w:rsidRDefault="00E50719" w:rsidP="00B33D79">
    <w:pPr>
      <w:pStyle w:val="Coverfooter"/>
    </w:pPr>
    <w:r>
      <w:drawing>
        <wp:inline distT="0" distB="0" distL="0" distR="0" wp14:anchorId="11A9CEC3" wp14:editId="3A6DC5D6">
          <wp:extent cx="1589567" cy="457200"/>
          <wp:effectExtent l="0" t="0" r="0" b="0"/>
          <wp:docPr id="1658973012" name="Picture 1658973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589567" cy="457200"/>
                  </a:xfrm>
                  <a:prstGeom prst="rect">
                    <a:avLst/>
                  </a:prstGeom>
                </pic:spPr>
              </pic:pic>
            </a:graphicData>
          </a:graphic>
        </wp:inline>
      </w:drawing>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49259" w14:textId="77777777" w:rsidR="00E50719" w:rsidRPr="00B7757F" w:rsidRDefault="00E50719" w:rsidP="00B7757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52"/>
      <w:gridCol w:w="4652"/>
    </w:tblGrid>
    <w:tr w:rsidR="00E50719" w:rsidRPr="003D0FA8" w14:paraId="6CCB1601" w14:textId="77777777" w:rsidTr="001427C8">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7D8525AC" w14:textId="77777777" w:rsidR="00E50719" w:rsidRPr="003D0FA8" w:rsidRDefault="00E50719" w:rsidP="00A9331E">
          <w:pPr>
            <w:pStyle w:val="Footer"/>
            <w:jc w:val="left"/>
          </w:pPr>
        </w:p>
      </w:tc>
      <w:tc>
        <w:tcPr>
          <w:tcW w:w="1667" w:type="pct"/>
          <w:vAlign w:val="bottom"/>
        </w:tcPr>
        <w:p w14:paraId="780337AF" w14:textId="77777777" w:rsidR="00E50719" w:rsidRPr="003D0FA8" w:rsidRDefault="00E50719" w:rsidP="00512D60">
          <w:pPr>
            <w:pStyle w:val="Footer"/>
          </w:pPr>
          <w:r w:rsidRPr="00CF3B45">
            <w:fldChar w:fldCharType="begin"/>
          </w:r>
          <w:r w:rsidRPr="00CF3B45">
            <w:instrText xml:space="preserve"> PAGE   \* MERGEFORMAT </w:instrText>
          </w:r>
          <w:r w:rsidRPr="00CF3B45">
            <w:fldChar w:fldCharType="separate"/>
          </w:r>
          <w:r>
            <w:t>4</w:t>
          </w:r>
          <w:r w:rsidRPr="00CF3B45">
            <w:rPr>
              <w:noProof/>
            </w:rPr>
            <w:fldChar w:fldCharType="end"/>
          </w:r>
        </w:p>
      </w:tc>
      <w:tc>
        <w:tcPr>
          <w:tcW w:w="1667" w:type="pct"/>
          <w:vAlign w:val="bottom"/>
        </w:tcPr>
        <w:p w14:paraId="2E7C2CB0" w14:textId="77777777" w:rsidR="00E50719" w:rsidRPr="003D0FA8" w:rsidRDefault="00E50719" w:rsidP="00512D60">
          <w:pPr>
            <w:pStyle w:val="Footer"/>
            <w:jc w:val="right"/>
          </w:pPr>
          <w:r>
            <w:rPr>
              <w:noProof/>
              <w:lang w:eastAsia="en-CA"/>
            </w:rPr>
            <w:drawing>
              <wp:inline distT="0" distB="0" distL="0" distR="0" wp14:anchorId="204B8906" wp14:editId="0CD45C56">
                <wp:extent cx="347345" cy="347345"/>
                <wp:effectExtent l="0" t="0" r="0" b="0"/>
                <wp:docPr id="1432536657" name="Picture 14325366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46181BCD" w14:textId="77777777" w:rsidR="00E50719" w:rsidRPr="003F51B4" w:rsidRDefault="00E50719" w:rsidP="00512D60">
    <w:pPr>
      <w:pStyle w:val="Footer"/>
      <w:rPr>
        <w:sz w:val="2"/>
        <w:szCs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E70E19" w:rsidRPr="003D0FA8" w14:paraId="7D686C9B" w14:textId="77777777" w:rsidTr="001427C8">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1EBA1B81" w14:textId="77777777" w:rsidR="00E70E19" w:rsidRPr="003D0FA8" w:rsidRDefault="00E70E19" w:rsidP="00A9331E">
          <w:pPr>
            <w:pStyle w:val="Footer"/>
            <w:jc w:val="left"/>
          </w:pPr>
        </w:p>
      </w:tc>
      <w:tc>
        <w:tcPr>
          <w:tcW w:w="1667" w:type="pct"/>
          <w:vAlign w:val="bottom"/>
        </w:tcPr>
        <w:p w14:paraId="64BDDFF4" w14:textId="77777777" w:rsidR="00E70E19" w:rsidRPr="003D0FA8" w:rsidRDefault="00E70E19" w:rsidP="00512D60">
          <w:pPr>
            <w:pStyle w:val="Footer"/>
          </w:pPr>
          <w:r w:rsidRPr="00CF3B45">
            <w:fldChar w:fldCharType="begin"/>
          </w:r>
          <w:r w:rsidRPr="00CF3B45">
            <w:instrText xml:space="preserve"> PAGE   \* MERGEFORMAT </w:instrText>
          </w:r>
          <w:r w:rsidRPr="00CF3B45">
            <w:fldChar w:fldCharType="separate"/>
          </w:r>
          <w:r>
            <w:t>4</w:t>
          </w:r>
          <w:r w:rsidRPr="00CF3B45">
            <w:rPr>
              <w:noProof/>
            </w:rPr>
            <w:fldChar w:fldCharType="end"/>
          </w:r>
        </w:p>
      </w:tc>
      <w:tc>
        <w:tcPr>
          <w:tcW w:w="1667" w:type="pct"/>
          <w:vAlign w:val="bottom"/>
        </w:tcPr>
        <w:p w14:paraId="63458767" w14:textId="77777777" w:rsidR="00E70E19" w:rsidRPr="003D0FA8" w:rsidRDefault="00E70E19" w:rsidP="00512D60">
          <w:pPr>
            <w:pStyle w:val="Footer"/>
            <w:jc w:val="right"/>
          </w:pPr>
          <w:r>
            <w:rPr>
              <w:noProof/>
              <w:lang w:eastAsia="en-CA"/>
            </w:rPr>
            <w:drawing>
              <wp:inline distT="0" distB="0" distL="0" distR="0" wp14:anchorId="055522AA" wp14:editId="2E1F7B8C">
                <wp:extent cx="347345" cy="347345"/>
                <wp:effectExtent l="0" t="0" r="0" b="0"/>
                <wp:docPr id="851390539" name="Picture 8513905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2A1B6F9F" w14:textId="77777777" w:rsidR="00E70E19" w:rsidRPr="003F51B4" w:rsidRDefault="00E70E19" w:rsidP="00512D60">
    <w:pPr>
      <w:pStyle w:val="Footer"/>
      <w:rPr>
        <w:sz w:val="2"/>
        <w:szCs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673D6" w14:textId="77777777" w:rsidR="00554A89" w:rsidRDefault="00554A89" w:rsidP="00B33D79">
    <w:pPr>
      <w:pStyle w:val="Coverfooter"/>
    </w:pPr>
    <w:r>
      <w:drawing>
        <wp:inline distT="0" distB="0" distL="0" distR="0" wp14:anchorId="4D303971" wp14:editId="4E189411">
          <wp:extent cx="1589567" cy="457200"/>
          <wp:effectExtent l="0" t="0" r="0" b="0"/>
          <wp:docPr id="2023243319" name="Picture 2023243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589567" cy="457200"/>
                  </a:xfrm>
                  <a:prstGeom prst="rect">
                    <a:avLst/>
                  </a:prstGeom>
                </pic:spPr>
              </pic:pic>
            </a:graphicData>
          </a:graphic>
        </wp:inline>
      </w:drawing>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A8D13" w14:textId="77777777" w:rsidR="00554A89" w:rsidRPr="00B7757F" w:rsidRDefault="00554A89" w:rsidP="00B775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117D14" w:rsidRPr="003D0FA8" w14:paraId="5574F104" w14:textId="77777777" w:rsidTr="008C4C8C">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441AA034" w14:textId="77777777" w:rsidR="00117D14" w:rsidRPr="003D0FA8" w:rsidRDefault="00117D14" w:rsidP="00117D14">
          <w:pPr>
            <w:pStyle w:val="Footer"/>
          </w:pPr>
        </w:p>
      </w:tc>
      <w:tc>
        <w:tcPr>
          <w:tcW w:w="1667" w:type="pct"/>
          <w:vAlign w:val="bottom"/>
        </w:tcPr>
        <w:p w14:paraId="4C80B153" w14:textId="77777777" w:rsidR="00117D14" w:rsidRPr="003D0FA8" w:rsidRDefault="00117D14" w:rsidP="00117D14">
          <w:pPr>
            <w:pStyle w:val="Footer"/>
          </w:pPr>
          <w:r w:rsidRPr="00CF3B45">
            <w:fldChar w:fldCharType="begin"/>
          </w:r>
          <w:r w:rsidRPr="00CF3B45">
            <w:instrText xml:space="preserve"> PAGE   \* MERGEFORMAT </w:instrText>
          </w:r>
          <w:r w:rsidRPr="00CF3B45">
            <w:fldChar w:fldCharType="separate"/>
          </w:r>
          <w:r>
            <w:t>i</w:t>
          </w:r>
          <w:r w:rsidRPr="00CF3B45">
            <w:rPr>
              <w:noProof/>
            </w:rPr>
            <w:fldChar w:fldCharType="end"/>
          </w:r>
        </w:p>
      </w:tc>
      <w:tc>
        <w:tcPr>
          <w:tcW w:w="1667" w:type="pct"/>
          <w:vAlign w:val="bottom"/>
        </w:tcPr>
        <w:p w14:paraId="001F8D1B" w14:textId="77777777" w:rsidR="00117D14" w:rsidRPr="003D0FA8" w:rsidRDefault="00117D14" w:rsidP="00117D14">
          <w:pPr>
            <w:pStyle w:val="Footer"/>
            <w:jc w:val="right"/>
          </w:pPr>
          <w:r>
            <w:rPr>
              <w:noProof/>
              <w:lang w:eastAsia="en-CA"/>
            </w:rPr>
            <w:drawing>
              <wp:inline distT="0" distB="0" distL="0" distR="0" wp14:anchorId="284F4F6E" wp14:editId="05A6F5B2">
                <wp:extent cx="347345" cy="347345"/>
                <wp:effectExtent l="0" t="0" r="0" b="0"/>
                <wp:docPr id="29725935" name="Picture 297259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024F06BE" w14:textId="77777777" w:rsidR="00117D14" w:rsidRPr="003F51B4" w:rsidRDefault="00117D14" w:rsidP="00117D14">
    <w:pPr>
      <w:pStyle w:val="Footer"/>
      <w:rPr>
        <w:sz w:val="2"/>
        <w:szCs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650"/>
      <w:gridCol w:w="4652"/>
      <w:gridCol w:w="4652"/>
    </w:tblGrid>
    <w:tr w:rsidR="00515309" w:rsidRPr="00C87AA4" w14:paraId="118CB602" w14:textId="77777777" w:rsidTr="002B19BC">
      <w:tc>
        <w:tcPr>
          <w:tcW w:w="1666" w:type="pct"/>
          <w:vAlign w:val="bottom"/>
        </w:tcPr>
        <w:p w14:paraId="7DA24D3A" w14:textId="77777777" w:rsidR="00515309" w:rsidRPr="00C87AA4" w:rsidRDefault="00515309" w:rsidP="008801A0">
          <w:pPr>
            <w:tabs>
              <w:tab w:val="center" w:pos="4680"/>
              <w:tab w:val="right" w:pos="9360"/>
            </w:tabs>
            <w:spacing w:after="0"/>
            <w:jc w:val="center"/>
            <w:rPr>
              <w:sz w:val="16"/>
              <w:lang w:eastAsia="en-GB"/>
            </w:rPr>
          </w:pPr>
        </w:p>
      </w:tc>
      <w:tc>
        <w:tcPr>
          <w:tcW w:w="1667" w:type="pct"/>
          <w:vAlign w:val="bottom"/>
        </w:tcPr>
        <w:p w14:paraId="5679B7AF" w14:textId="77777777" w:rsidR="00515309" w:rsidRPr="00C87AA4" w:rsidRDefault="00515309" w:rsidP="008801A0">
          <w:pPr>
            <w:tabs>
              <w:tab w:val="center" w:pos="4680"/>
              <w:tab w:val="right" w:pos="9360"/>
            </w:tabs>
            <w:spacing w:after="0"/>
            <w:jc w:val="center"/>
            <w:rPr>
              <w:sz w:val="16"/>
              <w:lang w:eastAsia="en-GB"/>
            </w:rPr>
          </w:pPr>
          <w:r w:rsidRPr="00C87AA4">
            <w:rPr>
              <w:sz w:val="16"/>
              <w:lang w:eastAsia="en-GB"/>
            </w:rPr>
            <w:fldChar w:fldCharType="begin"/>
          </w:r>
          <w:r w:rsidRPr="00C87AA4">
            <w:rPr>
              <w:sz w:val="16"/>
              <w:lang w:eastAsia="en-GB"/>
            </w:rPr>
            <w:instrText xml:space="preserve"> PAGE   \* MERGEFORMAT </w:instrText>
          </w:r>
          <w:r w:rsidRPr="00C87AA4">
            <w:rPr>
              <w:sz w:val="16"/>
              <w:lang w:eastAsia="en-GB"/>
            </w:rPr>
            <w:fldChar w:fldCharType="separate"/>
          </w:r>
          <w:r w:rsidRPr="00C87AA4">
            <w:rPr>
              <w:sz w:val="16"/>
              <w:lang w:eastAsia="en-GB"/>
            </w:rPr>
            <w:t>2</w:t>
          </w:r>
          <w:r w:rsidRPr="00C87AA4">
            <w:rPr>
              <w:sz w:val="16"/>
              <w:lang w:eastAsia="en-GB"/>
            </w:rPr>
            <w:fldChar w:fldCharType="end"/>
          </w:r>
        </w:p>
      </w:tc>
      <w:tc>
        <w:tcPr>
          <w:tcW w:w="1667" w:type="pct"/>
          <w:vAlign w:val="bottom"/>
        </w:tcPr>
        <w:p w14:paraId="16889A1B" w14:textId="77777777" w:rsidR="00515309" w:rsidRPr="00C87AA4" w:rsidRDefault="00515309" w:rsidP="008801A0">
          <w:pPr>
            <w:tabs>
              <w:tab w:val="center" w:pos="4680"/>
              <w:tab w:val="right" w:pos="9360"/>
            </w:tabs>
            <w:spacing w:after="0"/>
            <w:jc w:val="right"/>
            <w:rPr>
              <w:sz w:val="16"/>
              <w:lang w:eastAsia="en-GB"/>
            </w:rPr>
          </w:pPr>
          <w:r w:rsidRPr="00C87AA4">
            <w:rPr>
              <w:noProof/>
              <w:sz w:val="16"/>
              <w:lang w:eastAsia="en-CA"/>
            </w:rPr>
            <w:drawing>
              <wp:inline distT="0" distB="0" distL="0" distR="0" wp14:anchorId="56BA6A8B" wp14:editId="489628D8">
                <wp:extent cx="347345" cy="347345"/>
                <wp:effectExtent l="0" t="0" r="0" b="0"/>
                <wp:docPr id="1694947488" name="Picture 16949474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5E2F270B" w14:textId="77777777" w:rsidR="00515309" w:rsidRPr="00C87AA4" w:rsidRDefault="00515309" w:rsidP="008801A0">
    <w:pPr>
      <w:tabs>
        <w:tab w:val="center" w:pos="4680"/>
        <w:tab w:val="right" w:pos="9360"/>
      </w:tabs>
      <w:spacing w:after="0"/>
      <w:rPr>
        <w:sz w:val="2"/>
        <w:szCs w:val="2"/>
      </w:rPr>
    </w:pPr>
  </w:p>
  <w:p w14:paraId="51F9B34D" w14:textId="77777777" w:rsidR="00515309" w:rsidRPr="00C87AA4" w:rsidRDefault="00515309" w:rsidP="008801A0">
    <w:pPr>
      <w:pStyle w:val="Footer"/>
      <w:rPr>
        <w:sz w:val="2"/>
        <w:szCs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E50719" w:rsidRPr="003D0FA8" w14:paraId="147D1725" w14:textId="77777777" w:rsidTr="001427C8">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3A425B31" w14:textId="77777777" w:rsidR="00E50719" w:rsidRPr="003D0FA8" w:rsidRDefault="00E50719" w:rsidP="00A9331E">
          <w:pPr>
            <w:pStyle w:val="Footer"/>
            <w:jc w:val="left"/>
          </w:pPr>
        </w:p>
      </w:tc>
      <w:tc>
        <w:tcPr>
          <w:tcW w:w="1667" w:type="pct"/>
          <w:vAlign w:val="bottom"/>
        </w:tcPr>
        <w:p w14:paraId="1EB147D6" w14:textId="77777777" w:rsidR="00E50719" w:rsidRPr="003D0FA8" w:rsidRDefault="00E50719" w:rsidP="00512D60">
          <w:pPr>
            <w:pStyle w:val="Footer"/>
          </w:pPr>
          <w:r w:rsidRPr="00CF3B45">
            <w:fldChar w:fldCharType="begin"/>
          </w:r>
          <w:r w:rsidRPr="00CF3B45">
            <w:instrText xml:space="preserve"> PAGE   \* MERGEFORMAT </w:instrText>
          </w:r>
          <w:r w:rsidRPr="00CF3B45">
            <w:fldChar w:fldCharType="separate"/>
          </w:r>
          <w:r>
            <w:t>4</w:t>
          </w:r>
          <w:r w:rsidRPr="00CF3B45">
            <w:rPr>
              <w:noProof/>
            </w:rPr>
            <w:fldChar w:fldCharType="end"/>
          </w:r>
        </w:p>
      </w:tc>
      <w:tc>
        <w:tcPr>
          <w:tcW w:w="1667" w:type="pct"/>
          <w:vAlign w:val="bottom"/>
        </w:tcPr>
        <w:p w14:paraId="121D98D6" w14:textId="77777777" w:rsidR="00E50719" w:rsidRPr="003D0FA8" w:rsidRDefault="00E50719" w:rsidP="00512D60">
          <w:pPr>
            <w:pStyle w:val="Footer"/>
            <w:jc w:val="right"/>
          </w:pPr>
          <w:r>
            <w:rPr>
              <w:noProof/>
              <w:lang w:eastAsia="en-CA"/>
            </w:rPr>
            <w:drawing>
              <wp:inline distT="0" distB="0" distL="0" distR="0" wp14:anchorId="6D48DC6F" wp14:editId="1F3D81DE">
                <wp:extent cx="347345" cy="347345"/>
                <wp:effectExtent l="0" t="0" r="0" b="0"/>
                <wp:docPr id="1347998837" name="Picture 13479988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1DEDB245" w14:textId="77777777" w:rsidR="00E50719" w:rsidRPr="003F51B4" w:rsidRDefault="00E50719" w:rsidP="00512D60">
    <w:pPr>
      <w:pStyle w:val="Footer"/>
      <w:rPr>
        <w:sz w:val="2"/>
        <w:szCs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B596" w14:textId="260F2633" w:rsidR="002A62C0" w:rsidRPr="002A62C0" w:rsidRDefault="002A62C0" w:rsidP="002A62C0">
    <w:pPr>
      <w:pStyle w:val="Footer"/>
      <w:jc w:val="right"/>
    </w:pPr>
    <w:r>
      <w:rPr>
        <w:noProof/>
      </w:rPr>
      <w:drawing>
        <wp:inline distT="0" distB="0" distL="0" distR="0" wp14:anchorId="2E3949F8" wp14:editId="66D787F5">
          <wp:extent cx="1589567" cy="457200"/>
          <wp:effectExtent l="0" t="0" r="0" b="0"/>
          <wp:docPr id="1061703316" name="Picture 106170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589567" cy="457200"/>
                  </a:xfrm>
                  <a:prstGeom prst="rect">
                    <a:avLst/>
                  </a:prstGeom>
                </pic:spPr>
              </pic:pic>
            </a:graphicData>
          </a:graphic>
        </wp:inline>
      </w:drawing>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1B70DB" w:rsidRPr="003D0FA8" w14:paraId="33FEBDC1" w14:textId="77777777" w:rsidTr="001427C8">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70084A8E" w14:textId="77777777" w:rsidR="001B70DB" w:rsidRPr="003D0FA8" w:rsidRDefault="001B70DB" w:rsidP="00A9331E">
          <w:pPr>
            <w:pStyle w:val="Footer"/>
            <w:jc w:val="left"/>
          </w:pPr>
        </w:p>
      </w:tc>
      <w:tc>
        <w:tcPr>
          <w:tcW w:w="1667" w:type="pct"/>
          <w:vAlign w:val="bottom"/>
        </w:tcPr>
        <w:p w14:paraId="09212CF0" w14:textId="77777777" w:rsidR="001B70DB" w:rsidRPr="003D0FA8" w:rsidRDefault="001B70DB" w:rsidP="00512D60">
          <w:pPr>
            <w:pStyle w:val="Footer"/>
          </w:pPr>
          <w:r w:rsidRPr="00CF3B45">
            <w:fldChar w:fldCharType="begin"/>
          </w:r>
          <w:r w:rsidRPr="00CF3B45">
            <w:instrText xml:space="preserve"> PAGE   \* MERGEFORMAT </w:instrText>
          </w:r>
          <w:r w:rsidRPr="00CF3B45">
            <w:fldChar w:fldCharType="separate"/>
          </w:r>
          <w:r>
            <w:t>4</w:t>
          </w:r>
          <w:r w:rsidRPr="00CF3B45">
            <w:rPr>
              <w:noProof/>
            </w:rPr>
            <w:fldChar w:fldCharType="end"/>
          </w:r>
        </w:p>
      </w:tc>
      <w:tc>
        <w:tcPr>
          <w:tcW w:w="1667" w:type="pct"/>
          <w:vAlign w:val="bottom"/>
        </w:tcPr>
        <w:p w14:paraId="58C5B6B2" w14:textId="77777777" w:rsidR="001B70DB" w:rsidRPr="003D0FA8" w:rsidRDefault="001B70DB" w:rsidP="00512D60">
          <w:pPr>
            <w:pStyle w:val="Footer"/>
            <w:jc w:val="right"/>
          </w:pPr>
          <w:r>
            <w:rPr>
              <w:noProof/>
              <w:lang w:eastAsia="en-CA"/>
            </w:rPr>
            <w:drawing>
              <wp:inline distT="0" distB="0" distL="0" distR="0" wp14:anchorId="4473CE74" wp14:editId="29C4065E">
                <wp:extent cx="347345" cy="347345"/>
                <wp:effectExtent l="0" t="0" r="0" b="0"/>
                <wp:docPr id="1628700376" name="Picture 16287003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4EC26EF4" w14:textId="77777777" w:rsidR="001B70DB" w:rsidRPr="003F51B4" w:rsidRDefault="001B70DB" w:rsidP="00512D60">
    <w:pPr>
      <w:pStyle w:val="Footer"/>
      <w:rPr>
        <w:sz w:val="2"/>
        <w:szCs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52"/>
      <w:gridCol w:w="4652"/>
    </w:tblGrid>
    <w:tr w:rsidR="00F04C3F" w:rsidRPr="003D0FA8" w14:paraId="47EE71C4" w14:textId="77777777" w:rsidTr="001427C8">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10492CDA" w14:textId="77777777" w:rsidR="00F04C3F" w:rsidRPr="003D0FA8" w:rsidRDefault="00F04C3F" w:rsidP="00A9331E">
          <w:pPr>
            <w:pStyle w:val="Footer"/>
            <w:jc w:val="left"/>
          </w:pPr>
        </w:p>
      </w:tc>
      <w:tc>
        <w:tcPr>
          <w:tcW w:w="1667" w:type="pct"/>
          <w:vAlign w:val="bottom"/>
        </w:tcPr>
        <w:p w14:paraId="624A5D84" w14:textId="77777777" w:rsidR="00F04C3F" w:rsidRPr="003D0FA8" w:rsidRDefault="00F04C3F" w:rsidP="00512D60">
          <w:pPr>
            <w:pStyle w:val="Footer"/>
          </w:pPr>
          <w:r w:rsidRPr="00CF3B45">
            <w:fldChar w:fldCharType="begin"/>
          </w:r>
          <w:r w:rsidRPr="00CF3B45">
            <w:instrText xml:space="preserve"> PAGE   \* MERGEFORMAT </w:instrText>
          </w:r>
          <w:r w:rsidRPr="00CF3B45">
            <w:fldChar w:fldCharType="separate"/>
          </w:r>
          <w:r>
            <w:t>4</w:t>
          </w:r>
          <w:r w:rsidRPr="00CF3B45">
            <w:rPr>
              <w:noProof/>
            </w:rPr>
            <w:fldChar w:fldCharType="end"/>
          </w:r>
        </w:p>
      </w:tc>
      <w:tc>
        <w:tcPr>
          <w:tcW w:w="1667" w:type="pct"/>
          <w:vAlign w:val="bottom"/>
        </w:tcPr>
        <w:p w14:paraId="59F2853E" w14:textId="77777777" w:rsidR="00F04C3F" w:rsidRPr="003D0FA8" w:rsidRDefault="00F04C3F" w:rsidP="00512D60">
          <w:pPr>
            <w:pStyle w:val="Footer"/>
            <w:jc w:val="right"/>
          </w:pPr>
          <w:r>
            <w:rPr>
              <w:noProof/>
              <w:lang w:eastAsia="en-CA"/>
            </w:rPr>
            <w:drawing>
              <wp:inline distT="0" distB="0" distL="0" distR="0" wp14:anchorId="10E38125" wp14:editId="02DE24B0">
                <wp:extent cx="347345" cy="347345"/>
                <wp:effectExtent l="0" t="0" r="0" b="0"/>
                <wp:docPr id="1628100709" name="Picture 16281007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218F48AB" w14:textId="77777777" w:rsidR="00F04C3F" w:rsidRPr="003F51B4" w:rsidRDefault="00F04C3F" w:rsidP="00512D60">
    <w:pPr>
      <w:pStyle w:val="Footer"/>
      <w:rPr>
        <w:sz w:val="2"/>
        <w:szCs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EF7A" w14:textId="77777777" w:rsidR="00BB3382" w:rsidRPr="00FC0E17" w:rsidRDefault="00BB3382" w:rsidP="00B33D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CA1660" w:rsidRPr="003D0FA8" w14:paraId="68259B95" w14:textId="77777777" w:rsidTr="007B0E81">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10BC7AC9" w14:textId="77777777" w:rsidR="00CA1660" w:rsidRPr="003D0FA8" w:rsidRDefault="00CA1660" w:rsidP="00CA1660">
          <w:pPr>
            <w:pStyle w:val="Footer"/>
          </w:pPr>
        </w:p>
      </w:tc>
      <w:tc>
        <w:tcPr>
          <w:tcW w:w="1667" w:type="pct"/>
          <w:vAlign w:val="bottom"/>
        </w:tcPr>
        <w:p w14:paraId="29BF3BCD" w14:textId="77777777" w:rsidR="00CA1660" w:rsidRPr="003D0FA8" w:rsidRDefault="00CA1660" w:rsidP="00CA1660">
          <w:pPr>
            <w:pStyle w:val="Footer"/>
          </w:pPr>
        </w:p>
      </w:tc>
      <w:tc>
        <w:tcPr>
          <w:tcW w:w="1667" w:type="pct"/>
          <w:vAlign w:val="bottom"/>
        </w:tcPr>
        <w:p w14:paraId="2865E597" w14:textId="77777777" w:rsidR="00CA1660" w:rsidRPr="003D0FA8" w:rsidRDefault="00CA1660" w:rsidP="00CA1660">
          <w:pPr>
            <w:pStyle w:val="Footer"/>
            <w:jc w:val="right"/>
          </w:pPr>
          <w:r>
            <w:rPr>
              <w:noProof/>
              <w:lang w:eastAsia="en-CA"/>
            </w:rPr>
            <w:drawing>
              <wp:inline distT="0" distB="0" distL="0" distR="0" wp14:anchorId="712C731F" wp14:editId="514954B6">
                <wp:extent cx="347345" cy="347345"/>
                <wp:effectExtent l="0" t="0" r="0" b="0"/>
                <wp:docPr id="1508029751" name="Picture 15080297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05CE9925" w14:textId="77777777" w:rsidR="00CA1660" w:rsidRPr="00037C08" w:rsidRDefault="00CA1660" w:rsidP="00CA1660">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117D14" w:rsidRPr="003D0FA8" w14:paraId="0ECD159D" w14:textId="77777777" w:rsidTr="0085398C">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05089A9A" w14:textId="77777777" w:rsidR="00117D14" w:rsidRPr="003D0FA8" w:rsidRDefault="00117D14" w:rsidP="00A9331E">
          <w:pPr>
            <w:pStyle w:val="Footer"/>
            <w:jc w:val="left"/>
          </w:pPr>
        </w:p>
      </w:tc>
      <w:tc>
        <w:tcPr>
          <w:tcW w:w="1667" w:type="pct"/>
          <w:vAlign w:val="bottom"/>
        </w:tcPr>
        <w:p w14:paraId="361FAF4F" w14:textId="77777777" w:rsidR="00117D14" w:rsidRPr="003D0FA8" w:rsidRDefault="00117D14" w:rsidP="0085398C">
          <w:pPr>
            <w:pStyle w:val="Footer"/>
          </w:pPr>
          <w:r w:rsidRPr="00CF3B45">
            <w:fldChar w:fldCharType="begin"/>
          </w:r>
          <w:r w:rsidRPr="00CF3B45">
            <w:instrText xml:space="preserve"> PAGE   \* MERGEFORMAT </w:instrText>
          </w:r>
          <w:r w:rsidRPr="00CF3B45">
            <w:fldChar w:fldCharType="separate"/>
          </w:r>
          <w:r>
            <w:t>i</w:t>
          </w:r>
          <w:r w:rsidRPr="00CF3B45">
            <w:rPr>
              <w:noProof/>
            </w:rPr>
            <w:fldChar w:fldCharType="end"/>
          </w:r>
        </w:p>
      </w:tc>
      <w:tc>
        <w:tcPr>
          <w:tcW w:w="1667" w:type="pct"/>
          <w:vAlign w:val="bottom"/>
        </w:tcPr>
        <w:p w14:paraId="789532DC" w14:textId="77777777" w:rsidR="00117D14" w:rsidRPr="003D0FA8" w:rsidRDefault="00117D14" w:rsidP="0085398C">
          <w:pPr>
            <w:pStyle w:val="Footer"/>
            <w:jc w:val="right"/>
          </w:pPr>
          <w:r>
            <w:rPr>
              <w:noProof/>
              <w:lang w:eastAsia="en-CA"/>
            </w:rPr>
            <w:drawing>
              <wp:inline distT="0" distB="0" distL="0" distR="0" wp14:anchorId="0A7BD56F" wp14:editId="4BB7AD49">
                <wp:extent cx="347345" cy="347345"/>
                <wp:effectExtent l="0" t="0" r="0" b="0"/>
                <wp:docPr id="49565046" name="Picture 495650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6CC2ECE4" w14:textId="77777777" w:rsidR="00117D14" w:rsidRPr="003F51B4" w:rsidRDefault="00117D14" w:rsidP="00A9331E">
    <w:pPr>
      <w:pStyle w:val="Footer"/>
      <w:spacing w:before="0"/>
      <w:jc w:val="both"/>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117D14" w:rsidRPr="003D0FA8" w14:paraId="3F711466" w14:textId="77777777" w:rsidTr="0085398C">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2A6D7EBA" w14:textId="77777777" w:rsidR="00117D14" w:rsidRPr="003D0FA8" w:rsidRDefault="00117D14" w:rsidP="00A9331E">
          <w:pPr>
            <w:pStyle w:val="Footer"/>
            <w:jc w:val="left"/>
          </w:pPr>
        </w:p>
      </w:tc>
      <w:tc>
        <w:tcPr>
          <w:tcW w:w="1667" w:type="pct"/>
          <w:vAlign w:val="bottom"/>
        </w:tcPr>
        <w:p w14:paraId="45A36B7A" w14:textId="77777777" w:rsidR="00117D14" w:rsidRPr="003D0FA8" w:rsidRDefault="00117D14" w:rsidP="0085398C">
          <w:pPr>
            <w:pStyle w:val="Footer"/>
          </w:pPr>
          <w:r w:rsidRPr="00CF3B45">
            <w:fldChar w:fldCharType="begin"/>
          </w:r>
          <w:r w:rsidRPr="00CF3B45">
            <w:instrText xml:space="preserve"> PAGE   \* MERGEFORMAT </w:instrText>
          </w:r>
          <w:r w:rsidRPr="00CF3B45">
            <w:fldChar w:fldCharType="separate"/>
          </w:r>
          <w:r>
            <w:t>i</w:t>
          </w:r>
          <w:r w:rsidRPr="00CF3B45">
            <w:rPr>
              <w:noProof/>
            </w:rPr>
            <w:fldChar w:fldCharType="end"/>
          </w:r>
        </w:p>
      </w:tc>
      <w:tc>
        <w:tcPr>
          <w:tcW w:w="1667" w:type="pct"/>
          <w:vAlign w:val="bottom"/>
        </w:tcPr>
        <w:p w14:paraId="295F1338" w14:textId="77777777" w:rsidR="00117D14" w:rsidRPr="003D0FA8" w:rsidRDefault="00117D14" w:rsidP="0085398C">
          <w:pPr>
            <w:pStyle w:val="Footer"/>
            <w:jc w:val="right"/>
          </w:pPr>
          <w:r>
            <w:rPr>
              <w:noProof/>
              <w:lang w:eastAsia="en-CA"/>
            </w:rPr>
            <w:drawing>
              <wp:inline distT="0" distB="0" distL="0" distR="0" wp14:anchorId="607F9891" wp14:editId="1A0CE4B8">
                <wp:extent cx="347345" cy="347345"/>
                <wp:effectExtent l="0" t="0" r="0" b="0"/>
                <wp:docPr id="668472615" name="Picture 6684726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70286AB6" w14:textId="77777777" w:rsidR="00117D14" w:rsidRPr="003F51B4" w:rsidRDefault="00117D14" w:rsidP="00A9331E">
    <w:pPr>
      <w:pStyle w:val="Footer"/>
      <w:spacing w:before="0"/>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02C" w14:textId="77777777" w:rsidR="00BB3382" w:rsidRPr="00827FA0" w:rsidRDefault="00BB3382" w:rsidP="00B33D7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5"/>
      <w:gridCol w:w="6978"/>
      <w:gridCol w:w="6978"/>
    </w:tblGrid>
    <w:tr w:rsidR="00767956" w:rsidRPr="003D0FA8" w14:paraId="3A401F80" w14:textId="77777777" w:rsidTr="0085398C">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57FAE2E9" w14:textId="77777777" w:rsidR="00767956" w:rsidRPr="003D0FA8" w:rsidRDefault="00767956" w:rsidP="00A9331E">
          <w:pPr>
            <w:pStyle w:val="Footer"/>
            <w:jc w:val="left"/>
          </w:pPr>
        </w:p>
      </w:tc>
      <w:tc>
        <w:tcPr>
          <w:tcW w:w="1667" w:type="pct"/>
          <w:vAlign w:val="bottom"/>
        </w:tcPr>
        <w:p w14:paraId="4EDFE05B" w14:textId="77777777" w:rsidR="00767956" w:rsidRPr="003D0FA8" w:rsidRDefault="00767956" w:rsidP="0085398C">
          <w:pPr>
            <w:pStyle w:val="Footer"/>
          </w:pPr>
          <w:r w:rsidRPr="00CF3B45">
            <w:fldChar w:fldCharType="begin"/>
          </w:r>
          <w:r w:rsidRPr="00CF3B45">
            <w:instrText xml:space="preserve"> PAGE   \* MERGEFORMAT </w:instrText>
          </w:r>
          <w:r w:rsidRPr="00CF3B45">
            <w:fldChar w:fldCharType="separate"/>
          </w:r>
          <w:r>
            <w:t>i</w:t>
          </w:r>
          <w:r w:rsidRPr="00CF3B45">
            <w:rPr>
              <w:noProof/>
            </w:rPr>
            <w:fldChar w:fldCharType="end"/>
          </w:r>
        </w:p>
      </w:tc>
      <w:tc>
        <w:tcPr>
          <w:tcW w:w="1667" w:type="pct"/>
          <w:vAlign w:val="bottom"/>
        </w:tcPr>
        <w:p w14:paraId="7DAEE97B" w14:textId="77777777" w:rsidR="00767956" w:rsidRPr="003D0FA8" w:rsidRDefault="00767956" w:rsidP="0085398C">
          <w:pPr>
            <w:pStyle w:val="Footer"/>
            <w:jc w:val="right"/>
          </w:pPr>
          <w:r>
            <w:rPr>
              <w:noProof/>
              <w:lang w:eastAsia="en-CA"/>
            </w:rPr>
            <w:drawing>
              <wp:inline distT="0" distB="0" distL="0" distR="0" wp14:anchorId="361370A5" wp14:editId="22D52D01">
                <wp:extent cx="347345" cy="347345"/>
                <wp:effectExtent l="0" t="0" r="0" b="0"/>
                <wp:docPr id="1512075964" name="Picture 15120759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4905493E" w14:textId="77777777" w:rsidR="00767956" w:rsidRPr="003F51B4" w:rsidRDefault="00767956" w:rsidP="00A9331E">
    <w:pPr>
      <w:pStyle w:val="Footer"/>
      <w:spacing w:before="0"/>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767956" w:rsidRPr="003D0FA8" w14:paraId="06F2CC68" w14:textId="77777777" w:rsidTr="0085398C">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5CB93309" w14:textId="77777777" w:rsidR="00767956" w:rsidRPr="003D0FA8" w:rsidRDefault="00767956" w:rsidP="00A9331E">
          <w:pPr>
            <w:pStyle w:val="Footer"/>
            <w:jc w:val="left"/>
          </w:pPr>
        </w:p>
      </w:tc>
      <w:tc>
        <w:tcPr>
          <w:tcW w:w="1667" w:type="pct"/>
          <w:vAlign w:val="bottom"/>
        </w:tcPr>
        <w:p w14:paraId="47E7BDE4" w14:textId="77777777" w:rsidR="00767956" w:rsidRPr="003D0FA8" w:rsidRDefault="00767956" w:rsidP="0085398C">
          <w:pPr>
            <w:pStyle w:val="Footer"/>
          </w:pPr>
          <w:r w:rsidRPr="00CF3B45">
            <w:fldChar w:fldCharType="begin"/>
          </w:r>
          <w:r w:rsidRPr="00CF3B45">
            <w:instrText xml:space="preserve"> PAGE   \* MERGEFORMAT </w:instrText>
          </w:r>
          <w:r w:rsidRPr="00CF3B45">
            <w:fldChar w:fldCharType="separate"/>
          </w:r>
          <w:r>
            <w:t>i</w:t>
          </w:r>
          <w:r w:rsidRPr="00CF3B45">
            <w:rPr>
              <w:noProof/>
            </w:rPr>
            <w:fldChar w:fldCharType="end"/>
          </w:r>
        </w:p>
      </w:tc>
      <w:tc>
        <w:tcPr>
          <w:tcW w:w="1667" w:type="pct"/>
          <w:vAlign w:val="bottom"/>
        </w:tcPr>
        <w:p w14:paraId="206CBF47" w14:textId="77777777" w:rsidR="00767956" w:rsidRPr="003D0FA8" w:rsidRDefault="00767956" w:rsidP="0085398C">
          <w:pPr>
            <w:pStyle w:val="Footer"/>
            <w:jc w:val="right"/>
          </w:pPr>
          <w:r>
            <w:rPr>
              <w:noProof/>
              <w:lang w:eastAsia="en-CA"/>
            </w:rPr>
            <w:drawing>
              <wp:inline distT="0" distB="0" distL="0" distR="0" wp14:anchorId="0EF8D798" wp14:editId="7B739804">
                <wp:extent cx="347345" cy="347345"/>
                <wp:effectExtent l="0" t="0" r="0" b="0"/>
                <wp:docPr id="1980270785" name="Picture 19802707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2B985B71" w14:textId="77777777" w:rsidR="00767956" w:rsidRPr="003F51B4" w:rsidRDefault="00767956" w:rsidP="00A9331E">
    <w:pPr>
      <w:pStyle w:val="Footer"/>
      <w:spacing w:before="0"/>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160BA" w14:textId="77777777" w:rsidR="00B15504" w:rsidRDefault="00EA724A" w:rsidP="00B33D79">
    <w:pPr>
      <w:pStyle w:val="Coverfooter"/>
    </w:pPr>
    <w:r>
      <w:drawing>
        <wp:inline distT="0" distB="0" distL="0" distR="0" wp14:anchorId="4ECB8EB0" wp14:editId="722DC608">
          <wp:extent cx="1589567" cy="457200"/>
          <wp:effectExtent l="0" t="0" r="0" b="0"/>
          <wp:docPr id="1339742536" name="Picture 1339742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589567" cy="457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F075C" w14:textId="77777777" w:rsidR="00411E7C" w:rsidRDefault="00411E7C" w:rsidP="00B33D79">
      <w:r>
        <w:separator/>
      </w:r>
    </w:p>
  </w:footnote>
  <w:footnote w:type="continuationSeparator" w:id="0">
    <w:p w14:paraId="18802B6B" w14:textId="77777777" w:rsidR="00411E7C" w:rsidRDefault="00411E7C" w:rsidP="00B33D79">
      <w:r>
        <w:continuationSeparator/>
      </w:r>
    </w:p>
    <w:p w14:paraId="080E6EE8" w14:textId="77777777" w:rsidR="00411E7C" w:rsidRDefault="00411E7C" w:rsidP="00B33D79"/>
    <w:p w14:paraId="2CC17540" w14:textId="77777777" w:rsidR="00411E7C" w:rsidRDefault="00411E7C"/>
  </w:footnote>
  <w:footnote w:id="1">
    <w:p w14:paraId="5709E8A0" w14:textId="77777777" w:rsidR="00DB5179" w:rsidRDefault="00DB5179" w:rsidP="00DB5179">
      <w:pPr>
        <w:pStyle w:val="FootnoteText"/>
      </w:pPr>
      <w:r>
        <w:rPr>
          <w:rStyle w:val="FootnoteReference"/>
        </w:rPr>
        <w:footnoteRef/>
      </w:r>
      <w:r>
        <w:t xml:space="preserve"> It is noted as per NHMRC’s Final NRV Methodological Framework: “</w:t>
      </w:r>
      <w:r w:rsidRPr="00CC4415">
        <w:rPr>
          <w:i/>
          <w:iCs/>
        </w:rPr>
        <w:t>ULs are intended for the general healthy population and exclude sub populations with genetic disease or other conditions that predispose them to adverse effects at levels below the general population. Potentially sensitive sub populations should be identified, where possible, and discussed when evaluating the evidence base for the establishment of Uls</w:t>
      </w:r>
      <w:r>
        <w:rPr>
          <w:i/>
          <w:iCs/>
        </w:rPr>
        <w:t>.”</w:t>
      </w:r>
    </w:p>
  </w:footnote>
  <w:footnote w:id="2">
    <w:p w14:paraId="115C6D9A" w14:textId="77777777" w:rsidR="00E72B8C" w:rsidRPr="00073403" w:rsidRDefault="00E72B8C" w:rsidP="00E72B8C">
      <w:pPr>
        <w:pStyle w:val="FootnoteText"/>
        <w:rPr>
          <w:lang w:val="en-US"/>
        </w:rPr>
      </w:pPr>
      <w:r>
        <w:rPr>
          <w:rStyle w:val="FootnoteReference"/>
        </w:rPr>
        <w:footnoteRef/>
      </w:r>
      <w:r>
        <w:t xml:space="preserve"> </w:t>
      </w:r>
      <w:r w:rsidRPr="006F14A0">
        <w:t>The TGA has already taken action on this basis, including label warnings above 10 mg/day and scheduling changes restricting products above 50 mg/day to pharmacist-only or prescription supply from 1 June 2027. Comparable high-dose B6 products marketed for PMS relief in Australia would therefore generally sit outside the food fortification framework, and this distinction should be kept in mind when interpreting relevance to the dietary UL.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03"/>
      <w:gridCol w:w="3126"/>
    </w:tblGrid>
    <w:tr w:rsidR="00CA1660" w:rsidRPr="00F903CC" w14:paraId="21FE76FB" w14:textId="77777777" w:rsidTr="007B0E81">
      <w:tc>
        <w:tcPr>
          <w:tcW w:w="3269" w:type="pct"/>
          <w:tcBorders>
            <w:bottom w:val="single" w:sz="18" w:space="0" w:color="3C533C" w:themeColor="accent1"/>
          </w:tcBorders>
          <w:vAlign w:val="bottom"/>
        </w:tcPr>
        <w:p w14:paraId="48866B09" w14:textId="112731BE" w:rsidR="00CA1660" w:rsidRPr="00F903CC" w:rsidRDefault="00CA1660" w:rsidP="00CA1660">
          <w:pPr>
            <w:pStyle w:val="Header"/>
          </w:pPr>
          <w:r>
            <w:fldChar w:fldCharType="begin"/>
          </w:r>
          <w:r>
            <w:instrText xml:space="preserve"> STYLEREF  "Cover Client Name" </w:instrText>
          </w:r>
          <w:r>
            <w:fldChar w:fldCharType="separate"/>
          </w:r>
          <w:r w:rsidR="00A41FEF">
            <w:t>National Health and Medical Research Council</w:t>
          </w:r>
          <w:r>
            <w:fldChar w:fldCharType="end"/>
          </w:r>
        </w:p>
        <w:p w14:paraId="67C51853" w14:textId="0A8FA0AF" w:rsidR="00CA1660" w:rsidRPr="00F903CC" w:rsidRDefault="00CA1660" w:rsidP="00CA1660">
          <w:pPr>
            <w:pStyle w:val="Header"/>
          </w:pPr>
          <w:r>
            <w:fldChar w:fldCharType="begin"/>
          </w:r>
          <w:r>
            <w:instrText xml:space="preserve"> STYLEREF  "Cover Title" </w:instrText>
          </w:r>
          <w:r>
            <w:fldChar w:fldCharType="separate"/>
          </w:r>
          <w:r w:rsidR="00A41FEF">
            <w:t>Evidence Evaluations for Vitamin B6 Upper Level (UL)</w:t>
          </w:r>
          <w:r>
            <w:fldChar w:fldCharType="end"/>
          </w:r>
        </w:p>
      </w:tc>
      <w:tc>
        <w:tcPr>
          <w:tcW w:w="1731" w:type="pct"/>
          <w:tcBorders>
            <w:bottom w:val="single" w:sz="18" w:space="0" w:color="3C533C" w:themeColor="accent1"/>
          </w:tcBorders>
          <w:vAlign w:val="bottom"/>
        </w:tcPr>
        <w:p w14:paraId="0F43231D" w14:textId="766D390D" w:rsidR="00CA1660" w:rsidRPr="00F903CC" w:rsidRDefault="00CA1660" w:rsidP="00CA1660">
          <w:pPr>
            <w:pStyle w:val="HeaderRight"/>
          </w:pPr>
          <w:r>
            <w:fldChar w:fldCharType="begin"/>
          </w:r>
          <w:r>
            <w:instrText xml:space="preserve"> STYLEREF  "Cover Date" </w:instrText>
          </w:r>
          <w:r>
            <w:fldChar w:fldCharType="separate"/>
          </w:r>
          <w:r w:rsidR="00A41FEF">
            <w:t>7 August 2026</w:t>
          </w:r>
          <w:r>
            <w:fldChar w:fldCharType="end"/>
          </w:r>
        </w:p>
        <w:p w14:paraId="1DA6C5C9" w14:textId="4C3EADFB" w:rsidR="00CA1660" w:rsidRPr="00F903CC" w:rsidRDefault="00CA1660" w:rsidP="00CA1660">
          <w:pPr>
            <w:pStyle w:val="HeaderRight"/>
          </w:pPr>
          <w:r>
            <w:fldChar w:fldCharType="begin"/>
          </w:r>
          <w:r>
            <w:instrText xml:space="preserve"> STYLEREF  "Cover Project Number" </w:instrText>
          </w:r>
          <w:r>
            <w:fldChar w:fldCharType="separate"/>
          </w:r>
          <w:r w:rsidR="00A41FEF">
            <w:t>SLR Project No.: 640.032359.00001</w:t>
          </w:r>
          <w:r>
            <w:fldChar w:fldCharType="end"/>
          </w:r>
        </w:p>
      </w:tc>
    </w:tr>
  </w:tbl>
  <w:p w14:paraId="3A272F2F" w14:textId="77777777" w:rsidR="002E4F6E" w:rsidRPr="00CA1660" w:rsidRDefault="002E4F6E" w:rsidP="00CA166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3BF0D" w14:textId="77777777" w:rsidR="00E50719" w:rsidRPr="00987D05" w:rsidRDefault="00E50719" w:rsidP="00F903C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14"/>
      <w:gridCol w:w="4515"/>
    </w:tblGrid>
    <w:tr w:rsidR="00E50719" w:rsidRPr="00F903CC" w14:paraId="7D547446" w14:textId="77777777" w:rsidTr="00F51AC1">
      <w:tc>
        <w:tcPr>
          <w:tcW w:w="2500" w:type="pct"/>
          <w:tcBorders>
            <w:bottom w:val="single" w:sz="18" w:space="0" w:color="3C533C" w:themeColor="accent1"/>
          </w:tcBorders>
          <w:vAlign w:val="bottom"/>
        </w:tcPr>
        <w:p w14:paraId="7DE656A5" w14:textId="66BF078B" w:rsidR="00E50719" w:rsidRPr="00F903CC" w:rsidRDefault="00E50719" w:rsidP="00CC4C53">
          <w:pPr>
            <w:pStyle w:val="Header"/>
          </w:pPr>
          <w:r>
            <w:fldChar w:fldCharType="begin"/>
          </w:r>
          <w:r>
            <w:instrText xml:space="preserve"> STYLEREF  "Cover Client Name" </w:instrText>
          </w:r>
          <w:r>
            <w:fldChar w:fldCharType="separate"/>
          </w:r>
          <w:r w:rsidR="00A41FEF">
            <w:t>National Health and Medical Research Council</w:t>
          </w:r>
          <w:r>
            <w:fldChar w:fldCharType="end"/>
          </w:r>
        </w:p>
        <w:p w14:paraId="0896F3E0" w14:textId="64EF574A" w:rsidR="00E50719" w:rsidRPr="00F903CC" w:rsidRDefault="00E50719" w:rsidP="00CC4C53">
          <w:pPr>
            <w:pStyle w:val="Header"/>
          </w:pPr>
          <w:r>
            <w:fldChar w:fldCharType="begin"/>
          </w:r>
          <w:r>
            <w:instrText xml:space="preserve"> STYLEREF  "Cover Title" </w:instrText>
          </w:r>
          <w:r>
            <w:fldChar w:fldCharType="separate"/>
          </w:r>
          <w:r w:rsidR="00A41FEF">
            <w:t>Evidence Evaluations for Vitamin B6 Upper Level (UL)</w:t>
          </w:r>
          <w:r>
            <w:fldChar w:fldCharType="end"/>
          </w:r>
        </w:p>
      </w:tc>
      <w:tc>
        <w:tcPr>
          <w:tcW w:w="2500" w:type="pct"/>
          <w:tcBorders>
            <w:bottom w:val="single" w:sz="18" w:space="0" w:color="3C533C" w:themeColor="accent1"/>
          </w:tcBorders>
          <w:vAlign w:val="bottom"/>
        </w:tcPr>
        <w:p w14:paraId="22169CA3" w14:textId="5F9DA77A" w:rsidR="00E50719" w:rsidRPr="00F903CC" w:rsidRDefault="00E50719" w:rsidP="00CC4C53">
          <w:pPr>
            <w:pStyle w:val="HeaderRight"/>
          </w:pPr>
          <w:r>
            <w:fldChar w:fldCharType="begin"/>
          </w:r>
          <w:r>
            <w:instrText xml:space="preserve"> STYLEREF  "Cover Date" </w:instrText>
          </w:r>
          <w:r>
            <w:fldChar w:fldCharType="separate"/>
          </w:r>
          <w:r w:rsidR="00A41FEF">
            <w:t>7 August 2026</w:t>
          </w:r>
          <w:r>
            <w:fldChar w:fldCharType="end"/>
          </w:r>
        </w:p>
        <w:p w14:paraId="5883DEE6" w14:textId="26E2D427" w:rsidR="00E50719" w:rsidRDefault="00E50719" w:rsidP="00CC4C53">
          <w:pPr>
            <w:pStyle w:val="HeaderRight"/>
            <w:ind w:left="-524"/>
          </w:pPr>
          <w:r>
            <w:fldChar w:fldCharType="begin"/>
          </w:r>
          <w:r>
            <w:instrText xml:space="preserve"> STYLEREF  "Cover Project Number" </w:instrText>
          </w:r>
          <w:r>
            <w:fldChar w:fldCharType="separate"/>
          </w:r>
          <w:r w:rsidR="00A41FEF">
            <w:t>SLR Project No.: 640.032359.00001</w:t>
          </w:r>
          <w:r>
            <w:fldChar w:fldCharType="end"/>
          </w:r>
        </w:p>
        <w:p w14:paraId="560AF48C" w14:textId="066BB704" w:rsidR="00E50719" w:rsidRPr="00F903CC" w:rsidRDefault="00E50719" w:rsidP="00CC4C53">
          <w:pPr>
            <w:pStyle w:val="HeaderRight"/>
          </w:pPr>
          <w:r>
            <w:t xml:space="preserve">SLR Ref No.: </w:t>
          </w:r>
          <w:fldSimple w:instr=" FILENAME   \* MERGEFORMAT ">
            <w:r w:rsidR="00A41FEF">
              <w:t>640.032359.00001-v2.0-07082026-Vit B6 UL-Technical report</w:t>
            </w:r>
          </w:fldSimple>
        </w:p>
      </w:tc>
    </w:tr>
  </w:tbl>
  <w:p w14:paraId="2BFDA455" w14:textId="77777777" w:rsidR="00E50719" w:rsidRPr="00F903CC" w:rsidRDefault="00E50719" w:rsidP="00CC4C5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18F4" w14:textId="77777777" w:rsidR="00E50719" w:rsidRPr="00A55381" w:rsidRDefault="00E50719" w:rsidP="00F903CC">
    <w:pPr>
      <w:pStyle w:val="Header"/>
    </w:pPr>
    <w:r>
      <w:drawing>
        <wp:anchor distT="0" distB="0" distL="114300" distR="114300" simplePos="0" relativeHeight="251658240" behindDoc="1" locked="1" layoutInCell="1" allowOverlap="1" wp14:anchorId="7E0A1B1D" wp14:editId="64BF1587">
          <wp:simplePos x="0" y="0"/>
          <wp:positionH relativeFrom="column">
            <wp:posOffset>3819525</wp:posOffset>
          </wp:positionH>
          <wp:positionV relativeFrom="paragraph">
            <wp:posOffset>-352425</wp:posOffset>
          </wp:positionV>
          <wp:extent cx="2809240" cy="2806700"/>
          <wp:effectExtent l="0" t="0" r="0" b="0"/>
          <wp:wrapNone/>
          <wp:docPr id="917132846" name="Picture 917132846"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1" t="50252" r="49296" b="-1"/>
                  <a:stretch/>
                </pic:blipFill>
                <pic:spPr bwMode="auto">
                  <a:xfrm>
                    <a:off x="0" y="0"/>
                    <a:ext cx="2809240" cy="280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E2CE" w14:textId="77777777" w:rsidR="00E50719" w:rsidRPr="00987D05" w:rsidRDefault="00E50719" w:rsidP="00F903C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46"/>
      <w:gridCol w:w="3783"/>
    </w:tblGrid>
    <w:tr w:rsidR="00E50719" w:rsidRPr="00F903CC" w14:paraId="10620298" w14:textId="77777777" w:rsidTr="00601CCB">
      <w:tc>
        <w:tcPr>
          <w:tcW w:w="2905" w:type="pct"/>
          <w:tcBorders>
            <w:bottom w:val="single" w:sz="18" w:space="0" w:color="3C533C" w:themeColor="accent1"/>
          </w:tcBorders>
          <w:vAlign w:val="bottom"/>
        </w:tcPr>
        <w:p w14:paraId="5537B191" w14:textId="0898A766" w:rsidR="00E50719" w:rsidRPr="00F903CC" w:rsidRDefault="00E50719" w:rsidP="00CC4C53">
          <w:pPr>
            <w:pStyle w:val="Header"/>
          </w:pPr>
          <w:r>
            <w:fldChar w:fldCharType="begin"/>
          </w:r>
          <w:r>
            <w:instrText xml:space="preserve"> STYLEREF  "Cover Client Name" </w:instrText>
          </w:r>
          <w:r>
            <w:fldChar w:fldCharType="separate"/>
          </w:r>
          <w:r w:rsidR="00A41FEF">
            <w:t>National Health and Medical Research Council</w:t>
          </w:r>
          <w:r>
            <w:fldChar w:fldCharType="end"/>
          </w:r>
        </w:p>
        <w:p w14:paraId="54A3F8E4" w14:textId="28E981DC" w:rsidR="00E50719" w:rsidRPr="00F903CC" w:rsidRDefault="00E50719" w:rsidP="00CC4C53">
          <w:pPr>
            <w:pStyle w:val="Header"/>
          </w:pPr>
          <w:r>
            <w:fldChar w:fldCharType="begin"/>
          </w:r>
          <w:r>
            <w:instrText xml:space="preserve"> STYLEREF  "Cover Title" </w:instrText>
          </w:r>
          <w:r>
            <w:fldChar w:fldCharType="separate"/>
          </w:r>
          <w:r w:rsidR="00A41FEF">
            <w:t>Evidence Evaluations for Vitamin B6 Upper Level (UL)</w:t>
          </w:r>
          <w:r>
            <w:fldChar w:fldCharType="end"/>
          </w:r>
        </w:p>
      </w:tc>
      <w:tc>
        <w:tcPr>
          <w:tcW w:w="2095" w:type="pct"/>
          <w:tcBorders>
            <w:bottom w:val="single" w:sz="18" w:space="0" w:color="3C533C" w:themeColor="accent1"/>
          </w:tcBorders>
          <w:vAlign w:val="bottom"/>
        </w:tcPr>
        <w:p w14:paraId="31902E47" w14:textId="0699CC5B" w:rsidR="00E50719" w:rsidRPr="00F903CC" w:rsidRDefault="00E50719" w:rsidP="00CC4C53">
          <w:pPr>
            <w:pStyle w:val="HeaderRight"/>
          </w:pPr>
          <w:r>
            <w:fldChar w:fldCharType="begin"/>
          </w:r>
          <w:r>
            <w:instrText xml:space="preserve"> STYLEREF  "Cover Date" </w:instrText>
          </w:r>
          <w:r>
            <w:fldChar w:fldCharType="separate"/>
          </w:r>
          <w:r w:rsidR="00A41FEF">
            <w:t>7 August 2026</w:t>
          </w:r>
          <w:r>
            <w:fldChar w:fldCharType="end"/>
          </w:r>
        </w:p>
        <w:p w14:paraId="034C1F68" w14:textId="4D26C8AC" w:rsidR="00E50719" w:rsidRDefault="00E50719" w:rsidP="00CC4C53">
          <w:pPr>
            <w:pStyle w:val="HeaderRight"/>
            <w:ind w:left="-524"/>
          </w:pPr>
          <w:r>
            <w:fldChar w:fldCharType="begin"/>
          </w:r>
          <w:r>
            <w:instrText xml:space="preserve"> STYLEREF  "Cover Project Number" </w:instrText>
          </w:r>
          <w:r>
            <w:fldChar w:fldCharType="separate"/>
          </w:r>
          <w:r w:rsidR="00A41FEF">
            <w:t>SLR Project No.: 640.032359.00001</w:t>
          </w:r>
          <w:r>
            <w:fldChar w:fldCharType="end"/>
          </w:r>
        </w:p>
        <w:p w14:paraId="1A5D8272" w14:textId="2F3D370E" w:rsidR="00E50719" w:rsidRPr="00F903CC" w:rsidRDefault="00E50719" w:rsidP="00CC4C53">
          <w:pPr>
            <w:pStyle w:val="HeaderRight"/>
          </w:pPr>
          <w:r>
            <w:t xml:space="preserve">SLR Ref No.: </w:t>
          </w:r>
          <w:fldSimple w:instr=" FILENAME   \* MERGEFORMAT ">
            <w:r w:rsidR="00A41FEF">
              <w:t>640.032359.00001-v2.0-07082026-Vit B6 UL-Technical report</w:t>
            </w:r>
          </w:fldSimple>
        </w:p>
      </w:tc>
    </w:tr>
  </w:tbl>
  <w:p w14:paraId="1B0A4E06" w14:textId="77777777" w:rsidR="00E50719" w:rsidRPr="00F903CC" w:rsidRDefault="00E50719" w:rsidP="00CC4C5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14"/>
      <w:gridCol w:w="4515"/>
    </w:tblGrid>
    <w:tr w:rsidR="00E70E19" w:rsidRPr="00F903CC" w14:paraId="572E608E" w14:textId="77777777" w:rsidTr="002A62C0">
      <w:tc>
        <w:tcPr>
          <w:tcW w:w="2500" w:type="pct"/>
          <w:tcBorders>
            <w:bottom w:val="single" w:sz="18" w:space="0" w:color="3C533C" w:themeColor="accent1"/>
          </w:tcBorders>
          <w:vAlign w:val="bottom"/>
        </w:tcPr>
        <w:p w14:paraId="1A113418" w14:textId="34B0CB93" w:rsidR="00E70E19" w:rsidRPr="00F903CC" w:rsidRDefault="00E70E19" w:rsidP="00CC4C53">
          <w:pPr>
            <w:pStyle w:val="Header"/>
          </w:pPr>
          <w:r>
            <w:fldChar w:fldCharType="begin"/>
          </w:r>
          <w:r>
            <w:instrText xml:space="preserve"> STYLEREF  "Cover Client Name" </w:instrText>
          </w:r>
          <w:r>
            <w:fldChar w:fldCharType="separate"/>
          </w:r>
          <w:r w:rsidR="00A41FEF">
            <w:t>National Health and Medical Research Council</w:t>
          </w:r>
          <w:r>
            <w:fldChar w:fldCharType="end"/>
          </w:r>
        </w:p>
        <w:p w14:paraId="21083C2F" w14:textId="7CB6C920" w:rsidR="00E70E19" w:rsidRPr="00F903CC" w:rsidRDefault="00E70E19" w:rsidP="00CC4C53">
          <w:pPr>
            <w:pStyle w:val="Header"/>
          </w:pPr>
          <w:r>
            <w:fldChar w:fldCharType="begin"/>
          </w:r>
          <w:r>
            <w:instrText xml:space="preserve"> STYLEREF  "Cover Title" </w:instrText>
          </w:r>
          <w:r>
            <w:fldChar w:fldCharType="separate"/>
          </w:r>
          <w:r w:rsidR="00A41FEF">
            <w:t>Evidence Evaluations for Vitamin B6 Upper Level (UL)</w:t>
          </w:r>
          <w:r>
            <w:fldChar w:fldCharType="end"/>
          </w:r>
        </w:p>
      </w:tc>
      <w:tc>
        <w:tcPr>
          <w:tcW w:w="2500" w:type="pct"/>
          <w:tcBorders>
            <w:bottom w:val="single" w:sz="18" w:space="0" w:color="3C533C" w:themeColor="accent1"/>
          </w:tcBorders>
          <w:vAlign w:val="bottom"/>
        </w:tcPr>
        <w:p w14:paraId="53F9AB25" w14:textId="68273859" w:rsidR="00E70E19" w:rsidRPr="00F903CC" w:rsidRDefault="00E70E19" w:rsidP="00CC4C53">
          <w:pPr>
            <w:pStyle w:val="HeaderRight"/>
          </w:pPr>
          <w:r>
            <w:fldChar w:fldCharType="begin"/>
          </w:r>
          <w:r>
            <w:instrText xml:space="preserve"> STYLEREF  "Cover Date" </w:instrText>
          </w:r>
          <w:r>
            <w:fldChar w:fldCharType="separate"/>
          </w:r>
          <w:r w:rsidR="00A41FEF">
            <w:t>7 August 2026</w:t>
          </w:r>
          <w:r>
            <w:fldChar w:fldCharType="end"/>
          </w:r>
        </w:p>
        <w:p w14:paraId="2C277CA4" w14:textId="5E54BE0E" w:rsidR="00E70E19" w:rsidRDefault="00E70E19" w:rsidP="00CC4C53">
          <w:pPr>
            <w:pStyle w:val="HeaderRight"/>
            <w:ind w:left="-524"/>
          </w:pPr>
          <w:r>
            <w:fldChar w:fldCharType="begin"/>
          </w:r>
          <w:r>
            <w:instrText xml:space="preserve"> STYLEREF  "Cover Project Number" </w:instrText>
          </w:r>
          <w:r>
            <w:fldChar w:fldCharType="separate"/>
          </w:r>
          <w:r w:rsidR="00A41FEF">
            <w:t>SLR Project No.: 640.032359.00001</w:t>
          </w:r>
          <w:r>
            <w:fldChar w:fldCharType="end"/>
          </w:r>
        </w:p>
        <w:p w14:paraId="01E55D06" w14:textId="77E3E031" w:rsidR="00E70E19" w:rsidRPr="00F903CC" w:rsidRDefault="00E70E19" w:rsidP="00CC4C53">
          <w:pPr>
            <w:pStyle w:val="HeaderRight"/>
          </w:pPr>
          <w:r>
            <w:t xml:space="preserve">SLR Ref No.: </w:t>
          </w:r>
          <w:fldSimple w:instr=" FILENAME   \* MERGEFORMAT ">
            <w:r w:rsidR="00A41FEF">
              <w:t>640.032359.00001-v2.0-07082026-Vit B6 UL-Technical report</w:t>
            </w:r>
          </w:fldSimple>
        </w:p>
      </w:tc>
    </w:tr>
  </w:tbl>
  <w:p w14:paraId="293B1C54" w14:textId="77777777" w:rsidR="00E70E19" w:rsidRPr="00F903CC" w:rsidRDefault="00E70E19" w:rsidP="00CC4C5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CCB79" w14:textId="77777777" w:rsidR="00554A89" w:rsidRPr="00A55381" w:rsidRDefault="00554A89" w:rsidP="00F903CC">
    <w:pPr>
      <w:pStyle w:val="Header"/>
    </w:pPr>
    <w:r>
      <w:drawing>
        <wp:anchor distT="0" distB="0" distL="114300" distR="114300" simplePos="0" relativeHeight="251660288" behindDoc="1" locked="1" layoutInCell="1" allowOverlap="1" wp14:anchorId="070BAA25" wp14:editId="658B0D34">
          <wp:simplePos x="0" y="0"/>
          <wp:positionH relativeFrom="column">
            <wp:posOffset>3819525</wp:posOffset>
          </wp:positionH>
          <wp:positionV relativeFrom="paragraph">
            <wp:posOffset>-352425</wp:posOffset>
          </wp:positionV>
          <wp:extent cx="2809240" cy="2806700"/>
          <wp:effectExtent l="0" t="0" r="0" b="0"/>
          <wp:wrapNone/>
          <wp:docPr id="1738384990" name="Picture 1738384990"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1" t="50252" r="49296" b="-1"/>
                  <a:stretch/>
                </pic:blipFill>
                <pic:spPr bwMode="auto">
                  <a:xfrm>
                    <a:off x="0" y="0"/>
                    <a:ext cx="2809240" cy="280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53F39" w14:textId="77777777" w:rsidR="00554A89" w:rsidRPr="00987D05" w:rsidRDefault="00554A89" w:rsidP="00F903C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46"/>
      <w:gridCol w:w="3783"/>
    </w:tblGrid>
    <w:tr w:rsidR="00A43831" w:rsidRPr="00F903CC" w14:paraId="3FDC8458" w14:textId="77777777" w:rsidTr="009C6B63">
      <w:tc>
        <w:tcPr>
          <w:tcW w:w="2905" w:type="pct"/>
          <w:tcBorders>
            <w:bottom w:val="single" w:sz="18" w:space="0" w:color="3C533C" w:themeColor="accent1"/>
          </w:tcBorders>
          <w:vAlign w:val="bottom"/>
        </w:tcPr>
        <w:p w14:paraId="4D831F31" w14:textId="73269533" w:rsidR="00A43831" w:rsidRPr="00F903CC" w:rsidRDefault="00A43831" w:rsidP="00A43831">
          <w:pPr>
            <w:pStyle w:val="Header"/>
          </w:pPr>
          <w:r>
            <w:fldChar w:fldCharType="begin"/>
          </w:r>
          <w:r>
            <w:instrText xml:space="preserve"> STYLEREF  "Cover Client Name" </w:instrText>
          </w:r>
          <w:r>
            <w:fldChar w:fldCharType="separate"/>
          </w:r>
          <w:r w:rsidR="00A41FEF">
            <w:t>National Health and Medical Research Council</w:t>
          </w:r>
          <w:r>
            <w:fldChar w:fldCharType="end"/>
          </w:r>
        </w:p>
        <w:p w14:paraId="3A506FEC" w14:textId="110D56F7" w:rsidR="00A43831" w:rsidRPr="00F903CC" w:rsidRDefault="00A43831" w:rsidP="00A43831">
          <w:pPr>
            <w:pStyle w:val="Header"/>
          </w:pPr>
          <w:r>
            <w:fldChar w:fldCharType="begin"/>
          </w:r>
          <w:r>
            <w:instrText xml:space="preserve"> STYLEREF  "Cover Title" </w:instrText>
          </w:r>
          <w:r>
            <w:fldChar w:fldCharType="separate"/>
          </w:r>
          <w:r w:rsidR="00A41FEF">
            <w:t>Evidence Evaluations for Vitamin B6 Upper Level (UL)</w:t>
          </w:r>
          <w:r>
            <w:fldChar w:fldCharType="end"/>
          </w:r>
        </w:p>
      </w:tc>
      <w:tc>
        <w:tcPr>
          <w:tcW w:w="2095" w:type="pct"/>
          <w:tcBorders>
            <w:bottom w:val="single" w:sz="18" w:space="0" w:color="3C533C" w:themeColor="accent1"/>
          </w:tcBorders>
          <w:vAlign w:val="bottom"/>
        </w:tcPr>
        <w:p w14:paraId="3AE27166" w14:textId="42C369BF" w:rsidR="00A43831" w:rsidRPr="00F903CC" w:rsidRDefault="00A43831" w:rsidP="00A43831">
          <w:pPr>
            <w:pStyle w:val="HeaderRight"/>
          </w:pPr>
          <w:r>
            <w:fldChar w:fldCharType="begin"/>
          </w:r>
          <w:r>
            <w:instrText xml:space="preserve"> STYLEREF  "Cover Date" </w:instrText>
          </w:r>
          <w:r>
            <w:fldChar w:fldCharType="separate"/>
          </w:r>
          <w:r w:rsidR="00A41FEF">
            <w:t>7 August 2026</w:t>
          </w:r>
          <w:r>
            <w:fldChar w:fldCharType="end"/>
          </w:r>
        </w:p>
        <w:p w14:paraId="1C252688" w14:textId="27095483" w:rsidR="00A43831" w:rsidRDefault="00A43831" w:rsidP="00A43831">
          <w:pPr>
            <w:pStyle w:val="HeaderRight"/>
            <w:ind w:left="-524"/>
          </w:pPr>
          <w:r>
            <w:fldChar w:fldCharType="begin"/>
          </w:r>
          <w:r>
            <w:instrText xml:space="preserve"> STYLEREF  "Cover Project Number" </w:instrText>
          </w:r>
          <w:r>
            <w:fldChar w:fldCharType="separate"/>
          </w:r>
          <w:r w:rsidR="00A41FEF">
            <w:t>SLR Project No.: 640.032359.00001</w:t>
          </w:r>
          <w:r>
            <w:fldChar w:fldCharType="end"/>
          </w:r>
        </w:p>
        <w:p w14:paraId="5843E607" w14:textId="43D2C0E8" w:rsidR="00A43831" w:rsidRPr="00F903CC" w:rsidRDefault="00A43831" w:rsidP="00A43831">
          <w:pPr>
            <w:pStyle w:val="HeaderRight"/>
          </w:pPr>
          <w:r>
            <w:t xml:space="preserve">SLR Ref No.: </w:t>
          </w:r>
          <w:fldSimple w:instr=" FILENAME   \* MERGEFORMAT ">
            <w:r w:rsidR="00A41FEF">
              <w:t>640.032359.00001-v2.0-07082026-Vit B6 UL-Technical report</w:t>
            </w:r>
          </w:fldSimple>
        </w:p>
      </w:tc>
    </w:tr>
  </w:tbl>
  <w:p w14:paraId="15B45F46" w14:textId="77777777" w:rsidR="00515309" w:rsidRPr="00C87AA4" w:rsidRDefault="00515309" w:rsidP="00CB4939">
    <w:pPr>
      <w:pStyle w:val="Foot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1"/>
      <w:tblW w:w="5000" w:type="pct"/>
      <w:tblBorders>
        <w:top w:val="none" w:sz="0" w:space="0" w:color="auto"/>
        <w:left w:val="none" w:sz="0" w:space="0" w:color="auto"/>
        <w:bottom w:val="single" w:sz="24" w:space="0" w:color="3C533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332"/>
      <w:gridCol w:w="3622"/>
    </w:tblGrid>
    <w:tr w:rsidR="00515309" w:rsidRPr="00C87AA4" w14:paraId="2BF20901" w14:textId="77777777" w:rsidTr="004967F2">
      <w:trPr>
        <w:trHeight w:val="810"/>
      </w:trPr>
      <w:tc>
        <w:tcPr>
          <w:tcW w:w="3702" w:type="pct"/>
          <w:vAlign w:val="bottom"/>
        </w:tcPr>
        <w:p w14:paraId="43A9B1D9" w14:textId="77777777" w:rsidR="00515309" w:rsidRPr="00C87AA4" w:rsidRDefault="00515309" w:rsidP="005E7B7D">
          <w:pPr>
            <w:pStyle w:val="Title"/>
          </w:pPr>
          <w:r w:rsidRPr="00C87AA4">
            <w:t>Technical Memorandum</w:t>
          </w:r>
        </w:p>
      </w:tc>
      <w:tc>
        <w:tcPr>
          <w:tcW w:w="1298" w:type="pct"/>
          <w:vAlign w:val="bottom"/>
        </w:tcPr>
        <w:p w14:paraId="6018A154" w14:textId="77777777" w:rsidR="00515309" w:rsidRPr="00C87AA4" w:rsidRDefault="00515309" w:rsidP="0068384E">
          <w:pPr>
            <w:pStyle w:val="HeaderLogo"/>
            <w:rPr>
              <w:noProof w:val="0"/>
            </w:rPr>
          </w:pPr>
          <w:r w:rsidRPr="00C87AA4">
            <w:drawing>
              <wp:inline distT="0" distB="0" distL="0" distR="0" wp14:anchorId="5A569159" wp14:editId="4612E1E4">
                <wp:extent cx="1463040" cy="420806"/>
                <wp:effectExtent l="0" t="0" r="3810" b="0"/>
                <wp:docPr id="1153561942" name="Picture 115356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463040" cy="420806"/>
                        </a:xfrm>
                        <a:prstGeom prst="rect">
                          <a:avLst/>
                        </a:prstGeom>
                      </pic:spPr>
                    </pic:pic>
                  </a:graphicData>
                </a:graphic>
              </wp:inline>
            </w:drawing>
          </w:r>
        </w:p>
      </w:tc>
    </w:tr>
  </w:tbl>
  <w:p w14:paraId="7F503E01" w14:textId="77777777" w:rsidR="00515309" w:rsidRPr="00C87AA4" w:rsidRDefault="00515309" w:rsidP="005E7B7D">
    <w:pPr>
      <w:pStyle w:val="Header"/>
      <w:rPr>
        <w:noProof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8FD5E" w14:textId="77777777" w:rsidR="002E4F6E" w:rsidRPr="00C626FB" w:rsidRDefault="00D3501B" w:rsidP="00F903CC">
    <w:pPr>
      <w:pStyle w:val="Header"/>
    </w:pPr>
    <w:r>
      <w:drawing>
        <wp:anchor distT="0" distB="0" distL="114300" distR="114300" simplePos="0" relativeHeight="251655168" behindDoc="1" locked="0" layoutInCell="1" allowOverlap="1" wp14:anchorId="44E99AEE" wp14:editId="50E97C38">
          <wp:simplePos x="0" y="0"/>
          <wp:positionH relativeFrom="column">
            <wp:posOffset>-1120140</wp:posOffset>
          </wp:positionH>
          <wp:positionV relativeFrom="page">
            <wp:posOffset>-60325</wp:posOffset>
          </wp:positionV>
          <wp:extent cx="7741285" cy="10950575"/>
          <wp:effectExtent l="0" t="0" r="0" b="3175"/>
          <wp:wrapNone/>
          <wp:docPr id="2079766817" name="Picture 207976681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41285" cy="109505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14"/>
      <w:gridCol w:w="4515"/>
    </w:tblGrid>
    <w:tr w:rsidR="00E50719" w:rsidRPr="00F903CC" w14:paraId="50AF4232" w14:textId="77777777" w:rsidTr="002A62C0">
      <w:tc>
        <w:tcPr>
          <w:tcW w:w="2500" w:type="pct"/>
          <w:tcBorders>
            <w:bottom w:val="single" w:sz="18" w:space="0" w:color="3C533C" w:themeColor="accent1"/>
          </w:tcBorders>
          <w:vAlign w:val="bottom"/>
        </w:tcPr>
        <w:p w14:paraId="361C06CB" w14:textId="5F29B7DC" w:rsidR="00E50719" w:rsidRPr="00F903CC" w:rsidRDefault="00E50719" w:rsidP="00CC4C53">
          <w:pPr>
            <w:pStyle w:val="Header"/>
          </w:pPr>
          <w:r>
            <w:fldChar w:fldCharType="begin"/>
          </w:r>
          <w:r>
            <w:instrText xml:space="preserve"> STYLEREF  "Cover Client Name" </w:instrText>
          </w:r>
          <w:r>
            <w:fldChar w:fldCharType="separate"/>
          </w:r>
          <w:r w:rsidR="00A41FEF">
            <w:t>National Health and Medical Research Council</w:t>
          </w:r>
          <w:r>
            <w:fldChar w:fldCharType="end"/>
          </w:r>
        </w:p>
        <w:p w14:paraId="6C3D5D7B" w14:textId="58A758DC" w:rsidR="00E50719" w:rsidRPr="00F903CC" w:rsidRDefault="00E50719" w:rsidP="00CC4C53">
          <w:pPr>
            <w:pStyle w:val="Header"/>
          </w:pPr>
          <w:r>
            <w:fldChar w:fldCharType="begin"/>
          </w:r>
          <w:r>
            <w:instrText xml:space="preserve"> STYLEREF  "Cover Title" </w:instrText>
          </w:r>
          <w:r>
            <w:fldChar w:fldCharType="separate"/>
          </w:r>
          <w:r w:rsidR="00A41FEF">
            <w:t>Evidence Evaluations for Vitamin B6 Upper Level (UL)</w:t>
          </w:r>
          <w:r>
            <w:fldChar w:fldCharType="end"/>
          </w:r>
        </w:p>
      </w:tc>
      <w:tc>
        <w:tcPr>
          <w:tcW w:w="2500" w:type="pct"/>
          <w:tcBorders>
            <w:bottom w:val="single" w:sz="18" w:space="0" w:color="3C533C" w:themeColor="accent1"/>
          </w:tcBorders>
          <w:vAlign w:val="bottom"/>
        </w:tcPr>
        <w:p w14:paraId="09381952" w14:textId="1795AAFD" w:rsidR="00E50719" w:rsidRPr="00F903CC" w:rsidRDefault="00E50719" w:rsidP="00CC4C53">
          <w:pPr>
            <w:pStyle w:val="HeaderRight"/>
          </w:pPr>
          <w:r>
            <w:fldChar w:fldCharType="begin"/>
          </w:r>
          <w:r>
            <w:instrText xml:space="preserve"> STYLEREF  "Cover Date" </w:instrText>
          </w:r>
          <w:r>
            <w:fldChar w:fldCharType="separate"/>
          </w:r>
          <w:r w:rsidR="00A41FEF">
            <w:t>7 August 2026</w:t>
          </w:r>
          <w:r>
            <w:fldChar w:fldCharType="end"/>
          </w:r>
        </w:p>
        <w:p w14:paraId="483005FA" w14:textId="5A217B81" w:rsidR="00E50719" w:rsidRDefault="00E50719" w:rsidP="00CC4C53">
          <w:pPr>
            <w:pStyle w:val="HeaderRight"/>
            <w:ind w:left="-524"/>
          </w:pPr>
          <w:r>
            <w:fldChar w:fldCharType="begin"/>
          </w:r>
          <w:r>
            <w:instrText xml:space="preserve"> STYLEREF  "Cover Project Number" </w:instrText>
          </w:r>
          <w:r>
            <w:fldChar w:fldCharType="separate"/>
          </w:r>
          <w:r w:rsidR="00A41FEF">
            <w:t>SLR Project No.: 640.032359.00001</w:t>
          </w:r>
          <w:r>
            <w:fldChar w:fldCharType="end"/>
          </w:r>
        </w:p>
        <w:p w14:paraId="75622195" w14:textId="77390196" w:rsidR="00E50719" w:rsidRPr="00F903CC" w:rsidRDefault="00E50719" w:rsidP="00CC4C53">
          <w:pPr>
            <w:pStyle w:val="HeaderRight"/>
          </w:pPr>
          <w:r>
            <w:t xml:space="preserve">SLR Ref No.: </w:t>
          </w:r>
          <w:fldSimple w:instr=" FILENAME   \* MERGEFORMAT ">
            <w:r w:rsidR="00A41FEF">
              <w:t>640.032359.00001-v2.0-07082026-Vit B6 UL-Technical report</w:t>
            </w:r>
          </w:fldSimple>
        </w:p>
      </w:tc>
    </w:tr>
  </w:tbl>
  <w:p w14:paraId="6E8B55BF" w14:textId="77777777" w:rsidR="00E50719" w:rsidRPr="00F903CC" w:rsidRDefault="00E50719" w:rsidP="00CC4C53">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4DC06" w14:textId="68ADFB7F" w:rsidR="002A62C0" w:rsidRPr="002A62C0" w:rsidRDefault="002A62C0" w:rsidP="002A62C0">
    <w:pPr>
      <w:pStyle w:val="Header"/>
    </w:pPr>
    <w:r>
      <w:drawing>
        <wp:anchor distT="0" distB="0" distL="114300" distR="114300" simplePos="0" relativeHeight="251659264" behindDoc="1" locked="1" layoutInCell="1" allowOverlap="1" wp14:anchorId="75961CA9" wp14:editId="0CD19558">
          <wp:simplePos x="0" y="0"/>
          <wp:positionH relativeFrom="column">
            <wp:posOffset>3832225</wp:posOffset>
          </wp:positionH>
          <wp:positionV relativeFrom="paragraph">
            <wp:posOffset>-373380</wp:posOffset>
          </wp:positionV>
          <wp:extent cx="2809240" cy="2806700"/>
          <wp:effectExtent l="0" t="0" r="0" b="0"/>
          <wp:wrapNone/>
          <wp:docPr id="225482701" name="Picture 225482701"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1" t="50252" r="49296" b="-1"/>
                  <a:stretch/>
                </pic:blipFill>
                <pic:spPr bwMode="auto">
                  <a:xfrm>
                    <a:off x="0" y="0"/>
                    <a:ext cx="2809240" cy="280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14"/>
      <w:gridCol w:w="4515"/>
    </w:tblGrid>
    <w:tr w:rsidR="001B70DB" w:rsidRPr="00F903CC" w14:paraId="68051998" w14:textId="77777777" w:rsidTr="00F04C3F">
      <w:tc>
        <w:tcPr>
          <w:tcW w:w="2500" w:type="pct"/>
          <w:tcBorders>
            <w:bottom w:val="single" w:sz="18" w:space="0" w:color="3C533C" w:themeColor="accent1"/>
          </w:tcBorders>
          <w:vAlign w:val="bottom"/>
        </w:tcPr>
        <w:p w14:paraId="57BDBC9B" w14:textId="5A5FAE05" w:rsidR="001B70DB" w:rsidRPr="00F903CC" w:rsidRDefault="001B70DB" w:rsidP="00CC4C53">
          <w:pPr>
            <w:pStyle w:val="Header"/>
          </w:pPr>
          <w:r>
            <w:fldChar w:fldCharType="begin"/>
          </w:r>
          <w:r>
            <w:instrText xml:space="preserve"> STYLEREF  "Cover Client Name" </w:instrText>
          </w:r>
          <w:r>
            <w:fldChar w:fldCharType="separate"/>
          </w:r>
          <w:r w:rsidR="00A41FEF">
            <w:t>National Health and Medical Research Council</w:t>
          </w:r>
          <w:r>
            <w:fldChar w:fldCharType="end"/>
          </w:r>
        </w:p>
        <w:p w14:paraId="24F9665F" w14:textId="5DB5B976" w:rsidR="001B70DB" w:rsidRPr="00F903CC" w:rsidRDefault="001B70DB" w:rsidP="00CC4C53">
          <w:pPr>
            <w:pStyle w:val="Header"/>
          </w:pPr>
          <w:r>
            <w:fldChar w:fldCharType="begin"/>
          </w:r>
          <w:r>
            <w:instrText xml:space="preserve"> STYLEREF  "Cover Title" </w:instrText>
          </w:r>
          <w:r>
            <w:fldChar w:fldCharType="separate"/>
          </w:r>
          <w:r w:rsidR="00A41FEF">
            <w:t>Evidence Evaluations for Vitamin B6 Upper Level (UL)</w:t>
          </w:r>
          <w:r>
            <w:fldChar w:fldCharType="end"/>
          </w:r>
        </w:p>
      </w:tc>
      <w:tc>
        <w:tcPr>
          <w:tcW w:w="2500" w:type="pct"/>
          <w:tcBorders>
            <w:bottom w:val="single" w:sz="18" w:space="0" w:color="3C533C" w:themeColor="accent1"/>
          </w:tcBorders>
          <w:vAlign w:val="bottom"/>
        </w:tcPr>
        <w:p w14:paraId="0ED90FC0" w14:textId="4430BDB7" w:rsidR="001B70DB" w:rsidRPr="00F903CC" w:rsidRDefault="001B70DB" w:rsidP="00CC4C53">
          <w:pPr>
            <w:pStyle w:val="HeaderRight"/>
          </w:pPr>
          <w:r>
            <w:fldChar w:fldCharType="begin"/>
          </w:r>
          <w:r>
            <w:instrText xml:space="preserve"> STYLEREF  "Cover Date" </w:instrText>
          </w:r>
          <w:r>
            <w:fldChar w:fldCharType="separate"/>
          </w:r>
          <w:r w:rsidR="00A41FEF">
            <w:t>7 August 2026</w:t>
          </w:r>
          <w:r>
            <w:fldChar w:fldCharType="end"/>
          </w:r>
        </w:p>
        <w:p w14:paraId="383DE5EF" w14:textId="7CBAE525" w:rsidR="001B70DB" w:rsidRDefault="001B70DB" w:rsidP="00CC4C53">
          <w:pPr>
            <w:pStyle w:val="HeaderRight"/>
            <w:ind w:left="-524"/>
          </w:pPr>
          <w:r>
            <w:fldChar w:fldCharType="begin"/>
          </w:r>
          <w:r>
            <w:instrText xml:space="preserve"> STYLEREF  "Cover Project Number" </w:instrText>
          </w:r>
          <w:r>
            <w:fldChar w:fldCharType="separate"/>
          </w:r>
          <w:r w:rsidR="00A41FEF">
            <w:t>SLR Project No.: 640.032359.00001</w:t>
          </w:r>
          <w:r>
            <w:fldChar w:fldCharType="end"/>
          </w:r>
        </w:p>
        <w:p w14:paraId="39AAC99B" w14:textId="585B7314" w:rsidR="001B70DB" w:rsidRPr="00F903CC" w:rsidRDefault="001B70DB" w:rsidP="00CC4C53">
          <w:pPr>
            <w:pStyle w:val="HeaderRight"/>
          </w:pPr>
          <w:r>
            <w:t xml:space="preserve">SLR Ref No.: </w:t>
          </w:r>
          <w:fldSimple w:instr=" FILENAME   \* MERGEFORMAT ">
            <w:r w:rsidR="00A41FEF">
              <w:t>640.032359.00001-v2.0-07082026-Vit B6 UL-Technical report</w:t>
            </w:r>
          </w:fldSimple>
        </w:p>
      </w:tc>
    </w:tr>
  </w:tbl>
  <w:p w14:paraId="26B3D7B4" w14:textId="77777777" w:rsidR="001B70DB" w:rsidRPr="00F903CC" w:rsidRDefault="001B70DB" w:rsidP="00CC4C5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14"/>
      <w:gridCol w:w="4515"/>
    </w:tblGrid>
    <w:tr w:rsidR="00F04C3F" w:rsidRPr="00F903CC" w14:paraId="2E809119" w14:textId="77777777" w:rsidTr="00F04C3F">
      <w:tc>
        <w:tcPr>
          <w:tcW w:w="2500" w:type="pct"/>
          <w:tcBorders>
            <w:bottom w:val="single" w:sz="18" w:space="0" w:color="3C533C" w:themeColor="accent1"/>
          </w:tcBorders>
          <w:vAlign w:val="bottom"/>
        </w:tcPr>
        <w:p w14:paraId="7F84269F" w14:textId="647420B8" w:rsidR="00F04C3F" w:rsidRPr="00F903CC" w:rsidRDefault="00F04C3F" w:rsidP="00CC4C53">
          <w:pPr>
            <w:pStyle w:val="Header"/>
          </w:pPr>
          <w:r>
            <w:fldChar w:fldCharType="begin"/>
          </w:r>
          <w:r>
            <w:instrText xml:space="preserve"> STYLEREF  "Cover Client Name" </w:instrText>
          </w:r>
          <w:r>
            <w:fldChar w:fldCharType="separate"/>
          </w:r>
          <w:r w:rsidR="00A41FEF">
            <w:t>National Health and Medical Research Council</w:t>
          </w:r>
          <w:r>
            <w:fldChar w:fldCharType="end"/>
          </w:r>
        </w:p>
        <w:p w14:paraId="0BCAAAA9" w14:textId="758B71A5" w:rsidR="00F04C3F" w:rsidRPr="00F903CC" w:rsidRDefault="00F04C3F" w:rsidP="00CC4C53">
          <w:pPr>
            <w:pStyle w:val="Header"/>
          </w:pPr>
          <w:r>
            <w:fldChar w:fldCharType="begin"/>
          </w:r>
          <w:r>
            <w:instrText xml:space="preserve"> STYLEREF  "Cover Title" </w:instrText>
          </w:r>
          <w:r>
            <w:fldChar w:fldCharType="separate"/>
          </w:r>
          <w:r w:rsidR="00A41FEF">
            <w:t>Evidence Evaluations for Vitamin B6 Upper Level (UL)</w:t>
          </w:r>
          <w:r>
            <w:fldChar w:fldCharType="end"/>
          </w:r>
        </w:p>
      </w:tc>
      <w:tc>
        <w:tcPr>
          <w:tcW w:w="2500" w:type="pct"/>
          <w:tcBorders>
            <w:bottom w:val="single" w:sz="18" w:space="0" w:color="3C533C" w:themeColor="accent1"/>
          </w:tcBorders>
          <w:vAlign w:val="bottom"/>
        </w:tcPr>
        <w:p w14:paraId="7901C379" w14:textId="1D9384E2" w:rsidR="00F04C3F" w:rsidRPr="00F903CC" w:rsidRDefault="00F04C3F" w:rsidP="00CC4C53">
          <w:pPr>
            <w:pStyle w:val="HeaderRight"/>
          </w:pPr>
          <w:r>
            <w:fldChar w:fldCharType="begin"/>
          </w:r>
          <w:r>
            <w:instrText xml:space="preserve"> STYLEREF  "Cover Date" </w:instrText>
          </w:r>
          <w:r>
            <w:fldChar w:fldCharType="separate"/>
          </w:r>
          <w:r w:rsidR="00A41FEF">
            <w:t>7 August 2026</w:t>
          </w:r>
          <w:r>
            <w:fldChar w:fldCharType="end"/>
          </w:r>
        </w:p>
        <w:p w14:paraId="53B4EDFF" w14:textId="0397E7E6" w:rsidR="00F04C3F" w:rsidRDefault="00F04C3F" w:rsidP="00CC4C53">
          <w:pPr>
            <w:pStyle w:val="HeaderRight"/>
            <w:ind w:left="-524"/>
          </w:pPr>
          <w:r>
            <w:fldChar w:fldCharType="begin"/>
          </w:r>
          <w:r>
            <w:instrText xml:space="preserve"> STYLEREF  "Cover Project Number" </w:instrText>
          </w:r>
          <w:r>
            <w:fldChar w:fldCharType="separate"/>
          </w:r>
          <w:r w:rsidR="00A41FEF">
            <w:t>SLR Project No.: 640.032359.00001</w:t>
          </w:r>
          <w:r>
            <w:fldChar w:fldCharType="end"/>
          </w:r>
        </w:p>
        <w:p w14:paraId="5F1B1EFC" w14:textId="290DE636" w:rsidR="00F04C3F" w:rsidRPr="00F903CC" w:rsidRDefault="00F04C3F" w:rsidP="00CC4C53">
          <w:pPr>
            <w:pStyle w:val="HeaderRight"/>
          </w:pPr>
          <w:r>
            <w:t xml:space="preserve">SLR Ref No.: </w:t>
          </w:r>
          <w:fldSimple w:instr=" FILENAME   \* MERGEFORMAT ">
            <w:r w:rsidR="00A41FEF">
              <w:t>640.032359.00001-v2.0-07082026-Vit B6 UL-Technical report</w:t>
            </w:r>
          </w:fldSimple>
        </w:p>
      </w:tc>
    </w:tr>
  </w:tbl>
  <w:p w14:paraId="154B46F9" w14:textId="77777777" w:rsidR="00F04C3F" w:rsidRPr="00F903CC" w:rsidRDefault="00F04C3F" w:rsidP="00CC4C53">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14"/>
      <w:gridCol w:w="4515"/>
    </w:tblGrid>
    <w:tr w:rsidR="00F04C3F" w:rsidRPr="00F903CC" w14:paraId="11652CB5" w14:textId="77777777" w:rsidTr="00F04C3F">
      <w:tc>
        <w:tcPr>
          <w:tcW w:w="2500" w:type="pct"/>
          <w:tcBorders>
            <w:bottom w:val="single" w:sz="18" w:space="0" w:color="3C533C" w:themeColor="accent1"/>
          </w:tcBorders>
          <w:vAlign w:val="bottom"/>
        </w:tcPr>
        <w:p w14:paraId="04E02F02" w14:textId="60DD7E81" w:rsidR="00F04C3F" w:rsidRPr="00F903CC" w:rsidRDefault="00F04C3F" w:rsidP="00CC4C53">
          <w:pPr>
            <w:pStyle w:val="Header"/>
          </w:pPr>
          <w:r>
            <w:fldChar w:fldCharType="begin"/>
          </w:r>
          <w:r>
            <w:instrText xml:space="preserve"> STYLEREF  "Cover Client Name" </w:instrText>
          </w:r>
          <w:r>
            <w:fldChar w:fldCharType="separate"/>
          </w:r>
          <w:r w:rsidR="00A41FEF">
            <w:t>National Health and Medical Research Council</w:t>
          </w:r>
          <w:r>
            <w:fldChar w:fldCharType="end"/>
          </w:r>
        </w:p>
        <w:p w14:paraId="2778092A" w14:textId="53E22052" w:rsidR="00F04C3F" w:rsidRPr="00F903CC" w:rsidRDefault="00F04C3F" w:rsidP="00CC4C53">
          <w:pPr>
            <w:pStyle w:val="Header"/>
          </w:pPr>
          <w:r>
            <w:fldChar w:fldCharType="begin"/>
          </w:r>
          <w:r>
            <w:instrText xml:space="preserve"> STYLEREF  "Cover Title" </w:instrText>
          </w:r>
          <w:r>
            <w:fldChar w:fldCharType="separate"/>
          </w:r>
          <w:r w:rsidR="00A41FEF">
            <w:t>Evidence Evaluations for Vitamin B6 Upper Level (UL)</w:t>
          </w:r>
          <w:r>
            <w:fldChar w:fldCharType="end"/>
          </w:r>
        </w:p>
      </w:tc>
      <w:tc>
        <w:tcPr>
          <w:tcW w:w="2500" w:type="pct"/>
          <w:tcBorders>
            <w:bottom w:val="single" w:sz="18" w:space="0" w:color="3C533C" w:themeColor="accent1"/>
          </w:tcBorders>
          <w:vAlign w:val="bottom"/>
        </w:tcPr>
        <w:p w14:paraId="430454E4" w14:textId="5B285A3B" w:rsidR="00F04C3F" w:rsidRPr="00F903CC" w:rsidRDefault="00F04C3F" w:rsidP="00CC4C53">
          <w:pPr>
            <w:pStyle w:val="HeaderRight"/>
          </w:pPr>
          <w:r>
            <w:fldChar w:fldCharType="begin"/>
          </w:r>
          <w:r>
            <w:instrText xml:space="preserve"> STYLEREF  "Cover Date" </w:instrText>
          </w:r>
          <w:r>
            <w:fldChar w:fldCharType="separate"/>
          </w:r>
          <w:r w:rsidR="00A41FEF">
            <w:t>7 August 2026</w:t>
          </w:r>
          <w:r>
            <w:fldChar w:fldCharType="end"/>
          </w:r>
        </w:p>
        <w:p w14:paraId="1839975B" w14:textId="2E567AFB" w:rsidR="00F04C3F" w:rsidRDefault="00F04C3F" w:rsidP="00CC4C53">
          <w:pPr>
            <w:pStyle w:val="HeaderRight"/>
            <w:ind w:left="-524"/>
          </w:pPr>
          <w:r>
            <w:fldChar w:fldCharType="begin"/>
          </w:r>
          <w:r>
            <w:instrText xml:space="preserve"> STYLEREF  "Cover Project Number" </w:instrText>
          </w:r>
          <w:r>
            <w:fldChar w:fldCharType="separate"/>
          </w:r>
          <w:r w:rsidR="00A41FEF">
            <w:t>SLR Project No.: 640.032359.00001</w:t>
          </w:r>
          <w:r>
            <w:fldChar w:fldCharType="end"/>
          </w:r>
        </w:p>
        <w:p w14:paraId="74704071" w14:textId="23B19440" w:rsidR="00F04C3F" w:rsidRPr="00F903CC" w:rsidRDefault="00F04C3F" w:rsidP="00CC4C53">
          <w:pPr>
            <w:pStyle w:val="HeaderRight"/>
          </w:pPr>
          <w:r>
            <w:t xml:space="preserve">SLR Ref No.: </w:t>
          </w:r>
          <w:fldSimple w:instr=" FILENAME   \* MERGEFORMAT ">
            <w:r w:rsidR="00A41FEF">
              <w:t>640.032359.00001-v2.0-07082026-Vit B6 UL-Technical report</w:t>
            </w:r>
          </w:fldSimple>
        </w:p>
      </w:tc>
    </w:tr>
  </w:tbl>
  <w:p w14:paraId="7170E6C1" w14:textId="77777777" w:rsidR="00F04C3F" w:rsidRPr="00F903CC" w:rsidRDefault="00F04C3F" w:rsidP="00CC4C5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14"/>
      <w:gridCol w:w="4515"/>
    </w:tblGrid>
    <w:tr w:rsidR="00F04C3F" w:rsidRPr="00F903CC" w14:paraId="1E97FB32" w14:textId="77777777" w:rsidTr="00F04C3F">
      <w:tc>
        <w:tcPr>
          <w:tcW w:w="2500" w:type="pct"/>
          <w:tcBorders>
            <w:bottom w:val="single" w:sz="18" w:space="0" w:color="3C533C" w:themeColor="accent1"/>
          </w:tcBorders>
          <w:vAlign w:val="bottom"/>
        </w:tcPr>
        <w:p w14:paraId="5C901BF3" w14:textId="0C1E2527" w:rsidR="00F04C3F" w:rsidRPr="00F903CC" w:rsidRDefault="00F04C3F" w:rsidP="00CC4C53">
          <w:pPr>
            <w:pStyle w:val="Header"/>
          </w:pPr>
          <w:r>
            <w:fldChar w:fldCharType="begin"/>
          </w:r>
          <w:r>
            <w:instrText xml:space="preserve"> STYLEREF  "Cover Client Name" </w:instrText>
          </w:r>
          <w:r>
            <w:fldChar w:fldCharType="separate"/>
          </w:r>
          <w:r w:rsidR="00A41FEF">
            <w:t>National Health and Medical Research Council</w:t>
          </w:r>
          <w:r>
            <w:fldChar w:fldCharType="end"/>
          </w:r>
        </w:p>
        <w:p w14:paraId="1F8D0DF3" w14:textId="14BED23E" w:rsidR="00F04C3F" w:rsidRPr="00F903CC" w:rsidRDefault="00F04C3F" w:rsidP="00CC4C53">
          <w:pPr>
            <w:pStyle w:val="Header"/>
          </w:pPr>
          <w:r>
            <w:fldChar w:fldCharType="begin"/>
          </w:r>
          <w:r>
            <w:instrText xml:space="preserve"> STYLEREF  "Cover Title" </w:instrText>
          </w:r>
          <w:r>
            <w:fldChar w:fldCharType="separate"/>
          </w:r>
          <w:r w:rsidR="00A41FEF">
            <w:t>Evidence Evaluations for Vitamin B6 Upper Level (UL)</w:t>
          </w:r>
          <w:r>
            <w:fldChar w:fldCharType="end"/>
          </w:r>
        </w:p>
      </w:tc>
      <w:tc>
        <w:tcPr>
          <w:tcW w:w="2500" w:type="pct"/>
          <w:tcBorders>
            <w:bottom w:val="single" w:sz="18" w:space="0" w:color="3C533C" w:themeColor="accent1"/>
          </w:tcBorders>
          <w:vAlign w:val="bottom"/>
        </w:tcPr>
        <w:p w14:paraId="015CE07F" w14:textId="0E4A7D4C" w:rsidR="00F04C3F" w:rsidRPr="00F903CC" w:rsidRDefault="00F04C3F" w:rsidP="00CC4C53">
          <w:pPr>
            <w:pStyle w:val="HeaderRight"/>
          </w:pPr>
          <w:r>
            <w:fldChar w:fldCharType="begin"/>
          </w:r>
          <w:r>
            <w:instrText xml:space="preserve"> STYLEREF  "Cover Date" </w:instrText>
          </w:r>
          <w:r>
            <w:fldChar w:fldCharType="separate"/>
          </w:r>
          <w:r w:rsidR="00A41FEF">
            <w:t>7 August 2026</w:t>
          </w:r>
          <w:r>
            <w:fldChar w:fldCharType="end"/>
          </w:r>
        </w:p>
        <w:p w14:paraId="631D2AF9" w14:textId="7FFF9DA9" w:rsidR="00F04C3F" w:rsidRDefault="00F04C3F" w:rsidP="00CC4C53">
          <w:pPr>
            <w:pStyle w:val="HeaderRight"/>
            <w:ind w:left="-524"/>
          </w:pPr>
          <w:r>
            <w:fldChar w:fldCharType="begin"/>
          </w:r>
          <w:r>
            <w:instrText xml:space="preserve"> STYLEREF  "Cover Project Number" </w:instrText>
          </w:r>
          <w:r>
            <w:fldChar w:fldCharType="separate"/>
          </w:r>
          <w:r w:rsidR="00A41FEF">
            <w:t>SLR Project No.: 640.032359.00001</w:t>
          </w:r>
          <w:r>
            <w:fldChar w:fldCharType="end"/>
          </w:r>
        </w:p>
        <w:p w14:paraId="71066D32" w14:textId="265EAED4" w:rsidR="00F04C3F" w:rsidRPr="00F903CC" w:rsidRDefault="00F04C3F" w:rsidP="00CC4C53">
          <w:pPr>
            <w:pStyle w:val="HeaderRight"/>
          </w:pPr>
          <w:r>
            <w:t xml:space="preserve">SLR Ref No.: </w:t>
          </w:r>
          <w:fldSimple w:instr=" FILENAME   \* MERGEFORMAT ">
            <w:r w:rsidR="00A41FEF">
              <w:t>640.032359.00001-v2.0-07082026-Vit B6 UL-Technical report</w:t>
            </w:r>
          </w:fldSimple>
        </w:p>
      </w:tc>
    </w:tr>
  </w:tbl>
  <w:p w14:paraId="478C7386" w14:textId="77777777" w:rsidR="00F04C3F" w:rsidRPr="00F903CC" w:rsidRDefault="00F04C3F" w:rsidP="00CC4C5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53DA" w14:textId="77777777" w:rsidR="00BB3382" w:rsidRPr="005C2FFE" w:rsidRDefault="007A332A" w:rsidP="00F903CC">
    <w:pPr>
      <w:pStyle w:val="Header"/>
    </w:pPr>
    <w:r>
      <w:drawing>
        <wp:anchor distT="0" distB="0" distL="114300" distR="114300" simplePos="0" relativeHeight="251656192" behindDoc="1" locked="0" layoutInCell="1" allowOverlap="1" wp14:anchorId="15ABD8B9" wp14:editId="7CA5F816">
          <wp:simplePos x="0" y="0"/>
          <wp:positionH relativeFrom="column">
            <wp:posOffset>-914400</wp:posOffset>
          </wp:positionH>
          <wp:positionV relativeFrom="paragraph">
            <wp:posOffset>-365760</wp:posOffset>
          </wp:positionV>
          <wp:extent cx="7557587" cy="10689771"/>
          <wp:effectExtent l="0" t="0" r="5715" b="0"/>
          <wp:wrapNone/>
          <wp:docPr id="10" name="Picture 10"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67671" cy="1070403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14"/>
      <w:gridCol w:w="4515"/>
    </w:tblGrid>
    <w:tr w:rsidR="00EB4C64" w:rsidRPr="00F903CC" w14:paraId="3E2E5887" w14:textId="77777777" w:rsidTr="0009044E">
      <w:tc>
        <w:tcPr>
          <w:tcW w:w="2500" w:type="pct"/>
          <w:tcBorders>
            <w:bottom w:val="single" w:sz="18" w:space="0" w:color="3C533C" w:themeColor="accent1"/>
          </w:tcBorders>
          <w:vAlign w:val="bottom"/>
        </w:tcPr>
        <w:p w14:paraId="6C05B216" w14:textId="38A98F1F" w:rsidR="00EB4C64" w:rsidRPr="00F903CC" w:rsidRDefault="008F0309" w:rsidP="00F903CC">
          <w:pPr>
            <w:pStyle w:val="Header"/>
          </w:pPr>
          <w:r>
            <w:fldChar w:fldCharType="begin"/>
          </w:r>
          <w:r>
            <w:instrText xml:space="preserve"> STYLEREF  "Cover Client Name" </w:instrText>
          </w:r>
          <w:r>
            <w:fldChar w:fldCharType="separate"/>
          </w:r>
          <w:r w:rsidR="00A41FEF">
            <w:t>National Health and Medical Research Council</w:t>
          </w:r>
          <w:r>
            <w:fldChar w:fldCharType="end"/>
          </w:r>
        </w:p>
        <w:p w14:paraId="318DD647" w14:textId="66A0D99D" w:rsidR="00EB4C64" w:rsidRPr="00F903CC" w:rsidRDefault="008F0309" w:rsidP="00F903CC">
          <w:pPr>
            <w:pStyle w:val="Header"/>
          </w:pPr>
          <w:r>
            <w:fldChar w:fldCharType="begin"/>
          </w:r>
          <w:r>
            <w:instrText xml:space="preserve"> STYLEREF  "Cover Title" </w:instrText>
          </w:r>
          <w:r>
            <w:fldChar w:fldCharType="separate"/>
          </w:r>
          <w:r w:rsidR="00A41FEF">
            <w:t>Evidence Evaluations for Vitamin B6 Upper Level (UL)</w:t>
          </w:r>
          <w:r>
            <w:fldChar w:fldCharType="end"/>
          </w:r>
        </w:p>
      </w:tc>
      <w:tc>
        <w:tcPr>
          <w:tcW w:w="2500" w:type="pct"/>
          <w:tcBorders>
            <w:bottom w:val="single" w:sz="18" w:space="0" w:color="3C533C" w:themeColor="accent1"/>
          </w:tcBorders>
          <w:vAlign w:val="bottom"/>
        </w:tcPr>
        <w:p w14:paraId="29622501" w14:textId="1D7FF1DF" w:rsidR="00EB4C64" w:rsidRPr="00F903CC" w:rsidRDefault="008F0309" w:rsidP="00F903CC">
          <w:pPr>
            <w:pStyle w:val="HeaderRight"/>
          </w:pPr>
          <w:r>
            <w:fldChar w:fldCharType="begin"/>
          </w:r>
          <w:r>
            <w:instrText xml:space="preserve"> STYLEREF  "Cover Date" </w:instrText>
          </w:r>
          <w:r>
            <w:fldChar w:fldCharType="separate"/>
          </w:r>
          <w:r w:rsidR="00A41FEF">
            <w:t>7 August 2026</w:t>
          </w:r>
          <w:r>
            <w:fldChar w:fldCharType="end"/>
          </w:r>
        </w:p>
        <w:p w14:paraId="35326E95" w14:textId="427BD7A6" w:rsidR="00EB4C64" w:rsidRDefault="008F0309" w:rsidP="00CC4C53">
          <w:pPr>
            <w:pStyle w:val="HeaderRight"/>
            <w:ind w:left="-524"/>
          </w:pPr>
          <w:r>
            <w:fldChar w:fldCharType="begin"/>
          </w:r>
          <w:r>
            <w:instrText xml:space="preserve"> STYLEREF  "Cover Project Number" </w:instrText>
          </w:r>
          <w:r>
            <w:fldChar w:fldCharType="separate"/>
          </w:r>
          <w:r w:rsidR="00A41FEF">
            <w:t>SLR Project No.: 640.032359.00001</w:t>
          </w:r>
          <w:r>
            <w:fldChar w:fldCharType="end"/>
          </w:r>
        </w:p>
        <w:p w14:paraId="6AC90E16" w14:textId="10D78CC7" w:rsidR="00CC4C53" w:rsidRPr="00F903CC" w:rsidRDefault="00CC4C53" w:rsidP="00F903CC">
          <w:pPr>
            <w:pStyle w:val="HeaderRight"/>
          </w:pPr>
          <w:r>
            <w:t xml:space="preserve">SLR Ref No.: </w:t>
          </w:r>
          <w:fldSimple w:instr=" FILENAME   \* MERGEFORMAT ">
            <w:r w:rsidR="00A41FEF">
              <w:t>640.032359.00001-v2.0-07082026-Vit B6 UL-Technical report</w:t>
            </w:r>
          </w:fldSimple>
        </w:p>
      </w:tc>
    </w:tr>
  </w:tbl>
  <w:p w14:paraId="13071AAC" w14:textId="722A0B5C" w:rsidR="00EB4C64" w:rsidRPr="00F903CC" w:rsidRDefault="00EB4C64" w:rsidP="00F903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03"/>
      <w:gridCol w:w="3126"/>
    </w:tblGrid>
    <w:tr w:rsidR="00CA1660" w:rsidRPr="00F903CC" w14:paraId="1AECE924" w14:textId="77777777" w:rsidTr="007B0E81">
      <w:tc>
        <w:tcPr>
          <w:tcW w:w="3269" w:type="pct"/>
          <w:tcBorders>
            <w:bottom w:val="single" w:sz="18" w:space="0" w:color="3C533C" w:themeColor="accent1"/>
          </w:tcBorders>
          <w:vAlign w:val="bottom"/>
        </w:tcPr>
        <w:p w14:paraId="35D7A088" w14:textId="1C0730CE" w:rsidR="00CA1660" w:rsidRPr="00F903CC" w:rsidRDefault="00CA1660" w:rsidP="00CA1660">
          <w:pPr>
            <w:pStyle w:val="Header"/>
          </w:pPr>
          <w:r>
            <w:fldChar w:fldCharType="begin"/>
          </w:r>
          <w:r>
            <w:instrText xml:space="preserve"> STYLEREF  "Cover Client Name" </w:instrText>
          </w:r>
          <w:r>
            <w:fldChar w:fldCharType="separate"/>
          </w:r>
          <w:r w:rsidR="00A41FEF">
            <w:t>National Health and Medical Research Council</w:t>
          </w:r>
          <w:r>
            <w:fldChar w:fldCharType="end"/>
          </w:r>
        </w:p>
        <w:p w14:paraId="2C364884" w14:textId="14DDE402" w:rsidR="00CA1660" w:rsidRPr="00F903CC" w:rsidRDefault="00CA1660" w:rsidP="00CA1660">
          <w:pPr>
            <w:pStyle w:val="Header"/>
          </w:pPr>
          <w:r>
            <w:fldChar w:fldCharType="begin"/>
          </w:r>
          <w:r>
            <w:instrText xml:space="preserve"> STYLEREF  "Cover Title" </w:instrText>
          </w:r>
          <w:r>
            <w:fldChar w:fldCharType="separate"/>
          </w:r>
          <w:r w:rsidR="00A41FEF">
            <w:t>Evidence Evaluations for Vitamin B6 Upper Level (UL)</w:t>
          </w:r>
          <w:r>
            <w:fldChar w:fldCharType="end"/>
          </w:r>
        </w:p>
      </w:tc>
      <w:tc>
        <w:tcPr>
          <w:tcW w:w="1731" w:type="pct"/>
          <w:tcBorders>
            <w:bottom w:val="single" w:sz="18" w:space="0" w:color="3C533C" w:themeColor="accent1"/>
          </w:tcBorders>
          <w:vAlign w:val="bottom"/>
        </w:tcPr>
        <w:p w14:paraId="3988B1E4" w14:textId="2F1CC0C0" w:rsidR="00CA1660" w:rsidRPr="00F903CC" w:rsidRDefault="00CA1660" w:rsidP="00CA1660">
          <w:pPr>
            <w:pStyle w:val="HeaderRight"/>
          </w:pPr>
          <w:r>
            <w:fldChar w:fldCharType="begin"/>
          </w:r>
          <w:r>
            <w:instrText xml:space="preserve"> STYLEREF  "Cover Date" </w:instrText>
          </w:r>
          <w:r>
            <w:fldChar w:fldCharType="separate"/>
          </w:r>
          <w:r w:rsidR="00A41FEF">
            <w:t>7 August 2026</w:t>
          </w:r>
          <w:r>
            <w:fldChar w:fldCharType="end"/>
          </w:r>
        </w:p>
        <w:p w14:paraId="4C1D4BAC" w14:textId="1BAB1280" w:rsidR="00CA1660" w:rsidRPr="00F903CC" w:rsidRDefault="00CA1660" w:rsidP="00CA1660">
          <w:pPr>
            <w:pStyle w:val="HeaderRight"/>
          </w:pPr>
          <w:r>
            <w:fldChar w:fldCharType="begin"/>
          </w:r>
          <w:r>
            <w:instrText xml:space="preserve"> STYLEREF  "Cover Project Number" </w:instrText>
          </w:r>
          <w:r>
            <w:fldChar w:fldCharType="separate"/>
          </w:r>
          <w:r w:rsidR="00A41FEF">
            <w:t>SLR Project No.: 640.032359.00001</w:t>
          </w:r>
          <w:r>
            <w:fldChar w:fldCharType="end"/>
          </w:r>
        </w:p>
      </w:tc>
    </w:tr>
  </w:tbl>
  <w:p w14:paraId="0DB8D3E3" w14:textId="77777777" w:rsidR="003C62BD" w:rsidRPr="00CA1660" w:rsidRDefault="003C62BD" w:rsidP="00CA166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14"/>
      <w:gridCol w:w="4515"/>
    </w:tblGrid>
    <w:tr w:rsidR="00767956" w:rsidRPr="00F903CC" w14:paraId="0BF7D2A3" w14:textId="77777777" w:rsidTr="00EF0B4B">
      <w:tc>
        <w:tcPr>
          <w:tcW w:w="2500" w:type="pct"/>
          <w:tcBorders>
            <w:bottom w:val="single" w:sz="18" w:space="0" w:color="3C533C" w:themeColor="accent1"/>
          </w:tcBorders>
          <w:vAlign w:val="bottom"/>
        </w:tcPr>
        <w:p w14:paraId="4EA67F08" w14:textId="763BC51F" w:rsidR="00767956" w:rsidRPr="00F903CC" w:rsidRDefault="00767956" w:rsidP="00F903CC">
          <w:pPr>
            <w:pStyle w:val="Header"/>
          </w:pPr>
          <w:r>
            <w:fldChar w:fldCharType="begin"/>
          </w:r>
          <w:r>
            <w:instrText xml:space="preserve"> STYLEREF  "Cover Client Name" </w:instrText>
          </w:r>
          <w:r>
            <w:fldChar w:fldCharType="separate"/>
          </w:r>
          <w:r w:rsidR="00A41FEF">
            <w:t>National Health and Medical Research Council</w:t>
          </w:r>
          <w:r>
            <w:fldChar w:fldCharType="end"/>
          </w:r>
        </w:p>
        <w:p w14:paraId="646440D4" w14:textId="7E8F8E8B" w:rsidR="00767956" w:rsidRPr="00F903CC" w:rsidRDefault="00767956" w:rsidP="00F903CC">
          <w:pPr>
            <w:pStyle w:val="Header"/>
          </w:pPr>
          <w:r>
            <w:fldChar w:fldCharType="begin"/>
          </w:r>
          <w:r>
            <w:instrText xml:space="preserve"> STYLEREF  "Cover Title" </w:instrText>
          </w:r>
          <w:r>
            <w:fldChar w:fldCharType="separate"/>
          </w:r>
          <w:r w:rsidR="00A41FEF">
            <w:t>Evidence Evaluations for Vitamin B6 Upper Level (UL)</w:t>
          </w:r>
          <w:r>
            <w:fldChar w:fldCharType="end"/>
          </w:r>
        </w:p>
      </w:tc>
      <w:tc>
        <w:tcPr>
          <w:tcW w:w="2500" w:type="pct"/>
          <w:tcBorders>
            <w:bottom w:val="single" w:sz="18" w:space="0" w:color="3C533C" w:themeColor="accent1"/>
          </w:tcBorders>
          <w:vAlign w:val="bottom"/>
        </w:tcPr>
        <w:p w14:paraId="7517E692" w14:textId="49285EC1" w:rsidR="00767956" w:rsidRPr="00F903CC" w:rsidRDefault="00767956" w:rsidP="00F903CC">
          <w:pPr>
            <w:pStyle w:val="HeaderRight"/>
          </w:pPr>
          <w:r>
            <w:fldChar w:fldCharType="begin"/>
          </w:r>
          <w:r>
            <w:instrText xml:space="preserve"> STYLEREF  "Cover Date" </w:instrText>
          </w:r>
          <w:r>
            <w:fldChar w:fldCharType="separate"/>
          </w:r>
          <w:r w:rsidR="00A41FEF">
            <w:t>7 August 2026</w:t>
          </w:r>
          <w:r>
            <w:fldChar w:fldCharType="end"/>
          </w:r>
        </w:p>
        <w:p w14:paraId="30F55BE9" w14:textId="0FA1FF90" w:rsidR="00767956" w:rsidRDefault="00767956" w:rsidP="00CC4C53">
          <w:pPr>
            <w:pStyle w:val="HeaderRight"/>
            <w:ind w:left="-524"/>
          </w:pPr>
          <w:r>
            <w:fldChar w:fldCharType="begin"/>
          </w:r>
          <w:r>
            <w:instrText xml:space="preserve"> STYLEREF  "Cover Project Number" </w:instrText>
          </w:r>
          <w:r>
            <w:fldChar w:fldCharType="separate"/>
          </w:r>
          <w:r w:rsidR="00A41FEF">
            <w:t>SLR Project No.: 640.032359.00001</w:t>
          </w:r>
          <w:r>
            <w:fldChar w:fldCharType="end"/>
          </w:r>
        </w:p>
        <w:p w14:paraId="4FD3D0A3" w14:textId="0243E55C" w:rsidR="00767956" w:rsidRPr="00F903CC" w:rsidRDefault="00767956" w:rsidP="00F903CC">
          <w:pPr>
            <w:pStyle w:val="HeaderRight"/>
          </w:pPr>
          <w:r>
            <w:t xml:space="preserve">SLR Ref No.: </w:t>
          </w:r>
          <w:fldSimple w:instr=" FILENAME   \* MERGEFORMAT ">
            <w:r w:rsidR="00A41FEF">
              <w:t>640.032359.00001-v2.0-07082026-Vit B6 UL-Technical report</w:t>
            </w:r>
          </w:fldSimple>
        </w:p>
      </w:tc>
    </w:tr>
  </w:tbl>
  <w:p w14:paraId="3D586D63" w14:textId="77777777" w:rsidR="00767956" w:rsidRPr="00F903CC" w:rsidRDefault="00767956" w:rsidP="00F903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14"/>
      <w:gridCol w:w="4515"/>
    </w:tblGrid>
    <w:tr w:rsidR="00767956" w:rsidRPr="00F903CC" w14:paraId="3489174F" w14:textId="77777777" w:rsidTr="0009044E">
      <w:tc>
        <w:tcPr>
          <w:tcW w:w="2500" w:type="pct"/>
          <w:tcBorders>
            <w:bottom w:val="single" w:sz="18" w:space="0" w:color="3C533C" w:themeColor="accent1"/>
          </w:tcBorders>
          <w:vAlign w:val="bottom"/>
        </w:tcPr>
        <w:p w14:paraId="032523C5" w14:textId="05A53782" w:rsidR="00767956" w:rsidRPr="00F903CC" w:rsidRDefault="00767956" w:rsidP="00F903CC">
          <w:pPr>
            <w:pStyle w:val="Header"/>
          </w:pPr>
          <w:r>
            <w:fldChar w:fldCharType="begin"/>
          </w:r>
          <w:r>
            <w:instrText xml:space="preserve"> STYLEREF  "Cover Client Name" </w:instrText>
          </w:r>
          <w:r>
            <w:fldChar w:fldCharType="separate"/>
          </w:r>
          <w:r w:rsidR="00A41FEF">
            <w:t>National Health and Medical Research Council</w:t>
          </w:r>
          <w:r>
            <w:fldChar w:fldCharType="end"/>
          </w:r>
        </w:p>
        <w:p w14:paraId="42D9FBA8" w14:textId="2FA91CEC" w:rsidR="00767956" w:rsidRPr="00F903CC" w:rsidRDefault="00767956" w:rsidP="00F903CC">
          <w:pPr>
            <w:pStyle w:val="Header"/>
          </w:pPr>
          <w:r>
            <w:fldChar w:fldCharType="begin"/>
          </w:r>
          <w:r>
            <w:instrText xml:space="preserve"> STYLEREF  "Cover Title" </w:instrText>
          </w:r>
          <w:r>
            <w:fldChar w:fldCharType="separate"/>
          </w:r>
          <w:r w:rsidR="00A41FEF">
            <w:t>Evidence Evaluations for Vitamin B6 Upper Level (UL)</w:t>
          </w:r>
          <w:r>
            <w:fldChar w:fldCharType="end"/>
          </w:r>
        </w:p>
      </w:tc>
      <w:tc>
        <w:tcPr>
          <w:tcW w:w="2500" w:type="pct"/>
          <w:tcBorders>
            <w:bottom w:val="single" w:sz="18" w:space="0" w:color="3C533C" w:themeColor="accent1"/>
          </w:tcBorders>
          <w:vAlign w:val="bottom"/>
        </w:tcPr>
        <w:p w14:paraId="3F9833A0" w14:textId="4DC80A20" w:rsidR="00767956" w:rsidRPr="00F903CC" w:rsidRDefault="00767956" w:rsidP="00F903CC">
          <w:pPr>
            <w:pStyle w:val="HeaderRight"/>
          </w:pPr>
          <w:r>
            <w:fldChar w:fldCharType="begin"/>
          </w:r>
          <w:r>
            <w:instrText xml:space="preserve"> STYLEREF  "Cover Date" </w:instrText>
          </w:r>
          <w:r>
            <w:fldChar w:fldCharType="separate"/>
          </w:r>
          <w:r w:rsidR="00A41FEF">
            <w:t>7 August 2026</w:t>
          </w:r>
          <w:r>
            <w:fldChar w:fldCharType="end"/>
          </w:r>
        </w:p>
        <w:p w14:paraId="4D015891" w14:textId="46BC6ECC" w:rsidR="00767956" w:rsidRDefault="00767956" w:rsidP="00CC4C53">
          <w:pPr>
            <w:pStyle w:val="HeaderRight"/>
            <w:ind w:left="-524"/>
          </w:pPr>
          <w:r>
            <w:fldChar w:fldCharType="begin"/>
          </w:r>
          <w:r>
            <w:instrText xml:space="preserve"> STYLEREF  "Cover Project Number" </w:instrText>
          </w:r>
          <w:r>
            <w:fldChar w:fldCharType="separate"/>
          </w:r>
          <w:r w:rsidR="00A41FEF">
            <w:t>SLR Project No.: 640.032359.00001</w:t>
          </w:r>
          <w:r>
            <w:fldChar w:fldCharType="end"/>
          </w:r>
        </w:p>
        <w:p w14:paraId="47AF8B8A" w14:textId="5FCF626C" w:rsidR="00767956" w:rsidRPr="00F903CC" w:rsidRDefault="00767956" w:rsidP="00F903CC">
          <w:pPr>
            <w:pStyle w:val="HeaderRight"/>
          </w:pPr>
          <w:r>
            <w:t xml:space="preserve">SLR Ref No.: </w:t>
          </w:r>
          <w:fldSimple w:instr=" FILENAME   \* MERGEFORMAT ">
            <w:r w:rsidR="00A41FEF">
              <w:t>640.032359.00001-v2.0-07082026-Vit B6 UL-Technical report</w:t>
            </w:r>
          </w:fldSimple>
        </w:p>
      </w:tc>
    </w:tr>
  </w:tbl>
  <w:p w14:paraId="0A4FF3F0" w14:textId="77777777" w:rsidR="00767956" w:rsidRPr="00F903CC" w:rsidRDefault="00767956" w:rsidP="00F903C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21D65" w14:textId="77777777" w:rsidR="00B15504" w:rsidRPr="00A55381" w:rsidRDefault="00157607" w:rsidP="00F903CC">
    <w:pPr>
      <w:pStyle w:val="Header"/>
    </w:pPr>
    <w:r>
      <w:drawing>
        <wp:anchor distT="0" distB="0" distL="114300" distR="114300" simplePos="0" relativeHeight="251654144" behindDoc="1" locked="1" layoutInCell="1" allowOverlap="1" wp14:anchorId="0AE0DE66" wp14:editId="6FC0B423">
          <wp:simplePos x="0" y="0"/>
          <wp:positionH relativeFrom="column">
            <wp:posOffset>3819525</wp:posOffset>
          </wp:positionH>
          <wp:positionV relativeFrom="paragraph">
            <wp:posOffset>-352425</wp:posOffset>
          </wp:positionV>
          <wp:extent cx="2809240" cy="2806700"/>
          <wp:effectExtent l="0" t="0" r="0" b="0"/>
          <wp:wrapNone/>
          <wp:docPr id="104646077" name="Picture 104646077"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1" t="50252" r="49296" b="-1"/>
                  <a:stretch/>
                </pic:blipFill>
                <pic:spPr bwMode="auto">
                  <a:xfrm>
                    <a:off x="0" y="0"/>
                    <a:ext cx="2809240" cy="280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4081C" w14:textId="77777777" w:rsidR="00BB3382" w:rsidRPr="00987D05" w:rsidRDefault="00BB3382" w:rsidP="00F903C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A75D9" w14:textId="77777777" w:rsidR="00E50719" w:rsidRPr="00A55381" w:rsidRDefault="00E50719" w:rsidP="00F903CC">
    <w:pPr>
      <w:pStyle w:val="Header"/>
    </w:pPr>
    <w:r>
      <w:drawing>
        <wp:anchor distT="0" distB="0" distL="114300" distR="114300" simplePos="0" relativeHeight="251657216" behindDoc="1" locked="1" layoutInCell="1" allowOverlap="1" wp14:anchorId="43AA0821" wp14:editId="6D06A331">
          <wp:simplePos x="0" y="0"/>
          <wp:positionH relativeFrom="column">
            <wp:posOffset>3819525</wp:posOffset>
          </wp:positionH>
          <wp:positionV relativeFrom="paragraph">
            <wp:posOffset>-352425</wp:posOffset>
          </wp:positionV>
          <wp:extent cx="2809240" cy="2806700"/>
          <wp:effectExtent l="0" t="0" r="0" b="0"/>
          <wp:wrapNone/>
          <wp:docPr id="1479787142" name="Picture 1479787142"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1" t="50252" r="49296" b="-1"/>
                  <a:stretch/>
                </pic:blipFill>
                <pic:spPr bwMode="auto">
                  <a:xfrm>
                    <a:off x="0" y="0"/>
                    <a:ext cx="2809240" cy="280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481890"/>
    <w:lvl w:ilvl="0">
      <w:start w:val="1"/>
      <w:numFmt w:val="decimal"/>
      <w:pStyle w:val="ListNumber5"/>
      <w:lvlText w:val="%1."/>
      <w:lvlJc w:val="left"/>
      <w:pPr>
        <w:tabs>
          <w:tab w:val="num" w:pos="10872"/>
        </w:tabs>
        <w:ind w:left="10872" w:hanging="360"/>
      </w:pPr>
    </w:lvl>
  </w:abstractNum>
  <w:abstractNum w:abstractNumId="1" w15:restartNumberingAfterBreak="0">
    <w:nsid w:val="FFFFFF80"/>
    <w:multiLevelType w:val="singleLevel"/>
    <w:tmpl w:val="13949644"/>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9"/>
    <w:multiLevelType w:val="singleLevel"/>
    <w:tmpl w:val="55064C4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5A28D7"/>
    <w:multiLevelType w:val="multilevel"/>
    <w:tmpl w:val="6E9CB6D0"/>
    <w:lvl w:ilvl="0">
      <w:start w:val="1"/>
      <w:numFmt w:val="decimal"/>
      <w:pStyle w:val="ListNumber"/>
      <w:lvlText w:val="%1"/>
      <w:lvlJc w:val="left"/>
      <w:pPr>
        <w:tabs>
          <w:tab w:val="num" w:pos="720"/>
        </w:tabs>
        <w:ind w:left="720" w:hanging="360"/>
      </w:pPr>
      <w:rPr>
        <w:rFonts w:hint="default"/>
      </w:rPr>
    </w:lvl>
    <w:lvl w:ilvl="1">
      <w:start w:val="1"/>
      <w:numFmt w:val="lowerLetter"/>
      <w:pStyle w:val="ListNumber2"/>
      <w:lvlText w:val="%2)"/>
      <w:lvlJc w:val="left"/>
      <w:pPr>
        <w:tabs>
          <w:tab w:val="num" w:pos="180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lowerLetter"/>
      <w:pStyle w:val="ListNumber4"/>
      <w:lvlText w:val="%4."/>
      <w:lvlJc w:val="left"/>
      <w:pPr>
        <w:ind w:left="1800" w:hanging="360"/>
      </w:pPr>
      <w:rPr>
        <w:rFont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B9E65D5"/>
    <w:multiLevelType w:val="multilevel"/>
    <w:tmpl w:val="050018D6"/>
    <w:lvl w:ilvl="0">
      <w:start w:val="1"/>
      <w:numFmt w:val="decimal"/>
      <w:pStyle w:val="BodyTextParagraphNumbered"/>
      <w:lvlText w:val="%1."/>
      <w:lvlJc w:val="left"/>
      <w:pPr>
        <w:ind w:left="360" w:hanging="360"/>
      </w:pPr>
      <w:rPr>
        <w:rFonts w:hint="default"/>
      </w:rPr>
    </w:lvl>
    <w:lvl w:ilvl="1">
      <w:start w:val="1"/>
      <w:numFmt w:val="decimal"/>
      <w:lvlText w:val="%1.%2."/>
      <w:lvlJc w:val="left"/>
      <w:pPr>
        <w:ind w:left="864" w:hanging="504"/>
      </w:pPr>
      <w:rPr>
        <w:rFonts w:hint="default"/>
      </w:rPr>
    </w:lvl>
    <w:lvl w:ilvl="2">
      <w:start w:val="1"/>
      <w:numFmt w:val="decimal"/>
      <w:lvlText w:val="%1.%2.%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CF83E09"/>
    <w:multiLevelType w:val="multilevel"/>
    <w:tmpl w:val="697AE732"/>
    <w:styleLink w:val="ListBullets"/>
    <w:lvl w:ilvl="0">
      <w:start w:val="1"/>
      <w:numFmt w:val="bullet"/>
      <w:lvlText w:val=""/>
      <w:lvlJc w:val="left"/>
      <w:pPr>
        <w:tabs>
          <w:tab w:val="num" w:pos="720"/>
        </w:tabs>
        <w:ind w:left="720" w:hanging="360"/>
      </w:pPr>
      <w:rPr>
        <w:rFonts w:ascii="Symbol" w:hAnsi="Symbol" w:hint="default"/>
        <w:color w:val="565656" w:themeColor="text1" w:themeTint="BF"/>
        <w:sz w:val="20"/>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Arial" w:hAnsi="Arial" w:hint="default"/>
      </w:rPr>
    </w:lvl>
    <w:lvl w:ilvl="3">
      <w:start w:val="1"/>
      <w:numFmt w:val="bullet"/>
      <w:lvlText w:val=""/>
      <w:lvlJc w:val="left"/>
      <w:pPr>
        <w:tabs>
          <w:tab w:val="num" w:pos="1800"/>
        </w:tabs>
        <w:ind w:left="1800" w:hanging="360"/>
      </w:pPr>
      <w:rPr>
        <w:rFonts w:ascii="Symbol" w:hAnsi="Symbol" w:hint="default"/>
        <w:sz w:val="16"/>
      </w:rPr>
    </w:lvl>
    <w:lvl w:ilvl="4">
      <w:start w:val="1"/>
      <w:numFmt w:val="bullet"/>
      <w:lvlText w:val="~"/>
      <w:lvlJc w:val="left"/>
      <w:pPr>
        <w:tabs>
          <w:tab w:val="num" w:pos="2160"/>
        </w:tabs>
        <w:ind w:left="2160" w:hanging="360"/>
      </w:pPr>
      <w:rPr>
        <w:rFonts w:ascii="Arial" w:hAnsi="Arial" w:hint="default"/>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6" w15:restartNumberingAfterBreak="0">
    <w:nsid w:val="0F835096"/>
    <w:multiLevelType w:val="hybridMultilevel"/>
    <w:tmpl w:val="B316C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CB09FE"/>
    <w:multiLevelType w:val="multilevel"/>
    <w:tmpl w:val="4C1C281C"/>
    <w:lvl w:ilvl="0">
      <w:start w:val="1"/>
      <w:numFmt w:val="decimal"/>
      <w:pStyle w:val="Heading1"/>
      <w:lvlText w:val="%1.0"/>
      <w:lvlJc w:val="left"/>
      <w:pPr>
        <w:tabs>
          <w:tab w:val="num" w:pos="1008"/>
        </w:tabs>
        <w:ind w:left="1008" w:hanging="1008"/>
      </w:pPr>
      <w:rPr>
        <w:rFonts w:hint="default"/>
      </w:rPr>
    </w:lvl>
    <w:lvl w:ilvl="1">
      <w:start w:val="1"/>
      <w:numFmt w:val="decimal"/>
      <w:pStyle w:val="Heading2"/>
      <w:lvlText w:val="%1.%2"/>
      <w:lvlJc w:val="left"/>
      <w:pPr>
        <w:tabs>
          <w:tab w:val="num" w:pos="1008"/>
        </w:tabs>
        <w:ind w:left="1008" w:hanging="1008"/>
      </w:pPr>
    </w:lvl>
    <w:lvl w:ilvl="2">
      <w:start w:val="1"/>
      <w:numFmt w:val="decimal"/>
      <w:pStyle w:val="Heading3"/>
      <w:lvlText w:val="%1.%2.%3"/>
      <w:lvlJc w:val="left"/>
      <w:pPr>
        <w:tabs>
          <w:tab w:val="num" w:pos="1008"/>
        </w:tabs>
        <w:ind w:left="1008" w:hanging="1008"/>
      </w:pPr>
      <w:rPr>
        <w:rFonts w:hint="default"/>
      </w:rPr>
    </w:lvl>
    <w:lvl w:ilvl="3">
      <w:start w:val="1"/>
      <w:numFmt w:val="decimal"/>
      <w:pStyle w:val="Heading4"/>
      <w:lvlText w:val="%1.%2.%3.%4"/>
      <w:lvlJc w:val="left"/>
      <w:pPr>
        <w:tabs>
          <w:tab w:val="num" w:pos="1008"/>
        </w:tabs>
        <w:ind w:left="1008" w:hanging="1008"/>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Roman"/>
      <w:lvlText w:val="%8."/>
      <w:lvlJc w:val="left"/>
      <w:pPr>
        <w:tabs>
          <w:tab w:val="num" w:pos="720"/>
        </w:tabs>
        <w:ind w:left="720" w:hanging="720"/>
      </w:pPr>
      <w:rPr>
        <w:rFonts w:hint="default"/>
      </w:rPr>
    </w:lvl>
    <w:lvl w:ilvl="8">
      <w:start w:val="1"/>
      <w:numFmt w:val="upperRoman"/>
      <w:lvlText w:val="%9."/>
      <w:lvlJc w:val="left"/>
      <w:pPr>
        <w:tabs>
          <w:tab w:val="num" w:pos="720"/>
        </w:tabs>
        <w:ind w:left="720" w:hanging="720"/>
      </w:pPr>
      <w:rPr>
        <w:rFonts w:hint="default"/>
      </w:rPr>
    </w:lvl>
  </w:abstractNum>
  <w:abstractNum w:abstractNumId="8" w15:restartNumberingAfterBreak="0">
    <w:nsid w:val="1449676D"/>
    <w:multiLevelType w:val="hybridMultilevel"/>
    <w:tmpl w:val="BFDCC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4F3C23"/>
    <w:multiLevelType w:val="hybridMultilevel"/>
    <w:tmpl w:val="B40E13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F14C48"/>
    <w:multiLevelType w:val="hybridMultilevel"/>
    <w:tmpl w:val="7B1A0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42290B"/>
    <w:multiLevelType w:val="hybridMultilevel"/>
    <w:tmpl w:val="82E4FC2C"/>
    <w:lvl w:ilvl="0" w:tplc="ED4E7936">
      <w:start w:val="1"/>
      <w:numFmt w:val="bullet"/>
      <w:lvlText w:val="●"/>
      <w:lvlJc w:val="left"/>
      <w:pPr>
        <w:ind w:left="720" w:hanging="360"/>
      </w:pPr>
    </w:lvl>
    <w:lvl w:ilvl="1" w:tplc="7030645A">
      <w:start w:val="1"/>
      <w:numFmt w:val="bullet"/>
      <w:lvlText w:val="○"/>
      <w:lvlJc w:val="left"/>
      <w:pPr>
        <w:ind w:left="1440" w:hanging="360"/>
      </w:pPr>
    </w:lvl>
    <w:lvl w:ilvl="2" w:tplc="343ADCCE">
      <w:start w:val="1"/>
      <w:numFmt w:val="bullet"/>
      <w:lvlText w:val="■"/>
      <w:lvlJc w:val="left"/>
      <w:pPr>
        <w:ind w:left="2160" w:hanging="360"/>
      </w:pPr>
    </w:lvl>
    <w:lvl w:ilvl="3" w:tplc="64EC4160">
      <w:start w:val="1"/>
      <w:numFmt w:val="bullet"/>
      <w:lvlText w:val="●"/>
      <w:lvlJc w:val="left"/>
      <w:pPr>
        <w:ind w:left="2880" w:hanging="360"/>
      </w:pPr>
    </w:lvl>
    <w:lvl w:ilvl="4" w:tplc="742E6B66">
      <w:start w:val="1"/>
      <w:numFmt w:val="bullet"/>
      <w:lvlText w:val="○"/>
      <w:lvlJc w:val="left"/>
      <w:pPr>
        <w:ind w:left="3600" w:hanging="360"/>
      </w:pPr>
    </w:lvl>
    <w:lvl w:ilvl="5" w:tplc="A022EAFC">
      <w:start w:val="1"/>
      <w:numFmt w:val="bullet"/>
      <w:lvlText w:val="■"/>
      <w:lvlJc w:val="left"/>
      <w:pPr>
        <w:ind w:left="4320" w:hanging="360"/>
      </w:pPr>
    </w:lvl>
    <w:lvl w:ilvl="6" w:tplc="54548A5A">
      <w:start w:val="1"/>
      <w:numFmt w:val="bullet"/>
      <w:lvlText w:val="●"/>
      <w:lvlJc w:val="left"/>
      <w:pPr>
        <w:ind w:left="5040" w:hanging="360"/>
      </w:pPr>
    </w:lvl>
    <w:lvl w:ilvl="7" w:tplc="07F46D1A">
      <w:start w:val="1"/>
      <w:numFmt w:val="bullet"/>
      <w:lvlText w:val="●"/>
      <w:lvlJc w:val="left"/>
      <w:pPr>
        <w:ind w:left="5760" w:hanging="360"/>
      </w:pPr>
    </w:lvl>
    <w:lvl w:ilvl="8" w:tplc="F24CF9B4">
      <w:start w:val="1"/>
      <w:numFmt w:val="bullet"/>
      <w:lvlText w:val="●"/>
      <w:lvlJc w:val="left"/>
      <w:pPr>
        <w:ind w:left="6480" w:hanging="360"/>
      </w:pPr>
    </w:lvl>
  </w:abstractNum>
  <w:abstractNum w:abstractNumId="12" w15:restartNumberingAfterBreak="0">
    <w:nsid w:val="270C3135"/>
    <w:multiLevelType w:val="multilevel"/>
    <w:tmpl w:val="957E6CC6"/>
    <w:lvl w:ilvl="0">
      <w:start w:val="1"/>
      <w:numFmt w:val="decimal"/>
      <w:pStyle w:val="Table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B8550DA"/>
    <w:multiLevelType w:val="hybridMultilevel"/>
    <w:tmpl w:val="257C6B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4F177C"/>
    <w:multiLevelType w:val="hybridMultilevel"/>
    <w:tmpl w:val="6A469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8A579D"/>
    <w:multiLevelType w:val="hybridMultilevel"/>
    <w:tmpl w:val="BE042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824BEC"/>
    <w:multiLevelType w:val="hybridMultilevel"/>
    <w:tmpl w:val="DBDC1A94"/>
    <w:lvl w:ilvl="0" w:tplc="18027A9A">
      <w:start w:val="1"/>
      <w:numFmt w:val="bullet"/>
      <w:lvlText w:val="•"/>
      <w:lvlJc w:val="left"/>
      <w:pPr>
        <w:ind w:left="720" w:hanging="360"/>
      </w:pPr>
    </w:lvl>
    <w:lvl w:ilvl="1" w:tplc="E13A0E2E">
      <w:numFmt w:val="decimal"/>
      <w:lvlText w:val=""/>
      <w:lvlJc w:val="left"/>
    </w:lvl>
    <w:lvl w:ilvl="2" w:tplc="4708571C">
      <w:numFmt w:val="decimal"/>
      <w:lvlText w:val=""/>
      <w:lvlJc w:val="left"/>
    </w:lvl>
    <w:lvl w:ilvl="3" w:tplc="30BAC472">
      <w:numFmt w:val="decimal"/>
      <w:lvlText w:val=""/>
      <w:lvlJc w:val="left"/>
    </w:lvl>
    <w:lvl w:ilvl="4" w:tplc="FB046524">
      <w:numFmt w:val="decimal"/>
      <w:lvlText w:val=""/>
      <w:lvlJc w:val="left"/>
    </w:lvl>
    <w:lvl w:ilvl="5" w:tplc="8756668E">
      <w:numFmt w:val="decimal"/>
      <w:lvlText w:val=""/>
      <w:lvlJc w:val="left"/>
    </w:lvl>
    <w:lvl w:ilvl="6" w:tplc="F612BC58">
      <w:numFmt w:val="decimal"/>
      <w:lvlText w:val=""/>
      <w:lvlJc w:val="left"/>
    </w:lvl>
    <w:lvl w:ilvl="7" w:tplc="18A001F4">
      <w:numFmt w:val="decimal"/>
      <w:lvlText w:val=""/>
      <w:lvlJc w:val="left"/>
    </w:lvl>
    <w:lvl w:ilvl="8" w:tplc="684A612E">
      <w:numFmt w:val="decimal"/>
      <w:lvlText w:val=""/>
      <w:lvlJc w:val="left"/>
    </w:lvl>
  </w:abstractNum>
  <w:abstractNum w:abstractNumId="17" w15:restartNumberingAfterBreak="0">
    <w:nsid w:val="3D203FCB"/>
    <w:multiLevelType w:val="multilevel"/>
    <w:tmpl w:val="4E0463D2"/>
    <w:lvl w:ilvl="0">
      <w:start w:val="1"/>
      <w:numFmt w:val="upperLetter"/>
      <w:pStyle w:val="Heading7"/>
      <w:lvlText w:val="Appendix %1"/>
      <w:lvlJc w:val="left"/>
      <w:pPr>
        <w:ind w:left="3456" w:hanging="3456"/>
      </w:pPr>
      <w:rPr>
        <w:rFonts w:hint="default"/>
      </w:rPr>
    </w:lvl>
    <w:lvl w:ilvl="1">
      <w:start w:val="1"/>
      <w:numFmt w:val="decimal"/>
      <w:pStyle w:val="Heading8"/>
      <w:lvlText w:val="%1.%2"/>
      <w:lvlJc w:val="left"/>
      <w:pPr>
        <w:ind w:left="720" w:hanging="720"/>
      </w:pPr>
      <w:rPr>
        <w:rFonts w:hint="default"/>
      </w:rPr>
    </w:lvl>
    <w:lvl w:ilvl="2">
      <w:start w:val="1"/>
      <w:numFmt w:val="decimal"/>
      <w:pStyle w:val="Heading9"/>
      <w:lvlText w:val="%1.%2.%3"/>
      <w:lvlJc w:val="left"/>
      <w:pPr>
        <w:ind w:left="864" w:hanging="864"/>
      </w:pPr>
      <w:rPr>
        <w:rFonts w:hint="default"/>
      </w:rPr>
    </w:lvl>
    <w:lvl w:ilvl="3">
      <w:start w:val="1"/>
      <w:numFmt w:val="decimal"/>
      <w:lvlText w:val="%4."/>
      <w:lvlJc w:val="left"/>
      <w:pPr>
        <w:ind w:left="3254" w:hanging="360"/>
      </w:pPr>
      <w:rPr>
        <w:rFonts w:hint="default"/>
      </w:rPr>
    </w:lvl>
    <w:lvl w:ilvl="4">
      <w:start w:val="1"/>
      <w:numFmt w:val="lowerLetter"/>
      <w:lvlText w:val="%5."/>
      <w:lvlJc w:val="left"/>
      <w:pPr>
        <w:ind w:left="3974" w:hanging="360"/>
      </w:pPr>
      <w:rPr>
        <w:rFonts w:hint="default"/>
      </w:rPr>
    </w:lvl>
    <w:lvl w:ilvl="5">
      <w:start w:val="1"/>
      <w:numFmt w:val="lowerRoman"/>
      <w:lvlText w:val="%6."/>
      <w:lvlJc w:val="right"/>
      <w:pPr>
        <w:ind w:left="4694" w:hanging="180"/>
      </w:pPr>
      <w:rPr>
        <w:rFonts w:hint="default"/>
      </w:rPr>
    </w:lvl>
    <w:lvl w:ilvl="6">
      <w:start w:val="1"/>
      <w:numFmt w:val="decimal"/>
      <w:lvlText w:val="%7."/>
      <w:lvlJc w:val="left"/>
      <w:pPr>
        <w:ind w:left="5414" w:hanging="360"/>
      </w:pPr>
      <w:rPr>
        <w:rFonts w:hint="default"/>
      </w:rPr>
    </w:lvl>
    <w:lvl w:ilvl="7">
      <w:start w:val="1"/>
      <w:numFmt w:val="lowerLetter"/>
      <w:lvlText w:val="%8."/>
      <w:lvlJc w:val="left"/>
      <w:pPr>
        <w:ind w:left="6134" w:hanging="360"/>
      </w:pPr>
      <w:rPr>
        <w:rFonts w:hint="default"/>
      </w:rPr>
    </w:lvl>
    <w:lvl w:ilvl="8">
      <w:start w:val="1"/>
      <w:numFmt w:val="lowerRoman"/>
      <w:lvlText w:val="%9."/>
      <w:lvlJc w:val="right"/>
      <w:pPr>
        <w:ind w:left="6854" w:hanging="180"/>
      </w:pPr>
      <w:rPr>
        <w:rFonts w:hint="default"/>
      </w:rPr>
    </w:lvl>
  </w:abstractNum>
  <w:abstractNum w:abstractNumId="18" w15:restartNumberingAfterBreak="0">
    <w:nsid w:val="442334C0"/>
    <w:multiLevelType w:val="hybridMultilevel"/>
    <w:tmpl w:val="EC843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C8D13AE"/>
    <w:multiLevelType w:val="hybridMultilevel"/>
    <w:tmpl w:val="281E7B8C"/>
    <w:lvl w:ilvl="0" w:tplc="142079D4">
      <w:start w:val="5"/>
      <w:numFmt w:val="bullet"/>
      <w:lvlText w:val="-"/>
      <w:lvlJc w:val="left"/>
      <w:pPr>
        <w:ind w:left="720" w:hanging="360"/>
      </w:pPr>
      <w:rPr>
        <w:rFonts w:ascii="Arial" w:eastAsia="Arial" w:hAnsi="Arial" w:cs="Arial" w:hint="default"/>
        <w:i/>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655188"/>
    <w:multiLevelType w:val="hybridMultilevel"/>
    <w:tmpl w:val="19A88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840E2E"/>
    <w:multiLevelType w:val="multilevel"/>
    <w:tmpl w:val="CEA88D4E"/>
    <w:lvl w:ilvl="0">
      <w:start w:val="1"/>
      <w:numFmt w:val="bullet"/>
      <w:pStyle w:val="ListBullet"/>
      <w:lvlText w:val=""/>
      <w:lvlJc w:val="left"/>
      <w:pPr>
        <w:tabs>
          <w:tab w:val="num" w:pos="720"/>
        </w:tabs>
        <w:ind w:left="720" w:hanging="360"/>
      </w:pPr>
      <w:rPr>
        <w:rFonts w:ascii="Symbol" w:hAnsi="Symbol" w:hint="default"/>
        <w:color w:val="auto"/>
        <w:sz w:val="22"/>
        <w:szCs w:val="22"/>
      </w:rPr>
    </w:lvl>
    <w:lvl w:ilvl="1">
      <w:start w:val="1"/>
      <w:numFmt w:val="bullet"/>
      <w:pStyle w:val="ListBullet2"/>
      <w:lvlText w:val="o"/>
      <w:lvlJc w:val="left"/>
      <w:pPr>
        <w:ind w:left="1080" w:hanging="360"/>
      </w:pPr>
      <w:rPr>
        <w:rFonts w:ascii="Courier New" w:hAnsi="Courier New" w:cs="Courier New" w:hint="default"/>
      </w:rPr>
    </w:lvl>
    <w:lvl w:ilvl="2">
      <w:start w:val="1"/>
      <w:numFmt w:val="bullet"/>
      <w:pStyle w:val="ListBullet3"/>
      <w:lvlText w:val=""/>
      <w:lvlJc w:val="left"/>
      <w:pPr>
        <w:tabs>
          <w:tab w:val="num" w:pos="1440"/>
        </w:tabs>
        <w:ind w:left="1440" w:hanging="360"/>
      </w:pPr>
      <w:rPr>
        <w:rFonts w:ascii="Symbol" w:hAnsi="Symbol" w:hint="default"/>
      </w:rPr>
    </w:lvl>
    <w:lvl w:ilvl="3">
      <w:start w:val="1"/>
      <w:numFmt w:val="bullet"/>
      <w:pStyle w:val="ListBullet4"/>
      <w:lvlText w:val="o"/>
      <w:lvlJc w:val="left"/>
      <w:pPr>
        <w:ind w:left="1800" w:hanging="360"/>
      </w:pPr>
      <w:rPr>
        <w:rFonts w:ascii="Courier New" w:hAnsi="Courier New" w:cs="Courier New" w:hint="default"/>
      </w:rPr>
    </w:lvl>
    <w:lvl w:ilvl="4">
      <w:start w:val="1"/>
      <w:numFmt w:val="bullet"/>
      <w:lvlText w:val="~"/>
      <w:lvlJc w:val="left"/>
      <w:pPr>
        <w:tabs>
          <w:tab w:val="num" w:pos="2160"/>
        </w:tabs>
        <w:ind w:left="2160" w:hanging="360"/>
      </w:pPr>
      <w:rPr>
        <w:rFonts w:ascii="Arial" w:hAnsi="Arial" w:hint="default"/>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22" w15:restartNumberingAfterBreak="0">
    <w:nsid w:val="52E557A7"/>
    <w:multiLevelType w:val="multilevel"/>
    <w:tmpl w:val="738C28AC"/>
    <w:lvl w:ilvl="0">
      <w:start w:val="1"/>
      <w:numFmt w:val="bullet"/>
      <w:pStyle w:val="Table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tabs>
          <w:tab w:val="num" w:pos="1008"/>
        </w:tabs>
        <w:ind w:left="108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6F6256FF"/>
    <w:multiLevelType w:val="multilevel"/>
    <w:tmpl w:val="EED6142C"/>
    <w:styleLink w:val="Headings"/>
    <w:lvl w:ilvl="0">
      <w:start w:val="1"/>
      <w:numFmt w:val="decimal"/>
      <w:lvlText w:val="%1."/>
      <w:lvlJc w:val="left"/>
      <w:pPr>
        <w:ind w:left="0" w:firstLine="0"/>
      </w:pPr>
      <w:rPr>
        <w:rFonts w:ascii="Arial" w:hAnsi="Arial" w:hint="default"/>
      </w:rPr>
    </w:lvl>
    <w:lvl w:ilvl="1">
      <w:start w:val="1"/>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1.%2.%3.%4"/>
      <w:lvlJc w:val="left"/>
      <w:pPr>
        <w:tabs>
          <w:tab w:val="num" w:pos="1008"/>
        </w:tabs>
        <w:ind w:left="1008" w:hanging="1008"/>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712D1B68"/>
    <w:multiLevelType w:val="hybridMultilevel"/>
    <w:tmpl w:val="174E77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96928145">
    <w:abstractNumId w:val="7"/>
  </w:num>
  <w:num w:numId="2" w16cid:durableId="739863849">
    <w:abstractNumId w:val="17"/>
  </w:num>
  <w:num w:numId="3" w16cid:durableId="112555201">
    <w:abstractNumId w:val="23"/>
  </w:num>
  <w:num w:numId="4" w16cid:durableId="535582882">
    <w:abstractNumId w:val="1"/>
  </w:num>
  <w:num w:numId="5" w16cid:durableId="1495490904">
    <w:abstractNumId w:val="3"/>
  </w:num>
  <w:num w:numId="6" w16cid:durableId="1951742972">
    <w:abstractNumId w:val="0"/>
  </w:num>
  <w:num w:numId="7" w16cid:durableId="1229533281">
    <w:abstractNumId w:val="5"/>
  </w:num>
  <w:num w:numId="8" w16cid:durableId="870266071">
    <w:abstractNumId w:val="22"/>
  </w:num>
  <w:num w:numId="9" w16cid:durableId="136454743">
    <w:abstractNumId w:val="12"/>
  </w:num>
  <w:num w:numId="10" w16cid:durableId="1990011695">
    <w:abstractNumId w:val="21"/>
  </w:num>
  <w:num w:numId="11" w16cid:durableId="1573154903">
    <w:abstractNumId w:val="4"/>
  </w:num>
  <w:num w:numId="12" w16cid:durableId="1566648062">
    <w:abstractNumId w:val="8"/>
  </w:num>
  <w:num w:numId="13" w16cid:durableId="474875180">
    <w:abstractNumId w:val="19"/>
  </w:num>
  <w:num w:numId="14" w16cid:durableId="1704592489">
    <w:abstractNumId w:val="16"/>
    <w:lvlOverride w:ilvl="0">
      <w:startOverride w:val="1"/>
    </w:lvlOverride>
  </w:num>
  <w:num w:numId="15" w16cid:durableId="1709059989">
    <w:abstractNumId w:val="14"/>
  </w:num>
  <w:num w:numId="16" w16cid:durableId="224293022">
    <w:abstractNumId w:val="15"/>
  </w:num>
  <w:num w:numId="17" w16cid:durableId="1406687356">
    <w:abstractNumId w:val="18"/>
  </w:num>
  <w:num w:numId="18" w16cid:durableId="694038838">
    <w:abstractNumId w:val="10"/>
  </w:num>
  <w:num w:numId="19" w16cid:durableId="1718967249">
    <w:abstractNumId w:val="13"/>
  </w:num>
  <w:num w:numId="20" w16cid:durableId="1982929216">
    <w:abstractNumId w:val="24"/>
  </w:num>
  <w:num w:numId="21" w16cid:durableId="541211636">
    <w:abstractNumId w:val="20"/>
  </w:num>
  <w:num w:numId="22" w16cid:durableId="1097095190">
    <w:abstractNumId w:val="6"/>
  </w:num>
  <w:num w:numId="23" w16cid:durableId="404425458">
    <w:abstractNumId w:val="9"/>
  </w:num>
  <w:num w:numId="24" w16cid:durableId="1735396101">
    <w:abstractNumId w:val="2"/>
  </w:num>
  <w:num w:numId="25" w16cid:durableId="14952189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94161227">
    <w:abstractNumId w:val="11"/>
    <w:lvlOverride w:ilvl="0">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864"/>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44E"/>
    <w:rsid w:val="000011A9"/>
    <w:rsid w:val="0000172A"/>
    <w:rsid w:val="00001AA5"/>
    <w:rsid w:val="00001B25"/>
    <w:rsid w:val="00002481"/>
    <w:rsid w:val="000026C1"/>
    <w:rsid w:val="00002836"/>
    <w:rsid w:val="00002CE2"/>
    <w:rsid w:val="00003048"/>
    <w:rsid w:val="00003AFE"/>
    <w:rsid w:val="0000462E"/>
    <w:rsid w:val="0000493C"/>
    <w:rsid w:val="00005EEF"/>
    <w:rsid w:val="0000661D"/>
    <w:rsid w:val="00006F6B"/>
    <w:rsid w:val="000079C4"/>
    <w:rsid w:val="00007E55"/>
    <w:rsid w:val="00007E5A"/>
    <w:rsid w:val="000106FB"/>
    <w:rsid w:val="00010846"/>
    <w:rsid w:val="00010EF8"/>
    <w:rsid w:val="0001154A"/>
    <w:rsid w:val="00013BA8"/>
    <w:rsid w:val="000150B1"/>
    <w:rsid w:val="00017549"/>
    <w:rsid w:val="000177B4"/>
    <w:rsid w:val="00020151"/>
    <w:rsid w:val="000209DC"/>
    <w:rsid w:val="0002113B"/>
    <w:rsid w:val="0002126D"/>
    <w:rsid w:val="000214B4"/>
    <w:rsid w:val="00021684"/>
    <w:rsid w:val="0002180B"/>
    <w:rsid w:val="0002189D"/>
    <w:rsid w:val="000224C1"/>
    <w:rsid w:val="00022794"/>
    <w:rsid w:val="000230DF"/>
    <w:rsid w:val="00023182"/>
    <w:rsid w:val="00023913"/>
    <w:rsid w:val="00023CA6"/>
    <w:rsid w:val="0002714A"/>
    <w:rsid w:val="00027E1A"/>
    <w:rsid w:val="0003056B"/>
    <w:rsid w:val="00032140"/>
    <w:rsid w:val="00032A05"/>
    <w:rsid w:val="00034356"/>
    <w:rsid w:val="00034A21"/>
    <w:rsid w:val="00034F9A"/>
    <w:rsid w:val="000354AA"/>
    <w:rsid w:val="000357C3"/>
    <w:rsid w:val="0003640F"/>
    <w:rsid w:val="00036AB4"/>
    <w:rsid w:val="00037C08"/>
    <w:rsid w:val="0004006E"/>
    <w:rsid w:val="000407C6"/>
    <w:rsid w:val="000418E5"/>
    <w:rsid w:val="00042957"/>
    <w:rsid w:val="00042991"/>
    <w:rsid w:val="00042E2A"/>
    <w:rsid w:val="0004329F"/>
    <w:rsid w:val="00044D63"/>
    <w:rsid w:val="000453CA"/>
    <w:rsid w:val="000455BB"/>
    <w:rsid w:val="00045B02"/>
    <w:rsid w:val="00045BE9"/>
    <w:rsid w:val="000469AD"/>
    <w:rsid w:val="00046B62"/>
    <w:rsid w:val="00046D0B"/>
    <w:rsid w:val="000506FA"/>
    <w:rsid w:val="000512BE"/>
    <w:rsid w:val="00051814"/>
    <w:rsid w:val="0005239A"/>
    <w:rsid w:val="00052C96"/>
    <w:rsid w:val="000547C0"/>
    <w:rsid w:val="00054F31"/>
    <w:rsid w:val="000553AD"/>
    <w:rsid w:val="000556AD"/>
    <w:rsid w:val="0005629E"/>
    <w:rsid w:val="00056FC3"/>
    <w:rsid w:val="00057070"/>
    <w:rsid w:val="00057BEC"/>
    <w:rsid w:val="000606A7"/>
    <w:rsid w:val="00060E01"/>
    <w:rsid w:val="000614F1"/>
    <w:rsid w:val="00062DC2"/>
    <w:rsid w:val="000642BD"/>
    <w:rsid w:val="0006478C"/>
    <w:rsid w:val="00065BB4"/>
    <w:rsid w:val="00065E2F"/>
    <w:rsid w:val="000660A4"/>
    <w:rsid w:val="00066320"/>
    <w:rsid w:val="00066CDC"/>
    <w:rsid w:val="000679BC"/>
    <w:rsid w:val="000679BF"/>
    <w:rsid w:val="000701EC"/>
    <w:rsid w:val="00070480"/>
    <w:rsid w:val="000715F4"/>
    <w:rsid w:val="000719D5"/>
    <w:rsid w:val="000747BC"/>
    <w:rsid w:val="000747F2"/>
    <w:rsid w:val="000749ED"/>
    <w:rsid w:val="00076D15"/>
    <w:rsid w:val="00077677"/>
    <w:rsid w:val="0007781A"/>
    <w:rsid w:val="0008044B"/>
    <w:rsid w:val="00080817"/>
    <w:rsid w:val="00080C78"/>
    <w:rsid w:val="00080D25"/>
    <w:rsid w:val="00081780"/>
    <w:rsid w:val="00082621"/>
    <w:rsid w:val="000829F8"/>
    <w:rsid w:val="00083045"/>
    <w:rsid w:val="000846F3"/>
    <w:rsid w:val="00084EDF"/>
    <w:rsid w:val="000850F8"/>
    <w:rsid w:val="00085E14"/>
    <w:rsid w:val="00085F29"/>
    <w:rsid w:val="00086500"/>
    <w:rsid w:val="000900C1"/>
    <w:rsid w:val="0009044E"/>
    <w:rsid w:val="00090B95"/>
    <w:rsid w:val="00091192"/>
    <w:rsid w:val="00091690"/>
    <w:rsid w:val="00092DEC"/>
    <w:rsid w:val="000932D7"/>
    <w:rsid w:val="00093329"/>
    <w:rsid w:val="00094D63"/>
    <w:rsid w:val="00094E66"/>
    <w:rsid w:val="000955C4"/>
    <w:rsid w:val="00095644"/>
    <w:rsid w:val="00096BC3"/>
    <w:rsid w:val="00097CC0"/>
    <w:rsid w:val="00097E24"/>
    <w:rsid w:val="000A088B"/>
    <w:rsid w:val="000A19F6"/>
    <w:rsid w:val="000A1BFF"/>
    <w:rsid w:val="000A1CF0"/>
    <w:rsid w:val="000A2752"/>
    <w:rsid w:val="000A2D43"/>
    <w:rsid w:val="000A3708"/>
    <w:rsid w:val="000A3B65"/>
    <w:rsid w:val="000A3C21"/>
    <w:rsid w:val="000A4027"/>
    <w:rsid w:val="000A4802"/>
    <w:rsid w:val="000A4C1D"/>
    <w:rsid w:val="000A59A5"/>
    <w:rsid w:val="000A656A"/>
    <w:rsid w:val="000A6A5E"/>
    <w:rsid w:val="000A6D67"/>
    <w:rsid w:val="000B0607"/>
    <w:rsid w:val="000B0638"/>
    <w:rsid w:val="000B088D"/>
    <w:rsid w:val="000B0D06"/>
    <w:rsid w:val="000B10E2"/>
    <w:rsid w:val="000B13BD"/>
    <w:rsid w:val="000B1446"/>
    <w:rsid w:val="000B166C"/>
    <w:rsid w:val="000B1880"/>
    <w:rsid w:val="000B2309"/>
    <w:rsid w:val="000B25F5"/>
    <w:rsid w:val="000B2EFC"/>
    <w:rsid w:val="000B4010"/>
    <w:rsid w:val="000B5A84"/>
    <w:rsid w:val="000B7E1F"/>
    <w:rsid w:val="000B7F59"/>
    <w:rsid w:val="000C003F"/>
    <w:rsid w:val="000C0CA7"/>
    <w:rsid w:val="000C12B4"/>
    <w:rsid w:val="000C16BE"/>
    <w:rsid w:val="000C20C5"/>
    <w:rsid w:val="000C30CC"/>
    <w:rsid w:val="000C3FC6"/>
    <w:rsid w:val="000C5448"/>
    <w:rsid w:val="000C6F5A"/>
    <w:rsid w:val="000C7A9A"/>
    <w:rsid w:val="000C7B04"/>
    <w:rsid w:val="000D1599"/>
    <w:rsid w:val="000D203E"/>
    <w:rsid w:val="000D3BEB"/>
    <w:rsid w:val="000D5389"/>
    <w:rsid w:val="000D5AAE"/>
    <w:rsid w:val="000D5B62"/>
    <w:rsid w:val="000D69BB"/>
    <w:rsid w:val="000D6A07"/>
    <w:rsid w:val="000D713E"/>
    <w:rsid w:val="000E022B"/>
    <w:rsid w:val="000E1A99"/>
    <w:rsid w:val="000E1F1E"/>
    <w:rsid w:val="000E1F9A"/>
    <w:rsid w:val="000E25FA"/>
    <w:rsid w:val="000E2B96"/>
    <w:rsid w:val="000E2FBD"/>
    <w:rsid w:val="000E359A"/>
    <w:rsid w:val="000E390D"/>
    <w:rsid w:val="000E39B5"/>
    <w:rsid w:val="000E43BD"/>
    <w:rsid w:val="000E4C51"/>
    <w:rsid w:val="000E5084"/>
    <w:rsid w:val="000E5D24"/>
    <w:rsid w:val="000E5DB9"/>
    <w:rsid w:val="000F065C"/>
    <w:rsid w:val="000F0ACF"/>
    <w:rsid w:val="000F0B21"/>
    <w:rsid w:val="000F1731"/>
    <w:rsid w:val="000F1F06"/>
    <w:rsid w:val="000F373F"/>
    <w:rsid w:val="000F3767"/>
    <w:rsid w:val="000F3BA9"/>
    <w:rsid w:val="000F3F46"/>
    <w:rsid w:val="000F4480"/>
    <w:rsid w:val="000F4D1E"/>
    <w:rsid w:val="000F56FC"/>
    <w:rsid w:val="000F65DC"/>
    <w:rsid w:val="000F6BD5"/>
    <w:rsid w:val="00100146"/>
    <w:rsid w:val="00101EB6"/>
    <w:rsid w:val="00102004"/>
    <w:rsid w:val="00102B46"/>
    <w:rsid w:val="001040BB"/>
    <w:rsid w:val="0010476E"/>
    <w:rsid w:val="00104A0F"/>
    <w:rsid w:val="00104F7A"/>
    <w:rsid w:val="00105F96"/>
    <w:rsid w:val="001061D3"/>
    <w:rsid w:val="0010692B"/>
    <w:rsid w:val="00106A69"/>
    <w:rsid w:val="001100B0"/>
    <w:rsid w:val="00110644"/>
    <w:rsid w:val="00110931"/>
    <w:rsid w:val="001112F7"/>
    <w:rsid w:val="0011274F"/>
    <w:rsid w:val="0011372C"/>
    <w:rsid w:val="00113C0F"/>
    <w:rsid w:val="001168CD"/>
    <w:rsid w:val="00117D14"/>
    <w:rsid w:val="00120187"/>
    <w:rsid w:val="00120AF2"/>
    <w:rsid w:val="00120C0F"/>
    <w:rsid w:val="001228EF"/>
    <w:rsid w:val="00122A88"/>
    <w:rsid w:val="00123134"/>
    <w:rsid w:val="0012315C"/>
    <w:rsid w:val="00123A43"/>
    <w:rsid w:val="00123EF0"/>
    <w:rsid w:val="001244B0"/>
    <w:rsid w:val="00124537"/>
    <w:rsid w:val="00124721"/>
    <w:rsid w:val="001249B7"/>
    <w:rsid w:val="00125A9F"/>
    <w:rsid w:val="00126BB0"/>
    <w:rsid w:val="00126D4D"/>
    <w:rsid w:val="001272C0"/>
    <w:rsid w:val="0012740C"/>
    <w:rsid w:val="00130303"/>
    <w:rsid w:val="00130647"/>
    <w:rsid w:val="00130A60"/>
    <w:rsid w:val="00130A89"/>
    <w:rsid w:val="00131638"/>
    <w:rsid w:val="00131CFE"/>
    <w:rsid w:val="00131FD9"/>
    <w:rsid w:val="00132A13"/>
    <w:rsid w:val="0013374E"/>
    <w:rsid w:val="0013570C"/>
    <w:rsid w:val="00137B02"/>
    <w:rsid w:val="00140221"/>
    <w:rsid w:val="00140576"/>
    <w:rsid w:val="0014117E"/>
    <w:rsid w:val="0014156C"/>
    <w:rsid w:val="00141B07"/>
    <w:rsid w:val="001420F1"/>
    <w:rsid w:val="00144980"/>
    <w:rsid w:val="00144FAB"/>
    <w:rsid w:val="00144FEF"/>
    <w:rsid w:val="00145613"/>
    <w:rsid w:val="00145648"/>
    <w:rsid w:val="001460BA"/>
    <w:rsid w:val="00146FA8"/>
    <w:rsid w:val="00147599"/>
    <w:rsid w:val="00147BCB"/>
    <w:rsid w:val="00151C2D"/>
    <w:rsid w:val="00152D1F"/>
    <w:rsid w:val="0015381F"/>
    <w:rsid w:val="00154312"/>
    <w:rsid w:val="00154653"/>
    <w:rsid w:val="00154D56"/>
    <w:rsid w:val="0015552C"/>
    <w:rsid w:val="0015580F"/>
    <w:rsid w:val="001566F6"/>
    <w:rsid w:val="00156956"/>
    <w:rsid w:val="00156DDC"/>
    <w:rsid w:val="00157607"/>
    <w:rsid w:val="001606CF"/>
    <w:rsid w:val="00160921"/>
    <w:rsid w:val="00162046"/>
    <w:rsid w:val="00162C5A"/>
    <w:rsid w:val="00162E06"/>
    <w:rsid w:val="00163913"/>
    <w:rsid w:val="00163CA8"/>
    <w:rsid w:val="00164145"/>
    <w:rsid w:val="0016481B"/>
    <w:rsid w:val="0016517F"/>
    <w:rsid w:val="001651DC"/>
    <w:rsid w:val="00165536"/>
    <w:rsid w:val="00166218"/>
    <w:rsid w:val="00166E0F"/>
    <w:rsid w:val="001674C0"/>
    <w:rsid w:val="00170131"/>
    <w:rsid w:val="0017106E"/>
    <w:rsid w:val="00172F85"/>
    <w:rsid w:val="0017522E"/>
    <w:rsid w:val="0017563C"/>
    <w:rsid w:val="0017569E"/>
    <w:rsid w:val="00176733"/>
    <w:rsid w:val="001776A1"/>
    <w:rsid w:val="00177748"/>
    <w:rsid w:val="0018047E"/>
    <w:rsid w:val="0018129C"/>
    <w:rsid w:val="001812FB"/>
    <w:rsid w:val="001816D4"/>
    <w:rsid w:val="00182A6B"/>
    <w:rsid w:val="0018388D"/>
    <w:rsid w:val="00184677"/>
    <w:rsid w:val="001849E3"/>
    <w:rsid w:val="00184FD8"/>
    <w:rsid w:val="0018500F"/>
    <w:rsid w:val="00185DFE"/>
    <w:rsid w:val="00187FEA"/>
    <w:rsid w:val="00190D19"/>
    <w:rsid w:val="0019120A"/>
    <w:rsid w:val="00192832"/>
    <w:rsid w:val="00193655"/>
    <w:rsid w:val="00193CD9"/>
    <w:rsid w:val="001942B1"/>
    <w:rsid w:val="00195FB0"/>
    <w:rsid w:val="001A08D6"/>
    <w:rsid w:val="001A14C3"/>
    <w:rsid w:val="001A2868"/>
    <w:rsid w:val="001A299E"/>
    <w:rsid w:val="001A2C38"/>
    <w:rsid w:val="001A2E74"/>
    <w:rsid w:val="001A31A2"/>
    <w:rsid w:val="001A3B94"/>
    <w:rsid w:val="001A4812"/>
    <w:rsid w:val="001A6AAF"/>
    <w:rsid w:val="001A6C7E"/>
    <w:rsid w:val="001B0A49"/>
    <w:rsid w:val="001B12C8"/>
    <w:rsid w:val="001B1503"/>
    <w:rsid w:val="001B1AD4"/>
    <w:rsid w:val="001B27D3"/>
    <w:rsid w:val="001B2F8C"/>
    <w:rsid w:val="001B314F"/>
    <w:rsid w:val="001B346B"/>
    <w:rsid w:val="001B3B62"/>
    <w:rsid w:val="001B3FCC"/>
    <w:rsid w:val="001B4499"/>
    <w:rsid w:val="001B4A80"/>
    <w:rsid w:val="001B6ACF"/>
    <w:rsid w:val="001B70DB"/>
    <w:rsid w:val="001B71B4"/>
    <w:rsid w:val="001C0359"/>
    <w:rsid w:val="001C1033"/>
    <w:rsid w:val="001C1342"/>
    <w:rsid w:val="001C1713"/>
    <w:rsid w:val="001C1F25"/>
    <w:rsid w:val="001C209A"/>
    <w:rsid w:val="001C2C66"/>
    <w:rsid w:val="001C33C0"/>
    <w:rsid w:val="001C4080"/>
    <w:rsid w:val="001C4EE5"/>
    <w:rsid w:val="001C4FAF"/>
    <w:rsid w:val="001C5813"/>
    <w:rsid w:val="001C5A69"/>
    <w:rsid w:val="001C617B"/>
    <w:rsid w:val="001C6B96"/>
    <w:rsid w:val="001C708A"/>
    <w:rsid w:val="001C712B"/>
    <w:rsid w:val="001C7BD0"/>
    <w:rsid w:val="001D1BC5"/>
    <w:rsid w:val="001D28C5"/>
    <w:rsid w:val="001D3727"/>
    <w:rsid w:val="001D4942"/>
    <w:rsid w:val="001D565E"/>
    <w:rsid w:val="001D5666"/>
    <w:rsid w:val="001D6802"/>
    <w:rsid w:val="001D6A67"/>
    <w:rsid w:val="001D6C99"/>
    <w:rsid w:val="001D6F5B"/>
    <w:rsid w:val="001D709D"/>
    <w:rsid w:val="001D78DE"/>
    <w:rsid w:val="001E0386"/>
    <w:rsid w:val="001E1A1D"/>
    <w:rsid w:val="001E250D"/>
    <w:rsid w:val="001E28AB"/>
    <w:rsid w:val="001E37E0"/>
    <w:rsid w:val="001E386C"/>
    <w:rsid w:val="001E3D2C"/>
    <w:rsid w:val="001E428B"/>
    <w:rsid w:val="001E4688"/>
    <w:rsid w:val="001F001C"/>
    <w:rsid w:val="001F0049"/>
    <w:rsid w:val="001F0844"/>
    <w:rsid w:val="001F09A2"/>
    <w:rsid w:val="001F1294"/>
    <w:rsid w:val="001F1A94"/>
    <w:rsid w:val="001F2169"/>
    <w:rsid w:val="001F2624"/>
    <w:rsid w:val="001F2775"/>
    <w:rsid w:val="001F27EB"/>
    <w:rsid w:val="001F3274"/>
    <w:rsid w:val="001F4CFE"/>
    <w:rsid w:val="001F4D38"/>
    <w:rsid w:val="001F5C2C"/>
    <w:rsid w:val="001F619A"/>
    <w:rsid w:val="001F61A7"/>
    <w:rsid w:val="001F657D"/>
    <w:rsid w:val="001F7C23"/>
    <w:rsid w:val="0020039D"/>
    <w:rsid w:val="00201A59"/>
    <w:rsid w:val="00202109"/>
    <w:rsid w:val="0020297A"/>
    <w:rsid w:val="00203DCD"/>
    <w:rsid w:val="00204953"/>
    <w:rsid w:val="00205741"/>
    <w:rsid w:val="00205784"/>
    <w:rsid w:val="00205A0C"/>
    <w:rsid w:val="00205AE9"/>
    <w:rsid w:val="002066D7"/>
    <w:rsid w:val="00206985"/>
    <w:rsid w:val="002151F9"/>
    <w:rsid w:val="00215781"/>
    <w:rsid w:val="00215A2A"/>
    <w:rsid w:val="00215C83"/>
    <w:rsid w:val="002171FA"/>
    <w:rsid w:val="00217304"/>
    <w:rsid w:val="00217545"/>
    <w:rsid w:val="00217CDB"/>
    <w:rsid w:val="0022072B"/>
    <w:rsid w:val="00220A97"/>
    <w:rsid w:val="00220D4E"/>
    <w:rsid w:val="0022182D"/>
    <w:rsid w:val="002218D6"/>
    <w:rsid w:val="002233EF"/>
    <w:rsid w:val="0022417E"/>
    <w:rsid w:val="00224268"/>
    <w:rsid w:val="00225D69"/>
    <w:rsid w:val="00227704"/>
    <w:rsid w:val="00227ECD"/>
    <w:rsid w:val="00227F5C"/>
    <w:rsid w:val="0023053A"/>
    <w:rsid w:val="00230B57"/>
    <w:rsid w:val="00232488"/>
    <w:rsid w:val="00232925"/>
    <w:rsid w:val="002329E8"/>
    <w:rsid w:val="002331BE"/>
    <w:rsid w:val="002340E2"/>
    <w:rsid w:val="00234905"/>
    <w:rsid w:val="00234912"/>
    <w:rsid w:val="00235DF7"/>
    <w:rsid w:val="002361EF"/>
    <w:rsid w:val="0023656E"/>
    <w:rsid w:val="00236CFE"/>
    <w:rsid w:val="00236FFA"/>
    <w:rsid w:val="002372DB"/>
    <w:rsid w:val="00237CC5"/>
    <w:rsid w:val="00237CD3"/>
    <w:rsid w:val="002402F8"/>
    <w:rsid w:val="0024045F"/>
    <w:rsid w:val="00241237"/>
    <w:rsid w:val="00241A09"/>
    <w:rsid w:val="002429CE"/>
    <w:rsid w:val="0024324B"/>
    <w:rsid w:val="0024352B"/>
    <w:rsid w:val="002439B0"/>
    <w:rsid w:val="00244324"/>
    <w:rsid w:val="0024477C"/>
    <w:rsid w:val="00245C33"/>
    <w:rsid w:val="00245DFB"/>
    <w:rsid w:val="00245F87"/>
    <w:rsid w:val="00246C13"/>
    <w:rsid w:val="00247668"/>
    <w:rsid w:val="0025326A"/>
    <w:rsid w:val="0025488E"/>
    <w:rsid w:val="002555C5"/>
    <w:rsid w:val="0025571C"/>
    <w:rsid w:val="00256B8A"/>
    <w:rsid w:val="00260261"/>
    <w:rsid w:val="00260A51"/>
    <w:rsid w:val="00261FE5"/>
    <w:rsid w:val="002630FA"/>
    <w:rsid w:val="00263893"/>
    <w:rsid w:val="00263AB6"/>
    <w:rsid w:val="00263D3C"/>
    <w:rsid w:val="002640F8"/>
    <w:rsid w:val="002666D9"/>
    <w:rsid w:val="00266F90"/>
    <w:rsid w:val="00270AAE"/>
    <w:rsid w:val="00270BD3"/>
    <w:rsid w:val="00271977"/>
    <w:rsid w:val="00271DD2"/>
    <w:rsid w:val="002727DC"/>
    <w:rsid w:val="00273CB9"/>
    <w:rsid w:val="00273E41"/>
    <w:rsid w:val="00273E99"/>
    <w:rsid w:val="002740AC"/>
    <w:rsid w:val="0027564E"/>
    <w:rsid w:val="00275BE8"/>
    <w:rsid w:val="00281D27"/>
    <w:rsid w:val="00282579"/>
    <w:rsid w:val="00282AAA"/>
    <w:rsid w:val="002836C9"/>
    <w:rsid w:val="002837F4"/>
    <w:rsid w:val="00283D1B"/>
    <w:rsid w:val="002840A8"/>
    <w:rsid w:val="00284FF7"/>
    <w:rsid w:val="00285D9C"/>
    <w:rsid w:val="00285E4F"/>
    <w:rsid w:val="002861F2"/>
    <w:rsid w:val="0028718F"/>
    <w:rsid w:val="00290B5A"/>
    <w:rsid w:val="00291912"/>
    <w:rsid w:val="00292979"/>
    <w:rsid w:val="0029415D"/>
    <w:rsid w:val="00295765"/>
    <w:rsid w:val="002979D6"/>
    <w:rsid w:val="002A03BB"/>
    <w:rsid w:val="002A1784"/>
    <w:rsid w:val="002A1F7D"/>
    <w:rsid w:val="002A3267"/>
    <w:rsid w:val="002A3F97"/>
    <w:rsid w:val="002A4470"/>
    <w:rsid w:val="002A5A08"/>
    <w:rsid w:val="002A62C0"/>
    <w:rsid w:val="002A6364"/>
    <w:rsid w:val="002A6F6E"/>
    <w:rsid w:val="002B1824"/>
    <w:rsid w:val="002B1E49"/>
    <w:rsid w:val="002B20E1"/>
    <w:rsid w:val="002B2D98"/>
    <w:rsid w:val="002B5504"/>
    <w:rsid w:val="002B6260"/>
    <w:rsid w:val="002B68B3"/>
    <w:rsid w:val="002B6C6E"/>
    <w:rsid w:val="002B7387"/>
    <w:rsid w:val="002B7AE5"/>
    <w:rsid w:val="002C0151"/>
    <w:rsid w:val="002C077E"/>
    <w:rsid w:val="002C0878"/>
    <w:rsid w:val="002C08B6"/>
    <w:rsid w:val="002C0FAE"/>
    <w:rsid w:val="002C1731"/>
    <w:rsid w:val="002C1EC8"/>
    <w:rsid w:val="002C37FE"/>
    <w:rsid w:val="002C41AD"/>
    <w:rsid w:val="002C4BD3"/>
    <w:rsid w:val="002C542A"/>
    <w:rsid w:val="002C5AE0"/>
    <w:rsid w:val="002C60A5"/>
    <w:rsid w:val="002C6510"/>
    <w:rsid w:val="002C6838"/>
    <w:rsid w:val="002C6E63"/>
    <w:rsid w:val="002C7E74"/>
    <w:rsid w:val="002D1E11"/>
    <w:rsid w:val="002D2101"/>
    <w:rsid w:val="002D3E89"/>
    <w:rsid w:val="002D4F98"/>
    <w:rsid w:val="002D51A4"/>
    <w:rsid w:val="002D5230"/>
    <w:rsid w:val="002D588E"/>
    <w:rsid w:val="002D623A"/>
    <w:rsid w:val="002D6335"/>
    <w:rsid w:val="002D635D"/>
    <w:rsid w:val="002D662D"/>
    <w:rsid w:val="002D7873"/>
    <w:rsid w:val="002E0AB6"/>
    <w:rsid w:val="002E1300"/>
    <w:rsid w:val="002E17D6"/>
    <w:rsid w:val="002E1A96"/>
    <w:rsid w:val="002E1BF0"/>
    <w:rsid w:val="002E3F7F"/>
    <w:rsid w:val="002E433C"/>
    <w:rsid w:val="002E4F6E"/>
    <w:rsid w:val="002E583E"/>
    <w:rsid w:val="002E5DBC"/>
    <w:rsid w:val="002E6404"/>
    <w:rsid w:val="002E7434"/>
    <w:rsid w:val="002F201B"/>
    <w:rsid w:val="002F24E0"/>
    <w:rsid w:val="002F3314"/>
    <w:rsid w:val="002F3AA7"/>
    <w:rsid w:val="002F3F85"/>
    <w:rsid w:val="002F41EF"/>
    <w:rsid w:val="002F49B8"/>
    <w:rsid w:val="002F51D8"/>
    <w:rsid w:val="002F52EF"/>
    <w:rsid w:val="002F60FC"/>
    <w:rsid w:val="002F79D9"/>
    <w:rsid w:val="00300384"/>
    <w:rsid w:val="00300A1E"/>
    <w:rsid w:val="0030112A"/>
    <w:rsid w:val="00301B36"/>
    <w:rsid w:val="003025BA"/>
    <w:rsid w:val="003029A5"/>
    <w:rsid w:val="00302E39"/>
    <w:rsid w:val="00303029"/>
    <w:rsid w:val="00303771"/>
    <w:rsid w:val="00303AE7"/>
    <w:rsid w:val="00303DAB"/>
    <w:rsid w:val="0030433C"/>
    <w:rsid w:val="00304F3C"/>
    <w:rsid w:val="0030673A"/>
    <w:rsid w:val="003068DB"/>
    <w:rsid w:val="00306CE8"/>
    <w:rsid w:val="00306EFF"/>
    <w:rsid w:val="003077A8"/>
    <w:rsid w:val="00311648"/>
    <w:rsid w:val="00313292"/>
    <w:rsid w:val="003132A5"/>
    <w:rsid w:val="00313791"/>
    <w:rsid w:val="003138E2"/>
    <w:rsid w:val="00313B97"/>
    <w:rsid w:val="00314340"/>
    <w:rsid w:val="003151A7"/>
    <w:rsid w:val="003172B4"/>
    <w:rsid w:val="0031749A"/>
    <w:rsid w:val="00317DA4"/>
    <w:rsid w:val="00320FCE"/>
    <w:rsid w:val="00321A7A"/>
    <w:rsid w:val="003221C8"/>
    <w:rsid w:val="003221D1"/>
    <w:rsid w:val="003222BD"/>
    <w:rsid w:val="00322659"/>
    <w:rsid w:val="003227D9"/>
    <w:rsid w:val="003231D7"/>
    <w:rsid w:val="00323D7C"/>
    <w:rsid w:val="00324095"/>
    <w:rsid w:val="00324DB2"/>
    <w:rsid w:val="003265F6"/>
    <w:rsid w:val="0032668D"/>
    <w:rsid w:val="00326F2D"/>
    <w:rsid w:val="00327EF4"/>
    <w:rsid w:val="00327F48"/>
    <w:rsid w:val="00327F5A"/>
    <w:rsid w:val="003300DA"/>
    <w:rsid w:val="003315C2"/>
    <w:rsid w:val="00331B2B"/>
    <w:rsid w:val="00331BBA"/>
    <w:rsid w:val="00332317"/>
    <w:rsid w:val="003327F8"/>
    <w:rsid w:val="00332CF6"/>
    <w:rsid w:val="003333B5"/>
    <w:rsid w:val="00333A62"/>
    <w:rsid w:val="003340A8"/>
    <w:rsid w:val="003345CA"/>
    <w:rsid w:val="0033487B"/>
    <w:rsid w:val="003355B4"/>
    <w:rsid w:val="003356D6"/>
    <w:rsid w:val="003360B4"/>
    <w:rsid w:val="003368AD"/>
    <w:rsid w:val="00336C85"/>
    <w:rsid w:val="00336ED3"/>
    <w:rsid w:val="003402AD"/>
    <w:rsid w:val="00340C60"/>
    <w:rsid w:val="00341B22"/>
    <w:rsid w:val="00341C23"/>
    <w:rsid w:val="00341CFE"/>
    <w:rsid w:val="003420AA"/>
    <w:rsid w:val="003439DA"/>
    <w:rsid w:val="00343ED3"/>
    <w:rsid w:val="003448B1"/>
    <w:rsid w:val="00344C6F"/>
    <w:rsid w:val="00347370"/>
    <w:rsid w:val="00347723"/>
    <w:rsid w:val="00347845"/>
    <w:rsid w:val="0035084A"/>
    <w:rsid w:val="00352906"/>
    <w:rsid w:val="0035316D"/>
    <w:rsid w:val="003531A8"/>
    <w:rsid w:val="00354CF3"/>
    <w:rsid w:val="00355021"/>
    <w:rsid w:val="003551BC"/>
    <w:rsid w:val="003563BC"/>
    <w:rsid w:val="00356659"/>
    <w:rsid w:val="00356CC4"/>
    <w:rsid w:val="00357839"/>
    <w:rsid w:val="003578EC"/>
    <w:rsid w:val="00357F9E"/>
    <w:rsid w:val="0036145B"/>
    <w:rsid w:val="003617DD"/>
    <w:rsid w:val="003630EE"/>
    <w:rsid w:val="00363495"/>
    <w:rsid w:val="003641BB"/>
    <w:rsid w:val="0036420A"/>
    <w:rsid w:val="00364464"/>
    <w:rsid w:val="00365ED0"/>
    <w:rsid w:val="00365F88"/>
    <w:rsid w:val="00366A1D"/>
    <w:rsid w:val="00367DDB"/>
    <w:rsid w:val="00370129"/>
    <w:rsid w:val="003703F3"/>
    <w:rsid w:val="00370730"/>
    <w:rsid w:val="00370A73"/>
    <w:rsid w:val="00370EDC"/>
    <w:rsid w:val="00371BC0"/>
    <w:rsid w:val="0037204B"/>
    <w:rsid w:val="00372F92"/>
    <w:rsid w:val="003734CF"/>
    <w:rsid w:val="0037433D"/>
    <w:rsid w:val="00374630"/>
    <w:rsid w:val="003748C9"/>
    <w:rsid w:val="00375833"/>
    <w:rsid w:val="0037645A"/>
    <w:rsid w:val="003765F8"/>
    <w:rsid w:val="00376ABB"/>
    <w:rsid w:val="00376C61"/>
    <w:rsid w:val="00377BA4"/>
    <w:rsid w:val="003801CF"/>
    <w:rsid w:val="00383113"/>
    <w:rsid w:val="0038335F"/>
    <w:rsid w:val="00383C13"/>
    <w:rsid w:val="0038466F"/>
    <w:rsid w:val="00385029"/>
    <w:rsid w:val="003850A9"/>
    <w:rsid w:val="00385CA3"/>
    <w:rsid w:val="00385EA4"/>
    <w:rsid w:val="00386694"/>
    <w:rsid w:val="00387A78"/>
    <w:rsid w:val="00392DA7"/>
    <w:rsid w:val="003932B7"/>
    <w:rsid w:val="00393B68"/>
    <w:rsid w:val="003942ED"/>
    <w:rsid w:val="0039457F"/>
    <w:rsid w:val="00394CDE"/>
    <w:rsid w:val="003952AB"/>
    <w:rsid w:val="00395875"/>
    <w:rsid w:val="003963FD"/>
    <w:rsid w:val="003964C8"/>
    <w:rsid w:val="0039675C"/>
    <w:rsid w:val="00396A59"/>
    <w:rsid w:val="00396D42"/>
    <w:rsid w:val="00397E1B"/>
    <w:rsid w:val="003A03C0"/>
    <w:rsid w:val="003A0AD7"/>
    <w:rsid w:val="003A37CC"/>
    <w:rsid w:val="003A49A7"/>
    <w:rsid w:val="003A4BDE"/>
    <w:rsid w:val="003A53B1"/>
    <w:rsid w:val="003A549D"/>
    <w:rsid w:val="003A5B59"/>
    <w:rsid w:val="003A5F5E"/>
    <w:rsid w:val="003A6FF4"/>
    <w:rsid w:val="003A719D"/>
    <w:rsid w:val="003B0242"/>
    <w:rsid w:val="003B1BC7"/>
    <w:rsid w:val="003B3B55"/>
    <w:rsid w:val="003B468F"/>
    <w:rsid w:val="003B5B2B"/>
    <w:rsid w:val="003B6098"/>
    <w:rsid w:val="003B67E3"/>
    <w:rsid w:val="003B6ADF"/>
    <w:rsid w:val="003B77A4"/>
    <w:rsid w:val="003B7D9A"/>
    <w:rsid w:val="003C003C"/>
    <w:rsid w:val="003C0A2A"/>
    <w:rsid w:val="003C0A5F"/>
    <w:rsid w:val="003C0BD5"/>
    <w:rsid w:val="003C1495"/>
    <w:rsid w:val="003C21C4"/>
    <w:rsid w:val="003C21FD"/>
    <w:rsid w:val="003C2AAE"/>
    <w:rsid w:val="003C2D86"/>
    <w:rsid w:val="003C2DEC"/>
    <w:rsid w:val="003C498C"/>
    <w:rsid w:val="003C5EFA"/>
    <w:rsid w:val="003C5F5C"/>
    <w:rsid w:val="003C62BD"/>
    <w:rsid w:val="003C6F09"/>
    <w:rsid w:val="003D0074"/>
    <w:rsid w:val="003D0FA8"/>
    <w:rsid w:val="003D1653"/>
    <w:rsid w:val="003D1871"/>
    <w:rsid w:val="003D1FE2"/>
    <w:rsid w:val="003D24A1"/>
    <w:rsid w:val="003D350B"/>
    <w:rsid w:val="003D3EB4"/>
    <w:rsid w:val="003D40F2"/>
    <w:rsid w:val="003D418D"/>
    <w:rsid w:val="003D6CBF"/>
    <w:rsid w:val="003D6F74"/>
    <w:rsid w:val="003D7CA2"/>
    <w:rsid w:val="003E00B1"/>
    <w:rsid w:val="003E01E3"/>
    <w:rsid w:val="003E1C29"/>
    <w:rsid w:val="003E2889"/>
    <w:rsid w:val="003E2F9E"/>
    <w:rsid w:val="003E3015"/>
    <w:rsid w:val="003E46B3"/>
    <w:rsid w:val="003E6C16"/>
    <w:rsid w:val="003E7C9C"/>
    <w:rsid w:val="003E7E85"/>
    <w:rsid w:val="003F03E2"/>
    <w:rsid w:val="003F07D7"/>
    <w:rsid w:val="003F1B95"/>
    <w:rsid w:val="003F275E"/>
    <w:rsid w:val="003F402D"/>
    <w:rsid w:val="003F49A3"/>
    <w:rsid w:val="003F51B4"/>
    <w:rsid w:val="003F536D"/>
    <w:rsid w:val="003F63AE"/>
    <w:rsid w:val="003F6617"/>
    <w:rsid w:val="003F67B4"/>
    <w:rsid w:val="003F6DC6"/>
    <w:rsid w:val="003F6EFC"/>
    <w:rsid w:val="003F7953"/>
    <w:rsid w:val="0040038C"/>
    <w:rsid w:val="0040091A"/>
    <w:rsid w:val="00400B3B"/>
    <w:rsid w:val="0040276E"/>
    <w:rsid w:val="00404C9E"/>
    <w:rsid w:val="00405428"/>
    <w:rsid w:val="00405C15"/>
    <w:rsid w:val="00406DB5"/>
    <w:rsid w:val="00407691"/>
    <w:rsid w:val="00410A26"/>
    <w:rsid w:val="00410DF3"/>
    <w:rsid w:val="00411E7C"/>
    <w:rsid w:val="00411EDB"/>
    <w:rsid w:val="00413F3A"/>
    <w:rsid w:val="00414452"/>
    <w:rsid w:val="00414AD0"/>
    <w:rsid w:val="00416572"/>
    <w:rsid w:val="00420AAB"/>
    <w:rsid w:val="00420B12"/>
    <w:rsid w:val="00420F76"/>
    <w:rsid w:val="00421BA5"/>
    <w:rsid w:val="00422C1B"/>
    <w:rsid w:val="004239F5"/>
    <w:rsid w:val="00426304"/>
    <w:rsid w:val="00426506"/>
    <w:rsid w:val="00426724"/>
    <w:rsid w:val="00427305"/>
    <w:rsid w:val="00427335"/>
    <w:rsid w:val="00427AAC"/>
    <w:rsid w:val="00427C66"/>
    <w:rsid w:val="00430D4C"/>
    <w:rsid w:val="004315B6"/>
    <w:rsid w:val="00431607"/>
    <w:rsid w:val="00432752"/>
    <w:rsid w:val="00433D29"/>
    <w:rsid w:val="00433F95"/>
    <w:rsid w:val="00434FB3"/>
    <w:rsid w:val="00435390"/>
    <w:rsid w:val="00436332"/>
    <w:rsid w:val="00437AA4"/>
    <w:rsid w:val="004400D5"/>
    <w:rsid w:val="0044123C"/>
    <w:rsid w:val="004415C7"/>
    <w:rsid w:val="00441F28"/>
    <w:rsid w:val="00442C5E"/>
    <w:rsid w:val="00443816"/>
    <w:rsid w:val="004441D5"/>
    <w:rsid w:val="00444550"/>
    <w:rsid w:val="0044456E"/>
    <w:rsid w:val="00445460"/>
    <w:rsid w:val="004457B0"/>
    <w:rsid w:val="004460DC"/>
    <w:rsid w:val="004461EC"/>
    <w:rsid w:val="00446E6E"/>
    <w:rsid w:val="004472F6"/>
    <w:rsid w:val="00450D3E"/>
    <w:rsid w:val="00451635"/>
    <w:rsid w:val="00451B70"/>
    <w:rsid w:val="00451B8A"/>
    <w:rsid w:val="00452160"/>
    <w:rsid w:val="004534BE"/>
    <w:rsid w:val="00454C50"/>
    <w:rsid w:val="00454E6D"/>
    <w:rsid w:val="00455228"/>
    <w:rsid w:val="0045619A"/>
    <w:rsid w:val="0046038A"/>
    <w:rsid w:val="00460EED"/>
    <w:rsid w:val="004612DC"/>
    <w:rsid w:val="004614B6"/>
    <w:rsid w:val="00461A70"/>
    <w:rsid w:val="00462071"/>
    <w:rsid w:val="004627AF"/>
    <w:rsid w:val="00463F8A"/>
    <w:rsid w:val="00464471"/>
    <w:rsid w:val="0046736C"/>
    <w:rsid w:val="00467EC9"/>
    <w:rsid w:val="004702A2"/>
    <w:rsid w:val="00471433"/>
    <w:rsid w:val="004717EA"/>
    <w:rsid w:val="00471D27"/>
    <w:rsid w:val="00472AF0"/>
    <w:rsid w:val="00474D8C"/>
    <w:rsid w:val="00475A29"/>
    <w:rsid w:val="00475B01"/>
    <w:rsid w:val="00475DCA"/>
    <w:rsid w:val="00476CAB"/>
    <w:rsid w:val="00476EEE"/>
    <w:rsid w:val="0047759C"/>
    <w:rsid w:val="00480363"/>
    <w:rsid w:val="00481DD2"/>
    <w:rsid w:val="00482F84"/>
    <w:rsid w:val="004836D0"/>
    <w:rsid w:val="00483DA1"/>
    <w:rsid w:val="00484435"/>
    <w:rsid w:val="0048462B"/>
    <w:rsid w:val="004849A8"/>
    <w:rsid w:val="00484F50"/>
    <w:rsid w:val="00485DF6"/>
    <w:rsid w:val="00486AA2"/>
    <w:rsid w:val="0048702D"/>
    <w:rsid w:val="00487587"/>
    <w:rsid w:val="00487EB1"/>
    <w:rsid w:val="00490FF1"/>
    <w:rsid w:val="00491381"/>
    <w:rsid w:val="0049210A"/>
    <w:rsid w:val="00492C1E"/>
    <w:rsid w:val="00493242"/>
    <w:rsid w:val="00493556"/>
    <w:rsid w:val="00493A9D"/>
    <w:rsid w:val="00493AB3"/>
    <w:rsid w:val="00494448"/>
    <w:rsid w:val="0049450C"/>
    <w:rsid w:val="00494F79"/>
    <w:rsid w:val="0049521A"/>
    <w:rsid w:val="0049572F"/>
    <w:rsid w:val="00495EC3"/>
    <w:rsid w:val="00495F94"/>
    <w:rsid w:val="004965F6"/>
    <w:rsid w:val="004968CB"/>
    <w:rsid w:val="004A0456"/>
    <w:rsid w:val="004A210D"/>
    <w:rsid w:val="004A2D1C"/>
    <w:rsid w:val="004A345C"/>
    <w:rsid w:val="004A3581"/>
    <w:rsid w:val="004A3CA5"/>
    <w:rsid w:val="004A423C"/>
    <w:rsid w:val="004A63BA"/>
    <w:rsid w:val="004A664E"/>
    <w:rsid w:val="004A7929"/>
    <w:rsid w:val="004B1E20"/>
    <w:rsid w:val="004B23F4"/>
    <w:rsid w:val="004B2FE6"/>
    <w:rsid w:val="004B3870"/>
    <w:rsid w:val="004B46A2"/>
    <w:rsid w:val="004B54ED"/>
    <w:rsid w:val="004B581C"/>
    <w:rsid w:val="004B6C07"/>
    <w:rsid w:val="004B6C30"/>
    <w:rsid w:val="004B7698"/>
    <w:rsid w:val="004C222A"/>
    <w:rsid w:val="004C2874"/>
    <w:rsid w:val="004C293D"/>
    <w:rsid w:val="004C2D2A"/>
    <w:rsid w:val="004C31E1"/>
    <w:rsid w:val="004C442A"/>
    <w:rsid w:val="004C4DDA"/>
    <w:rsid w:val="004C55A5"/>
    <w:rsid w:val="004C635C"/>
    <w:rsid w:val="004C65D1"/>
    <w:rsid w:val="004C6D8B"/>
    <w:rsid w:val="004C7DD7"/>
    <w:rsid w:val="004D1135"/>
    <w:rsid w:val="004D156F"/>
    <w:rsid w:val="004D1DFF"/>
    <w:rsid w:val="004D253D"/>
    <w:rsid w:val="004D29B6"/>
    <w:rsid w:val="004D33B2"/>
    <w:rsid w:val="004D3630"/>
    <w:rsid w:val="004D3FB4"/>
    <w:rsid w:val="004D4BAC"/>
    <w:rsid w:val="004D5577"/>
    <w:rsid w:val="004D5B3D"/>
    <w:rsid w:val="004D5CD5"/>
    <w:rsid w:val="004D619C"/>
    <w:rsid w:val="004E0B06"/>
    <w:rsid w:val="004E0E04"/>
    <w:rsid w:val="004E221F"/>
    <w:rsid w:val="004E2798"/>
    <w:rsid w:val="004E2F55"/>
    <w:rsid w:val="004E31F7"/>
    <w:rsid w:val="004E6CBB"/>
    <w:rsid w:val="004F12C5"/>
    <w:rsid w:val="004F13E5"/>
    <w:rsid w:val="004F2E55"/>
    <w:rsid w:val="004F46AC"/>
    <w:rsid w:val="004F4E93"/>
    <w:rsid w:val="004F7162"/>
    <w:rsid w:val="004F75C1"/>
    <w:rsid w:val="004F78EB"/>
    <w:rsid w:val="00500167"/>
    <w:rsid w:val="005001B5"/>
    <w:rsid w:val="0050063F"/>
    <w:rsid w:val="005018CD"/>
    <w:rsid w:val="005021AB"/>
    <w:rsid w:val="00503002"/>
    <w:rsid w:val="00503384"/>
    <w:rsid w:val="00503D43"/>
    <w:rsid w:val="005040C8"/>
    <w:rsid w:val="0050489A"/>
    <w:rsid w:val="0050581D"/>
    <w:rsid w:val="00506801"/>
    <w:rsid w:val="00507368"/>
    <w:rsid w:val="005074AF"/>
    <w:rsid w:val="00507F5A"/>
    <w:rsid w:val="005107E9"/>
    <w:rsid w:val="005110E5"/>
    <w:rsid w:val="00511483"/>
    <w:rsid w:val="005115B0"/>
    <w:rsid w:val="00511EC3"/>
    <w:rsid w:val="00512102"/>
    <w:rsid w:val="005128A5"/>
    <w:rsid w:val="00512D60"/>
    <w:rsid w:val="00512DDD"/>
    <w:rsid w:val="005147B0"/>
    <w:rsid w:val="00514B7C"/>
    <w:rsid w:val="00515309"/>
    <w:rsid w:val="005154B8"/>
    <w:rsid w:val="005164BC"/>
    <w:rsid w:val="00517162"/>
    <w:rsid w:val="0052050B"/>
    <w:rsid w:val="005218A0"/>
    <w:rsid w:val="005219D8"/>
    <w:rsid w:val="005232FC"/>
    <w:rsid w:val="00523453"/>
    <w:rsid w:val="005235C2"/>
    <w:rsid w:val="00523AB2"/>
    <w:rsid w:val="00524265"/>
    <w:rsid w:val="00525E48"/>
    <w:rsid w:val="00526997"/>
    <w:rsid w:val="005271A2"/>
    <w:rsid w:val="00527CF6"/>
    <w:rsid w:val="00530575"/>
    <w:rsid w:val="005307FE"/>
    <w:rsid w:val="00531334"/>
    <w:rsid w:val="0053134B"/>
    <w:rsid w:val="00534632"/>
    <w:rsid w:val="00534967"/>
    <w:rsid w:val="00536D29"/>
    <w:rsid w:val="00537768"/>
    <w:rsid w:val="005405E2"/>
    <w:rsid w:val="0054093E"/>
    <w:rsid w:val="00540DF0"/>
    <w:rsid w:val="0054100A"/>
    <w:rsid w:val="005416D2"/>
    <w:rsid w:val="005417FA"/>
    <w:rsid w:val="00542817"/>
    <w:rsid w:val="00543706"/>
    <w:rsid w:val="00544279"/>
    <w:rsid w:val="00544B03"/>
    <w:rsid w:val="005451A3"/>
    <w:rsid w:val="005504E0"/>
    <w:rsid w:val="00550698"/>
    <w:rsid w:val="0055148E"/>
    <w:rsid w:val="00551571"/>
    <w:rsid w:val="00551DEE"/>
    <w:rsid w:val="00552949"/>
    <w:rsid w:val="00552D26"/>
    <w:rsid w:val="00552D72"/>
    <w:rsid w:val="00553BF6"/>
    <w:rsid w:val="00554879"/>
    <w:rsid w:val="00554981"/>
    <w:rsid w:val="00554A89"/>
    <w:rsid w:val="00554FFC"/>
    <w:rsid w:val="00557465"/>
    <w:rsid w:val="005578F8"/>
    <w:rsid w:val="00557B42"/>
    <w:rsid w:val="0056009D"/>
    <w:rsid w:val="0056068B"/>
    <w:rsid w:val="00561DA1"/>
    <w:rsid w:val="0056322F"/>
    <w:rsid w:val="00563AF0"/>
    <w:rsid w:val="00565458"/>
    <w:rsid w:val="00565734"/>
    <w:rsid w:val="005657CB"/>
    <w:rsid w:val="00566B90"/>
    <w:rsid w:val="005677BB"/>
    <w:rsid w:val="005711FF"/>
    <w:rsid w:val="00571878"/>
    <w:rsid w:val="0057231E"/>
    <w:rsid w:val="00572410"/>
    <w:rsid w:val="005728EC"/>
    <w:rsid w:val="00572B7F"/>
    <w:rsid w:val="00572E03"/>
    <w:rsid w:val="0057351A"/>
    <w:rsid w:val="0057374B"/>
    <w:rsid w:val="0057533F"/>
    <w:rsid w:val="00575B15"/>
    <w:rsid w:val="00577CE3"/>
    <w:rsid w:val="00577E6F"/>
    <w:rsid w:val="00581364"/>
    <w:rsid w:val="00581EAA"/>
    <w:rsid w:val="00582AA3"/>
    <w:rsid w:val="00583304"/>
    <w:rsid w:val="0058428E"/>
    <w:rsid w:val="00584CAA"/>
    <w:rsid w:val="00584CAE"/>
    <w:rsid w:val="00584D40"/>
    <w:rsid w:val="00584E84"/>
    <w:rsid w:val="005854E1"/>
    <w:rsid w:val="00586AFB"/>
    <w:rsid w:val="00586B7A"/>
    <w:rsid w:val="00587174"/>
    <w:rsid w:val="00587439"/>
    <w:rsid w:val="0058777A"/>
    <w:rsid w:val="00587C3F"/>
    <w:rsid w:val="00592437"/>
    <w:rsid w:val="00593DCE"/>
    <w:rsid w:val="005972E3"/>
    <w:rsid w:val="005975FF"/>
    <w:rsid w:val="005A02B5"/>
    <w:rsid w:val="005A0721"/>
    <w:rsid w:val="005A1FDC"/>
    <w:rsid w:val="005A222C"/>
    <w:rsid w:val="005A391E"/>
    <w:rsid w:val="005A48FA"/>
    <w:rsid w:val="005A51C0"/>
    <w:rsid w:val="005A5C10"/>
    <w:rsid w:val="005A74F6"/>
    <w:rsid w:val="005B035C"/>
    <w:rsid w:val="005B05B9"/>
    <w:rsid w:val="005B089F"/>
    <w:rsid w:val="005B0A19"/>
    <w:rsid w:val="005B1CEE"/>
    <w:rsid w:val="005B1FAA"/>
    <w:rsid w:val="005B3483"/>
    <w:rsid w:val="005B43F6"/>
    <w:rsid w:val="005B4718"/>
    <w:rsid w:val="005B5097"/>
    <w:rsid w:val="005B5DE6"/>
    <w:rsid w:val="005B6532"/>
    <w:rsid w:val="005B70C5"/>
    <w:rsid w:val="005B744B"/>
    <w:rsid w:val="005B7990"/>
    <w:rsid w:val="005C04E7"/>
    <w:rsid w:val="005C09C3"/>
    <w:rsid w:val="005C2FFE"/>
    <w:rsid w:val="005C30C6"/>
    <w:rsid w:val="005C31F3"/>
    <w:rsid w:val="005C4055"/>
    <w:rsid w:val="005C4069"/>
    <w:rsid w:val="005C4228"/>
    <w:rsid w:val="005C4602"/>
    <w:rsid w:val="005C5BCC"/>
    <w:rsid w:val="005C5DC2"/>
    <w:rsid w:val="005C717B"/>
    <w:rsid w:val="005C7A41"/>
    <w:rsid w:val="005C7C87"/>
    <w:rsid w:val="005D06EA"/>
    <w:rsid w:val="005D0A2A"/>
    <w:rsid w:val="005D1656"/>
    <w:rsid w:val="005D220C"/>
    <w:rsid w:val="005D3AE0"/>
    <w:rsid w:val="005D4AB6"/>
    <w:rsid w:val="005D525B"/>
    <w:rsid w:val="005D6ECB"/>
    <w:rsid w:val="005D704B"/>
    <w:rsid w:val="005D70EB"/>
    <w:rsid w:val="005E0164"/>
    <w:rsid w:val="005E129E"/>
    <w:rsid w:val="005E2A77"/>
    <w:rsid w:val="005E2C66"/>
    <w:rsid w:val="005E3F57"/>
    <w:rsid w:val="005E537A"/>
    <w:rsid w:val="005E580F"/>
    <w:rsid w:val="005E629A"/>
    <w:rsid w:val="005E6540"/>
    <w:rsid w:val="005F037E"/>
    <w:rsid w:val="005F0C69"/>
    <w:rsid w:val="005F0E14"/>
    <w:rsid w:val="005F109F"/>
    <w:rsid w:val="005F2E00"/>
    <w:rsid w:val="005F346B"/>
    <w:rsid w:val="005F34AC"/>
    <w:rsid w:val="005F3592"/>
    <w:rsid w:val="005F4DFB"/>
    <w:rsid w:val="005F6045"/>
    <w:rsid w:val="005F6C67"/>
    <w:rsid w:val="005F7326"/>
    <w:rsid w:val="005F789A"/>
    <w:rsid w:val="005F7A7E"/>
    <w:rsid w:val="005F7B71"/>
    <w:rsid w:val="00601CCB"/>
    <w:rsid w:val="00601D99"/>
    <w:rsid w:val="006020BB"/>
    <w:rsid w:val="0060241A"/>
    <w:rsid w:val="006028CD"/>
    <w:rsid w:val="00602A4E"/>
    <w:rsid w:val="006033BB"/>
    <w:rsid w:val="0060430A"/>
    <w:rsid w:val="006066B5"/>
    <w:rsid w:val="00607179"/>
    <w:rsid w:val="00607721"/>
    <w:rsid w:val="00607905"/>
    <w:rsid w:val="00607E1B"/>
    <w:rsid w:val="00607F38"/>
    <w:rsid w:val="006102A8"/>
    <w:rsid w:val="00610FC1"/>
    <w:rsid w:val="0061325D"/>
    <w:rsid w:val="0061424A"/>
    <w:rsid w:val="00614916"/>
    <w:rsid w:val="00614E27"/>
    <w:rsid w:val="00616415"/>
    <w:rsid w:val="0061669A"/>
    <w:rsid w:val="00616931"/>
    <w:rsid w:val="00616D55"/>
    <w:rsid w:val="00616EEE"/>
    <w:rsid w:val="0062011D"/>
    <w:rsid w:val="006217A5"/>
    <w:rsid w:val="00621FDE"/>
    <w:rsid w:val="00622053"/>
    <w:rsid w:val="00622D25"/>
    <w:rsid w:val="0062382E"/>
    <w:rsid w:val="00623E61"/>
    <w:rsid w:val="006242DB"/>
    <w:rsid w:val="0062585D"/>
    <w:rsid w:val="006263DD"/>
    <w:rsid w:val="00626FC6"/>
    <w:rsid w:val="00627CB4"/>
    <w:rsid w:val="00627CDA"/>
    <w:rsid w:val="006302BB"/>
    <w:rsid w:val="00630643"/>
    <w:rsid w:val="00630739"/>
    <w:rsid w:val="006318B7"/>
    <w:rsid w:val="0063260F"/>
    <w:rsid w:val="006327D6"/>
    <w:rsid w:val="00632C6E"/>
    <w:rsid w:val="0063370E"/>
    <w:rsid w:val="0063406F"/>
    <w:rsid w:val="006343FA"/>
    <w:rsid w:val="00634D25"/>
    <w:rsid w:val="006355D7"/>
    <w:rsid w:val="006357CB"/>
    <w:rsid w:val="006363C9"/>
    <w:rsid w:val="0063674B"/>
    <w:rsid w:val="0063690A"/>
    <w:rsid w:val="00636B2D"/>
    <w:rsid w:val="00637FBC"/>
    <w:rsid w:val="00641AFC"/>
    <w:rsid w:val="00641F31"/>
    <w:rsid w:val="0064272F"/>
    <w:rsid w:val="0064291F"/>
    <w:rsid w:val="00642B7D"/>
    <w:rsid w:val="006437E1"/>
    <w:rsid w:val="0064477A"/>
    <w:rsid w:val="00644CDA"/>
    <w:rsid w:val="00644E1E"/>
    <w:rsid w:val="0064590A"/>
    <w:rsid w:val="006460FE"/>
    <w:rsid w:val="00646D25"/>
    <w:rsid w:val="006475AE"/>
    <w:rsid w:val="00647BA0"/>
    <w:rsid w:val="00651395"/>
    <w:rsid w:val="00651728"/>
    <w:rsid w:val="006518EB"/>
    <w:rsid w:val="00651FB5"/>
    <w:rsid w:val="006526BA"/>
    <w:rsid w:val="00652740"/>
    <w:rsid w:val="00654ABF"/>
    <w:rsid w:val="00655BDF"/>
    <w:rsid w:val="00656CA9"/>
    <w:rsid w:val="00657187"/>
    <w:rsid w:val="0066010C"/>
    <w:rsid w:val="0066023A"/>
    <w:rsid w:val="00660BFC"/>
    <w:rsid w:val="00660E88"/>
    <w:rsid w:val="00661C6C"/>
    <w:rsid w:val="00662234"/>
    <w:rsid w:val="006623DB"/>
    <w:rsid w:val="00662B92"/>
    <w:rsid w:val="00663761"/>
    <w:rsid w:val="00663F01"/>
    <w:rsid w:val="00665877"/>
    <w:rsid w:val="00666D1E"/>
    <w:rsid w:val="00667178"/>
    <w:rsid w:val="00667415"/>
    <w:rsid w:val="006679C1"/>
    <w:rsid w:val="00667AEE"/>
    <w:rsid w:val="00667C00"/>
    <w:rsid w:val="00667EFA"/>
    <w:rsid w:val="006703F3"/>
    <w:rsid w:val="006710D1"/>
    <w:rsid w:val="006710DF"/>
    <w:rsid w:val="006736B4"/>
    <w:rsid w:val="0067386F"/>
    <w:rsid w:val="006747DE"/>
    <w:rsid w:val="00674FD9"/>
    <w:rsid w:val="006750DB"/>
    <w:rsid w:val="006756F3"/>
    <w:rsid w:val="00680101"/>
    <w:rsid w:val="0068043F"/>
    <w:rsid w:val="006811AF"/>
    <w:rsid w:val="006813F5"/>
    <w:rsid w:val="006822FE"/>
    <w:rsid w:val="00682B3B"/>
    <w:rsid w:val="006837D0"/>
    <w:rsid w:val="00683EF0"/>
    <w:rsid w:val="00684A1C"/>
    <w:rsid w:val="00685CF2"/>
    <w:rsid w:val="00686474"/>
    <w:rsid w:val="0068745F"/>
    <w:rsid w:val="00690627"/>
    <w:rsid w:val="0069082A"/>
    <w:rsid w:val="00690CA6"/>
    <w:rsid w:val="00690F2F"/>
    <w:rsid w:val="006922A5"/>
    <w:rsid w:val="00692435"/>
    <w:rsid w:val="00692DD6"/>
    <w:rsid w:val="00693046"/>
    <w:rsid w:val="006932C9"/>
    <w:rsid w:val="006944E9"/>
    <w:rsid w:val="00695609"/>
    <w:rsid w:val="0069663A"/>
    <w:rsid w:val="006A0421"/>
    <w:rsid w:val="006A04B0"/>
    <w:rsid w:val="006A07CB"/>
    <w:rsid w:val="006A0D85"/>
    <w:rsid w:val="006A1285"/>
    <w:rsid w:val="006A140D"/>
    <w:rsid w:val="006A2B9B"/>
    <w:rsid w:val="006A3477"/>
    <w:rsid w:val="006A357B"/>
    <w:rsid w:val="006A4EA0"/>
    <w:rsid w:val="006A4F63"/>
    <w:rsid w:val="006A56C4"/>
    <w:rsid w:val="006A7421"/>
    <w:rsid w:val="006B00BA"/>
    <w:rsid w:val="006B0D39"/>
    <w:rsid w:val="006B171D"/>
    <w:rsid w:val="006B437E"/>
    <w:rsid w:val="006B47AD"/>
    <w:rsid w:val="006B47B7"/>
    <w:rsid w:val="006B4845"/>
    <w:rsid w:val="006B54A9"/>
    <w:rsid w:val="006B5BE6"/>
    <w:rsid w:val="006B5C96"/>
    <w:rsid w:val="006B6C09"/>
    <w:rsid w:val="006B6CB9"/>
    <w:rsid w:val="006B7A0A"/>
    <w:rsid w:val="006B7D1B"/>
    <w:rsid w:val="006C0094"/>
    <w:rsid w:val="006C23B4"/>
    <w:rsid w:val="006C3690"/>
    <w:rsid w:val="006C4174"/>
    <w:rsid w:val="006C49F4"/>
    <w:rsid w:val="006C51AC"/>
    <w:rsid w:val="006C5CF2"/>
    <w:rsid w:val="006C693B"/>
    <w:rsid w:val="006C770C"/>
    <w:rsid w:val="006C7B86"/>
    <w:rsid w:val="006C7E82"/>
    <w:rsid w:val="006D05DD"/>
    <w:rsid w:val="006D0B54"/>
    <w:rsid w:val="006D2BCE"/>
    <w:rsid w:val="006D37AB"/>
    <w:rsid w:val="006D390E"/>
    <w:rsid w:val="006D3F13"/>
    <w:rsid w:val="006D4087"/>
    <w:rsid w:val="006D46ED"/>
    <w:rsid w:val="006D47AF"/>
    <w:rsid w:val="006D52A8"/>
    <w:rsid w:val="006D68EA"/>
    <w:rsid w:val="006D7775"/>
    <w:rsid w:val="006E0598"/>
    <w:rsid w:val="006E0F38"/>
    <w:rsid w:val="006E1865"/>
    <w:rsid w:val="006E1B3B"/>
    <w:rsid w:val="006E35A1"/>
    <w:rsid w:val="006E455E"/>
    <w:rsid w:val="006E4648"/>
    <w:rsid w:val="006E4672"/>
    <w:rsid w:val="006E4956"/>
    <w:rsid w:val="006E5079"/>
    <w:rsid w:val="006F08B7"/>
    <w:rsid w:val="006F1622"/>
    <w:rsid w:val="006F3A0C"/>
    <w:rsid w:val="006F3EB5"/>
    <w:rsid w:val="006F405B"/>
    <w:rsid w:val="006F4691"/>
    <w:rsid w:val="006F488B"/>
    <w:rsid w:val="006F4C49"/>
    <w:rsid w:val="006F6AB5"/>
    <w:rsid w:val="006F6E0F"/>
    <w:rsid w:val="0070028B"/>
    <w:rsid w:val="0070043F"/>
    <w:rsid w:val="00700935"/>
    <w:rsid w:val="00700BC1"/>
    <w:rsid w:val="00702011"/>
    <w:rsid w:val="00703C0E"/>
    <w:rsid w:val="00703DC2"/>
    <w:rsid w:val="00705E8B"/>
    <w:rsid w:val="007064F6"/>
    <w:rsid w:val="0070667A"/>
    <w:rsid w:val="00711F76"/>
    <w:rsid w:val="00712048"/>
    <w:rsid w:val="007139B4"/>
    <w:rsid w:val="00714B89"/>
    <w:rsid w:val="007150B8"/>
    <w:rsid w:val="00715E56"/>
    <w:rsid w:val="0071661C"/>
    <w:rsid w:val="00716646"/>
    <w:rsid w:val="00716A9C"/>
    <w:rsid w:val="00717061"/>
    <w:rsid w:val="00717B12"/>
    <w:rsid w:val="00720454"/>
    <w:rsid w:val="0072289E"/>
    <w:rsid w:val="00723BCB"/>
    <w:rsid w:val="0072405D"/>
    <w:rsid w:val="00724651"/>
    <w:rsid w:val="00724C81"/>
    <w:rsid w:val="007254D2"/>
    <w:rsid w:val="00725B09"/>
    <w:rsid w:val="00725D06"/>
    <w:rsid w:val="007274C1"/>
    <w:rsid w:val="007274F0"/>
    <w:rsid w:val="00727910"/>
    <w:rsid w:val="00727C9E"/>
    <w:rsid w:val="00727D7C"/>
    <w:rsid w:val="00730093"/>
    <w:rsid w:val="0073197E"/>
    <w:rsid w:val="00732EFE"/>
    <w:rsid w:val="0073396E"/>
    <w:rsid w:val="00733976"/>
    <w:rsid w:val="00733A61"/>
    <w:rsid w:val="007344A8"/>
    <w:rsid w:val="0073485C"/>
    <w:rsid w:val="007367AB"/>
    <w:rsid w:val="00737874"/>
    <w:rsid w:val="00740065"/>
    <w:rsid w:val="00740499"/>
    <w:rsid w:val="00740A6C"/>
    <w:rsid w:val="007417D1"/>
    <w:rsid w:val="00741F68"/>
    <w:rsid w:val="00742D9A"/>
    <w:rsid w:val="00743FBD"/>
    <w:rsid w:val="007451EC"/>
    <w:rsid w:val="00745268"/>
    <w:rsid w:val="007453F0"/>
    <w:rsid w:val="007467E4"/>
    <w:rsid w:val="00746E30"/>
    <w:rsid w:val="0075122A"/>
    <w:rsid w:val="007517AE"/>
    <w:rsid w:val="007525B2"/>
    <w:rsid w:val="00752763"/>
    <w:rsid w:val="0075302E"/>
    <w:rsid w:val="00753688"/>
    <w:rsid w:val="00753C11"/>
    <w:rsid w:val="00754378"/>
    <w:rsid w:val="007544F4"/>
    <w:rsid w:val="00755B74"/>
    <w:rsid w:val="007560B8"/>
    <w:rsid w:val="00756BCD"/>
    <w:rsid w:val="0075791B"/>
    <w:rsid w:val="007610CC"/>
    <w:rsid w:val="00761FAA"/>
    <w:rsid w:val="0076382B"/>
    <w:rsid w:val="00763847"/>
    <w:rsid w:val="00763AE6"/>
    <w:rsid w:val="00764B04"/>
    <w:rsid w:val="00765BF8"/>
    <w:rsid w:val="00765D35"/>
    <w:rsid w:val="00766151"/>
    <w:rsid w:val="00767853"/>
    <w:rsid w:val="00767956"/>
    <w:rsid w:val="00770700"/>
    <w:rsid w:val="00770C26"/>
    <w:rsid w:val="00770E91"/>
    <w:rsid w:val="00771A37"/>
    <w:rsid w:val="00771C0C"/>
    <w:rsid w:val="00771D04"/>
    <w:rsid w:val="00771F2F"/>
    <w:rsid w:val="00772070"/>
    <w:rsid w:val="0077264B"/>
    <w:rsid w:val="00773420"/>
    <w:rsid w:val="00773ADB"/>
    <w:rsid w:val="00773E45"/>
    <w:rsid w:val="00774CC4"/>
    <w:rsid w:val="00774CC9"/>
    <w:rsid w:val="00775976"/>
    <w:rsid w:val="007760EF"/>
    <w:rsid w:val="00777764"/>
    <w:rsid w:val="00777E87"/>
    <w:rsid w:val="0078079C"/>
    <w:rsid w:val="007807D4"/>
    <w:rsid w:val="00782223"/>
    <w:rsid w:val="00782C98"/>
    <w:rsid w:val="00782D42"/>
    <w:rsid w:val="00784DFA"/>
    <w:rsid w:val="00785BF6"/>
    <w:rsid w:val="00786FCF"/>
    <w:rsid w:val="0078799D"/>
    <w:rsid w:val="0079179D"/>
    <w:rsid w:val="00793F5E"/>
    <w:rsid w:val="00794EAB"/>
    <w:rsid w:val="00795497"/>
    <w:rsid w:val="0079656A"/>
    <w:rsid w:val="00796732"/>
    <w:rsid w:val="00796BB5"/>
    <w:rsid w:val="007A0079"/>
    <w:rsid w:val="007A0161"/>
    <w:rsid w:val="007A068E"/>
    <w:rsid w:val="007A0745"/>
    <w:rsid w:val="007A0E2C"/>
    <w:rsid w:val="007A0EC6"/>
    <w:rsid w:val="007A2238"/>
    <w:rsid w:val="007A2564"/>
    <w:rsid w:val="007A3154"/>
    <w:rsid w:val="007A332A"/>
    <w:rsid w:val="007A3B4D"/>
    <w:rsid w:val="007A41C8"/>
    <w:rsid w:val="007A49E1"/>
    <w:rsid w:val="007A529D"/>
    <w:rsid w:val="007A53C7"/>
    <w:rsid w:val="007A553D"/>
    <w:rsid w:val="007A5665"/>
    <w:rsid w:val="007A6B61"/>
    <w:rsid w:val="007B03E6"/>
    <w:rsid w:val="007B0571"/>
    <w:rsid w:val="007B072D"/>
    <w:rsid w:val="007B07B4"/>
    <w:rsid w:val="007B07B7"/>
    <w:rsid w:val="007B15D6"/>
    <w:rsid w:val="007B18BB"/>
    <w:rsid w:val="007B2251"/>
    <w:rsid w:val="007B27C2"/>
    <w:rsid w:val="007B2886"/>
    <w:rsid w:val="007B35AD"/>
    <w:rsid w:val="007B4B45"/>
    <w:rsid w:val="007B5340"/>
    <w:rsid w:val="007B5391"/>
    <w:rsid w:val="007B5464"/>
    <w:rsid w:val="007B635D"/>
    <w:rsid w:val="007B709E"/>
    <w:rsid w:val="007B71EC"/>
    <w:rsid w:val="007B754C"/>
    <w:rsid w:val="007C073B"/>
    <w:rsid w:val="007C0B35"/>
    <w:rsid w:val="007C13D9"/>
    <w:rsid w:val="007C24BB"/>
    <w:rsid w:val="007C2B8A"/>
    <w:rsid w:val="007C2F7E"/>
    <w:rsid w:val="007C396A"/>
    <w:rsid w:val="007C3FBF"/>
    <w:rsid w:val="007C403F"/>
    <w:rsid w:val="007C4CC3"/>
    <w:rsid w:val="007C5B27"/>
    <w:rsid w:val="007C6B8E"/>
    <w:rsid w:val="007D08BF"/>
    <w:rsid w:val="007D1817"/>
    <w:rsid w:val="007D1DFF"/>
    <w:rsid w:val="007D5384"/>
    <w:rsid w:val="007D5FE7"/>
    <w:rsid w:val="007D62C6"/>
    <w:rsid w:val="007D69E5"/>
    <w:rsid w:val="007D7AA7"/>
    <w:rsid w:val="007E07C6"/>
    <w:rsid w:val="007E0BDA"/>
    <w:rsid w:val="007E0E56"/>
    <w:rsid w:val="007E18FE"/>
    <w:rsid w:val="007E3131"/>
    <w:rsid w:val="007E3E0E"/>
    <w:rsid w:val="007E5B62"/>
    <w:rsid w:val="007E6B9F"/>
    <w:rsid w:val="007E6F6D"/>
    <w:rsid w:val="007E7727"/>
    <w:rsid w:val="007E7997"/>
    <w:rsid w:val="007F04AE"/>
    <w:rsid w:val="007F0C30"/>
    <w:rsid w:val="007F17DF"/>
    <w:rsid w:val="007F3143"/>
    <w:rsid w:val="007F3270"/>
    <w:rsid w:val="007F40E6"/>
    <w:rsid w:val="007F4360"/>
    <w:rsid w:val="007F4545"/>
    <w:rsid w:val="007F472D"/>
    <w:rsid w:val="007F63A7"/>
    <w:rsid w:val="007F683E"/>
    <w:rsid w:val="007F6D40"/>
    <w:rsid w:val="007F6FC8"/>
    <w:rsid w:val="007F7396"/>
    <w:rsid w:val="00800607"/>
    <w:rsid w:val="0080148A"/>
    <w:rsid w:val="00801B35"/>
    <w:rsid w:val="00803773"/>
    <w:rsid w:val="00803B8C"/>
    <w:rsid w:val="0080432E"/>
    <w:rsid w:val="00804637"/>
    <w:rsid w:val="00804D99"/>
    <w:rsid w:val="00804E6B"/>
    <w:rsid w:val="00805235"/>
    <w:rsid w:val="00805688"/>
    <w:rsid w:val="008057A5"/>
    <w:rsid w:val="00806FCC"/>
    <w:rsid w:val="00811526"/>
    <w:rsid w:val="00812A26"/>
    <w:rsid w:val="00812DD3"/>
    <w:rsid w:val="00813E44"/>
    <w:rsid w:val="008141A4"/>
    <w:rsid w:val="008148D3"/>
    <w:rsid w:val="008152E2"/>
    <w:rsid w:val="0081594D"/>
    <w:rsid w:val="008163CB"/>
    <w:rsid w:val="0081708A"/>
    <w:rsid w:val="00820D07"/>
    <w:rsid w:val="0082148D"/>
    <w:rsid w:val="00821ADE"/>
    <w:rsid w:val="00821EB7"/>
    <w:rsid w:val="008225BE"/>
    <w:rsid w:val="00822C87"/>
    <w:rsid w:val="00823E85"/>
    <w:rsid w:val="00823FFE"/>
    <w:rsid w:val="00824A74"/>
    <w:rsid w:val="00824B32"/>
    <w:rsid w:val="008277AF"/>
    <w:rsid w:val="00827EF6"/>
    <w:rsid w:val="00827FA0"/>
    <w:rsid w:val="008300FC"/>
    <w:rsid w:val="008313D0"/>
    <w:rsid w:val="00832134"/>
    <w:rsid w:val="00832B9E"/>
    <w:rsid w:val="00833DFA"/>
    <w:rsid w:val="008340D4"/>
    <w:rsid w:val="008344DF"/>
    <w:rsid w:val="00834C85"/>
    <w:rsid w:val="00835CF6"/>
    <w:rsid w:val="00835F62"/>
    <w:rsid w:val="00836BF6"/>
    <w:rsid w:val="008371FA"/>
    <w:rsid w:val="00837DC8"/>
    <w:rsid w:val="008400FF"/>
    <w:rsid w:val="00840C1D"/>
    <w:rsid w:val="00844A20"/>
    <w:rsid w:val="00845BF1"/>
    <w:rsid w:val="00846241"/>
    <w:rsid w:val="00846251"/>
    <w:rsid w:val="00846DC2"/>
    <w:rsid w:val="008472BD"/>
    <w:rsid w:val="00847483"/>
    <w:rsid w:val="00847DDD"/>
    <w:rsid w:val="00847EBC"/>
    <w:rsid w:val="00847F94"/>
    <w:rsid w:val="00850117"/>
    <w:rsid w:val="008514FF"/>
    <w:rsid w:val="0085398C"/>
    <w:rsid w:val="00853BB3"/>
    <w:rsid w:val="00854F1F"/>
    <w:rsid w:val="00856EC2"/>
    <w:rsid w:val="0085731C"/>
    <w:rsid w:val="00857452"/>
    <w:rsid w:val="008578D9"/>
    <w:rsid w:val="00860C46"/>
    <w:rsid w:val="00860E1C"/>
    <w:rsid w:val="008613E0"/>
    <w:rsid w:val="00861716"/>
    <w:rsid w:val="0086289F"/>
    <w:rsid w:val="00863064"/>
    <w:rsid w:val="008673A8"/>
    <w:rsid w:val="00867AEE"/>
    <w:rsid w:val="00871276"/>
    <w:rsid w:val="0087185F"/>
    <w:rsid w:val="0087212C"/>
    <w:rsid w:val="008721EC"/>
    <w:rsid w:val="0087247F"/>
    <w:rsid w:val="00872539"/>
    <w:rsid w:val="00872AB3"/>
    <w:rsid w:val="00873585"/>
    <w:rsid w:val="00873B72"/>
    <w:rsid w:val="00874492"/>
    <w:rsid w:val="00875439"/>
    <w:rsid w:val="00875780"/>
    <w:rsid w:val="00877873"/>
    <w:rsid w:val="00877D4D"/>
    <w:rsid w:val="0088059D"/>
    <w:rsid w:val="00881020"/>
    <w:rsid w:val="00882CA0"/>
    <w:rsid w:val="00882EB3"/>
    <w:rsid w:val="00883B22"/>
    <w:rsid w:val="00883C4C"/>
    <w:rsid w:val="00884F7F"/>
    <w:rsid w:val="00885256"/>
    <w:rsid w:val="0088572C"/>
    <w:rsid w:val="00885D63"/>
    <w:rsid w:val="008869A5"/>
    <w:rsid w:val="00887967"/>
    <w:rsid w:val="00887E65"/>
    <w:rsid w:val="00890421"/>
    <w:rsid w:val="00890511"/>
    <w:rsid w:val="008908A9"/>
    <w:rsid w:val="00891B08"/>
    <w:rsid w:val="00891F4E"/>
    <w:rsid w:val="008923CF"/>
    <w:rsid w:val="008927C8"/>
    <w:rsid w:val="00893463"/>
    <w:rsid w:val="0089360B"/>
    <w:rsid w:val="00894912"/>
    <w:rsid w:val="00894EE5"/>
    <w:rsid w:val="00895C5B"/>
    <w:rsid w:val="00895ED9"/>
    <w:rsid w:val="00896983"/>
    <w:rsid w:val="0089773E"/>
    <w:rsid w:val="008A0FE9"/>
    <w:rsid w:val="008A190A"/>
    <w:rsid w:val="008A2EE2"/>
    <w:rsid w:val="008A3181"/>
    <w:rsid w:val="008A3482"/>
    <w:rsid w:val="008B0AEC"/>
    <w:rsid w:val="008B2C3C"/>
    <w:rsid w:val="008B372F"/>
    <w:rsid w:val="008B4328"/>
    <w:rsid w:val="008B4813"/>
    <w:rsid w:val="008B507C"/>
    <w:rsid w:val="008B5087"/>
    <w:rsid w:val="008B5796"/>
    <w:rsid w:val="008B5BE9"/>
    <w:rsid w:val="008B6CC6"/>
    <w:rsid w:val="008B6D47"/>
    <w:rsid w:val="008B6FF4"/>
    <w:rsid w:val="008C0577"/>
    <w:rsid w:val="008C0760"/>
    <w:rsid w:val="008C161D"/>
    <w:rsid w:val="008C1ACD"/>
    <w:rsid w:val="008C1DF9"/>
    <w:rsid w:val="008C2E01"/>
    <w:rsid w:val="008C4B41"/>
    <w:rsid w:val="008C4D82"/>
    <w:rsid w:val="008C5241"/>
    <w:rsid w:val="008C55FE"/>
    <w:rsid w:val="008C5C4D"/>
    <w:rsid w:val="008C5D7E"/>
    <w:rsid w:val="008C63E7"/>
    <w:rsid w:val="008C66A5"/>
    <w:rsid w:val="008C6789"/>
    <w:rsid w:val="008C766F"/>
    <w:rsid w:val="008C7C62"/>
    <w:rsid w:val="008D01FA"/>
    <w:rsid w:val="008D1458"/>
    <w:rsid w:val="008D14B0"/>
    <w:rsid w:val="008D150C"/>
    <w:rsid w:val="008D1F32"/>
    <w:rsid w:val="008D21A5"/>
    <w:rsid w:val="008D21D2"/>
    <w:rsid w:val="008D39C4"/>
    <w:rsid w:val="008D3D42"/>
    <w:rsid w:val="008D438D"/>
    <w:rsid w:val="008D453E"/>
    <w:rsid w:val="008D5046"/>
    <w:rsid w:val="008D5C6A"/>
    <w:rsid w:val="008D646F"/>
    <w:rsid w:val="008D7F7C"/>
    <w:rsid w:val="008E181E"/>
    <w:rsid w:val="008E19C7"/>
    <w:rsid w:val="008E28F4"/>
    <w:rsid w:val="008E2C02"/>
    <w:rsid w:val="008E33D2"/>
    <w:rsid w:val="008E3820"/>
    <w:rsid w:val="008E3BE2"/>
    <w:rsid w:val="008E48AF"/>
    <w:rsid w:val="008E5355"/>
    <w:rsid w:val="008E6AEA"/>
    <w:rsid w:val="008E6D17"/>
    <w:rsid w:val="008E75DF"/>
    <w:rsid w:val="008E7954"/>
    <w:rsid w:val="008E7F3F"/>
    <w:rsid w:val="008F0309"/>
    <w:rsid w:val="008F0F1C"/>
    <w:rsid w:val="008F1C7B"/>
    <w:rsid w:val="008F27B6"/>
    <w:rsid w:val="008F298A"/>
    <w:rsid w:val="008F4438"/>
    <w:rsid w:val="008F4924"/>
    <w:rsid w:val="008F5BE6"/>
    <w:rsid w:val="008F6387"/>
    <w:rsid w:val="008F6408"/>
    <w:rsid w:val="008F658B"/>
    <w:rsid w:val="008F7656"/>
    <w:rsid w:val="008F7F3A"/>
    <w:rsid w:val="0090005D"/>
    <w:rsid w:val="00901067"/>
    <w:rsid w:val="00901B49"/>
    <w:rsid w:val="00901E57"/>
    <w:rsid w:val="00902880"/>
    <w:rsid w:val="00903122"/>
    <w:rsid w:val="00903703"/>
    <w:rsid w:val="0090386E"/>
    <w:rsid w:val="00903B3F"/>
    <w:rsid w:val="00903EBC"/>
    <w:rsid w:val="00903F9E"/>
    <w:rsid w:val="009042E6"/>
    <w:rsid w:val="00904916"/>
    <w:rsid w:val="00904A03"/>
    <w:rsid w:val="00904C87"/>
    <w:rsid w:val="009057C3"/>
    <w:rsid w:val="00906385"/>
    <w:rsid w:val="00907F38"/>
    <w:rsid w:val="009105A0"/>
    <w:rsid w:val="00911068"/>
    <w:rsid w:val="0091128B"/>
    <w:rsid w:val="00912DAB"/>
    <w:rsid w:val="00912DC4"/>
    <w:rsid w:val="00914563"/>
    <w:rsid w:val="00914DE8"/>
    <w:rsid w:val="00915373"/>
    <w:rsid w:val="00915EB8"/>
    <w:rsid w:val="00917D84"/>
    <w:rsid w:val="009203A7"/>
    <w:rsid w:val="00920D7F"/>
    <w:rsid w:val="00921108"/>
    <w:rsid w:val="00922304"/>
    <w:rsid w:val="009238B1"/>
    <w:rsid w:val="009259AA"/>
    <w:rsid w:val="009270D0"/>
    <w:rsid w:val="00931B68"/>
    <w:rsid w:val="0093459F"/>
    <w:rsid w:val="009366D4"/>
    <w:rsid w:val="00936781"/>
    <w:rsid w:val="009368CA"/>
    <w:rsid w:val="00936AA1"/>
    <w:rsid w:val="00937895"/>
    <w:rsid w:val="0094001F"/>
    <w:rsid w:val="0094020E"/>
    <w:rsid w:val="00940658"/>
    <w:rsid w:val="00940B56"/>
    <w:rsid w:val="0094174F"/>
    <w:rsid w:val="009419D5"/>
    <w:rsid w:val="00941A94"/>
    <w:rsid w:val="00941AA5"/>
    <w:rsid w:val="00941B3A"/>
    <w:rsid w:val="00942099"/>
    <w:rsid w:val="009424C4"/>
    <w:rsid w:val="00942593"/>
    <w:rsid w:val="009428C0"/>
    <w:rsid w:val="00943C18"/>
    <w:rsid w:val="00943CBF"/>
    <w:rsid w:val="00943D22"/>
    <w:rsid w:val="009441AB"/>
    <w:rsid w:val="00945040"/>
    <w:rsid w:val="0094531F"/>
    <w:rsid w:val="0095071D"/>
    <w:rsid w:val="00950967"/>
    <w:rsid w:val="009509A8"/>
    <w:rsid w:val="00950B2A"/>
    <w:rsid w:val="00952C01"/>
    <w:rsid w:val="00953721"/>
    <w:rsid w:val="009553CE"/>
    <w:rsid w:val="00956227"/>
    <w:rsid w:val="00956B55"/>
    <w:rsid w:val="00956E90"/>
    <w:rsid w:val="00957F72"/>
    <w:rsid w:val="009609CA"/>
    <w:rsid w:val="00960B2F"/>
    <w:rsid w:val="009622BE"/>
    <w:rsid w:val="00965843"/>
    <w:rsid w:val="0096619C"/>
    <w:rsid w:val="009668ED"/>
    <w:rsid w:val="009701C1"/>
    <w:rsid w:val="009706B5"/>
    <w:rsid w:val="00970A96"/>
    <w:rsid w:val="00970D01"/>
    <w:rsid w:val="00970E96"/>
    <w:rsid w:val="00971127"/>
    <w:rsid w:val="00971AFE"/>
    <w:rsid w:val="0097276B"/>
    <w:rsid w:val="00972A2A"/>
    <w:rsid w:val="00972CAA"/>
    <w:rsid w:val="00973708"/>
    <w:rsid w:val="00973A2C"/>
    <w:rsid w:val="00973A79"/>
    <w:rsid w:val="00974CC0"/>
    <w:rsid w:val="00975A13"/>
    <w:rsid w:val="0097673B"/>
    <w:rsid w:val="00977087"/>
    <w:rsid w:val="009778BD"/>
    <w:rsid w:val="00980057"/>
    <w:rsid w:val="009805E9"/>
    <w:rsid w:val="00980BBE"/>
    <w:rsid w:val="00980FF3"/>
    <w:rsid w:val="009814FC"/>
    <w:rsid w:val="00982BEF"/>
    <w:rsid w:val="0098364B"/>
    <w:rsid w:val="009839E4"/>
    <w:rsid w:val="00983F10"/>
    <w:rsid w:val="009846AB"/>
    <w:rsid w:val="00985224"/>
    <w:rsid w:val="00987D05"/>
    <w:rsid w:val="00990328"/>
    <w:rsid w:val="009924DD"/>
    <w:rsid w:val="00994EF4"/>
    <w:rsid w:val="00995003"/>
    <w:rsid w:val="00996868"/>
    <w:rsid w:val="009969F6"/>
    <w:rsid w:val="009977F9"/>
    <w:rsid w:val="009A0515"/>
    <w:rsid w:val="009A0B0E"/>
    <w:rsid w:val="009A1B4C"/>
    <w:rsid w:val="009A1BFB"/>
    <w:rsid w:val="009A2502"/>
    <w:rsid w:val="009A32E5"/>
    <w:rsid w:val="009A3300"/>
    <w:rsid w:val="009A397C"/>
    <w:rsid w:val="009A5D4B"/>
    <w:rsid w:val="009B0205"/>
    <w:rsid w:val="009B150B"/>
    <w:rsid w:val="009B1816"/>
    <w:rsid w:val="009B2A16"/>
    <w:rsid w:val="009B2D7B"/>
    <w:rsid w:val="009B3165"/>
    <w:rsid w:val="009B3A71"/>
    <w:rsid w:val="009B4A0A"/>
    <w:rsid w:val="009B4A90"/>
    <w:rsid w:val="009B4DA9"/>
    <w:rsid w:val="009B4F07"/>
    <w:rsid w:val="009B4FE4"/>
    <w:rsid w:val="009B57A5"/>
    <w:rsid w:val="009B5F23"/>
    <w:rsid w:val="009B6DBA"/>
    <w:rsid w:val="009B7BA1"/>
    <w:rsid w:val="009C004E"/>
    <w:rsid w:val="009C0083"/>
    <w:rsid w:val="009C1330"/>
    <w:rsid w:val="009C1EBE"/>
    <w:rsid w:val="009C381F"/>
    <w:rsid w:val="009C5096"/>
    <w:rsid w:val="009C5D22"/>
    <w:rsid w:val="009C5D81"/>
    <w:rsid w:val="009C5FEC"/>
    <w:rsid w:val="009C6D0C"/>
    <w:rsid w:val="009D03F8"/>
    <w:rsid w:val="009D1781"/>
    <w:rsid w:val="009D1A6F"/>
    <w:rsid w:val="009D1B86"/>
    <w:rsid w:val="009D1CDF"/>
    <w:rsid w:val="009D2B5D"/>
    <w:rsid w:val="009D50C6"/>
    <w:rsid w:val="009D5FC4"/>
    <w:rsid w:val="009D628E"/>
    <w:rsid w:val="009D6B07"/>
    <w:rsid w:val="009D6DE4"/>
    <w:rsid w:val="009E020D"/>
    <w:rsid w:val="009E0905"/>
    <w:rsid w:val="009E1E08"/>
    <w:rsid w:val="009E2CF7"/>
    <w:rsid w:val="009E31F7"/>
    <w:rsid w:val="009E59EE"/>
    <w:rsid w:val="009E5CA5"/>
    <w:rsid w:val="009E5F3C"/>
    <w:rsid w:val="009E7921"/>
    <w:rsid w:val="009E7A32"/>
    <w:rsid w:val="009E7F77"/>
    <w:rsid w:val="009F0489"/>
    <w:rsid w:val="009F11E4"/>
    <w:rsid w:val="009F1A62"/>
    <w:rsid w:val="009F1F20"/>
    <w:rsid w:val="009F2292"/>
    <w:rsid w:val="009F31A0"/>
    <w:rsid w:val="009F4409"/>
    <w:rsid w:val="009F4494"/>
    <w:rsid w:val="009F473E"/>
    <w:rsid w:val="009F6CE4"/>
    <w:rsid w:val="009F6D67"/>
    <w:rsid w:val="00A015EA"/>
    <w:rsid w:val="00A028B0"/>
    <w:rsid w:val="00A040D6"/>
    <w:rsid w:val="00A05530"/>
    <w:rsid w:val="00A066D8"/>
    <w:rsid w:val="00A06C39"/>
    <w:rsid w:val="00A07C1D"/>
    <w:rsid w:val="00A07E48"/>
    <w:rsid w:val="00A10431"/>
    <w:rsid w:val="00A12F33"/>
    <w:rsid w:val="00A13754"/>
    <w:rsid w:val="00A13E42"/>
    <w:rsid w:val="00A14F09"/>
    <w:rsid w:val="00A167E5"/>
    <w:rsid w:val="00A210EA"/>
    <w:rsid w:val="00A21846"/>
    <w:rsid w:val="00A21FD4"/>
    <w:rsid w:val="00A22180"/>
    <w:rsid w:val="00A22242"/>
    <w:rsid w:val="00A22CE9"/>
    <w:rsid w:val="00A2361A"/>
    <w:rsid w:val="00A2365A"/>
    <w:rsid w:val="00A24263"/>
    <w:rsid w:val="00A24F07"/>
    <w:rsid w:val="00A253C5"/>
    <w:rsid w:val="00A2575B"/>
    <w:rsid w:val="00A25B08"/>
    <w:rsid w:val="00A2708B"/>
    <w:rsid w:val="00A278C7"/>
    <w:rsid w:val="00A30F66"/>
    <w:rsid w:val="00A31764"/>
    <w:rsid w:val="00A31CDA"/>
    <w:rsid w:val="00A3243D"/>
    <w:rsid w:val="00A327AB"/>
    <w:rsid w:val="00A3287F"/>
    <w:rsid w:val="00A32C35"/>
    <w:rsid w:val="00A33153"/>
    <w:rsid w:val="00A3391E"/>
    <w:rsid w:val="00A344B8"/>
    <w:rsid w:val="00A34822"/>
    <w:rsid w:val="00A34A1D"/>
    <w:rsid w:val="00A34A40"/>
    <w:rsid w:val="00A3521F"/>
    <w:rsid w:val="00A3537D"/>
    <w:rsid w:val="00A35ABB"/>
    <w:rsid w:val="00A363C7"/>
    <w:rsid w:val="00A36636"/>
    <w:rsid w:val="00A368B4"/>
    <w:rsid w:val="00A36A98"/>
    <w:rsid w:val="00A36B5A"/>
    <w:rsid w:val="00A36CF1"/>
    <w:rsid w:val="00A36EC3"/>
    <w:rsid w:val="00A40412"/>
    <w:rsid w:val="00A40BB4"/>
    <w:rsid w:val="00A41107"/>
    <w:rsid w:val="00A41F2D"/>
    <w:rsid w:val="00A41FEF"/>
    <w:rsid w:val="00A437FD"/>
    <w:rsid w:val="00A43831"/>
    <w:rsid w:val="00A43B34"/>
    <w:rsid w:val="00A44535"/>
    <w:rsid w:val="00A46552"/>
    <w:rsid w:val="00A467D6"/>
    <w:rsid w:val="00A46FD8"/>
    <w:rsid w:val="00A4713B"/>
    <w:rsid w:val="00A508A8"/>
    <w:rsid w:val="00A50CCA"/>
    <w:rsid w:val="00A513BE"/>
    <w:rsid w:val="00A51523"/>
    <w:rsid w:val="00A5252F"/>
    <w:rsid w:val="00A53A7B"/>
    <w:rsid w:val="00A53B79"/>
    <w:rsid w:val="00A55381"/>
    <w:rsid w:val="00A5547D"/>
    <w:rsid w:val="00A554E8"/>
    <w:rsid w:val="00A5631A"/>
    <w:rsid w:val="00A5684D"/>
    <w:rsid w:val="00A56AC8"/>
    <w:rsid w:val="00A604D1"/>
    <w:rsid w:val="00A60648"/>
    <w:rsid w:val="00A60A1C"/>
    <w:rsid w:val="00A6240B"/>
    <w:rsid w:val="00A63DF3"/>
    <w:rsid w:val="00A6540C"/>
    <w:rsid w:val="00A65538"/>
    <w:rsid w:val="00A661B3"/>
    <w:rsid w:val="00A66555"/>
    <w:rsid w:val="00A673C3"/>
    <w:rsid w:val="00A67E0A"/>
    <w:rsid w:val="00A71052"/>
    <w:rsid w:val="00A71708"/>
    <w:rsid w:val="00A71E79"/>
    <w:rsid w:val="00A7205A"/>
    <w:rsid w:val="00A723D4"/>
    <w:rsid w:val="00A72798"/>
    <w:rsid w:val="00A72B21"/>
    <w:rsid w:val="00A72BBB"/>
    <w:rsid w:val="00A7382B"/>
    <w:rsid w:val="00A7548F"/>
    <w:rsid w:val="00A75E26"/>
    <w:rsid w:val="00A769D4"/>
    <w:rsid w:val="00A76C73"/>
    <w:rsid w:val="00A76DB4"/>
    <w:rsid w:val="00A77AB8"/>
    <w:rsid w:val="00A77F31"/>
    <w:rsid w:val="00A81600"/>
    <w:rsid w:val="00A8175C"/>
    <w:rsid w:val="00A82003"/>
    <w:rsid w:val="00A83293"/>
    <w:rsid w:val="00A84283"/>
    <w:rsid w:val="00A84E12"/>
    <w:rsid w:val="00A866E7"/>
    <w:rsid w:val="00A86D5E"/>
    <w:rsid w:val="00A86FC2"/>
    <w:rsid w:val="00A87459"/>
    <w:rsid w:val="00A879BE"/>
    <w:rsid w:val="00A87C5E"/>
    <w:rsid w:val="00A87E00"/>
    <w:rsid w:val="00A902C3"/>
    <w:rsid w:val="00A907F2"/>
    <w:rsid w:val="00A9085E"/>
    <w:rsid w:val="00A918CB"/>
    <w:rsid w:val="00A92B15"/>
    <w:rsid w:val="00A9331E"/>
    <w:rsid w:val="00A936B0"/>
    <w:rsid w:val="00A93B00"/>
    <w:rsid w:val="00A948C1"/>
    <w:rsid w:val="00A95208"/>
    <w:rsid w:val="00A96413"/>
    <w:rsid w:val="00A9687F"/>
    <w:rsid w:val="00A9727F"/>
    <w:rsid w:val="00A97ACA"/>
    <w:rsid w:val="00A97E40"/>
    <w:rsid w:val="00AA157D"/>
    <w:rsid w:val="00AA1862"/>
    <w:rsid w:val="00AA1CEA"/>
    <w:rsid w:val="00AA256E"/>
    <w:rsid w:val="00AA345D"/>
    <w:rsid w:val="00AA3B0F"/>
    <w:rsid w:val="00AA4289"/>
    <w:rsid w:val="00AA4ED3"/>
    <w:rsid w:val="00AA5CF5"/>
    <w:rsid w:val="00AA5D48"/>
    <w:rsid w:val="00AA6AC2"/>
    <w:rsid w:val="00AA6C91"/>
    <w:rsid w:val="00AA7D29"/>
    <w:rsid w:val="00AB0132"/>
    <w:rsid w:val="00AB13E4"/>
    <w:rsid w:val="00AB1716"/>
    <w:rsid w:val="00AB1E7E"/>
    <w:rsid w:val="00AB37C8"/>
    <w:rsid w:val="00AB3DF9"/>
    <w:rsid w:val="00AB4130"/>
    <w:rsid w:val="00AB57CE"/>
    <w:rsid w:val="00AB5915"/>
    <w:rsid w:val="00AB64FC"/>
    <w:rsid w:val="00AB6940"/>
    <w:rsid w:val="00AB6F93"/>
    <w:rsid w:val="00AB75D3"/>
    <w:rsid w:val="00AB7709"/>
    <w:rsid w:val="00AC0645"/>
    <w:rsid w:val="00AC11CD"/>
    <w:rsid w:val="00AC182C"/>
    <w:rsid w:val="00AC1BC7"/>
    <w:rsid w:val="00AC1F10"/>
    <w:rsid w:val="00AC2732"/>
    <w:rsid w:val="00AC2D34"/>
    <w:rsid w:val="00AC347F"/>
    <w:rsid w:val="00AC43DB"/>
    <w:rsid w:val="00AC4C9A"/>
    <w:rsid w:val="00AC4E7B"/>
    <w:rsid w:val="00AC50B6"/>
    <w:rsid w:val="00AC52CF"/>
    <w:rsid w:val="00AC5520"/>
    <w:rsid w:val="00AC5E5B"/>
    <w:rsid w:val="00AC680F"/>
    <w:rsid w:val="00AC682A"/>
    <w:rsid w:val="00AC701E"/>
    <w:rsid w:val="00AD02F2"/>
    <w:rsid w:val="00AD08E6"/>
    <w:rsid w:val="00AD0C90"/>
    <w:rsid w:val="00AD153B"/>
    <w:rsid w:val="00AD23D4"/>
    <w:rsid w:val="00AD2CAC"/>
    <w:rsid w:val="00AD446A"/>
    <w:rsid w:val="00AD57A9"/>
    <w:rsid w:val="00AD66DB"/>
    <w:rsid w:val="00AD680A"/>
    <w:rsid w:val="00AE0902"/>
    <w:rsid w:val="00AE0EEA"/>
    <w:rsid w:val="00AE1495"/>
    <w:rsid w:val="00AE1649"/>
    <w:rsid w:val="00AE17BF"/>
    <w:rsid w:val="00AE23F1"/>
    <w:rsid w:val="00AE2577"/>
    <w:rsid w:val="00AE2641"/>
    <w:rsid w:val="00AE3B1A"/>
    <w:rsid w:val="00AE4324"/>
    <w:rsid w:val="00AE454B"/>
    <w:rsid w:val="00AE556E"/>
    <w:rsid w:val="00AE5899"/>
    <w:rsid w:val="00AE5FB5"/>
    <w:rsid w:val="00AE6C07"/>
    <w:rsid w:val="00AE6DD5"/>
    <w:rsid w:val="00AE7835"/>
    <w:rsid w:val="00AE7A3D"/>
    <w:rsid w:val="00AE7AEB"/>
    <w:rsid w:val="00AF03BB"/>
    <w:rsid w:val="00AF065B"/>
    <w:rsid w:val="00AF0AC0"/>
    <w:rsid w:val="00AF1448"/>
    <w:rsid w:val="00AF1A3A"/>
    <w:rsid w:val="00AF361B"/>
    <w:rsid w:val="00AF521C"/>
    <w:rsid w:val="00AF53CF"/>
    <w:rsid w:val="00AF553C"/>
    <w:rsid w:val="00AF7433"/>
    <w:rsid w:val="00AF7FF2"/>
    <w:rsid w:val="00B0032B"/>
    <w:rsid w:val="00B0051C"/>
    <w:rsid w:val="00B018D2"/>
    <w:rsid w:val="00B02538"/>
    <w:rsid w:val="00B03799"/>
    <w:rsid w:val="00B03904"/>
    <w:rsid w:val="00B05076"/>
    <w:rsid w:val="00B0560A"/>
    <w:rsid w:val="00B07AF9"/>
    <w:rsid w:val="00B1088E"/>
    <w:rsid w:val="00B10C94"/>
    <w:rsid w:val="00B11F5D"/>
    <w:rsid w:val="00B139DA"/>
    <w:rsid w:val="00B151D1"/>
    <w:rsid w:val="00B15504"/>
    <w:rsid w:val="00B15A2C"/>
    <w:rsid w:val="00B17056"/>
    <w:rsid w:val="00B17460"/>
    <w:rsid w:val="00B204FD"/>
    <w:rsid w:val="00B20B81"/>
    <w:rsid w:val="00B20F7B"/>
    <w:rsid w:val="00B211DD"/>
    <w:rsid w:val="00B21695"/>
    <w:rsid w:val="00B219F6"/>
    <w:rsid w:val="00B222D7"/>
    <w:rsid w:val="00B2293E"/>
    <w:rsid w:val="00B23475"/>
    <w:rsid w:val="00B240A3"/>
    <w:rsid w:val="00B24555"/>
    <w:rsid w:val="00B260F8"/>
    <w:rsid w:val="00B269A8"/>
    <w:rsid w:val="00B271B6"/>
    <w:rsid w:val="00B2797B"/>
    <w:rsid w:val="00B33D79"/>
    <w:rsid w:val="00B34A89"/>
    <w:rsid w:val="00B354CF"/>
    <w:rsid w:val="00B35797"/>
    <w:rsid w:val="00B36E46"/>
    <w:rsid w:val="00B36EC1"/>
    <w:rsid w:val="00B37116"/>
    <w:rsid w:val="00B37222"/>
    <w:rsid w:val="00B375B3"/>
    <w:rsid w:val="00B37D98"/>
    <w:rsid w:val="00B40040"/>
    <w:rsid w:val="00B42905"/>
    <w:rsid w:val="00B433E3"/>
    <w:rsid w:val="00B44748"/>
    <w:rsid w:val="00B447EA"/>
    <w:rsid w:val="00B44F3B"/>
    <w:rsid w:val="00B4515E"/>
    <w:rsid w:val="00B45F65"/>
    <w:rsid w:val="00B460F0"/>
    <w:rsid w:val="00B46FB9"/>
    <w:rsid w:val="00B4710F"/>
    <w:rsid w:val="00B47421"/>
    <w:rsid w:val="00B47FD8"/>
    <w:rsid w:val="00B50200"/>
    <w:rsid w:val="00B52390"/>
    <w:rsid w:val="00B53418"/>
    <w:rsid w:val="00B53B44"/>
    <w:rsid w:val="00B53C02"/>
    <w:rsid w:val="00B53E11"/>
    <w:rsid w:val="00B54689"/>
    <w:rsid w:val="00B550ED"/>
    <w:rsid w:val="00B55527"/>
    <w:rsid w:val="00B56784"/>
    <w:rsid w:val="00B57385"/>
    <w:rsid w:val="00B60658"/>
    <w:rsid w:val="00B61735"/>
    <w:rsid w:val="00B618C3"/>
    <w:rsid w:val="00B62B7A"/>
    <w:rsid w:val="00B646CE"/>
    <w:rsid w:val="00B6529D"/>
    <w:rsid w:val="00B6725C"/>
    <w:rsid w:val="00B70B18"/>
    <w:rsid w:val="00B70D57"/>
    <w:rsid w:val="00B71025"/>
    <w:rsid w:val="00B7190E"/>
    <w:rsid w:val="00B7295A"/>
    <w:rsid w:val="00B729DF"/>
    <w:rsid w:val="00B732A8"/>
    <w:rsid w:val="00B74E64"/>
    <w:rsid w:val="00B74E88"/>
    <w:rsid w:val="00B75E5C"/>
    <w:rsid w:val="00B76CFB"/>
    <w:rsid w:val="00B7757F"/>
    <w:rsid w:val="00B77661"/>
    <w:rsid w:val="00B77714"/>
    <w:rsid w:val="00B77B12"/>
    <w:rsid w:val="00B802E4"/>
    <w:rsid w:val="00B8180E"/>
    <w:rsid w:val="00B82AA8"/>
    <w:rsid w:val="00B8304D"/>
    <w:rsid w:val="00B83069"/>
    <w:rsid w:val="00B83581"/>
    <w:rsid w:val="00B840BA"/>
    <w:rsid w:val="00B849F7"/>
    <w:rsid w:val="00B84C8F"/>
    <w:rsid w:val="00B85621"/>
    <w:rsid w:val="00B86427"/>
    <w:rsid w:val="00B866F5"/>
    <w:rsid w:val="00B877C7"/>
    <w:rsid w:val="00B91332"/>
    <w:rsid w:val="00B91A85"/>
    <w:rsid w:val="00B923D3"/>
    <w:rsid w:val="00B930F6"/>
    <w:rsid w:val="00B93820"/>
    <w:rsid w:val="00B93EAE"/>
    <w:rsid w:val="00B9475E"/>
    <w:rsid w:val="00B9482B"/>
    <w:rsid w:val="00B97186"/>
    <w:rsid w:val="00BA1670"/>
    <w:rsid w:val="00BA167E"/>
    <w:rsid w:val="00BA1A11"/>
    <w:rsid w:val="00BA20BC"/>
    <w:rsid w:val="00BA238A"/>
    <w:rsid w:val="00BA3484"/>
    <w:rsid w:val="00BA4CDE"/>
    <w:rsid w:val="00BA5716"/>
    <w:rsid w:val="00BA5821"/>
    <w:rsid w:val="00BA59D3"/>
    <w:rsid w:val="00BA5DD2"/>
    <w:rsid w:val="00BA623A"/>
    <w:rsid w:val="00BA75DA"/>
    <w:rsid w:val="00BA7FD4"/>
    <w:rsid w:val="00BB0213"/>
    <w:rsid w:val="00BB0751"/>
    <w:rsid w:val="00BB113B"/>
    <w:rsid w:val="00BB2181"/>
    <w:rsid w:val="00BB25DD"/>
    <w:rsid w:val="00BB2C4C"/>
    <w:rsid w:val="00BB2CA7"/>
    <w:rsid w:val="00BB3382"/>
    <w:rsid w:val="00BB4859"/>
    <w:rsid w:val="00BB493F"/>
    <w:rsid w:val="00BB5033"/>
    <w:rsid w:val="00BB559B"/>
    <w:rsid w:val="00BB5AB8"/>
    <w:rsid w:val="00BB603C"/>
    <w:rsid w:val="00BB63AF"/>
    <w:rsid w:val="00BB6AAE"/>
    <w:rsid w:val="00BB6D38"/>
    <w:rsid w:val="00BB7257"/>
    <w:rsid w:val="00BC0AE0"/>
    <w:rsid w:val="00BC28F1"/>
    <w:rsid w:val="00BC2BE4"/>
    <w:rsid w:val="00BC32EA"/>
    <w:rsid w:val="00BC466F"/>
    <w:rsid w:val="00BC4937"/>
    <w:rsid w:val="00BC49EA"/>
    <w:rsid w:val="00BC5634"/>
    <w:rsid w:val="00BC5DB6"/>
    <w:rsid w:val="00BC5DDD"/>
    <w:rsid w:val="00BC5F95"/>
    <w:rsid w:val="00BC60A3"/>
    <w:rsid w:val="00BC6584"/>
    <w:rsid w:val="00BC7047"/>
    <w:rsid w:val="00BC7AB7"/>
    <w:rsid w:val="00BC7E39"/>
    <w:rsid w:val="00BC7E99"/>
    <w:rsid w:val="00BD0AE7"/>
    <w:rsid w:val="00BD33C4"/>
    <w:rsid w:val="00BD3CF5"/>
    <w:rsid w:val="00BD3E34"/>
    <w:rsid w:val="00BD4279"/>
    <w:rsid w:val="00BD45AD"/>
    <w:rsid w:val="00BD4600"/>
    <w:rsid w:val="00BD4BBD"/>
    <w:rsid w:val="00BD4EB5"/>
    <w:rsid w:val="00BD5D22"/>
    <w:rsid w:val="00BD6C21"/>
    <w:rsid w:val="00BD6F9D"/>
    <w:rsid w:val="00BE04BC"/>
    <w:rsid w:val="00BE1501"/>
    <w:rsid w:val="00BE1E9A"/>
    <w:rsid w:val="00BE1FFA"/>
    <w:rsid w:val="00BE265D"/>
    <w:rsid w:val="00BE7430"/>
    <w:rsid w:val="00BE77A6"/>
    <w:rsid w:val="00BE7AFF"/>
    <w:rsid w:val="00BE7FEA"/>
    <w:rsid w:val="00BF0530"/>
    <w:rsid w:val="00BF2EDF"/>
    <w:rsid w:val="00BF3ADF"/>
    <w:rsid w:val="00BF3E35"/>
    <w:rsid w:val="00BF4C85"/>
    <w:rsid w:val="00BF4CD7"/>
    <w:rsid w:val="00BF50A6"/>
    <w:rsid w:val="00BF5551"/>
    <w:rsid w:val="00BF60C4"/>
    <w:rsid w:val="00BF75E7"/>
    <w:rsid w:val="00C00E80"/>
    <w:rsid w:val="00C01C3C"/>
    <w:rsid w:val="00C02BFD"/>
    <w:rsid w:val="00C02DAA"/>
    <w:rsid w:val="00C04183"/>
    <w:rsid w:val="00C0483F"/>
    <w:rsid w:val="00C04A1B"/>
    <w:rsid w:val="00C04D27"/>
    <w:rsid w:val="00C05480"/>
    <w:rsid w:val="00C05D2D"/>
    <w:rsid w:val="00C06E5B"/>
    <w:rsid w:val="00C079BD"/>
    <w:rsid w:val="00C10BE7"/>
    <w:rsid w:val="00C10EC3"/>
    <w:rsid w:val="00C11593"/>
    <w:rsid w:val="00C12595"/>
    <w:rsid w:val="00C12875"/>
    <w:rsid w:val="00C136CC"/>
    <w:rsid w:val="00C1391F"/>
    <w:rsid w:val="00C14CD7"/>
    <w:rsid w:val="00C14D6E"/>
    <w:rsid w:val="00C15503"/>
    <w:rsid w:val="00C1580E"/>
    <w:rsid w:val="00C15AE0"/>
    <w:rsid w:val="00C17969"/>
    <w:rsid w:val="00C17EE3"/>
    <w:rsid w:val="00C215C7"/>
    <w:rsid w:val="00C216B7"/>
    <w:rsid w:val="00C22363"/>
    <w:rsid w:val="00C22865"/>
    <w:rsid w:val="00C22F3D"/>
    <w:rsid w:val="00C23333"/>
    <w:rsid w:val="00C23526"/>
    <w:rsid w:val="00C23896"/>
    <w:rsid w:val="00C25EE2"/>
    <w:rsid w:val="00C32075"/>
    <w:rsid w:val="00C3252B"/>
    <w:rsid w:val="00C32829"/>
    <w:rsid w:val="00C34079"/>
    <w:rsid w:val="00C34D1C"/>
    <w:rsid w:val="00C34FA9"/>
    <w:rsid w:val="00C35F7C"/>
    <w:rsid w:val="00C360E2"/>
    <w:rsid w:val="00C37A5D"/>
    <w:rsid w:val="00C37E02"/>
    <w:rsid w:val="00C41017"/>
    <w:rsid w:val="00C41657"/>
    <w:rsid w:val="00C416FE"/>
    <w:rsid w:val="00C4224E"/>
    <w:rsid w:val="00C422B8"/>
    <w:rsid w:val="00C43570"/>
    <w:rsid w:val="00C45497"/>
    <w:rsid w:val="00C45B3C"/>
    <w:rsid w:val="00C47003"/>
    <w:rsid w:val="00C470A1"/>
    <w:rsid w:val="00C4722C"/>
    <w:rsid w:val="00C47298"/>
    <w:rsid w:val="00C47666"/>
    <w:rsid w:val="00C47BB5"/>
    <w:rsid w:val="00C47CBA"/>
    <w:rsid w:val="00C5015B"/>
    <w:rsid w:val="00C505DB"/>
    <w:rsid w:val="00C51909"/>
    <w:rsid w:val="00C51B33"/>
    <w:rsid w:val="00C528D5"/>
    <w:rsid w:val="00C54176"/>
    <w:rsid w:val="00C541F1"/>
    <w:rsid w:val="00C546DC"/>
    <w:rsid w:val="00C54E9C"/>
    <w:rsid w:val="00C553FC"/>
    <w:rsid w:val="00C55950"/>
    <w:rsid w:val="00C56F6A"/>
    <w:rsid w:val="00C575BF"/>
    <w:rsid w:val="00C57624"/>
    <w:rsid w:val="00C579C0"/>
    <w:rsid w:val="00C60CCA"/>
    <w:rsid w:val="00C60F9D"/>
    <w:rsid w:val="00C61BD9"/>
    <w:rsid w:val="00C626FB"/>
    <w:rsid w:val="00C62AD0"/>
    <w:rsid w:val="00C63759"/>
    <w:rsid w:val="00C643EA"/>
    <w:rsid w:val="00C65252"/>
    <w:rsid w:val="00C6606B"/>
    <w:rsid w:val="00C67225"/>
    <w:rsid w:val="00C73164"/>
    <w:rsid w:val="00C734B0"/>
    <w:rsid w:val="00C73845"/>
    <w:rsid w:val="00C74C04"/>
    <w:rsid w:val="00C74E03"/>
    <w:rsid w:val="00C7559F"/>
    <w:rsid w:val="00C759DE"/>
    <w:rsid w:val="00C75BF1"/>
    <w:rsid w:val="00C75C7E"/>
    <w:rsid w:val="00C76339"/>
    <w:rsid w:val="00C765A1"/>
    <w:rsid w:val="00C766CD"/>
    <w:rsid w:val="00C766FE"/>
    <w:rsid w:val="00C7691B"/>
    <w:rsid w:val="00C77FE7"/>
    <w:rsid w:val="00C80F57"/>
    <w:rsid w:val="00C8223D"/>
    <w:rsid w:val="00C8296D"/>
    <w:rsid w:val="00C83CF6"/>
    <w:rsid w:val="00C85565"/>
    <w:rsid w:val="00C863C5"/>
    <w:rsid w:val="00C86BFE"/>
    <w:rsid w:val="00C87712"/>
    <w:rsid w:val="00C91044"/>
    <w:rsid w:val="00C91702"/>
    <w:rsid w:val="00C9185B"/>
    <w:rsid w:val="00C91E22"/>
    <w:rsid w:val="00C91F5A"/>
    <w:rsid w:val="00C921AB"/>
    <w:rsid w:val="00C922B7"/>
    <w:rsid w:val="00C9398B"/>
    <w:rsid w:val="00C9404F"/>
    <w:rsid w:val="00C952E2"/>
    <w:rsid w:val="00C95941"/>
    <w:rsid w:val="00C9594D"/>
    <w:rsid w:val="00C96537"/>
    <w:rsid w:val="00C96DA1"/>
    <w:rsid w:val="00C96E66"/>
    <w:rsid w:val="00CA04A6"/>
    <w:rsid w:val="00CA0600"/>
    <w:rsid w:val="00CA12CC"/>
    <w:rsid w:val="00CA1660"/>
    <w:rsid w:val="00CA1E8B"/>
    <w:rsid w:val="00CA2006"/>
    <w:rsid w:val="00CA2D8F"/>
    <w:rsid w:val="00CA3E88"/>
    <w:rsid w:val="00CA3EAB"/>
    <w:rsid w:val="00CA4469"/>
    <w:rsid w:val="00CA58D0"/>
    <w:rsid w:val="00CA5926"/>
    <w:rsid w:val="00CA5B2E"/>
    <w:rsid w:val="00CA6BF8"/>
    <w:rsid w:val="00CA70A3"/>
    <w:rsid w:val="00CA7F47"/>
    <w:rsid w:val="00CB2196"/>
    <w:rsid w:val="00CB240C"/>
    <w:rsid w:val="00CB2E30"/>
    <w:rsid w:val="00CB2F24"/>
    <w:rsid w:val="00CB4880"/>
    <w:rsid w:val="00CB4B55"/>
    <w:rsid w:val="00CB5492"/>
    <w:rsid w:val="00CB6337"/>
    <w:rsid w:val="00CB6A5F"/>
    <w:rsid w:val="00CB7892"/>
    <w:rsid w:val="00CC0BA9"/>
    <w:rsid w:val="00CC10A9"/>
    <w:rsid w:val="00CC2D4D"/>
    <w:rsid w:val="00CC302E"/>
    <w:rsid w:val="00CC3DF7"/>
    <w:rsid w:val="00CC44FC"/>
    <w:rsid w:val="00CC4509"/>
    <w:rsid w:val="00CC4660"/>
    <w:rsid w:val="00CC4C53"/>
    <w:rsid w:val="00CC4F42"/>
    <w:rsid w:val="00CC5388"/>
    <w:rsid w:val="00CC5A9E"/>
    <w:rsid w:val="00CC61C4"/>
    <w:rsid w:val="00CC6D70"/>
    <w:rsid w:val="00CC6FAB"/>
    <w:rsid w:val="00CC6FDA"/>
    <w:rsid w:val="00CC7236"/>
    <w:rsid w:val="00CD0563"/>
    <w:rsid w:val="00CD0D8E"/>
    <w:rsid w:val="00CD4380"/>
    <w:rsid w:val="00CD4EED"/>
    <w:rsid w:val="00CD56A5"/>
    <w:rsid w:val="00CD5A7D"/>
    <w:rsid w:val="00CE01EA"/>
    <w:rsid w:val="00CE02EB"/>
    <w:rsid w:val="00CE0FC6"/>
    <w:rsid w:val="00CE2C90"/>
    <w:rsid w:val="00CE3E15"/>
    <w:rsid w:val="00CE3EB8"/>
    <w:rsid w:val="00CE4CAD"/>
    <w:rsid w:val="00CE62C7"/>
    <w:rsid w:val="00CE6C81"/>
    <w:rsid w:val="00CE6E60"/>
    <w:rsid w:val="00CE7027"/>
    <w:rsid w:val="00CE7C20"/>
    <w:rsid w:val="00CF13EB"/>
    <w:rsid w:val="00CF19A1"/>
    <w:rsid w:val="00CF1D98"/>
    <w:rsid w:val="00CF1E45"/>
    <w:rsid w:val="00CF284D"/>
    <w:rsid w:val="00CF2F3B"/>
    <w:rsid w:val="00CF36BF"/>
    <w:rsid w:val="00CF3B45"/>
    <w:rsid w:val="00CF45DD"/>
    <w:rsid w:val="00CF4C90"/>
    <w:rsid w:val="00CF53C5"/>
    <w:rsid w:val="00CF5B43"/>
    <w:rsid w:val="00CF6179"/>
    <w:rsid w:val="00CF679D"/>
    <w:rsid w:val="00CF73F5"/>
    <w:rsid w:val="00D002F6"/>
    <w:rsid w:val="00D003C4"/>
    <w:rsid w:val="00D01FF5"/>
    <w:rsid w:val="00D02CB7"/>
    <w:rsid w:val="00D0441B"/>
    <w:rsid w:val="00D0446E"/>
    <w:rsid w:val="00D04A8A"/>
    <w:rsid w:val="00D04DFE"/>
    <w:rsid w:val="00D05036"/>
    <w:rsid w:val="00D063C9"/>
    <w:rsid w:val="00D0711D"/>
    <w:rsid w:val="00D114FC"/>
    <w:rsid w:val="00D135A1"/>
    <w:rsid w:val="00D14C19"/>
    <w:rsid w:val="00D15332"/>
    <w:rsid w:val="00D15F4A"/>
    <w:rsid w:val="00D17830"/>
    <w:rsid w:val="00D17DD6"/>
    <w:rsid w:val="00D202D2"/>
    <w:rsid w:val="00D20C2F"/>
    <w:rsid w:val="00D21377"/>
    <w:rsid w:val="00D21C2D"/>
    <w:rsid w:val="00D223CE"/>
    <w:rsid w:val="00D223EF"/>
    <w:rsid w:val="00D22955"/>
    <w:rsid w:val="00D22B5B"/>
    <w:rsid w:val="00D2358F"/>
    <w:rsid w:val="00D23BB2"/>
    <w:rsid w:val="00D24E24"/>
    <w:rsid w:val="00D25272"/>
    <w:rsid w:val="00D25896"/>
    <w:rsid w:val="00D26406"/>
    <w:rsid w:val="00D26421"/>
    <w:rsid w:val="00D26F0C"/>
    <w:rsid w:val="00D307FA"/>
    <w:rsid w:val="00D312E8"/>
    <w:rsid w:val="00D31C16"/>
    <w:rsid w:val="00D31F01"/>
    <w:rsid w:val="00D32187"/>
    <w:rsid w:val="00D321AE"/>
    <w:rsid w:val="00D322D6"/>
    <w:rsid w:val="00D32646"/>
    <w:rsid w:val="00D326B0"/>
    <w:rsid w:val="00D32E88"/>
    <w:rsid w:val="00D32FD2"/>
    <w:rsid w:val="00D33434"/>
    <w:rsid w:val="00D3451D"/>
    <w:rsid w:val="00D3501B"/>
    <w:rsid w:val="00D36F59"/>
    <w:rsid w:val="00D4263E"/>
    <w:rsid w:val="00D42862"/>
    <w:rsid w:val="00D43528"/>
    <w:rsid w:val="00D43ACF"/>
    <w:rsid w:val="00D43B3A"/>
    <w:rsid w:val="00D43C4E"/>
    <w:rsid w:val="00D44192"/>
    <w:rsid w:val="00D443E5"/>
    <w:rsid w:val="00D4461C"/>
    <w:rsid w:val="00D44C65"/>
    <w:rsid w:val="00D4592F"/>
    <w:rsid w:val="00D46840"/>
    <w:rsid w:val="00D50BBC"/>
    <w:rsid w:val="00D50EC9"/>
    <w:rsid w:val="00D511A9"/>
    <w:rsid w:val="00D51895"/>
    <w:rsid w:val="00D51D70"/>
    <w:rsid w:val="00D525F3"/>
    <w:rsid w:val="00D52B96"/>
    <w:rsid w:val="00D53FDE"/>
    <w:rsid w:val="00D5498D"/>
    <w:rsid w:val="00D561AB"/>
    <w:rsid w:val="00D57C53"/>
    <w:rsid w:val="00D60458"/>
    <w:rsid w:val="00D60F47"/>
    <w:rsid w:val="00D62A1B"/>
    <w:rsid w:val="00D63AD4"/>
    <w:rsid w:val="00D64B8E"/>
    <w:rsid w:val="00D64D7A"/>
    <w:rsid w:val="00D654B8"/>
    <w:rsid w:val="00D65DEB"/>
    <w:rsid w:val="00D663EE"/>
    <w:rsid w:val="00D70065"/>
    <w:rsid w:val="00D705D3"/>
    <w:rsid w:val="00D7114C"/>
    <w:rsid w:val="00D715F6"/>
    <w:rsid w:val="00D71B6F"/>
    <w:rsid w:val="00D71C5C"/>
    <w:rsid w:val="00D71E8F"/>
    <w:rsid w:val="00D72953"/>
    <w:rsid w:val="00D72A3B"/>
    <w:rsid w:val="00D73B89"/>
    <w:rsid w:val="00D74094"/>
    <w:rsid w:val="00D75140"/>
    <w:rsid w:val="00D75797"/>
    <w:rsid w:val="00D75D1D"/>
    <w:rsid w:val="00D75F53"/>
    <w:rsid w:val="00D76967"/>
    <w:rsid w:val="00D77690"/>
    <w:rsid w:val="00D80E49"/>
    <w:rsid w:val="00D81163"/>
    <w:rsid w:val="00D81F21"/>
    <w:rsid w:val="00D832AF"/>
    <w:rsid w:val="00D8382E"/>
    <w:rsid w:val="00D83C2E"/>
    <w:rsid w:val="00D84583"/>
    <w:rsid w:val="00D84777"/>
    <w:rsid w:val="00D8587C"/>
    <w:rsid w:val="00D866E3"/>
    <w:rsid w:val="00D86EAD"/>
    <w:rsid w:val="00D873C9"/>
    <w:rsid w:val="00D87C29"/>
    <w:rsid w:val="00D87D7F"/>
    <w:rsid w:val="00D87DD3"/>
    <w:rsid w:val="00D90030"/>
    <w:rsid w:val="00D9021F"/>
    <w:rsid w:val="00D91D3D"/>
    <w:rsid w:val="00D93F25"/>
    <w:rsid w:val="00D95584"/>
    <w:rsid w:val="00D959D4"/>
    <w:rsid w:val="00D9622B"/>
    <w:rsid w:val="00D962DB"/>
    <w:rsid w:val="00D96925"/>
    <w:rsid w:val="00DA07DA"/>
    <w:rsid w:val="00DA08D2"/>
    <w:rsid w:val="00DA0DFA"/>
    <w:rsid w:val="00DA3C82"/>
    <w:rsid w:val="00DA59E9"/>
    <w:rsid w:val="00DA6246"/>
    <w:rsid w:val="00DA6CB1"/>
    <w:rsid w:val="00DA7258"/>
    <w:rsid w:val="00DB060A"/>
    <w:rsid w:val="00DB1BC6"/>
    <w:rsid w:val="00DB3091"/>
    <w:rsid w:val="00DB39C8"/>
    <w:rsid w:val="00DB3CEC"/>
    <w:rsid w:val="00DB41E1"/>
    <w:rsid w:val="00DB4906"/>
    <w:rsid w:val="00DB5179"/>
    <w:rsid w:val="00DB5542"/>
    <w:rsid w:val="00DB61BE"/>
    <w:rsid w:val="00DB6313"/>
    <w:rsid w:val="00DB6CEF"/>
    <w:rsid w:val="00DB6DF9"/>
    <w:rsid w:val="00DB748A"/>
    <w:rsid w:val="00DB752A"/>
    <w:rsid w:val="00DB7FC8"/>
    <w:rsid w:val="00DC0075"/>
    <w:rsid w:val="00DC1781"/>
    <w:rsid w:val="00DC1CAB"/>
    <w:rsid w:val="00DC2123"/>
    <w:rsid w:val="00DC4264"/>
    <w:rsid w:val="00DC474F"/>
    <w:rsid w:val="00DC49EF"/>
    <w:rsid w:val="00DC55E4"/>
    <w:rsid w:val="00DC59A2"/>
    <w:rsid w:val="00DC6B57"/>
    <w:rsid w:val="00DC6BA1"/>
    <w:rsid w:val="00DC6D67"/>
    <w:rsid w:val="00DD001A"/>
    <w:rsid w:val="00DD13EC"/>
    <w:rsid w:val="00DD1CAE"/>
    <w:rsid w:val="00DD20AB"/>
    <w:rsid w:val="00DD2889"/>
    <w:rsid w:val="00DD2B95"/>
    <w:rsid w:val="00DD30FC"/>
    <w:rsid w:val="00DD3203"/>
    <w:rsid w:val="00DD3D35"/>
    <w:rsid w:val="00DD40CB"/>
    <w:rsid w:val="00DD47E7"/>
    <w:rsid w:val="00DD4F7F"/>
    <w:rsid w:val="00DD675E"/>
    <w:rsid w:val="00DD6900"/>
    <w:rsid w:val="00DD703C"/>
    <w:rsid w:val="00DD720F"/>
    <w:rsid w:val="00DD74A0"/>
    <w:rsid w:val="00DD789C"/>
    <w:rsid w:val="00DE009D"/>
    <w:rsid w:val="00DE0448"/>
    <w:rsid w:val="00DE07E3"/>
    <w:rsid w:val="00DE1937"/>
    <w:rsid w:val="00DE1A0D"/>
    <w:rsid w:val="00DE274A"/>
    <w:rsid w:val="00DE2B6C"/>
    <w:rsid w:val="00DE2DCB"/>
    <w:rsid w:val="00DE36DC"/>
    <w:rsid w:val="00DE3B3A"/>
    <w:rsid w:val="00DE3D46"/>
    <w:rsid w:val="00DE4367"/>
    <w:rsid w:val="00DE52AF"/>
    <w:rsid w:val="00DE60F2"/>
    <w:rsid w:val="00DE6EC1"/>
    <w:rsid w:val="00DE7315"/>
    <w:rsid w:val="00DE7B45"/>
    <w:rsid w:val="00DE7C83"/>
    <w:rsid w:val="00DF063B"/>
    <w:rsid w:val="00DF0A39"/>
    <w:rsid w:val="00DF12E5"/>
    <w:rsid w:val="00DF1339"/>
    <w:rsid w:val="00DF2A68"/>
    <w:rsid w:val="00DF2DBD"/>
    <w:rsid w:val="00DF3E97"/>
    <w:rsid w:val="00DF44F5"/>
    <w:rsid w:val="00DF4E7E"/>
    <w:rsid w:val="00DF656E"/>
    <w:rsid w:val="00DF74B1"/>
    <w:rsid w:val="00DF74C5"/>
    <w:rsid w:val="00DF7D66"/>
    <w:rsid w:val="00E0013F"/>
    <w:rsid w:val="00E00FAC"/>
    <w:rsid w:val="00E01078"/>
    <w:rsid w:val="00E021C0"/>
    <w:rsid w:val="00E02290"/>
    <w:rsid w:val="00E03D79"/>
    <w:rsid w:val="00E03FAE"/>
    <w:rsid w:val="00E048B1"/>
    <w:rsid w:val="00E06745"/>
    <w:rsid w:val="00E068BD"/>
    <w:rsid w:val="00E0763A"/>
    <w:rsid w:val="00E10585"/>
    <w:rsid w:val="00E12407"/>
    <w:rsid w:val="00E124AC"/>
    <w:rsid w:val="00E12D07"/>
    <w:rsid w:val="00E13500"/>
    <w:rsid w:val="00E13B86"/>
    <w:rsid w:val="00E14429"/>
    <w:rsid w:val="00E1501E"/>
    <w:rsid w:val="00E15211"/>
    <w:rsid w:val="00E16BF3"/>
    <w:rsid w:val="00E1775F"/>
    <w:rsid w:val="00E205E5"/>
    <w:rsid w:val="00E2146E"/>
    <w:rsid w:val="00E21479"/>
    <w:rsid w:val="00E216E7"/>
    <w:rsid w:val="00E216EA"/>
    <w:rsid w:val="00E23F2D"/>
    <w:rsid w:val="00E24FFB"/>
    <w:rsid w:val="00E25130"/>
    <w:rsid w:val="00E258C1"/>
    <w:rsid w:val="00E26CD8"/>
    <w:rsid w:val="00E26E5B"/>
    <w:rsid w:val="00E2701D"/>
    <w:rsid w:val="00E27373"/>
    <w:rsid w:val="00E2757D"/>
    <w:rsid w:val="00E30E21"/>
    <w:rsid w:val="00E32FBC"/>
    <w:rsid w:val="00E3324A"/>
    <w:rsid w:val="00E3366C"/>
    <w:rsid w:val="00E33EF2"/>
    <w:rsid w:val="00E340D1"/>
    <w:rsid w:val="00E341B0"/>
    <w:rsid w:val="00E343CF"/>
    <w:rsid w:val="00E349C7"/>
    <w:rsid w:val="00E36C18"/>
    <w:rsid w:val="00E36F36"/>
    <w:rsid w:val="00E3731E"/>
    <w:rsid w:val="00E37BAD"/>
    <w:rsid w:val="00E40446"/>
    <w:rsid w:val="00E406DB"/>
    <w:rsid w:val="00E427BB"/>
    <w:rsid w:val="00E4324D"/>
    <w:rsid w:val="00E439E6"/>
    <w:rsid w:val="00E44401"/>
    <w:rsid w:val="00E44595"/>
    <w:rsid w:val="00E445B6"/>
    <w:rsid w:val="00E4475C"/>
    <w:rsid w:val="00E44B04"/>
    <w:rsid w:val="00E44BEF"/>
    <w:rsid w:val="00E44E1B"/>
    <w:rsid w:val="00E44F01"/>
    <w:rsid w:val="00E456EC"/>
    <w:rsid w:val="00E45AB2"/>
    <w:rsid w:val="00E45AF0"/>
    <w:rsid w:val="00E45C5C"/>
    <w:rsid w:val="00E46241"/>
    <w:rsid w:val="00E4657A"/>
    <w:rsid w:val="00E46E38"/>
    <w:rsid w:val="00E4717D"/>
    <w:rsid w:val="00E47738"/>
    <w:rsid w:val="00E47912"/>
    <w:rsid w:val="00E50719"/>
    <w:rsid w:val="00E52A96"/>
    <w:rsid w:val="00E53B04"/>
    <w:rsid w:val="00E55B47"/>
    <w:rsid w:val="00E617E5"/>
    <w:rsid w:val="00E62A67"/>
    <w:rsid w:val="00E64475"/>
    <w:rsid w:val="00E64994"/>
    <w:rsid w:val="00E66320"/>
    <w:rsid w:val="00E7037F"/>
    <w:rsid w:val="00E705CF"/>
    <w:rsid w:val="00E70BC8"/>
    <w:rsid w:val="00E70E19"/>
    <w:rsid w:val="00E724F2"/>
    <w:rsid w:val="00E725E9"/>
    <w:rsid w:val="00E72B8C"/>
    <w:rsid w:val="00E73082"/>
    <w:rsid w:val="00E73742"/>
    <w:rsid w:val="00E748DD"/>
    <w:rsid w:val="00E75521"/>
    <w:rsid w:val="00E772AA"/>
    <w:rsid w:val="00E772DB"/>
    <w:rsid w:val="00E77F57"/>
    <w:rsid w:val="00E81466"/>
    <w:rsid w:val="00E81653"/>
    <w:rsid w:val="00E8237E"/>
    <w:rsid w:val="00E825DC"/>
    <w:rsid w:val="00E834A9"/>
    <w:rsid w:val="00E83BF0"/>
    <w:rsid w:val="00E8400C"/>
    <w:rsid w:val="00E8441E"/>
    <w:rsid w:val="00E84454"/>
    <w:rsid w:val="00E8484F"/>
    <w:rsid w:val="00E84D35"/>
    <w:rsid w:val="00E85411"/>
    <w:rsid w:val="00E85D96"/>
    <w:rsid w:val="00E869D2"/>
    <w:rsid w:val="00E86B53"/>
    <w:rsid w:val="00E87DA5"/>
    <w:rsid w:val="00E87F76"/>
    <w:rsid w:val="00E90386"/>
    <w:rsid w:val="00E905C6"/>
    <w:rsid w:val="00E90622"/>
    <w:rsid w:val="00E9144B"/>
    <w:rsid w:val="00E9193B"/>
    <w:rsid w:val="00E92A3D"/>
    <w:rsid w:val="00E92CAE"/>
    <w:rsid w:val="00E93B14"/>
    <w:rsid w:val="00E940A1"/>
    <w:rsid w:val="00E948E8"/>
    <w:rsid w:val="00E96523"/>
    <w:rsid w:val="00E96FD2"/>
    <w:rsid w:val="00E97029"/>
    <w:rsid w:val="00E979DA"/>
    <w:rsid w:val="00E97B44"/>
    <w:rsid w:val="00EA10FB"/>
    <w:rsid w:val="00EA141D"/>
    <w:rsid w:val="00EA1A42"/>
    <w:rsid w:val="00EA23D5"/>
    <w:rsid w:val="00EA24D8"/>
    <w:rsid w:val="00EA3485"/>
    <w:rsid w:val="00EA4697"/>
    <w:rsid w:val="00EA496D"/>
    <w:rsid w:val="00EA5335"/>
    <w:rsid w:val="00EA59B2"/>
    <w:rsid w:val="00EA65DC"/>
    <w:rsid w:val="00EA724A"/>
    <w:rsid w:val="00EA728E"/>
    <w:rsid w:val="00EA78D6"/>
    <w:rsid w:val="00EB032E"/>
    <w:rsid w:val="00EB040B"/>
    <w:rsid w:val="00EB0A75"/>
    <w:rsid w:val="00EB1E34"/>
    <w:rsid w:val="00EB2446"/>
    <w:rsid w:val="00EB2DC4"/>
    <w:rsid w:val="00EB4637"/>
    <w:rsid w:val="00EB4C64"/>
    <w:rsid w:val="00EB5D79"/>
    <w:rsid w:val="00EB6468"/>
    <w:rsid w:val="00EB679C"/>
    <w:rsid w:val="00EB69D0"/>
    <w:rsid w:val="00EB73D2"/>
    <w:rsid w:val="00EB7959"/>
    <w:rsid w:val="00EB7F5A"/>
    <w:rsid w:val="00EC2568"/>
    <w:rsid w:val="00EC40E7"/>
    <w:rsid w:val="00EC4731"/>
    <w:rsid w:val="00EC4CD8"/>
    <w:rsid w:val="00EC590A"/>
    <w:rsid w:val="00EC5F75"/>
    <w:rsid w:val="00EC660F"/>
    <w:rsid w:val="00EC6ADE"/>
    <w:rsid w:val="00EC6EE1"/>
    <w:rsid w:val="00EC77D1"/>
    <w:rsid w:val="00EC7C21"/>
    <w:rsid w:val="00ED024C"/>
    <w:rsid w:val="00ED1440"/>
    <w:rsid w:val="00ED1D09"/>
    <w:rsid w:val="00ED326A"/>
    <w:rsid w:val="00ED45DE"/>
    <w:rsid w:val="00ED4E7B"/>
    <w:rsid w:val="00ED589E"/>
    <w:rsid w:val="00ED6944"/>
    <w:rsid w:val="00ED6C05"/>
    <w:rsid w:val="00ED7450"/>
    <w:rsid w:val="00EE1DFF"/>
    <w:rsid w:val="00EE34F1"/>
    <w:rsid w:val="00EE45EE"/>
    <w:rsid w:val="00EE57C5"/>
    <w:rsid w:val="00EE5DDC"/>
    <w:rsid w:val="00EE5E89"/>
    <w:rsid w:val="00EE7B3A"/>
    <w:rsid w:val="00EE7BD9"/>
    <w:rsid w:val="00EE7DD0"/>
    <w:rsid w:val="00EF0B4B"/>
    <w:rsid w:val="00EF0DAE"/>
    <w:rsid w:val="00EF24C8"/>
    <w:rsid w:val="00EF2AA6"/>
    <w:rsid w:val="00EF2C81"/>
    <w:rsid w:val="00EF2D7D"/>
    <w:rsid w:val="00EF2E8A"/>
    <w:rsid w:val="00EF3624"/>
    <w:rsid w:val="00EF4111"/>
    <w:rsid w:val="00EF61D5"/>
    <w:rsid w:val="00EF63CC"/>
    <w:rsid w:val="00EF65B1"/>
    <w:rsid w:val="00EF6C38"/>
    <w:rsid w:val="00EF6EF0"/>
    <w:rsid w:val="00EF712B"/>
    <w:rsid w:val="00EF765B"/>
    <w:rsid w:val="00EF7AF3"/>
    <w:rsid w:val="00F01002"/>
    <w:rsid w:val="00F01DBF"/>
    <w:rsid w:val="00F01F7D"/>
    <w:rsid w:val="00F02F21"/>
    <w:rsid w:val="00F04C26"/>
    <w:rsid w:val="00F04C3F"/>
    <w:rsid w:val="00F05F08"/>
    <w:rsid w:val="00F06F08"/>
    <w:rsid w:val="00F07592"/>
    <w:rsid w:val="00F07752"/>
    <w:rsid w:val="00F1009A"/>
    <w:rsid w:val="00F11149"/>
    <w:rsid w:val="00F11C5A"/>
    <w:rsid w:val="00F120E4"/>
    <w:rsid w:val="00F1215A"/>
    <w:rsid w:val="00F122C9"/>
    <w:rsid w:val="00F130C4"/>
    <w:rsid w:val="00F135FC"/>
    <w:rsid w:val="00F14527"/>
    <w:rsid w:val="00F148C8"/>
    <w:rsid w:val="00F15123"/>
    <w:rsid w:val="00F20E70"/>
    <w:rsid w:val="00F21322"/>
    <w:rsid w:val="00F216DE"/>
    <w:rsid w:val="00F22781"/>
    <w:rsid w:val="00F230BE"/>
    <w:rsid w:val="00F24E3E"/>
    <w:rsid w:val="00F2683B"/>
    <w:rsid w:val="00F26AA3"/>
    <w:rsid w:val="00F26BB7"/>
    <w:rsid w:val="00F26D1A"/>
    <w:rsid w:val="00F27343"/>
    <w:rsid w:val="00F2796D"/>
    <w:rsid w:val="00F27F6C"/>
    <w:rsid w:val="00F30034"/>
    <w:rsid w:val="00F30184"/>
    <w:rsid w:val="00F301E8"/>
    <w:rsid w:val="00F3088D"/>
    <w:rsid w:val="00F31498"/>
    <w:rsid w:val="00F3179B"/>
    <w:rsid w:val="00F319FD"/>
    <w:rsid w:val="00F3227E"/>
    <w:rsid w:val="00F323B8"/>
    <w:rsid w:val="00F32F13"/>
    <w:rsid w:val="00F33BAB"/>
    <w:rsid w:val="00F33D15"/>
    <w:rsid w:val="00F33E16"/>
    <w:rsid w:val="00F348F8"/>
    <w:rsid w:val="00F34E60"/>
    <w:rsid w:val="00F3562A"/>
    <w:rsid w:val="00F35E52"/>
    <w:rsid w:val="00F3686F"/>
    <w:rsid w:val="00F40B27"/>
    <w:rsid w:val="00F40E66"/>
    <w:rsid w:val="00F40EA8"/>
    <w:rsid w:val="00F4120E"/>
    <w:rsid w:val="00F42E49"/>
    <w:rsid w:val="00F4315D"/>
    <w:rsid w:val="00F435BE"/>
    <w:rsid w:val="00F4382C"/>
    <w:rsid w:val="00F439CF"/>
    <w:rsid w:val="00F43F6E"/>
    <w:rsid w:val="00F4477B"/>
    <w:rsid w:val="00F4486A"/>
    <w:rsid w:val="00F45D7A"/>
    <w:rsid w:val="00F46DFA"/>
    <w:rsid w:val="00F47037"/>
    <w:rsid w:val="00F47498"/>
    <w:rsid w:val="00F474A3"/>
    <w:rsid w:val="00F50723"/>
    <w:rsid w:val="00F50F1D"/>
    <w:rsid w:val="00F51448"/>
    <w:rsid w:val="00F51AC1"/>
    <w:rsid w:val="00F51EAC"/>
    <w:rsid w:val="00F52389"/>
    <w:rsid w:val="00F527F3"/>
    <w:rsid w:val="00F53007"/>
    <w:rsid w:val="00F536AD"/>
    <w:rsid w:val="00F54466"/>
    <w:rsid w:val="00F55294"/>
    <w:rsid w:val="00F552B7"/>
    <w:rsid w:val="00F55998"/>
    <w:rsid w:val="00F5629E"/>
    <w:rsid w:val="00F56AD6"/>
    <w:rsid w:val="00F57FF6"/>
    <w:rsid w:val="00F6054E"/>
    <w:rsid w:val="00F613FF"/>
    <w:rsid w:val="00F614AE"/>
    <w:rsid w:val="00F62E6A"/>
    <w:rsid w:val="00F62ECD"/>
    <w:rsid w:val="00F64C54"/>
    <w:rsid w:val="00F70103"/>
    <w:rsid w:val="00F70843"/>
    <w:rsid w:val="00F727E1"/>
    <w:rsid w:val="00F72809"/>
    <w:rsid w:val="00F734AB"/>
    <w:rsid w:val="00F74560"/>
    <w:rsid w:val="00F74BDD"/>
    <w:rsid w:val="00F74DEC"/>
    <w:rsid w:val="00F75420"/>
    <w:rsid w:val="00F75C2D"/>
    <w:rsid w:val="00F76396"/>
    <w:rsid w:val="00F76BF4"/>
    <w:rsid w:val="00F77547"/>
    <w:rsid w:val="00F80539"/>
    <w:rsid w:val="00F80631"/>
    <w:rsid w:val="00F8066F"/>
    <w:rsid w:val="00F80A5A"/>
    <w:rsid w:val="00F82666"/>
    <w:rsid w:val="00F82E7A"/>
    <w:rsid w:val="00F83499"/>
    <w:rsid w:val="00F84245"/>
    <w:rsid w:val="00F84ED2"/>
    <w:rsid w:val="00F858AF"/>
    <w:rsid w:val="00F85F2D"/>
    <w:rsid w:val="00F864DD"/>
    <w:rsid w:val="00F86B64"/>
    <w:rsid w:val="00F87373"/>
    <w:rsid w:val="00F8743B"/>
    <w:rsid w:val="00F87896"/>
    <w:rsid w:val="00F879EE"/>
    <w:rsid w:val="00F903CC"/>
    <w:rsid w:val="00F912F6"/>
    <w:rsid w:val="00F917D4"/>
    <w:rsid w:val="00F917F6"/>
    <w:rsid w:val="00F918CC"/>
    <w:rsid w:val="00F920E2"/>
    <w:rsid w:val="00F92FDF"/>
    <w:rsid w:val="00F94019"/>
    <w:rsid w:val="00F94B99"/>
    <w:rsid w:val="00F950BB"/>
    <w:rsid w:val="00F9564E"/>
    <w:rsid w:val="00F95A10"/>
    <w:rsid w:val="00F95E2B"/>
    <w:rsid w:val="00F95F3B"/>
    <w:rsid w:val="00F963DF"/>
    <w:rsid w:val="00F9647D"/>
    <w:rsid w:val="00FA0968"/>
    <w:rsid w:val="00FA0A3D"/>
    <w:rsid w:val="00FA0BF3"/>
    <w:rsid w:val="00FA0F66"/>
    <w:rsid w:val="00FA12C1"/>
    <w:rsid w:val="00FA1FF7"/>
    <w:rsid w:val="00FA331C"/>
    <w:rsid w:val="00FA3A95"/>
    <w:rsid w:val="00FA423A"/>
    <w:rsid w:val="00FA4978"/>
    <w:rsid w:val="00FA54FB"/>
    <w:rsid w:val="00FA5663"/>
    <w:rsid w:val="00FA5CB7"/>
    <w:rsid w:val="00FA6C22"/>
    <w:rsid w:val="00FB0336"/>
    <w:rsid w:val="00FB2B56"/>
    <w:rsid w:val="00FB301C"/>
    <w:rsid w:val="00FB3313"/>
    <w:rsid w:val="00FB3388"/>
    <w:rsid w:val="00FB357C"/>
    <w:rsid w:val="00FB3E8D"/>
    <w:rsid w:val="00FB4367"/>
    <w:rsid w:val="00FB474E"/>
    <w:rsid w:val="00FB47D4"/>
    <w:rsid w:val="00FB7986"/>
    <w:rsid w:val="00FC02FD"/>
    <w:rsid w:val="00FC0E17"/>
    <w:rsid w:val="00FC1F39"/>
    <w:rsid w:val="00FC25C4"/>
    <w:rsid w:val="00FC3291"/>
    <w:rsid w:val="00FC3307"/>
    <w:rsid w:val="00FC5147"/>
    <w:rsid w:val="00FC5A37"/>
    <w:rsid w:val="00FC5CE2"/>
    <w:rsid w:val="00FC6781"/>
    <w:rsid w:val="00FC67CE"/>
    <w:rsid w:val="00FC6E62"/>
    <w:rsid w:val="00FD1386"/>
    <w:rsid w:val="00FD174F"/>
    <w:rsid w:val="00FD27A5"/>
    <w:rsid w:val="00FD5B65"/>
    <w:rsid w:val="00FD61E3"/>
    <w:rsid w:val="00FD623F"/>
    <w:rsid w:val="00FD63D8"/>
    <w:rsid w:val="00FD6AE0"/>
    <w:rsid w:val="00FD7984"/>
    <w:rsid w:val="00FD7A5F"/>
    <w:rsid w:val="00FE0F99"/>
    <w:rsid w:val="00FE1BFF"/>
    <w:rsid w:val="00FE3031"/>
    <w:rsid w:val="00FE383D"/>
    <w:rsid w:val="00FE4352"/>
    <w:rsid w:val="00FE58B8"/>
    <w:rsid w:val="00FE5A4C"/>
    <w:rsid w:val="00FE7888"/>
    <w:rsid w:val="00FF1D50"/>
    <w:rsid w:val="00FF341E"/>
    <w:rsid w:val="00FF35DA"/>
    <w:rsid w:val="00FF3DA1"/>
    <w:rsid w:val="00FF418C"/>
    <w:rsid w:val="00FF4993"/>
    <w:rsid w:val="00FF504E"/>
    <w:rsid w:val="00FF5979"/>
    <w:rsid w:val="00FF5EEE"/>
    <w:rsid w:val="00FF6438"/>
    <w:rsid w:val="00FF7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0B141"/>
  <w15:docId w15:val="{ED395345-9125-41E2-B713-AD6E8CCD5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gtree" w:eastAsiaTheme="minorHAnsi" w:hAnsi="Figtree" w:cstheme="minorBidi"/>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17549"/>
    <w:rPr>
      <w:rFonts w:ascii="Arial" w:hAnsi="Arial"/>
      <w:sz w:val="22"/>
      <w:lang w:val="en-AU"/>
    </w:rPr>
  </w:style>
  <w:style w:type="paragraph" w:styleId="Heading1">
    <w:name w:val="heading 1"/>
    <w:basedOn w:val="BodyText"/>
    <w:next w:val="BodyText"/>
    <w:link w:val="Heading1Char"/>
    <w:uiPriority w:val="9"/>
    <w:qFormat/>
    <w:rsid w:val="00552949"/>
    <w:pPr>
      <w:keepNext/>
      <w:numPr>
        <w:numId w:val="1"/>
      </w:numPr>
      <w:spacing w:before="240"/>
      <w:outlineLvl w:val="0"/>
    </w:pPr>
    <w:rPr>
      <w:rFonts w:eastAsiaTheme="majorEastAsia" w:cs="Calibri"/>
      <w:b/>
      <w:bCs/>
      <w:sz w:val="32"/>
      <w:szCs w:val="28"/>
    </w:rPr>
  </w:style>
  <w:style w:type="paragraph" w:styleId="Heading2">
    <w:name w:val="heading 2"/>
    <w:basedOn w:val="Heading1"/>
    <w:next w:val="BodyText"/>
    <w:link w:val="Heading2Char"/>
    <w:uiPriority w:val="9"/>
    <w:unhideWhenUsed/>
    <w:qFormat/>
    <w:rsid w:val="00552949"/>
    <w:pPr>
      <w:numPr>
        <w:ilvl w:val="1"/>
      </w:numPr>
      <w:outlineLvl w:val="1"/>
    </w:pPr>
    <w:rPr>
      <w:bCs w:val="0"/>
      <w:color w:val="3C533C" w:themeColor="accent1"/>
      <w:sz w:val="28"/>
      <w:szCs w:val="26"/>
    </w:rPr>
  </w:style>
  <w:style w:type="paragraph" w:styleId="Heading3">
    <w:name w:val="heading 3"/>
    <w:basedOn w:val="Heading2"/>
    <w:next w:val="BodyText"/>
    <w:link w:val="Heading3Char"/>
    <w:uiPriority w:val="9"/>
    <w:unhideWhenUsed/>
    <w:qFormat/>
    <w:rsid w:val="00552949"/>
    <w:pPr>
      <w:numPr>
        <w:ilvl w:val="2"/>
      </w:numPr>
      <w:outlineLvl w:val="2"/>
    </w:pPr>
    <w:rPr>
      <w:bCs/>
      <w:color w:val="auto"/>
      <w:sz w:val="24"/>
    </w:rPr>
  </w:style>
  <w:style w:type="paragraph" w:styleId="Heading4">
    <w:name w:val="heading 4"/>
    <w:basedOn w:val="Heading3"/>
    <w:next w:val="BodyText"/>
    <w:link w:val="Heading4Char"/>
    <w:uiPriority w:val="9"/>
    <w:unhideWhenUsed/>
    <w:qFormat/>
    <w:rsid w:val="00552949"/>
    <w:pPr>
      <w:numPr>
        <w:ilvl w:val="3"/>
      </w:numPr>
      <w:tabs>
        <w:tab w:val="clear" w:pos="1008"/>
        <w:tab w:val="left" w:pos="990"/>
      </w:tabs>
      <w:outlineLvl w:val="3"/>
    </w:pPr>
    <w:rPr>
      <w:bCs w:val="0"/>
      <w:iCs/>
      <w:color w:val="667545" w:themeColor="accent3"/>
    </w:rPr>
  </w:style>
  <w:style w:type="paragraph" w:styleId="Heading5">
    <w:name w:val="heading 5"/>
    <w:basedOn w:val="Heading4"/>
    <w:next w:val="BodyText"/>
    <w:link w:val="Heading5Char"/>
    <w:uiPriority w:val="9"/>
    <w:unhideWhenUsed/>
    <w:qFormat/>
    <w:rsid w:val="00487EB1"/>
    <w:pPr>
      <w:numPr>
        <w:ilvl w:val="0"/>
        <w:numId w:val="0"/>
      </w:numPr>
      <w:tabs>
        <w:tab w:val="left" w:pos="1152"/>
      </w:tabs>
      <w:outlineLvl w:val="4"/>
    </w:pPr>
    <w:rPr>
      <w:color w:val="auto"/>
      <w:sz w:val="22"/>
    </w:rPr>
  </w:style>
  <w:style w:type="paragraph" w:styleId="Heading6">
    <w:name w:val="heading 6"/>
    <w:basedOn w:val="BodyText"/>
    <w:next w:val="BodyText"/>
    <w:link w:val="Heading6Char"/>
    <w:uiPriority w:val="9"/>
    <w:unhideWhenUsed/>
    <w:qFormat/>
    <w:rsid w:val="00552949"/>
    <w:pPr>
      <w:tabs>
        <w:tab w:val="left" w:pos="2180"/>
      </w:tabs>
      <w:spacing w:before="3720" w:after="600" w:line="259" w:lineRule="auto"/>
      <w:outlineLvl w:val="5"/>
    </w:pPr>
    <w:rPr>
      <w:rFonts w:cs="Calibri"/>
      <w:b/>
      <w:color w:val="3C533C" w:themeColor="accent1"/>
      <w:sz w:val="52"/>
      <w:szCs w:val="32"/>
    </w:rPr>
  </w:style>
  <w:style w:type="paragraph" w:styleId="Heading7">
    <w:name w:val="heading 7"/>
    <w:basedOn w:val="BodyText"/>
    <w:next w:val="CoverBody"/>
    <w:link w:val="Heading7Char"/>
    <w:uiPriority w:val="9"/>
    <w:unhideWhenUsed/>
    <w:qFormat/>
    <w:rsid w:val="00AC1BC7"/>
    <w:pPr>
      <w:numPr>
        <w:numId w:val="2"/>
      </w:numPr>
      <w:spacing w:before="3240" w:after="600"/>
      <w:outlineLvl w:val="6"/>
    </w:pPr>
    <w:rPr>
      <w:b/>
      <w:noProof/>
      <w:color w:val="3C533C" w:themeColor="accent1"/>
      <w:sz w:val="52"/>
    </w:rPr>
  </w:style>
  <w:style w:type="paragraph" w:styleId="Heading8">
    <w:name w:val="heading 8"/>
    <w:basedOn w:val="Heading7"/>
    <w:next w:val="BodyText"/>
    <w:link w:val="Heading8Char"/>
    <w:uiPriority w:val="9"/>
    <w:unhideWhenUsed/>
    <w:qFormat/>
    <w:rsid w:val="00552949"/>
    <w:pPr>
      <w:keepNext/>
      <w:numPr>
        <w:ilvl w:val="1"/>
      </w:numPr>
      <w:spacing w:before="240" w:after="120"/>
      <w:outlineLvl w:val="7"/>
    </w:pPr>
    <w:rPr>
      <w:color w:val="auto"/>
      <w:sz w:val="28"/>
    </w:rPr>
  </w:style>
  <w:style w:type="paragraph" w:styleId="Heading9">
    <w:name w:val="heading 9"/>
    <w:basedOn w:val="Heading8"/>
    <w:next w:val="BodyText"/>
    <w:link w:val="Heading9Char"/>
    <w:uiPriority w:val="9"/>
    <w:unhideWhenUsed/>
    <w:qFormat/>
    <w:rsid w:val="00E84D35"/>
    <w:pPr>
      <w:numPr>
        <w:ilvl w:val="2"/>
      </w:numPr>
      <w:outlineLvl w:val="8"/>
    </w:pPr>
    <w:rPr>
      <w:iCs/>
      <w:color w:val="667545" w:themeColor="accent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949"/>
    <w:rPr>
      <w:rFonts w:ascii="Arial" w:eastAsiaTheme="majorEastAsia" w:hAnsi="Arial" w:cs="Calibri"/>
      <w:b/>
      <w:bCs/>
      <w:sz w:val="32"/>
      <w:szCs w:val="28"/>
      <w:lang w:val="en-AU"/>
    </w:rPr>
  </w:style>
  <w:style w:type="character" w:customStyle="1" w:styleId="Heading2Char">
    <w:name w:val="Heading 2 Char"/>
    <w:basedOn w:val="DefaultParagraphFont"/>
    <w:link w:val="Heading2"/>
    <w:uiPriority w:val="9"/>
    <w:rsid w:val="00552949"/>
    <w:rPr>
      <w:rFonts w:ascii="Arial" w:eastAsiaTheme="majorEastAsia" w:hAnsi="Arial" w:cs="Calibri"/>
      <w:b/>
      <w:color w:val="3C533C" w:themeColor="accent1"/>
      <w:sz w:val="28"/>
      <w:szCs w:val="26"/>
      <w:lang w:val="en-AU"/>
    </w:rPr>
  </w:style>
  <w:style w:type="character" w:customStyle="1" w:styleId="Heading3Char">
    <w:name w:val="Heading 3 Char"/>
    <w:basedOn w:val="DefaultParagraphFont"/>
    <w:link w:val="Heading3"/>
    <w:uiPriority w:val="9"/>
    <w:rsid w:val="00552949"/>
    <w:rPr>
      <w:rFonts w:ascii="Arial" w:eastAsiaTheme="majorEastAsia" w:hAnsi="Arial" w:cs="Calibri"/>
      <w:b/>
      <w:bCs/>
      <w:sz w:val="24"/>
      <w:szCs w:val="26"/>
      <w:lang w:val="en-AU"/>
    </w:rPr>
  </w:style>
  <w:style w:type="character" w:customStyle="1" w:styleId="Heading4Char">
    <w:name w:val="Heading 4 Char"/>
    <w:basedOn w:val="DefaultParagraphFont"/>
    <w:link w:val="Heading4"/>
    <w:uiPriority w:val="9"/>
    <w:rsid w:val="00552949"/>
    <w:rPr>
      <w:rFonts w:ascii="Arial" w:eastAsiaTheme="majorEastAsia" w:hAnsi="Arial" w:cs="Calibri"/>
      <w:b/>
      <w:iCs/>
      <w:color w:val="667545" w:themeColor="accent3"/>
      <w:sz w:val="24"/>
      <w:szCs w:val="26"/>
      <w:lang w:val="en-AU"/>
    </w:rPr>
  </w:style>
  <w:style w:type="character" w:customStyle="1" w:styleId="Heading5Char">
    <w:name w:val="Heading 5 Char"/>
    <w:basedOn w:val="DefaultParagraphFont"/>
    <w:link w:val="Heading5"/>
    <w:uiPriority w:val="9"/>
    <w:rsid w:val="00487EB1"/>
    <w:rPr>
      <w:rFonts w:eastAsiaTheme="majorEastAsia" w:cs="Calibri"/>
      <w:b/>
      <w:iCs/>
      <w:sz w:val="22"/>
      <w:szCs w:val="26"/>
    </w:rPr>
  </w:style>
  <w:style w:type="character" w:customStyle="1" w:styleId="Heading6Char">
    <w:name w:val="Heading 6 Char"/>
    <w:basedOn w:val="DefaultParagraphFont"/>
    <w:link w:val="Heading6"/>
    <w:uiPriority w:val="9"/>
    <w:rsid w:val="00552949"/>
    <w:rPr>
      <w:rFonts w:ascii="Arial" w:hAnsi="Arial" w:cs="Calibri"/>
      <w:b/>
      <w:color w:val="3C533C" w:themeColor="accent1"/>
      <w:sz w:val="52"/>
      <w:szCs w:val="32"/>
      <w:lang w:val="en-AU"/>
    </w:rPr>
  </w:style>
  <w:style w:type="character" w:customStyle="1" w:styleId="Heading7Char">
    <w:name w:val="Heading 7 Char"/>
    <w:basedOn w:val="DefaultParagraphFont"/>
    <w:link w:val="Heading7"/>
    <w:uiPriority w:val="9"/>
    <w:rsid w:val="00AC1BC7"/>
    <w:rPr>
      <w:rFonts w:ascii="Arial" w:hAnsi="Arial"/>
      <w:b/>
      <w:noProof/>
      <w:color w:val="3C533C" w:themeColor="accent1"/>
      <w:sz w:val="52"/>
      <w:lang w:val="en-AU"/>
    </w:rPr>
  </w:style>
  <w:style w:type="character" w:customStyle="1" w:styleId="Heading8Char">
    <w:name w:val="Heading 8 Char"/>
    <w:basedOn w:val="DefaultParagraphFont"/>
    <w:link w:val="Heading8"/>
    <w:uiPriority w:val="9"/>
    <w:rsid w:val="00552949"/>
    <w:rPr>
      <w:rFonts w:ascii="Arial" w:hAnsi="Arial"/>
      <w:b/>
      <w:noProof/>
      <w:sz w:val="28"/>
      <w:lang w:val="en-AU"/>
    </w:rPr>
  </w:style>
  <w:style w:type="character" w:customStyle="1" w:styleId="Heading9Char">
    <w:name w:val="Heading 9 Char"/>
    <w:basedOn w:val="DefaultParagraphFont"/>
    <w:link w:val="Heading9"/>
    <w:uiPriority w:val="9"/>
    <w:rsid w:val="00E84D35"/>
    <w:rPr>
      <w:rFonts w:ascii="Arial" w:hAnsi="Arial"/>
      <w:b/>
      <w:iCs/>
      <w:noProof/>
      <w:color w:val="667545" w:themeColor="accent3"/>
      <w:sz w:val="24"/>
      <w:lang w:val="en-AU"/>
    </w:rPr>
  </w:style>
  <w:style w:type="numbering" w:customStyle="1" w:styleId="Headings">
    <w:name w:val="Headings"/>
    <w:uiPriority w:val="99"/>
    <w:rsid w:val="00487EB1"/>
    <w:pPr>
      <w:numPr>
        <w:numId w:val="3"/>
      </w:numPr>
    </w:pPr>
  </w:style>
  <w:style w:type="paragraph" w:styleId="ListBullet">
    <w:name w:val="List Bullet"/>
    <w:basedOn w:val="BodyText"/>
    <w:link w:val="ListBulletChar"/>
    <w:uiPriority w:val="99"/>
    <w:unhideWhenUsed/>
    <w:qFormat/>
    <w:rsid w:val="00552949"/>
    <w:pPr>
      <w:numPr>
        <w:numId w:val="10"/>
      </w:numPr>
    </w:pPr>
    <w:rPr>
      <w:lang w:val="en-CA"/>
    </w:rPr>
  </w:style>
  <w:style w:type="numbering" w:customStyle="1" w:styleId="ListBullets">
    <w:name w:val="ListBullets"/>
    <w:uiPriority w:val="99"/>
    <w:rsid w:val="00487EB1"/>
    <w:pPr>
      <w:numPr>
        <w:numId w:val="7"/>
      </w:numPr>
    </w:pPr>
  </w:style>
  <w:style w:type="paragraph" w:styleId="ListBullet2">
    <w:name w:val="List Bullet 2"/>
    <w:basedOn w:val="BodyText"/>
    <w:link w:val="ListBullet2Char"/>
    <w:uiPriority w:val="99"/>
    <w:unhideWhenUsed/>
    <w:qFormat/>
    <w:rsid w:val="00552949"/>
    <w:pPr>
      <w:numPr>
        <w:ilvl w:val="1"/>
        <w:numId w:val="10"/>
      </w:numPr>
    </w:pPr>
    <w:rPr>
      <w:lang w:val="en-CA"/>
    </w:rPr>
  </w:style>
  <w:style w:type="paragraph" w:styleId="ListBullet3">
    <w:name w:val="List Bullet 3"/>
    <w:basedOn w:val="BodyText"/>
    <w:link w:val="ListBullet3Char"/>
    <w:uiPriority w:val="99"/>
    <w:unhideWhenUsed/>
    <w:qFormat/>
    <w:rsid w:val="00552949"/>
    <w:pPr>
      <w:numPr>
        <w:ilvl w:val="2"/>
        <w:numId w:val="10"/>
      </w:numPr>
    </w:pPr>
    <w:rPr>
      <w:lang w:val="en-CA"/>
    </w:rPr>
  </w:style>
  <w:style w:type="paragraph" w:styleId="ListBullet4">
    <w:name w:val="List Bullet 4"/>
    <w:basedOn w:val="ListBullet3"/>
    <w:link w:val="ListBullet4Char"/>
    <w:uiPriority w:val="99"/>
    <w:unhideWhenUsed/>
    <w:qFormat/>
    <w:rsid w:val="00552949"/>
    <w:pPr>
      <w:numPr>
        <w:ilvl w:val="3"/>
      </w:numPr>
    </w:pPr>
  </w:style>
  <w:style w:type="paragraph" w:styleId="Header">
    <w:name w:val="header"/>
    <w:basedOn w:val="BodyText"/>
    <w:link w:val="HeaderChar"/>
    <w:uiPriority w:val="99"/>
    <w:unhideWhenUsed/>
    <w:rsid w:val="00AC1BC7"/>
    <w:pPr>
      <w:tabs>
        <w:tab w:val="center" w:pos="4680"/>
        <w:tab w:val="right" w:pos="9360"/>
      </w:tabs>
      <w:spacing w:after="40"/>
      <w:contextualSpacing/>
    </w:pPr>
    <w:rPr>
      <w:rFonts w:eastAsia="Times New Roman" w:cs="Times New Roman"/>
      <w:bCs/>
      <w:noProof/>
      <w:sz w:val="18"/>
      <w:szCs w:val="22"/>
    </w:rPr>
  </w:style>
  <w:style w:type="character" w:customStyle="1" w:styleId="HeaderChar">
    <w:name w:val="Header Char"/>
    <w:basedOn w:val="DefaultParagraphFont"/>
    <w:link w:val="Header"/>
    <w:uiPriority w:val="99"/>
    <w:rsid w:val="00AC1BC7"/>
    <w:rPr>
      <w:rFonts w:ascii="Arial" w:eastAsia="Times New Roman" w:hAnsi="Arial" w:cs="Times New Roman"/>
      <w:bCs/>
      <w:noProof/>
      <w:sz w:val="18"/>
      <w:szCs w:val="22"/>
      <w:lang w:val="en-AU"/>
    </w:rPr>
  </w:style>
  <w:style w:type="paragraph" w:styleId="Footer">
    <w:name w:val="footer"/>
    <w:basedOn w:val="BodyText"/>
    <w:link w:val="FooterChar"/>
    <w:uiPriority w:val="99"/>
    <w:unhideWhenUsed/>
    <w:rsid w:val="00AC1BC7"/>
    <w:pPr>
      <w:tabs>
        <w:tab w:val="center" w:pos="4680"/>
        <w:tab w:val="right" w:pos="9360"/>
      </w:tabs>
      <w:spacing w:after="0"/>
    </w:pPr>
    <w:rPr>
      <w:sz w:val="18"/>
    </w:rPr>
  </w:style>
  <w:style w:type="character" w:customStyle="1" w:styleId="FooterChar">
    <w:name w:val="Footer Char"/>
    <w:basedOn w:val="DefaultParagraphFont"/>
    <w:link w:val="Footer"/>
    <w:uiPriority w:val="99"/>
    <w:rsid w:val="00AC1BC7"/>
    <w:rPr>
      <w:rFonts w:ascii="Arial" w:hAnsi="Arial"/>
      <w:sz w:val="18"/>
      <w:lang w:val="en-AU"/>
    </w:rPr>
  </w:style>
  <w:style w:type="paragraph" w:styleId="TOC8">
    <w:name w:val="toc 8"/>
    <w:basedOn w:val="Normal"/>
    <w:next w:val="Normal"/>
    <w:autoRedefine/>
    <w:semiHidden/>
    <w:rsid w:val="00487EB1"/>
    <w:pPr>
      <w:ind w:left="1680"/>
    </w:pPr>
  </w:style>
  <w:style w:type="paragraph" w:styleId="TableofFigures">
    <w:name w:val="table of figures"/>
    <w:basedOn w:val="BodyText"/>
    <w:next w:val="BodyText"/>
    <w:link w:val="TableofFiguresChar"/>
    <w:uiPriority w:val="99"/>
    <w:unhideWhenUsed/>
    <w:rsid w:val="00487EB1"/>
    <w:pPr>
      <w:tabs>
        <w:tab w:val="right" w:leader="dot" w:pos="9350"/>
      </w:tabs>
      <w:spacing w:after="0"/>
      <w:ind w:left="1080" w:hanging="1080"/>
    </w:pPr>
    <w:rPr>
      <w:rFonts w:eastAsiaTheme="majorEastAsia"/>
      <w:noProof/>
    </w:rPr>
  </w:style>
  <w:style w:type="character" w:styleId="Hyperlink">
    <w:name w:val="Hyperlink"/>
    <w:basedOn w:val="BodyTextChar"/>
    <w:uiPriority w:val="99"/>
    <w:unhideWhenUsed/>
    <w:rsid w:val="0088059D"/>
    <w:rPr>
      <w:rFonts w:ascii="Arial" w:eastAsia="Times New Roman" w:hAnsi="Arial" w:cs="Times New Roman"/>
      <w:color w:val="4E5768"/>
      <w:sz w:val="22"/>
      <w:szCs w:val="24"/>
      <w:u w:val="single"/>
      <w:lang w:val="en-CA"/>
    </w:rPr>
  </w:style>
  <w:style w:type="paragraph" w:styleId="Caption">
    <w:name w:val="caption"/>
    <w:basedOn w:val="BodyText"/>
    <w:next w:val="BodyText"/>
    <w:uiPriority w:val="35"/>
    <w:unhideWhenUsed/>
    <w:qFormat/>
    <w:rsid w:val="00767956"/>
    <w:pPr>
      <w:keepNext/>
      <w:spacing w:before="240"/>
      <w:ind w:left="1247" w:hanging="1247"/>
    </w:pPr>
    <w:rPr>
      <w:b/>
      <w:szCs w:val="22"/>
    </w:rPr>
  </w:style>
  <w:style w:type="table" w:styleId="TableGrid">
    <w:name w:val="Table Grid"/>
    <w:basedOn w:val="TableNormal"/>
    <w:uiPriority w:val="59"/>
    <w:rsid w:val="00487EB1"/>
    <w:pPr>
      <w:spacing w:line="259" w:lineRule="auto"/>
    </w:pPr>
    <w:rPr>
      <w:rFonts w:ascii="Arial" w:hAnsi="Arial"/>
      <w:sz w:val="18"/>
    </w:rPr>
    <w:tblPr>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8" w:type="dxa"/>
        <w:left w:w="115" w:type="dxa"/>
        <w:bottom w:w="58" w:type="dxa"/>
        <w:right w:w="115" w:type="dxa"/>
      </w:tblCellMar>
    </w:tblPr>
    <w:trPr>
      <w:cantSplit/>
      <w:jc w:val="center"/>
    </w:trPr>
    <w:tblStylePr w:type="firstRow">
      <w:pPr>
        <w:wordWrap/>
        <w:spacing w:beforeLines="0" w:beforeAutospacing="0" w:afterLines="0" w:afterAutospacing="0" w:line="240" w:lineRule="auto"/>
        <w:jc w:val="center"/>
      </w:pPr>
      <w:rPr>
        <w:rFonts w:ascii="Arial" w:hAnsi="Arial"/>
        <w:b/>
        <w:caps/>
        <w:smallCaps w:val="0"/>
        <w:sz w:val="18"/>
      </w:rPr>
    </w:tblStylePr>
    <w:tblStylePr w:type="firstCol">
      <w:pPr>
        <w:wordWrap/>
        <w:jc w:val="left"/>
      </w:pPr>
    </w:tblStylePr>
  </w:style>
  <w:style w:type="paragraph" w:customStyle="1" w:styleId="TableHeading">
    <w:name w:val="Table Heading"/>
    <w:basedOn w:val="BodyText"/>
    <w:qFormat/>
    <w:rsid w:val="00552949"/>
    <w:pPr>
      <w:keepNext/>
      <w:spacing w:before="60" w:after="60"/>
      <w:jc w:val="center"/>
    </w:pPr>
    <w:rPr>
      <w:rFonts w:eastAsia="Calibri"/>
      <w:b/>
      <w:sz w:val="20"/>
      <w:szCs w:val="22"/>
    </w:rPr>
  </w:style>
  <w:style w:type="paragraph" w:styleId="EndnoteText">
    <w:name w:val="endnote text"/>
    <w:basedOn w:val="BodyText"/>
    <w:link w:val="EndnoteTextChar"/>
    <w:uiPriority w:val="99"/>
    <w:unhideWhenUsed/>
    <w:rsid w:val="00AC1BC7"/>
    <w:pPr>
      <w:spacing w:before="60" w:after="60"/>
    </w:pPr>
    <w:rPr>
      <w:sz w:val="18"/>
    </w:rPr>
  </w:style>
  <w:style w:type="character" w:customStyle="1" w:styleId="EndnoteTextChar">
    <w:name w:val="Endnote Text Char"/>
    <w:basedOn w:val="DefaultParagraphFont"/>
    <w:link w:val="EndnoteText"/>
    <w:uiPriority w:val="99"/>
    <w:rsid w:val="00AC1BC7"/>
    <w:rPr>
      <w:rFonts w:ascii="Arial" w:hAnsi="Arial"/>
      <w:sz w:val="18"/>
      <w:lang w:val="en-AU"/>
    </w:rPr>
  </w:style>
  <w:style w:type="character" w:styleId="EndnoteReference">
    <w:name w:val="endnote reference"/>
    <w:basedOn w:val="DefaultParagraphFont"/>
    <w:uiPriority w:val="99"/>
    <w:semiHidden/>
    <w:unhideWhenUsed/>
    <w:rsid w:val="00487EB1"/>
    <w:rPr>
      <w:vertAlign w:val="superscript"/>
    </w:rPr>
  </w:style>
  <w:style w:type="character" w:styleId="FootnoteReference">
    <w:name w:val="footnote reference"/>
    <w:basedOn w:val="DefaultParagraphFont"/>
    <w:uiPriority w:val="99"/>
    <w:unhideWhenUsed/>
    <w:rsid w:val="00487EB1"/>
    <w:rPr>
      <w:vertAlign w:val="superscript"/>
    </w:rPr>
  </w:style>
  <w:style w:type="paragraph" w:styleId="TOC3">
    <w:name w:val="toc 3"/>
    <w:basedOn w:val="TOC2"/>
    <w:next w:val="BodyText"/>
    <w:autoRedefine/>
    <w:uiPriority w:val="39"/>
    <w:unhideWhenUsed/>
    <w:rsid w:val="00487EB1"/>
  </w:style>
  <w:style w:type="paragraph" w:styleId="TOC1">
    <w:name w:val="toc 1"/>
    <w:basedOn w:val="BodyText"/>
    <w:next w:val="BodyText"/>
    <w:link w:val="TOC1Char"/>
    <w:uiPriority w:val="39"/>
    <w:unhideWhenUsed/>
    <w:rsid w:val="00D002F6"/>
    <w:pPr>
      <w:tabs>
        <w:tab w:val="right" w:leader="dot" w:pos="9360"/>
      </w:tabs>
      <w:ind w:left="540" w:right="29" w:hanging="540"/>
    </w:pPr>
    <w:rPr>
      <w:b/>
      <w:noProof/>
      <w:szCs w:val="22"/>
    </w:rPr>
  </w:style>
  <w:style w:type="paragraph" w:styleId="TOC2">
    <w:name w:val="toc 2"/>
    <w:basedOn w:val="TOC1"/>
    <w:next w:val="BodyText"/>
    <w:autoRedefine/>
    <w:uiPriority w:val="39"/>
    <w:unhideWhenUsed/>
    <w:rsid w:val="00487EB1"/>
    <w:rPr>
      <w:b w:val="0"/>
    </w:rPr>
  </w:style>
  <w:style w:type="paragraph" w:styleId="TOC4">
    <w:name w:val="toc 4"/>
    <w:basedOn w:val="TOC3"/>
    <w:next w:val="BodyText"/>
    <w:autoRedefine/>
    <w:uiPriority w:val="39"/>
    <w:unhideWhenUsed/>
    <w:rsid w:val="00487EB1"/>
  </w:style>
  <w:style w:type="character" w:styleId="PlaceholderText">
    <w:name w:val="Placeholder Text"/>
    <w:basedOn w:val="DefaultParagraphFont"/>
    <w:uiPriority w:val="99"/>
    <w:semiHidden/>
    <w:rsid w:val="00487EB1"/>
    <w:rPr>
      <w:color w:val="808080"/>
    </w:rPr>
  </w:style>
  <w:style w:type="paragraph" w:customStyle="1" w:styleId="Heading1NoNumber">
    <w:name w:val="Heading 1 No Number"/>
    <w:basedOn w:val="BodyText"/>
    <w:next w:val="BodyText"/>
    <w:qFormat/>
    <w:rsid w:val="00552949"/>
    <w:pPr>
      <w:keepNext/>
      <w:spacing w:before="240"/>
    </w:pPr>
    <w:rPr>
      <w:b/>
      <w:bCs/>
      <w:sz w:val="32"/>
    </w:rPr>
  </w:style>
  <w:style w:type="character" w:styleId="FollowedHyperlink">
    <w:name w:val="FollowedHyperlink"/>
    <w:basedOn w:val="DefaultParagraphFont"/>
    <w:uiPriority w:val="99"/>
    <w:semiHidden/>
    <w:unhideWhenUsed/>
    <w:rsid w:val="00487EB1"/>
    <w:rPr>
      <w:color w:val="717568" w:themeColor="followedHyperlink"/>
      <w:u w:val="single"/>
    </w:rPr>
  </w:style>
  <w:style w:type="paragraph" w:customStyle="1" w:styleId="CoverTitleXref">
    <w:name w:val="Cover Title Xref"/>
    <w:basedOn w:val="BodyText"/>
    <w:next w:val="CoverBody"/>
    <w:rsid w:val="00E84D35"/>
    <w:pPr>
      <w:spacing w:after="240"/>
    </w:pPr>
    <w:rPr>
      <w:rFonts w:asciiTheme="minorHAnsi" w:hAnsiTheme="minorHAnsi" w:cs="Arial"/>
      <w:b/>
      <w:noProof/>
      <w:sz w:val="32"/>
      <w:szCs w:val="32"/>
    </w:rPr>
  </w:style>
  <w:style w:type="paragraph" w:styleId="BalloonText">
    <w:name w:val="Balloon Text"/>
    <w:basedOn w:val="Normal"/>
    <w:link w:val="BalloonTextChar"/>
    <w:uiPriority w:val="99"/>
    <w:semiHidden/>
    <w:unhideWhenUsed/>
    <w:rsid w:val="00487EB1"/>
    <w:rPr>
      <w:rFonts w:ascii="Tahoma" w:hAnsi="Tahoma" w:cs="Tahoma"/>
      <w:sz w:val="16"/>
      <w:szCs w:val="16"/>
    </w:rPr>
  </w:style>
  <w:style w:type="character" w:customStyle="1" w:styleId="BalloonTextChar">
    <w:name w:val="Balloon Text Char"/>
    <w:basedOn w:val="DefaultParagraphFont"/>
    <w:link w:val="BalloonText"/>
    <w:uiPriority w:val="99"/>
    <w:semiHidden/>
    <w:rsid w:val="00487EB1"/>
    <w:rPr>
      <w:rFonts w:ascii="Tahoma" w:hAnsi="Tahoma" w:cs="Tahoma"/>
      <w:sz w:val="16"/>
      <w:szCs w:val="16"/>
    </w:rPr>
  </w:style>
  <w:style w:type="table" w:customStyle="1" w:styleId="SLROption1">
    <w:name w:val="SLR Option 1"/>
    <w:basedOn w:val="TableNormal"/>
    <w:rsid w:val="00F04C26"/>
    <w:pPr>
      <w:spacing w:before="60" w:after="60"/>
    </w:pPr>
    <w:rPr>
      <w:rFonts w:ascii="Arial" w:eastAsia="Times New Roman" w:hAnsi="Arial"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blStylePr w:type="firstRow">
      <w:pPr>
        <w:jc w:val="center"/>
      </w:pPr>
      <w:rPr>
        <w:rFonts w:ascii="Figtree" w:hAnsi="Figtree"/>
        <w:sz w:val="18"/>
      </w:rPr>
      <w:tblPr/>
      <w:trPr>
        <w:tblHeader/>
      </w:trPr>
    </w:tblStylePr>
  </w:style>
  <w:style w:type="paragraph" w:customStyle="1" w:styleId="HeaderRight">
    <w:name w:val="Header (Right)"/>
    <w:basedOn w:val="Header"/>
    <w:link w:val="HeaderRightChar"/>
    <w:rsid w:val="00487EB1"/>
    <w:pPr>
      <w:jc w:val="right"/>
    </w:pPr>
  </w:style>
  <w:style w:type="paragraph" w:customStyle="1" w:styleId="CoverClientRef">
    <w:name w:val="Cover Client Ref"/>
    <w:basedOn w:val="CoverClientName"/>
    <w:next w:val="CoverBody"/>
    <w:link w:val="CoverClientRefChar"/>
    <w:rsid w:val="00487EB1"/>
    <w:pPr>
      <w:spacing w:after="240"/>
      <w:ind w:left="0"/>
    </w:pPr>
    <w:rPr>
      <w:sz w:val="24"/>
      <w:szCs w:val="28"/>
    </w:rPr>
  </w:style>
  <w:style w:type="character" w:customStyle="1" w:styleId="CoverClientRefChar">
    <w:name w:val="Cover Client Ref Char"/>
    <w:basedOn w:val="DefaultParagraphFont"/>
    <w:link w:val="CoverClientRef"/>
    <w:rsid w:val="00487EB1"/>
    <w:rPr>
      <w:rFonts w:ascii="Albra Light" w:hAnsi="Albra Light"/>
      <w:b/>
      <w:color w:val="41434C"/>
      <w:sz w:val="24"/>
      <w:szCs w:val="28"/>
    </w:rPr>
  </w:style>
  <w:style w:type="table" w:styleId="LightList-Accent3">
    <w:name w:val="Light List Accent 3"/>
    <w:basedOn w:val="TableNormal"/>
    <w:uiPriority w:val="61"/>
    <w:rsid w:val="00487EB1"/>
    <w:pPr>
      <w:spacing w:after="0"/>
    </w:pPr>
    <w:rPr>
      <w:rFonts w:eastAsiaTheme="minorEastAsia"/>
      <w:lang w:eastAsia="ja-JP"/>
    </w:rPr>
    <w:tblPr>
      <w:tblStyleRowBandSize w:val="1"/>
      <w:tblStyleColBandSize w:val="1"/>
      <w:tblBorders>
        <w:top w:val="single" w:sz="8" w:space="0" w:color="667545" w:themeColor="accent3"/>
        <w:left w:val="single" w:sz="8" w:space="0" w:color="667545" w:themeColor="accent3"/>
        <w:bottom w:val="single" w:sz="8" w:space="0" w:color="667545" w:themeColor="accent3"/>
        <w:right w:val="single" w:sz="8" w:space="0" w:color="667545" w:themeColor="accent3"/>
      </w:tblBorders>
    </w:tblPr>
    <w:tblStylePr w:type="firstRow">
      <w:pPr>
        <w:spacing w:before="0" w:after="0" w:line="240" w:lineRule="auto"/>
      </w:pPr>
      <w:rPr>
        <w:b/>
        <w:bCs/>
        <w:color w:val="FFFFFF" w:themeColor="background1"/>
      </w:rPr>
      <w:tblPr/>
      <w:tcPr>
        <w:shd w:val="clear" w:color="auto" w:fill="667545" w:themeFill="accent3"/>
      </w:tcPr>
    </w:tblStylePr>
    <w:tblStylePr w:type="lastRow">
      <w:pPr>
        <w:spacing w:before="0" w:after="0" w:line="240" w:lineRule="auto"/>
      </w:pPr>
      <w:rPr>
        <w:b/>
        <w:bCs/>
      </w:rPr>
      <w:tblPr/>
      <w:tcPr>
        <w:tcBorders>
          <w:top w:val="double" w:sz="6" w:space="0" w:color="667545" w:themeColor="accent3"/>
          <w:left w:val="single" w:sz="8" w:space="0" w:color="667545" w:themeColor="accent3"/>
          <w:bottom w:val="single" w:sz="8" w:space="0" w:color="667545" w:themeColor="accent3"/>
          <w:right w:val="single" w:sz="8" w:space="0" w:color="667545" w:themeColor="accent3"/>
        </w:tcBorders>
      </w:tcPr>
    </w:tblStylePr>
    <w:tblStylePr w:type="firstCol">
      <w:rPr>
        <w:b/>
        <w:bCs/>
      </w:rPr>
    </w:tblStylePr>
    <w:tblStylePr w:type="lastCol">
      <w:rPr>
        <w:b/>
        <w:bCs/>
      </w:rPr>
    </w:tblStylePr>
    <w:tblStylePr w:type="band1Vert">
      <w:tblPr/>
      <w:tcPr>
        <w:tcBorders>
          <w:top w:val="single" w:sz="8" w:space="0" w:color="667545" w:themeColor="accent3"/>
          <w:left w:val="single" w:sz="8" w:space="0" w:color="667545" w:themeColor="accent3"/>
          <w:bottom w:val="single" w:sz="8" w:space="0" w:color="667545" w:themeColor="accent3"/>
          <w:right w:val="single" w:sz="8" w:space="0" w:color="667545" w:themeColor="accent3"/>
        </w:tcBorders>
      </w:tcPr>
    </w:tblStylePr>
    <w:tblStylePr w:type="band1Horz">
      <w:tblPr/>
      <w:tcPr>
        <w:tcBorders>
          <w:top w:val="single" w:sz="8" w:space="0" w:color="667545" w:themeColor="accent3"/>
          <w:left w:val="single" w:sz="8" w:space="0" w:color="667545" w:themeColor="accent3"/>
          <w:bottom w:val="single" w:sz="8" w:space="0" w:color="667545" w:themeColor="accent3"/>
          <w:right w:val="single" w:sz="8" w:space="0" w:color="667545" w:themeColor="accent3"/>
        </w:tcBorders>
      </w:tcPr>
    </w:tblStylePr>
  </w:style>
  <w:style w:type="paragraph" w:customStyle="1" w:styleId="Heading2NoNumber">
    <w:name w:val="Heading 2 No Number"/>
    <w:basedOn w:val="BodyText"/>
    <w:next w:val="BodyText"/>
    <w:qFormat/>
    <w:rsid w:val="00487EB1"/>
    <w:pPr>
      <w:tabs>
        <w:tab w:val="left" w:pos="2895"/>
        <w:tab w:val="left" w:pos="4110"/>
      </w:tabs>
      <w:spacing w:before="240"/>
    </w:pPr>
    <w:rPr>
      <w:b/>
      <w:color w:val="3C533C"/>
      <w:sz w:val="28"/>
    </w:rPr>
  </w:style>
  <w:style w:type="paragraph" w:styleId="CommentSubject">
    <w:name w:val="annotation subject"/>
    <w:basedOn w:val="Normal"/>
    <w:next w:val="Normal"/>
    <w:link w:val="CommentSubjectChar"/>
    <w:uiPriority w:val="99"/>
    <w:semiHidden/>
    <w:unhideWhenUsed/>
    <w:rsid w:val="00487EB1"/>
    <w:rPr>
      <w:b/>
      <w:bCs/>
    </w:rPr>
  </w:style>
  <w:style w:type="character" w:customStyle="1" w:styleId="CommentSubjectChar">
    <w:name w:val="Comment Subject Char"/>
    <w:basedOn w:val="DefaultParagraphFont"/>
    <w:link w:val="CommentSubject"/>
    <w:uiPriority w:val="99"/>
    <w:semiHidden/>
    <w:rsid w:val="00487EB1"/>
    <w:rPr>
      <w:b/>
      <w:bCs/>
    </w:rPr>
  </w:style>
  <w:style w:type="paragraph" w:styleId="Revision">
    <w:name w:val="Revision"/>
    <w:hidden/>
    <w:uiPriority w:val="99"/>
    <w:semiHidden/>
    <w:rsid w:val="002F201B"/>
    <w:pPr>
      <w:spacing w:after="0"/>
    </w:pPr>
    <w:rPr>
      <w:rFonts w:ascii="Arial" w:eastAsia="Times New Roman" w:hAnsi="Arial" w:cs="Times New Roman"/>
      <w:szCs w:val="24"/>
    </w:rPr>
  </w:style>
  <w:style w:type="character" w:customStyle="1" w:styleId="ListBulletChar">
    <w:name w:val="List Bullet Char"/>
    <w:basedOn w:val="DefaultParagraphFont"/>
    <w:link w:val="ListBullet"/>
    <w:uiPriority w:val="99"/>
    <w:rsid w:val="00552949"/>
    <w:rPr>
      <w:rFonts w:ascii="Arial" w:hAnsi="Arial"/>
      <w:sz w:val="22"/>
      <w:lang w:val="en-CA"/>
    </w:rPr>
  </w:style>
  <w:style w:type="character" w:customStyle="1" w:styleId="ListBullet2Char">
    <w:name w:val="List Bullet 2 Char"/>
    <w:basedOn w:val="DefaultParagraphFont"/>
    <w:link w:val="ListBullet2"/>
    <w:uiPriority w:val="99"/>
    <w:rsid w:val="00552949"/>
    <w:rPr>
      <w:rFonts w:ascii="Arial" w:hAnsi="Arial"/>
      <w:sz w:val="22"/>
      <w:lang w:val="en-CA"/>
    </w:rPr>
  </w:style>
  <w:style w:type="character" w:customStyle="1" w:styleId="ListBullet3Char">
    <w:name w:val="List Bullet 3 Char"/>
    <w:basedOn w:val="ListBullet2Char"/>
    <w:link w:val="ListBullet3"/>
    <w:uiPriority w:val="99"/>
    <w:rsid w:val="00552949"/>
    <w:rPr>
      <w:rFonts w:ascii="Arial" w:hAnsi="Arial"/>
      <w:sz w:val="22"/>
      <w:lang w:val="en-CA"/>
    </w:rPr>
  </w:style>
  <w:style w:type="character" w:customStyle="1" w:styleId="ListBullet4Char">
    <w:name w:val="List Bullet 4 Char"/>
    <w:basedOn w:val="DefaultParagraphFont"/>
    <w:link w:val="ListBullet4"/>
    <w:uiPriority w:val="99"/>
    <w:rsid w:val="00552949"/>
    <w:rPr>
      <w:rFonts w:ascii="Arial" w:hAnsi="Arial"/>
      <w:sz w:val="22"/>
      <w:lang w:val="en-CA"/>
    </w:rPr>
  </w:style>
  <w:style w:type="paragraph" w:customStyle="1" w:styleId="References">
    <w:name w:val="References"/>
    <w:basedOn w:val="BodyText"/>
    <w:link w:val="ReferencesChar"/>
    <w:rsid w:val="00487EB1"/>
    <w:pPr>
      <w:ind w:left="720" w:hanging="720"/>
    </w:pPr>
  </w:style>
  <w:style w:type="character" w:customStyle="1" w:styleId="ReferencesChar">
    <w:name w:val="References Char"/>
    <w:basedOn w:val="DefaultParagraphFont"/>
    <w:link w:val="References"/>
    <w:rsid w:val="00487EB1"/>
  </w:style>
  <w:style w:type="paragraph" w:styleId="BodyText2">
    <w:name w:val="Body Text 2"/>
    <w:basedOn w:val="Normal"/>
    <w:link w:val="BodyText2Char"/>
    <w:uiPriority w:val="99"/>
    <w:rsid w:val="00487EB1"/>
    <w:pPr>
      <w:spacing w:before="0"/>
      <w:jc w:val="both"/>
    </w:pPr>
    <w:rPr>
      <w:rFonts w:ascii="Arial Narrow" w:hAnsi="Arial Narrow"/>
      <w:color w:val="008000"/>
      <w:szCs w:val="22"/>
      <w:lang w:val="en-GB"/>
    </w:rPr>
  </w:style>
  <w:style w:type="character" w:customStyle="1" w:styleId="BodyText2Char">
    <w:name w:val="Body Text 2 Char"/>
    <w:basedOn w:val="DefaultParagraphFont"/>
    <w:link w:val="BodyText2"/>
    <w:uiPriority w:val="99"/>
    <w:rsid w:val="00487EB1"/>
    <w:rPr>
      <w:rFonts w:ascii="Arial Narrow" w:hAnsi="Arial Narrow"/>
      <w:color w:val="008000"/>
      <w:szCs w:val="22"/>
      <w:lang w:val="en-GB"/>
    </w:rPr>
  </w:style>
  <w:style w:type="paragraph" w:styleId="Bibliography">
    <w:name w:val="Bibliography"/>
    <w:basedOn w:val="Normal"/>
    <w:next w:val="Normal"/>
    <w:uiPriority w:val="37"/>
    <w:semiHidden/>
    <w:unhideWhenUsed/>
    <w:rsid w:val="00487EB1"/>
  </w:style>
  <w:style w:type="paragraph" w:styleId="BlockText">
    <w:name w:val="Block Text"/>
    <w:basedOn w:val="Normal"/>
    <w:uiPriority w:val="99"/>
    <w:semiHidden/>
    <w:unhideWhenUsed/>
    <w:rsid w:val="00487EB1"/>
    <w:pPr>
      <w:pBdr>
        <w:top w:val="single" w:sz="2" w:space="10" w:color="3C533C" w:themeColor="accent1" w:frame="1"/>
        <w:left w:val="single" w:sz="2" w:space="10" w:color="3C533C" w:themeColor="accent1" w:frame="1"/>
        <w:bottom w:val="single" w:sz="2" w:space="10" w:color="3C533C" w:themeColor="accent1" w:frame="1"/>
        <w:right w:val="single" w:sz="2" w:space="10" w:color="3C533C" w:themeColor="accent1" w:frame="1"/>
      </w:pBdr>
      <w:ind w:left="1152" w:right="1152"/>
    </w:pPr>
    <w:rPr>
      <w:rFonts w:asciiTheme="minorHAnsi" w:eastAsiaTheme="minorEastAsia" w:hAnsiTheme="minorHAnsi"/>
      <w:i/>
      <w:iCs/>
      <w:color w:val="3C533C" w:themeColor="accent1"/>
    </w:rPr>
  </w:style>
  <w:style w:type="paragraph" w:styleId="BodyText">
    <w:name w:val="Body Text"/>
    <w:basedOn w:val="Normal"/>
    <w:link w:val="BodyTextChar"/>
    <w:uiPriority w:val="99"/>
    <w:unhideWhenUsed/>
    <w:qFormat/>
    <w:rsid w:val="00487EB1"/>
  </w:style>
  <w:style w:type="character" w:customStyle="1" w:styleId="BodyTextChar">
    <w:name w:val="Body Text Char"/>
    <w:basedOn w:val="DefaultParagraphFont"/>
    <w:link w:val="BodyText"/>
    <w:uiPriority w:val="99"/>
    <w:rsid w:val="00487EB1"/>
  </w:style>
  <w:style w:type="paragraph" w:styleId="BodyText3">
    <w:name w:val="Body Text 3"/>
    <w:basedOn w:val="Normal"/>
    <w:link w:val="BodyText3Char"/>
    <w:uiPriority w:val="99"/>
    <w:unhideWhenUsed/>
    <w:rsid w:val="00487EB1"/>
    <w:rPr>
      <w:sz w:val="16"/>
      <w:szCs w:val="16"/>
    </w:rPr>
  </w:style>
  <w:style w:type="character" w:customStyle="1" w:styleId="BodyText3Char">
    <w:name w:val="Body Text 3 Char"/>
    <w:basedOn w:val="DefaultParagraphFont"/>
    <w:link w:val="BodyText3"/>
    <w:uiPriority w:val="99"/>
    <w:rsid w:val="00487EB1"/>
    <w:rPr>
      <w:sz w:val="16"/>
      <w:szCs w:val="16"/>
    </w:rPr>
  </w:style>
  <w:style w:type="paragraph" w:styleId="BodyTextFirstIndent">
    <w:name w:val="Body Text First Indent"/>
    <w:basedOn w:val="BodyText"/>
    <w:link w:val="BodyTextFirstIndentChar"/>
    <w:uiPriority w:val="99"/>
    <w:semiHidden/>
    <w:unhideWhenUsed/>
    <w:rsid w:val="00487EB1"/>
    <w:pPr>
      <w:spacing w:after="0"/>
      <w:ind w:firstLine="360"/>
    </w:pPr>
  </w:style>
  <w:style w:type="character" w:customStyle="1" w:styleId="BodyTextFirstIndentChar">
    <w:name w:val="Body Text First Indent Char"/>
    <w:basedOn w:val="BodyTextChar"/>
    <w:link w:val="BodyTextFirstIndent"/>
    <w:uiPriority w:val="99"/>
    <w:semiHidden/>
    <w:rsid w:val="00487EB1"/>
  </w:style>
  <w:style w:type="paragraph" w:styleId="BodyTextIndent">
    <w:name w:val="Body Text Indent"/>
    <w:basedOn w:val="Normal"/>
    <w:link w:val="BodyTextIndentChar"/>
    <w:uiPriority w:val="99"/>
    <w:semiHidden/>
    <w:unhideWhenUsed/>
    <w:rsid w:val="00487EB1"/>
    <w:pPr>
      <w:ind w:left="360"/>
    </w:pPr>
  </w:style>
  <w:style w:type="character" w:customStyle="1" w:styleId="BodyTextIndentChar">
    <w:name w:val="Body Text Indent Char"/>
    <w:basedOn w:val="DefaultParagraphFont"/>
    <w:link w:val="BodyTextIndent"/>
    <w:uiPriority w:val="99"/>
    <w:semiHidden/>
    <w:rsid w:val="00487EB1"/>
  </w:style>
  <w:style w:type="paragraph" w:styleId="BodyTextFirstIndent2">
    <w:name w:val="Body Text First Indent 2"/>
    <w:basedOn w:val="BodyTextIndent"/>
    <w:link w:val="BodyTextFirstIndent2Char"/>
    <w:uiPriority w:val="99"/>
    <w:semiHidden/>
    <w:unhideWhenUsed/>
    <w:rsid w:val="00487EB1"/>
    <w:pPr>
      <w:spacing w:after="0"/>
      <w:ind w:firstLine="360"/>
    </w:pPr>
  </w:style>
  <w:style w:type="character" w:customStyle="1" w:styleId="BodyTextFirstIndent2Char">
    <w:name w:val="Body Text First Indent 2 Char"/>
    <w:basedOn w:val="BodyTextIndentChar"/>
    <w:link w:val="BodyTextFirstIndent2"/>
    <w:uiPriority w:val="99"/>
    <w:semiHidden/>
    <w:rsid w:val="00487EB1"/>
  </w:style>
  <w:style w:type="paragraph" w:styleId="BodyTextIndent2">
    <w:name w:val="Body Text Indent 2"/>
    <w:basedOn w:val="Normal"/>
    <w:link w:val="BodyTextIndent2Char"/>
    <w:uiPriority w:val="99"/>
    <w:semiHidden/>
    <w:unhideWhenUsed/>
    <w:rsid w:val="00487EB1"/>
    <w:pPr>
      <w:spacing w:line="480" w:lineRule="auto"/>
      <w:ind w:left="360"/>
    </w:pPr>
  </w:style>
  <w:style w:type="character" w:customStyle="1" w:styleId="BodyTextIndent2Char">
    <w:name w:val="Body Text Indent 2 Char"/>
    <w:basedOn w:val="DefaultParagraphFont"/>
    <w:link w:val="BodyTextIndent2"/>
    <w:uiPriority w:val="99"/>
    <w:semiHidden/>
    <w:rsid w:val="00487EB1"/>
  </w:style>
  <w:style w:type="paragraph" w:styleId="BodyTextIndent3">
    <w:name w:val="Body Text Indent 3"/>
    <w:basedOn w:val="Normal"/>
    <w:link w:val="BodyTextIndent3Char"/>
    <w:uiPriority w:val="99"/>
    <w:semiHidden/>
    <w:unhideWhenUsed/>
    <w:rsid w:val="00487EB1"/>
    <w:pPr>
      <w:ind w:left="360"/>
    </w:pPr>
    <w:rPr>
      <w:sz w:val="16"/>
      <w:szCs w:val="16"/>
    </w:rPr>
  </w:style>
  <w:style w:type="character" w:customStyle="1" w:styleId="BodyTextIndent3Char">
    <w:name w:val="Body Text Indent 3 Char"/>
    <w:basedOn w:val="DefaultParagraphFont"/>
    <w:link w:val="BodyTextIndent3"/>
    <w:uiPriority w:val="99"/>
    <w:semiHidden/>
    <w:rsid w:val="00487EB1"/>
    <w:rPr>
      <w:sz w:val="16"/>
      <w:szCs w:val="16"/>
    </w:rPr>
  </w:style>
  <w:style w:type="paragraph" w:styleId="Closing">
    <w:name w:val="Closing"/>
    <w:basedOn w:val="Normal"/>
    <w:link w:val="ClosingChar"/>
    <w:uiPriority w:val="99"/>
    <w:semiHidden/>
    <w:unhideWhenUsed/>
    <w:rsid w:val="00487EB1"/>
    <w:pPr>
      <w:spacing w:before="0"/>
      <w:ind w:left="4320"/>
    </w:pPr>
  </w:style>
  <w:style w:type="character" w:customStyle="1" w:styleId="ClosingChar">
    <w:name w:val="Closing Char"/>
    <w:basedOn w:val="DefaultParagraphFont"/>
    <w:link w:val="Closing"/>
    <w:uiPriority w:val="99"/>
    <w:semiHidden/>
    <w:rsid w:val="00487EB1"/>
  </w:style>
  <w:style w:type="paragraph" w:styleId="Date">
    <w:name w:val="Date"/>
    <w:basedOn w:val="Normal"/>
    <w:next w:val="Normal"/>
    <w:link w:val="DateChar"/>
    <w:uiPriority w:val="99"/>
    <w:semiHidden/>
    <w:unhideWhenUsed/>
    <w:rsid w:val="00487EB1"/>
  </w:style>
  <w:style w:type="character" w:customStyle="1" w:styleId="DateChar">
    <w:name w:val="Date Char"/>
    <w:basedOn w:val="DefaultParagraphFont"/>
    <w:link w:val="Date"/>
    <w:uiPriority w:val="99"/>
    <w:semiHidden/>
    <w:rsid w:val="00487EB1"/>
  </w:style>
  <w:style w:type="paragraph" w:styleId="DocumentMap">
    <w:name w:val="Document Map"/>
    <w:basedOn w:val="Normal"/>
    <w:link w:val="DocumentMapChar"/>
    <w:uiPriority w:val="99"/>
    <w:semiHidden/>
    <w:unhideWhenUsed/>
    <w:rsid w:val="00487EB1"/>
    <w:pPr>
      <w:spacing w:before="0"/>
    </w:pPr>
    <w:rPr>
      <w:rFonts w:ascii="Tahoma" w:hAnsi="Tahoma" w:cs="Tahoma"/>
      <w:sz w:val="16"/>
      <w:szCs w:val="16"/>
    </w:rPr>
  </w:style>
  <w:style w:type="character" w:customStyle="1" w:styleId="DocumentMapChar">
    <w:name w:val="Document Map Char"/>
    <w:basedOn w:val="DefaultParagraphFont"/>
    <w:link w:val="DocumentMap"/>
    <w:uiPriority w:val="99"/>
    <w:semiHidden/>
    <w:rsid w:val="00487EB1"/>
    <w:rPr>
      <w:rFonts w:ascii="Tahoma" w:hAnsi="Tahoma" w:cs="Tahoma"/>
      <w:sz w:val="16"/>
      <w:szCs w:val="16"/>
    </w:rPr>
  </w:style>
  <w:style w:type="paragraph" w:styleId="E-mailSignature">
    <w:name w:val="E-mail Signature"/>
    <w:basedOn w:val="Normal"/>
    <w:link w:val="E-mailSignatureChar"/>
    <w:uiPriority w:val="99"/>
    <w:semiHidden/>
    <w:unhideWhenUsed/>
    <w:rsid w:val="00487EB1"/>
    <w:pPr>
      <w:spacing w:before="0"/>
    </w:pPr>
  </w:style>
  <w:style w:type="character" w:customStyle="1" w:styleId="E-mailSignatureChar">
    <w:name w:val="E-mail Signature Char"/>
    <w:basedOn w:val="DefaultParagraphFont"/>
    <w:link w:val="E-mailSignature"/>
    <w:uiPriority w:val="99"/>
    <w:semiHidden/>
    <w:rsid w:val="00487EB1"/>
  </w:style>
  <w:style w:type="paragraph" w:styleId="EnvelopeAddress">
    <w:name w:val="envelope address"/>
    <w:basedOn w:val="Normal"/>
    <w:uiPriority w:val="99"/>
    <w:semiHidden/>
    <w:unhideWhenUsed/>
    <w:rsid w:val="00487EB1"/>
    <w:pPr>
      <w:framePr w:w="7920" w:h="1980" w:hRule="exact" w:hSpace="180" w:wrap="auto" w:hAnchor="page" w:xAlign="center" w:yAlign="bottom"/>
      <w:spacing w:before="0"/>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487EB1"/>
    <w:pPr>
      <w:spacing w:before="0"/>
    </w:pPr>
    <w:rPr>
      <w:rFonts w:asciiTheme="majorHAnsi" w:eastAsiaTheme="majorEastAsia" w:hAnsiTheme="majorHAnsi" w:cstheme="majorBidi"/>
    </w:rPr>
  </w:style>
  <w:style w:type="paragraph" w:styleId="HTMLAddress">
    <w:name w:val="HTML Address"/>
    <w:basedOn w:val="Normal"/>
    <w:link w:val="HTMLAddressChar"/>
    <w:uiPriority w:val="99"/>
    <w:semiHidden/>
    <w:unhideWhenUsed/>
    <w:rsid w:val="00487EB1"/>
    <w:pPr>
      <w:spacing w:before="0"/>
    </w:pPr>
    <w:rPr>
      <w:i/>
      <w:iCs/>
    </w:rPr>
  </w:style>
  <w:style w:type="character" w:customStyle="1" w:styleId="HTMLAddressChar">
    <w:name w:val="HTML Address Char"/>
    <w:basedOn w:val="DefaultParagraphFont"/>
    <w:link w:val="HTMLAddress"/>
    <w:uiPriority w:val="99"/>
    <w:semiHidden/>
    <w:rsid w:val="00487EB1"/>
    <w:rPr>
      <w:i/>
      <w:iCs/>
    </w:rPr>
  </w:style>
  <w:style w:type="paragraph" w:styleId="HTMLPreformatted">
    <w:name w:val="HTML Preformatted"/>
    <w:basedOn w:val="Normal"/>
    <w:link w:val="HTMLPreformattedChar"/>
    <w:uiPriority w:val="99"/>
    <w:semiHidden/>
    <w:unhideWhenUsed/>
    <w:rsid w:val="00487EB1"/>
    <w:pPr>
      <w:spacing w:before="0"/>
    </w:pPr>
    <w:rPr>
      <w:rFonts w:ascii="Consolas" w:hAnsi="Consolas"/>
    </w:rPr>
  </w:style>
  <w:style w:type="character" w:customStyle="1" w:styleId="HTMLPreformattedChar">
    <w:name w:val="HTML Preformatted Char"/>
    <w:basedOn w:val="DefaultParagraphFont"/>
    <w:link w:val="HTMLPreformatted"/>
    <w:uiPriority w:val="99"/>
    <w:semiHidden/>
    <w:rsid w:val="00487EB1"/>
    <w:rPr>
      <w:rFonts w:ascii="Consolas" w:hAnsi="Consolas"/>
    </w:rPr>
  </w:style>
  <w:style w:type="paragraph" w:styleId="Index1">
    <w:name w:val="index 1"/>
    <w:basedOn w:val="Normal"/>
    <w:next w:val="Normal"/>
    <w:autoRedefine/>
    <w:uiPriority w:val="99"/>
    <w:semiHidden/>
    <w:unhideWhenUsed/>
    <w:rsid w:val="00487EB1"/>
    <w:pPr>
      <w:spacing w:before="0"/>
      <w:ind w:left="220" w:hanging="220"/>
    </w:pPr>
  </w:style>
  <w:style w:type="paragraph" w:styleId="Index2">
    <w:name w:val="index 2"/>
    <w:basedOn w:val="Normal"/>
    <w:next w:val="Normal"/>
    <w:autoRedefine/>
    <w:uiPriority w:val="99"/>
    <w:semiHidden/>
    <w:unhideWhenUsed/>
    <w:rsid w:val="00487EB1"/>
    <w:pPr>
      <w:spacing w:before="0"/>
      <w:ind w:left="440" w:hanging="220"/>
    </w:pPr>
  </w:style>
  <w:style w:type="paragraph" w:styleId="Index3">
    <w:name w:val="index 3"/>
    <w:basedOn w:val="Normal"/>
    <w:next w:val="Normal"/>
    <w:autoRedefine/>
    <w:uiPriority w:val="99"/>
    <w:semiHidden/>
    <w:unhideWhenUsed/>
    <w:rsid w:val="00487EB1"/>
    <w:pPr>
      <w:spacing w:before="0"/>
      <w:ind w:left="660" w:hanging="220"/>
    </w:pPr>
  </w:style>
  <w:style w:type="paragraph" w:styleId="Index4">
    <w:name w:val="index 4"/>
    <w:basedOn w:val="Normal"/>
    <w:next w:val="Normal"/>
    <w:autoRedefine/>
    <w:uiPriority w:val="99"/>
    <w:semiHidden/>
    <w:unhideWhenUsed/>
    <w:rsid w:val="00487EB1"/>
    <w:pPr>
      <w:spacing w:before="0"/>
      <w:ind w:left="880" w:hanging="220"/>
    </w:pPr>
  </w:style>
  <w:style w:type="paragraph" w:styleId="Index5">
    <w:name w:val="index 5"/>
    <w:basedOn w:val="Normal"/>
    <w:next w:val="Normal"/>
    <w:autoRedefine/>
    <w:uiPriority w:val="99"/>
    <w:semiHidden/>
    <w:unhideWhenUsed/>
    <w:rsid w:val="00487EB1"/>
    <w:pPr>
      <w:spacing w:before="0"/>
      <w:ind w:left="1100" w:hanging="220"/>
    </w:pPr>
  </w:style>
  <w:style w:type="paragraph" w:styleId="Index6">
    <w:name w:val="index 6"/>
    <w:basedOn w:val="Normal"/>
    <w:next w:val="Normal"/>
    <w:autoRedefine/>
    <w:uiPriority w:val="99"/>
    <w:semiHidden/>
    <w:unhideWhenUsed/>
    <w:rsid w:val="00487EB1"/>
    <w:pPr>
      <w:spacing w:before="0"/>
      <w:ind w:left="1320" w:hanging="220"/>
    </w:pPr>
  </w:style>
  <w:style w:type="paragraph" w:styleId="Index7">
    <w:name w:val="index 7"/>
    <w:basedOn w:val="Normal"/>
    <w:next w:val="Normal"/>
    <w:autoRedefine/>
    <w:uiPriority w:val="99"/>
    <w:semiHidden/>
    <w:unhideWhenUsed/>
    <w:rsid w:val="00487EB1"/>
    <w:pPr>
      <w:spacing w:before="0"/>
      <w:ind w:left="1540" w:hanging="220"/>
    </w:pPr>
  </w:style>
  <w:style w:type="paragraph" w:styleId="Index8">
    <w:name w:val="index 8"/>
    <w:basedOn w:val="Normal"/>
    <w:next w:val="Normal"/>
    <w:autoRedefine/>
    <w:uiPriority w:val="99"/>
    <w:semiHidden/>
    <w:unhideWhenUsed/>
    <w:rsid w:val="00487EB1"/>
    <w:pPr>
      <w:spacing w:before="0"/>
      <w:ind w:left="1760" w:hanging="220"/>
    </w:pPr>
  </w:style>
  <w:style w:type="paragraph" w:styleId="Index9">
    <w:name w:val="index 9"/>
    <w:basedOn w:val="Normal"/>
    <w:next w:val="Normal"/>
    <w:autoRedefine/>
    <w:uiPriority w:val="99"/>
    <w:semiHidden/>
    <w:unhideWhenUsed/>
    <w:rsid w:val="00487EB1"/>
    <w:pPr>
      <w:spacing w:before="0"/>
      <w:ind w:left="1980" w:hanging="220"/>
    </w:pPr>
  </w:style>
  <w:style w:type="paragraph" w:styleId="IndexHeading">
    <w:name w:val="index heading"/>
    <w:basedOn w:val="Normal"/>
    <w:next w:val="Index1"/>
    <w:uiPriority w:val="99"/>
    <w:semiHidden/>
    <w:unhideWhenUsed/>
    <w:rsid w:val="00487EB1"/>
    <w:rPr>
      <w:rFonts w:asciiTheme="majorHAnsi" w:eastAsiaTheme="majorEastAsia" w:hAnsiTheme="majorHAnsi" w:cstheme="majorBidi"/>
      <w:b/>
      <w:bCs/>
    </w:rPr>
  </w:style>
  <w:style w:type="paragraph" w:styleId="List">
    <w:name w:val="List"/>
    <w:basedOn w:val="Normal"/>
    <w:uiPriority w:val="99"/>
    <w:unhideWhenUsed/>
    <w:rsid w:val="00487EB1"/>
    <w:pPr>
      <w:ind w:left="360" w:hanging="360"/>
      <w:contextualSpacing/>
    </w:pPr>
  </w:style>
  <w:style w:type="paragraph" w:styleId="List2">
    <w:name w:val="List 2"/>
    <w:basedOn w:val="Normal"/>
    <w:uiPriority w:val="99"/>
    <w:unhideWhenUsed/>
    <w:rsid w:val="00487EB1"/>
    <w:pPr>
      <w:ind w:left="720" w:hanging="360"/>
      <w:contextualSpacing/>
    </w:pPr>
  </w:style>
  <w:style w:type="paragraph" w:styleId="List3">
    <w:name w:val="List 3"/>
    <w:basedOn w:val="Normal"/>
    <w:uiPriority w:val="99"/>
    <w:unhideWhenUsed/>
    <w:rsid w:val="00487EB1"/>
    <w:pPr>
      <w:ind w:left="1080" w:hanging="360"/>
      <w:contextualSpacing/>
    </w:pPr>
  </w:style>
  <w:style w:type="paragraph" w:styleId="List4">
    <w:name w:val="List 4"/>
    <w:basedOn w:val="Normal"/>
    <w:uiPriority w:val="99"/>
    <w:semiHidden/>
    <w:unhideWhenUsed/>
    <w:rsid w:val="00487EB1"/>
    <w:pPr>
      <w:ind w:left="1440" w:hanging="360"/>
      <w:contextualSpacing/>
    </w:pPr>
  </w:style>
  <w:style w:type="paragraph" w:styleId="List5">
    <w:name w:val="List 5"/>
    <w:basedOn w:val="Normal"/>
    <w:uiPriority w:val="99"/>
    <w:semiHidden/>
    <w:unhideWhenUsed/>
    <w:rsid w:val="00487EB1"/>
    <w:pPr>
      <w:ind w:left="1800" w:hanging="360"/>
      <w:contextualSpacing/>
    </w:pPr>
  </w:style>
  <w:style w:type="paragraph" w:styleId="ListContinue">
    <w:name w:val="List Continue"/>
    <w:basedOn w:val="Normal"/>
    <w:uiPriority w:val="99"/>
    <w:unhideWhenUsed/>
    <w:rsid w:val="00487EB1"/>
    <w:pPr>
      <w:ind w:left="360"/>
      <w:contextualSpacing/>
    </w:pPr>
  </w:style>
  <w:style w:type="paragraph" w:styleId="ListContinue2">
    <w:name w:val="List Continue 2"/>
    <w:basedOn w:val="Normal"/>
    <w:uiPriority w:val="99"/>
    <w:unhideWhenUsed/>
    <w:rsid w:val="00487EB1"/>
    <w:pPr>
      <w:ind w:left="720"/>
      <w:contextualSpacing/>
    </w:pPr>
  </w:style>
  <w:style w:type="paragraph" w:styleId="ListContinue3">
    <w:name w:val="List Continue 3"/>
    <w:basedOn w:val="Normal"/>
    <w:uiPriority w:val="99"/>
    <w:unhideWhenUsed/>
    <w:rsid w:val="00487EB1"/>
    <w:pPr>
      <w:ind w:left="1080"/>
      <w:contextualSpacing/>
    </w:pPr>
  </w:style>
  <w:style w:type="paragraph" w:styleId="ListContinue4">
    <w:name w:val="List Continue 4"/>
    <w:basedOn w:val="Normal"/>
    <w:uiPriority w:val="99"/>
    <w:semiHidden/>
    <w:unhideWhenUsed/>
    <w:rsid w:val="00487EB1"/>
    <w:pPr>
      <w:ind w:left="1440"/>
      <w:contextualSpacing/>
    </w:pPr>
  </w:style>
  <w:style w:type="paragraph" w:styleId="ListContinue5">
    <w:name w:val="List Continue 5"/>
    <w:basedOn w:val="Normal"/>
    <w:uiPriority w:val="99"/>
    <w:semiHidden/>
    <w:unhideWhenUsed/>
    <w:rsid w:val="00487EB1"/>
    <w:pPr>
      <w:ind w:left="1800"/>
      <w:contextualSpacing/>
    </w:pPr>
  </w:style>
  <w:style w:type="paragraph" w:styleId="ListNumber">
    <w:name w:val="List Number"/>
    <w:basedOn w:val="BodyText"/>
    <w:uiPriority w:val="99"/>
    <w:unhideWhenUsed/>
    <w:qFormat/>
    <w:rsid w:val="00487EB1"/>
    <w:pPr>
      <w:numPr>
        <w:numId w:val="5"/>
      </w:numPr>
    </w:pPr>
  </w:style>
  <w:style w:type="paragraph" w:styleId="ListNumber2">
    <w:name w:val="List Number 2"/>
    <w:basedOn w:val="ListNumber"/>
    <w:uiPriority w:val="99"/>
    <w:unhideWhenUsed/>
    <w:qFormat/>
    <w:rsid w:val="00487EB1"/>
    <w:pPr>
      <w:numPr>
        <w:ilvl w:val="1"/>
      </w:numPr>
      <w:tabs>
        <w:tab w:val="left" w:pos="1080"/>
      </w:tabs>
    </w:pPr>
  </w:style>
  <w:style w:type="paragraph" w:styleId="ListNumber3">
    <w:name w:val="List Number 3"/>
    <w:basedOn w:val="ListNumber2"/>
    <w:uiPriority w:val="99"/>
    <w:unhideWhenUsed/>
    <w:rsid w:val="00487EB1"/>
    <w:pPr>
      <w:numPr>
        <w:ilvl w:val="2"/>
      </w:numPr>
    </w:pPr>
  </w:style>
  <w:style w:type="paragraph" w:styleId="ListNumber4">
    <w:name w:val="List Number 4"/>
    <w:basedOn w:val="Normal"/>
    <w:uiPriority w:val="99"/>
    <w:unhideWhenUsed/>
    <w:rsid w:val="00487EB1"/>
    <w:pPr>
      <w:numPr>
        <w:ilvl w:val="3"/>
        <w:numId w:val="5"/>
      </w:numPr>
      <w:contextualSpacing/>
    </w:pPr>
  </w:style>
  <w:style w:type="paragraph" w:styleId="ListNumber5">
    <w:name w:val="List Number 5"/>
    <w:basedOn w:val="Normal"/>
    <w:uiPriority w:val="99"/>
    <w:semiHidden/>
    <w:unhideWhenUsed/>
    <w:rsid w:val="00487EB1"/>
    <w:pPr>
      <w:numPr>
        <w:numId w:val="6"/>
      </w:numPr>
      <w:contextualSpacing/>
    </w:pPr>
  </w:style>
  <w:style w:type="paragraph" w:styleId="MacroText">
    <w:name w:val="macro"/>
    <w:link w:val="MacroTextChar"/>
    <w:uiPriority w:val="99"/>
    <w:unhideWhenUsed/>
    <w:rsid w:val="00487EB1"/>
    <w:pPr>
      <w:tabs>
        <w:tab w:val="left" w:pos="480"/>
        <w:tab w:val="left" w:pos="960"/>
        <w:tab w:val="left" w:pos="1440"/>
        <w:tab w:val="left" w:pos="1920"/>
        <w:tab w:val="left" w:pos="2400"/>
        <w:tab w:val="left" w:pos="2880"/>
        <w:tab w:val="left" w:pos="3360"/>
        <w:tab w:val="left" w:pos="3840"/>
        <w:tab w:val="left" w:pos="4320"/>
      </w:tabs>
      <w:spacing w:after="0"/>
      <w:ind w:right="2"/>
    </w:pPr>
    <w:rPr>
      <w:rFonts w:ascii="Consolas" w:eastAsia="Times New Roman" w:hAnsi="Consolas" w:cs="Times New Roman"/>
    </w:rPr>
  </w:style>
  <w:style w:type="character" w:customStyle="1" w:styleId="MacroTextChar">
    <w:name w:val="Macro Text Char"/>
    <w:basedOn w:val="DefaultParagraphFont"/>
    <w:link w:val="MacroText"/>
    <w:uiPriority w:val="99"/>
    <w:rsid w:val="00487EB1"/>
    <w:rPr>
      <w:rFonts w:ascii="Consolas" w:eastAsia="Times New Roman" w:hAnsi="Consolas" w:cs="Times New Roman"/>
    </w:rPr>
  </w:style>
  <w:style w:type="paragraph" w:styleId="MessageHeader">
    <w:name w:val="Message Header"/>
    <w:basedOn w:val="Normal"/>
    <w:link w:val="MessageHeaderChar"/>
    <w:uiPriority w:val="99"/>
    <w:semiHidden/>
    <w:unhideWhenUsed/>
    <w:rsid w:val="00487EB1"/>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487EB1"/>
    <w:rPr>
      <w:rFonts w:asciiTheme="majorHAnsi" w:eastAsiaTheme="majorEastAsia" w:hAnsiTheme="majorHAnsi" w:cstheme="majorBidi"/>
      <w:sz w:val="24"/>
      <w:shd w:val="pct20" w:color="auto" w:fill="auto"/>
    </w:rPr>
  </w:style>
  <w:style w:type="paragraph" w:styleId="NormalWeb">
    <w:name w:val="Normal (Web)"/>
    <w:basedOn w:val="Normal"/>
    <w:uiPriority w:val="99"/>
    <w:semiHidden/>
    <w:unhideWhenUsed/>
    <w:rsid w:val="00487EB1"/>
    <w:rPr>
      <w:rFonts w:ascii="Times New Roman" w:hAnsi="Times New Roman"/>
      <w:sz w:val="24"/>
    </w:rPr>
  </w:style>
  <w:style w:type="paragraph" w:styleId="NormalIndent">
    <w:name w:val="Normal Indent"/>
    <w:basedOn w:val="Normal"/>
    <w:uiPriority w:val="99"/>
    <w:semiHidden/>
    <w:unhideWhenUsed/>
    <w:rsid w:val="00487EB1"/>
    <w:pPr>
      <w:ind w:left="720"/>
    </w:pPr>
  </w:style>
  <w:style w:type="paragraph" w:styleId="NoteHeading">
    <w:name w:val="Note Heading"/>
    <w:basedOn w:val="Normal"/>
    <w:next w:val="Normal"/>
    <w:link w:val="NoteHeadingChar"/>
    <w:uiPriority w:val="99"/>
    <w:semiHidden/>
    <w:unhideWhenUsed/>
    <w:rsid w:val="00487EB1"/>
    <w:pPr>
      <w:spacing w:before="0"/>
    </w:pPr>
  </w:style>
  <w:style w:type="character" w:customStyle="1" w:styleId="NoteHeadingChar">
    <w:name w:val="Note Heading Char"/>
    <w:basedOn w:val="DefaultParagraphFont"/>
    <w:link w:val="NoteHeading"/>
    <w:uiPriority w:val="99"/>
    <w:semiHidden/>
    <w:rsid w:val="00487EB1"/>
  </w:style>
  <w:style w:type="paragraph" w:styleId="PlainText">
    <w:name w:val="Plain Text"/>
    <w:basedOn w:val="Normal"/>
    <w:link w:val="PlainTextChar"/>
    <w:uiPriority w:val="99"/>
    <w:semiHidden/>
    <w:unhideWhenUsed/>
    <w:rsid w:val="00487EB1"/>
    <w:pPr>
      <w:spacing w:before="0"/>
    </w:pPr>
    <w:rPr>
      <w:rFonts w:ascii="Consolas" w:hAnsi="Consolas"/>
      <w:sz w:val="21"/>
      <w:szCs w:val="21"/>
    </w:rPr>
  </w:style>
  <w:style w:type="character" w:customStyle="1" w:styleId="PlainTextChar">
    <w:name w:val="Plain Text Char"/>
    <w:basedOn w:val="DefaultParagraphFont"/>
    <w:link w:val="PlainText"/>
    <w:uiPriority w:val="99"/>
    <w:semiHidden/>
    <w:rsid w:val="00487EB1"/>
    <w:rPr>
      <w:rFonts w:ascii="Consolas" w:hAnsi="Consolas"/>
      <w:sz w:val="21"/>
      <w:szCs w:val="21"/>
    </w:rPr>
  </w:style>
  <w:style w:type="paragraph" w:styleId="Salutation">
    <w:name w:val="Salutation"/>
    <w:basedOn w:val="BodyText"/>
    <w:next w:val="BodyText"/>
    <w:link w:val="SalutationChar"/>
    <w:uiPriority w:val="99"/>
    <w:unhideWhenUsed/>
    <w:rsid w:val="005D704B"/>
    <w:pPr>
      <w:keepNext/>
      <w:keepLines/>
      <w:spacing w:before="0"/>
    </w:pPr>
    <w:rPr>
      <w:b/>
      <w:color w:val="3C533C" w:themeColor="accent1"/>
      <w:szCs w:val="22"/>
    </w:rPr>
  </w:style>
  <w:style w:type="character" w:customStyle="1" w:styleId="SalutationChar">
    <w:name w:val="Salutation Char"/>
    <w:basedOn w:val="DefaultParagraphFont"/>
    <w:link w:val="Salutation"/>
    <w:uiPriority w:val="99"/>
    <w:rsid w:val="005D704B"/>
    <w:rPr>
      <w:b/>
      <w:color w:val="3C533C" w:themeColor="accent1"/>
      <w:szCs w:val="22"/>
      <w:lang w:val="en-CA"/>
    </w:rPr>
  </w:style>
  <w:style w:type="paragraph" w:styleId="Signature">
    <w:name w:val="Signature"/>
    <w:basedOn w:val="Normal"/>
    <w:link w:val="SignatureChar"/>
    <w:uiPriority w:val="99"/>
    <w:semiHidden/>
    <w:unhideWhenUsed/>
    <w:rsid w:val="00487EB1"/>
    <w:pPr>
      <w:spacing w:before="0"/>
      <w:ind w:left="4320"/>
    </w:pPr>
  </w:style>
  <w:style w:type="character" w:customStyle="1" w:styleId="SignatureChar">
    <w:name w:val="Signature Char"/>
    <w:basedOn w:val="DefaultParagraphFont"/>
    <w:link w:val="Signature"/>
    <w:uiPriority w:val="99"/>
    <w:semiHidden/>
    <w:rsid w:val="00487EB1"/>
  </w:style>
  <w:style w:type="paragraph" w:styleId="TableofAuthorities">
    <w:name w:val="table of authorities"/>
    <w:basedOn w:val="Normal"/>
    <w:next w:val="Normal"/>
    <w:uiPriority w:val="99"/>
    <w:semiHidden/>
    <w:unhideWhenUsed/>
    <w:rsid w:val="00487EB1"/>
    <w:pPr>
      <w:ind w:left="220" w:hanging="220"/>
    </w:pPr>
  </w:style>
  <w:style w:type="paragraph" w:styleId="TOAHeading">
    <w:name w:val="toa heading"/>
    <w:basedOn w:val="Normal"/>
    <w:next w:val="Normal"/>
    <w:uiPriority w:val="99"/>
    <w:semiHidden/>
    <w:unhideWhenUsed/>
    <w:rsid w:val="00487EB1"/>
    <w:rPr>
      <w:rFonts w:asciiTheme="majorHAnsi" w:eastAsiaTheme="majorEastAsia" w:hAnsiTheme="majorHAnsi" w:cstheme="majorBidi"/>
      <w:b/>
      <w:bCs/>
      <w:sz w:val="24"/>
    </w:rPr>
  </w:style>
  <w:style w:type="paragraph" w:styleId="TOC5">
    <w:name w:val="toc 5"/>
    <w:basedOn w:val="TOC2"/>
    <w:next w:val="Normal"/>
    <w:autoRedefine/>
    <w:uiPriority w:val="39"/>
    <w:unhideWhenUsed/>
    <w:rsid w:val="00487EB1"/>
  </w:style>
  <w:style w:type="paragraph" w:styleId="TOC6">
    <w:name w:val="toc 6"/>
    <w:basedOn w:val="Normal"/>
    <w:next w:val="Normal"/>
    <w:autoRedefine/>
    <w:uiPriority w:val="39"/>
    <w:semiHidden/>
    <w:unhideWhenUsed/>
    <w:rsid w:val="00487EB1"/>
    <w:pPr>
      <w:spacing w:after="100"/>
      <w:ind w:left="1100"/>
    </w:pPr>
  </w:style>
  <w:style w:type="paragraph" w:styleId="TOC7">
    <w:name w:val="toc 7"/>
    <w:basedOn w:val="Normal"/>
    <w:next w:val="Normal"/>
    <w:autoRedefine/>
    <w:uiPriority w:val="39"/>
    <w:semiHidden/>
    <w:unhideWhenUsed/>
    <w:rsid w:val="00487EB1"/>
    <w:pPr>
      <w:spacing w:after="100"/>
      <w:ind w:left="1320"/>
    </w:pPr>
  </w:style>
  <w:style w:type="paragraph" w:styleId="TOC9">
    <w:name w:val="toc 9"/>
    <w:basedOn w:val="Normal"/>
    <w:next w:val="Normal"/>
    <w:autoRedefine/>
    <w:uiPriority w:val="39"/>
    <w:semiHidden/>
    <w:unhideWhenUsed/>
    <w:rsid w:val="00487EB1"/>
    <w:pPr>
      <w:spacing w:after="100"/>
      <w:ind w:left="1760"/>
    </w:pPr>
  </w:style>
  <w:style w:type="paragraph" w:styleId="TOCHeading">
    <w:name w:val="TOC Heading"/>
    <w:basedOn w:val="Heading1NoNumber"/>
    <w:next w:val="Normal"/>
    <w:uiPriority w:val="39"/>
    <w:unhideWhenUsed/>
    <w:qFormat/>
    <w:rsid w:val="00487EB1"/>
  </w:style>
  <w:style w:type="paragraph" w:customStyle="1" w:styleId="CoverTitle">
    <w:name w:val="Cover Title"/>
    <w:basedOn w:val="BodyText"/>
    <w:link w:val="CoverTitleChar"/>
    <w:rsid w:val="00552949"/>
    <w:pPr>
      <w:spacing w:before="3360"/>
      <w:ind w:left="-180" w:right="-274"/>
    </w:pPr>
    <w:rPr>
      <w:rFonts w:cs="Calibri"/>
      <w:b/>
      <w:color w:val="3C533C" w:themeColor="accent1"/>
      <w:sz w:val="56"/>
      <w:szCs w:val="60"/>
    </w:rPr>
  </w:style>
  <w:style w:type="character" w:customStyle="1" w:styleId="CoverTitleChar">
    <w:name w:val="Cover Title Char"/>
    <w:basedOn w:val="DefaultParagraphFont"/>
    <w:link w:val="CoverTitle"/>
    <w:rsid w:val="00552949"/>
    <w:rPr>
      <w:rFonts w:ascii="Arial" w:hAnsi="Arial" w:cs="Calibri"/>
      <w:b/>
      <w:color w:val="3C533C" w:themeColor="accent1"/>
      <w:sz w:val="56"/>
      <w:szCs w:val="60"/>
      <w:lang w:val="en-AU"/>
    </w:rPr>
  </w:style>
  <w:style w:type="character" w:customStyle="1" w:styleId="TOC1Char">
    <w:name w:val="TOC 1 Char"/>
    <w:basedOn w:val="DefaultParagraphFont"/>
    <w:link w:val="TOC1"/>
    <w:uiPriority w:val="39"/>
    <w:rsid w:val="00D002F6"/>
    <w:rPr>
      <w:b/>
      <w:noProof/>
      <w:szCs w:val="22"/>
      <w:lang w:val="en-CA"/>
    </w:rPr>
  </w:style>
  <w:style w:type="table" w:customStyle="1" w:styleId="SLROption2">
    <w:name w:val="SLR Option 2"/>
    <w:basedOn w:val="TableNormal"/>
    <w:uiPriority w:val="99"/>
    <w:rsid w:val="002A62C0"/>
    <w:pPr>
      <w:spacing w:after="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cPr>
      <w:shd w:val="clear" w:color="auto" w:fill="auto"/>
    </w:tcPr>
    <w:tblStylePr w:type="firstRow">
      <w:pPr>
        <w:jc w:val="center"/>
      </w:pPr>
      <w:rPr>
        <w:rFonts w:ascii="Figtree" w:hAnsi="Figtree"/>
        <w:b w:val="0"/>
        <w:color w:val="FFFFFF" w:themeColor="background1"/>
        <w:sz w:val="18"/>
      </w:rPr>
      <w:tblPr/>
      <w:trPr>
        <w:tblHeader/>
      </w:trPr>
      <w:tcPr>
        <w:tcBorders>
          <w:top w:val="single" w:sz="4" w:space="0" w:color="auto"/>
          <w:left w:val="single" w:sz="4" w:space="0" w:color="auto"/>
          <w:bottom w:val="single" w:sz="4" w:space="0" w:color="FFFFFF" w:themeColor="background1"/>
          <w:right w:val="single" w:sz="4" w:space="0" w:color="auto"/>
          <w:insideH w:val="single" w:sz="4" w:space="0" w:color="FFFFFF" w:themeColor="background1"/>
          <w:insideV w:val="single" w:sz="4" w:space="0" w:color="FFFFFF" w:themeColor="background1"/>
        </w:tcBorders>
        <w:shd w:val="clear" w:color="auto" w:fill="3C533C"/>
      </w:tcPr>
    </w:tblStylePr>
    <w:tblStylePr w:type="lastRow">
      <w:rPr>
        <w:rFonts w:ascii="Figtree" w:hAnsi="Figtree"/>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style>
  <w:style w:type="paragraph" w:customStyle="1" w:styleId="CoverClientName">
    <w:name w:val="Cover Client Name"/>
    <w:basedOn w:val="CoverBody"/>
    <w:next w:val="CoverBody"/>
    <w:rsid w:val="00552949"/>
    <w:rPr>
      <w:b/>
      <w:color w:val="41434C"/>
      <w:sz w:val="32"/>
    </w:rPr>
  </w:style>
  <w:style w:type="paragraph" w:customStyle="1" w:styleId="CoverBody">
    <w:name w:val="Cover Body"/>
    <w:basedOn w:val="BodyText"/>
    <w:rsid w:val="00FB47D4"/>
    <w:pPr>
      <w:ind w:left="-180"/>
      <w:contextualSpacing/>
    </w:pPr>
  </w:style>
  <w:style w:type="paragraph" w:customStyle="1" w:styleId="CoverSubtitleXref">
    <w:name w:val="Cover Subtitle Xref"/>
    <w:basedOn w:val="BodyText"/>
    <w:next w:val="CoverBody"/>
    <w:rsid w:val="00E84D35"/>
    <w:pPr>
      <w:spacing w:before="0" w:after="240"/>
    </w:pPr>
    <w:rPr>
      <w:rFonts w:asciiTheme="minorHAnsi" w:hAnsiTheme="minorHAnsi"/>
      <w:b/>
      <w:sz w:val="24"/>
    </w:rPr>
  </w:style>
  <w:style w:type="table" w:styleId="TableGridLight">
    <w:name w:val="Grid Table Light"/>
    <w:basedOn w:val="TableNormal"/>
    <w:uiPriority w:val="40"/>
    <w:rsid w:val="00487EB1"/>
    <w:pPr>
      <w:spacing w:after="0"/>
    </w:pPr>
    <w:rPr>
      <w:rFonts w:ascii="Times New Roman" w:eastAsia="Times New Roman"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
    <w:name w:val="Table Text"/>
    <w:basedOn w:val="BodyText"/>
    <w:qFormat/>
    <w:rsid w:val="00552949"/>
    <w:pPr>
      <w:spacing w:before="60" w:after="60"/>
    </w:pPr>
    <w:rPr>
      <w:sz w:val="20"/>
      <w:lang w:val="en-GB"/>
    </w:rPr>
  </w:style>
  <w:style w:type="paragraph" w:customStyle="1" w:styleId="CoverDate">
    <w:name w:val="Cover Date"/>
    <w:basedOn w:val="CoverBody"/>
    <w:next w:val="CoverBody"/>
    <w:rsid w:val="00FB47D4"/>
    <w:pPr>
      <w:spacing w:before="240" w:after="240"/>
    </w:pPr>
    <w:rPr>
      <w:color w:val="1E1E1E" w:themeColor="text1"/>
    </w:rPr>
  </w:style>
  <w:style w:type="paragraph" w:customStyle="1" w:styleId="CoverSubtitle">
    <w:name w:val="Cover Subtitle"/>
    <w:basedOn w:val="CoverTitle"/>
    <w:rsid w:val="00552949"/>
    <w:pPr>
      <w:spacing w:before="240" w:after="360"/>
    </w:pPr>
    <w:rPr>
      <w:color w:val="667545" w:themeColor="accent3"/>
      <w:sz w:val="36"/>
      <w:szCs w:val="56"/>
    </w:rPr>
  </w:style>
  <w:style w:type="paragraph" w:customStyle="1" w:styleId="CoverProjectNumber">
    <w:name w:val="Cover Project Number"/>
    <w:basedOn w:val="CoverBody"/>
    <w:rsid w:val="00FB47D4"/>
    <w:pPr>
      <w:spacing w:before="0"/>
      <w:contextualSpacing w:val="0"/>
    </w:pPr>
    <w:rPr>
      <w:rFonts w:cs="Calibri"/>
    </w:rPr>
  </w:style>
  <w:style w:type="paragraph" w:customStyle="1" w:styleId="SLRSignature">
    <w:name w:val="SLR Signature"/>
    <w:basedOn w:val="BodyText"/>
    <w:next w:val="SLRSignatureDetails"/>
    <w:rsid w:val="00487EB1"/>
    <w:pPr>
      <w:spacing w:before="0" w:after="0"/>
      <w:contextualSpacing/>
    </w:pPr>
    <w:rPr>
      <w:b/>
      <w:bCs/>
      <w:color w:val="3C533C"/>
    </w:rPr>
  </w:style>
  <w:style w:type="paragraph" w:customStyle="1" w:styleId="SLRSignatureDetails">
    <w:name w:val="SLR Signature Details"/>
    <w:basedOn w:val="BodyText"/>
    <w:rsid w:val="00AC1BC7"/>
    <w:pPr>
      <w:spacing w:before="0"/>
      <w:contextualSpacing/>
    </w:pPr>
    <w:rPr>
      <w:sz w:val="20"/>
    </w:rPr>
  </w:style>
  <w:style w:type="character" w:customStyle="1" w:styleId="TableofFiguresChar">
    <w:name w:val="Table of Figures Char"/>
    <w:basedOn w:val="DefaultParagraphFont"/>
    <w:link w:val="TableofFigures"/>
    <w:uiPriority w:val="99"/>
    <w:rsid w:val="00487EB1"/>
    <w:rPr>
      <w:rFonts w:eastAsiaTheme="majorEastAsia"/>
      <w:noProof/>
    </w:rPr>
  </w:style>
  <w:style w:type="paragraph" w:customStyle="1" w:styleId="TableBullet">
    <w:name w:val="Table Bullet"/>
    <w:basedOn w:val="TableText"/>
    <w:qFormat/>
    <w:rsid w:val="00487EB1"/>
    <w:pPr>
      <w:numPr>
        <w:numId w:val="8"/>
      </w:numPr>
    </w:pPr>
    <w:rPr>
      <w:rFonts w:eastAsia="Times New Roman" w:cs="Times New Roman"/>
      <w:lang w:eastAsia="en-GB"/>
    </w:rPr>
  </w:style>
  <w:style w:type="paragraph" w:customStyle="1" w:styleId="TableNumber">
    <w:name w:val="Table Number"/>
    <w:basedOn w:val="TableText"/>
    <w:qFormat/>
    <w:rsid w:val="00487EB1"/>
    <w:pPr>
      <w:numPr>
        <w:numId w:val="9"/>
      </w:numPr>
    </w:pPr>
  </w:style>
  <w:style w:type="paragraph" w:customStyle="1" w:styleId="CoverSLRName">
    <w:name w:val="Cover SLR Name"/>
    <w:basedOn w:val="BodyText"/>
    <w:next w:val="CoverBody"/>
    <w:qFormat/>
    <w:rsid w:val="00FB47D4"/>
    <w:pPr>
      <w:ind w:left="-180"/>
      <w:contextualSpacing/>
    </w:pPr>
    <w:rPr>
      <w:b/>
      <w:bCs/>
      <w:color w:val="3C533C"/>
      <w:sz w:val="24"/>
    </w:rPr>
  </w:style>
  <w:style w:type="paragraph" w:customStyle="1" w:styleId="CoverProjectXref">
    <w:name w:val="Cover Project Xref"/>
    <w:basedOn w:val="CoverProjectNumber"/>
    <w:rsid w:val="00487EB1"/>
    <w:pPr>
      <w:ind w:left="0"/>
    </w:pPr>
  </w:style>
  <w:style w:type="paragraph" w:customStyle="1" w:styleId="Coverfooter">
    <w:name w:val="Cover footer"/>
    <w:basedOn w:val="Footer"/>
    <w:rsid w:val="00487EB1"/>
    <w:pPr>
      <w:jc w:val="right"/>
    </w:pPr>
    <w:rPr>
      <w:noProof/>
    </w:rPr>
  </w:style>
  <w:style w:type="character" w:styleId="CommentReference">
    <w:name w:val="annotation reference"/>
    <w:basedOn w:val="DefaultParagraphFont"/>
    <w:uiPriority w:val="99"/>
    <w:semiHidden/>
    <w:unhideWhenUsed/>
    <w:rsid w:val="00487EB1"/>
    <w:rPr>
      <w:sz w:val="16"/>
      <w:szCs w:val="16"/>
    </w:rPr>
  </w:style>
  <w:style w:type="paragraph" w:styleId="CommentText">
    <w:name w:val="annotation text"/>
    <w:basedOn w:val="Normal"/>
    <w:link w:val="CommentTextChar"/>
    <w:uiPriority w:val="99"/>
    <w:unhideWhenUsed/>
    <w:rsid w:val="00487EB1"/>
  </w:style>
  <w:style w:type="character" w:customStyle="1" w:styleId="CommentTextChar">
    <w:name w:val="Comment Text Char"/>
    <w:basedOn w:val="DefaultParagraphFont"/>
    <w:link w:val="CommentText"/>
    <w:uiPriority w:val="99"/>
    <w:rsid w:val="00487EB1"/>
  </w:style>
  <w:style w:type="paragraph" w:styleId="ListBullet5">
    <w:name w:val="List Bullet 5"/>
    <w:basedOn w:val="Normal"/>
    <w:uiPriority w:val="99"/>
    <w:semiHidden/>
    <w:unhideWhenUsed/>
    <w:rsid w:val="00487EB1"/>
    <w:pPr>
      <w:numPr>
        <w:numId w:val="4"/>
      </w:numPr>
      <w:contextualSpacing/>
    </w:pPr>
  </w:style>
  <w:style w:type="paragraph" w:customStyle="1" w:styleId="BodyTextParagraphNumbered">
    <w:name w:val="Body Text Paragraph Numbered"/>
    <w:basedOn w:val="BodyText"/>
    <w:qFormat/>
    <w:rsid w:val="00D71E8F"/>
    <w:pPr>
      <w:numPr>
        <w:numId w:val="11"/>
      </w:numPr>
      <w:spacing w:before="0" w:after="360" w:line="360" w:lineRule="auto"/>
    </w:pPr>
    <w:rPr>
      <w:lang w:val="en-GB"/>
    </w:rPr>
  </w:style>
  <w:style w:type="paragraph" w:styleId="FootnoteText">
    <w:name w:val="footnote text"/>
    <w:basedOn w:val="BodyText"/>
    <w:link w:val="FootnoteTextChar"/>
    <w:uiPriority w:val="99"/>
    <w:unhideWhenUsed/>
    <w:qFormat/>
    <w:rsid w:val="00AC1BC7"/>
    <w:pPr>
      <w:spacing w:before="60" w:after="60"/>
    </w:pPr>
    <w:rPr>
      <w:sz w:val="18"/>
    </w:rPr>
  </w:style>
  <w:style w:type="character" w:customStyle="1" w:styleId="FootnoteTextChar">
    <w:name w:val="Footnote Text Char"/>
    <w:basedOn w:val="DefaultParagraphFont"/>
    <w:link w:val="FootnoteText"/>
    <w:uiPriority w:val="99"/>
    <w:rsid w:val="00AC1BC7"/>
    <w:rPr>
      <w:rFonts w:ascii="Arial" w:hAnsi="Arial"/>
      <w:sz w:val="18"/>
      <w:lang w:val="en-AU"/>
    </w:rPr>
  </w:style>
  <w:style w:type="paragraph" w:customStyle="1" w:styleId="CoverDateXref">
    <w:name w:val="Cover Date Xref"/>
    <w:basedOn w:val="CoverDate"/>
    <w:rsid w:val="00487EB1"/>
    <w:pPr>
      <w:ind w:left="0"/>
    </w:pPr>
  </w:style>
  <w:style w:type="character" w:styleId="UnresolvedMention">
    <w:name w:val="Unresolved Mention"/>
    <w:basedOn w:val="DefaultParagraphFont"/>
    <w:uiPriority w:val="99"/>
    <w:semiHidden/>
    <w:unhideWhenUsed/>
    <w:rsid w:val="00875780"/>
    <w:rPr>
      <w:color w:val="605E5C"/>
      <w:shd w:val="clear" w:color="auto" w:fill="E1DFDD"/>
    </w:rPr>
  </w:style>
  <w:style w:type="paragraph" w:customStyle="1" w:styleId="CoverAddress">
    <w:name w:val="Cover Address"/>
    <w:basedOn w:val="CoverBody"/>
    <w:rsid w:val="00E3366C"/>
    <w:pPr>
      <w:spacing w:before="0" w:after="0"/>
      <w:ind w:right="4259"/>
    </w:pPr>
  </w:style>
  <w:style w:type="character" w:customStyle="1" w:styleId="CoverRevision">
    <w:name w:val="Cover Revision"/>
    <w:basedOn w:val="DefaultParagraphFont"/>
    <w:uiPriority w:val="1"/>
    <w:rsid w:val="00CC4C53"/>
  </w:style>
  <w:style w:type="paragraph" w:customStyle="1" w:styleId="CaptionFigure">
    <w:name w:val="Caption (Figure)"/>
    <w:basedOn w:val="Caption"/>
    <w:rsid w:val="0049521A"/>
    <w:pPr>
      <w:keepNext w:val="0"/>
      <w:ind w:left="1077" w:hanging="1077"/>
    </w:pPr>
  </w:style>
  <w:style w:type="table" w:customStyle="1" w:styleId="SLRTable2">
    <w:name w:val="SLR Table2"/>
    <w:basedOn w:val="TableNormal"/>
    <w:rsid w:val="002A62C0"/>
    <w:pPr>
      <w:spacing w:before="45" w:after="45"/>
    </w:pPr>
    <w:rPr>
      <w:rFonts w:ascii="Calibri" w:eastAsia="Times New Roman" w:hAnsi="Calibri" w:cs="Times New Roman"/>
      <w:color w:val="424242"/>
      <w:lang w:val="en-GB" w:eastAsia="en-GB"/>
    </w:rPr>
    <w:tblPr>
      <w:tblInd w:w="113" w:type="dxa"/>
      <w:tblBorders>
        <w:top w:val="single" w:sz="8" w:space="0" w:color="059AC4"/>
        <w:left w:val="single" w:sz="8" w:space="0" w:color="059AC4"/>
        <w:bottom w:val="single" w:sz="8" w:space="0" w:color="059AC4"/>
        <w:right w:val="single" w:sz="8" w:space="0" w:color="059AC4"/>
        <w:insideH w:val="single" w:sz="8" w:space="0" w:color="059AC4"/>
        <w:insideV w:val="single" w:sz="8" w:space="0" w:color="059AC4"/>
      </w:tblBorders>
    </w:tblPr>
    <w:trPr>
      <w:cantSplit/>
    </w:trPr>
    <w:tcPr>
      <w:shd w:val="clear" w:color="auto" w:fill="auto"/>
    </w:tcPr>
    <w:tblStylePr w:type="firstRow">
      <w:pPr>
        <w:wordWrap/>
        <w:spacing w:beforeLines="0" w:before="0" w:beforeAutospacing="0" w:afterLines="0" w:after="0" w:afterAutospacing="0" w:line="240" w:lineRule="auto"/>
      </w:pPr>
      <w:rPr>
        <w:b/>
        <w:color w:val="FFFFFF"/>
      </w:rPr>
      <w:tblPr/>
      <w:trPr>
        <w:tblHeader/>
      </w:trPr>
      <w:tcPr>
        <w:shd w:val="clear" w:color="auto" w:fill="60BED1"/>
      </w:tcPr>
    </w:tblStylePr>
  </w:style>
  <w:style w:type="table" w:customStyle="1" w:styleId="TableGrid413">
    <w:name w:val="Table Grid413"/>
    <w:basedOn w:val="TableNormal"/>
    <w:next w:val="TableGrid"/>
    <w:rsid w:val="002A62C0"/>
    <w:pPr>
      <w:spacing w:before="0" w:after="0"/>
    </w:pPr>
    <w:rPr>
      <w:rFonts w:ascii="Calibri" w:eastAsia="Calibri" w:hAnsi="Calibri" w:cs="Times New Roman"/>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ll">
    <w:name w:val="Table Cell"/>
    <w:basedOn w:val="Normal"/>
    <w:link w:val="TableCellChar"/>
    <w:rsid w:val="000D5389"/>
    <w:pPr>
      <w:keepLines/>
      <w:spacing w:before="45" w:after="45"/>
    </w:pPr>
    <w:rPr>
      <w:rFonts w:ascii="Calibri" w:eastAsia="Times New Roman" w:hAnsi="Calibri" w:cs="Times New Roman"/>
      <w:sz w:val="20"/>
      <w:szCs w:val="22"/>
    </w:rPr>
  </w:style>
  <w:style w:type="character" w:customStyle="1" w:styleId="TableCellChar">
    <w:name w:val="Table Cell Char"/>
    <w:basedOn w:val="DefaultParagraphFont"/>
    <w:link w:val="TableCell"/>
    <w:rsid w:val="000D5389"/>
    <w:rPr>
      <w:rFonts w:ascii="Calibri" w:eastAsia="Times New Roman" w:hAnsi="Calibri" w:cs="Times New Roman"/>
      <w:szCs w:val="22"/>
      <w:lang w:val="en-AU"/>
    </w:rPr>
  </w:style>
  <w:style w:type="paragraph" w:customStyle="1" w:styleId="Text">
    <w:name w:val="Text"/>
    <w:basedOn w:val="Normal"/>
    <w:link w:val="TextChar"/>
    <w:rsid w:val="00BC28F1"/>
    <w:pPr>
      <w:keepLines/>
      <w:spacing w:before="240" w:after="0"/>
      <w:jc w:val="both"/>
    </w:pPr>
    <w:rPr>
      <w:rFonts w:ascii="Calibri" w:eastAsia="Times New Roman" w:hAnsi="Calibri" w:cs="Times New Roman"/>
      <w:szCs w:val="22"/>
    </w:rPr>
  </w:style>
  <w:style w:type="character" w:customStyle="1" w:styleId="TextChar">
    <w:name w:val="Text Char"/>
    <w:basedOn w:val="DefaultParagraphFont"/>
    <w:link w:val="Text"/>
    <w:rsid w:val="00BC28F1"/>
    <w:rPr>
      <w:rFonts w:ascii="Calibri" w:eastAsia="Times New Roman" w:hAnsi="Calibri" w:cs="Times New Roman"/>
      <w:sz w:val="22"/>
      <w:szCs w:val="22"/>
      <w:lang w:val="en-AU"/>
    </w:rPr>
  </w:style>
  <w:style w:type="paragraph" w:customStyle="1" w:styleId="TableHead">
    <w:name w:val="Table Head"/>
    <w:basedOn w:val="Normal"/>
    <w:link w:val="TableHeadChar"/>
    <w:rsid w:val="00085E14"/>
    <w:pPr>
      <w:keepNext/>
      <w:keepLines/>
      <w:tabs>
        <w:tab w:val="left" w:pos="851"/>
      </w:tabs>
      <w:spacing w:before="45" w:after="45"/>
    </w:pPr>
    <w:rPr>
      <w:rFonts w:ascii="Calibri" w:eastAsia="Times New Roman" w:hAnsi="Calibri" w:cs="Times New Roman"/>
      <w:b/>
      <w:color w:val="FFFFFF" w:themeColor="background1"/>
      <w:sz w:val="20"/>
      <w:szCs w:val="18"/>
    </w:rPr>
  </w:style>
  <w:style w:type="character" w:customStyle="1" w:styleId="TableHeadChar">
    <w:name w:val="Table Head Char"/>
    <w:basedOn w:val="DefaultParagraphFont"/>
    <w:link w:val="TableHead"/>
    <w:rsid w:val="00085E14"/>
    <w:rPr>
      <w:rFonts w:ascii="Calibri" w:eastAsia="Times New Roman" w:hAnsi="Calibri" w:cs="Times New Roman"/>
      <w:b/>
      <w:color w:val="FFFFFF" w:themeColor="background1"/>
      <w:szCs w:val="18"/>
      <w:lang w:val="en-AU"/>
    </w:rPr>
  </w:style>
  <w:style w:type="paragraph" w:styleId="ListParagraph">
    <w:name w:val="List Paragraph"/>
    <w:aliases w:val="#List Paragraph,List Paragraph1,List Paragraph11,Recommendation"/>
    <w:basedOn w:val="Normal"/>
    <w:link w:val="ListParagraphChar"/>
    <w:qFormat/>
    <w:rsid w:val="00FF418C"/>
    <w:pPr>
      <w:ind w:left="720"/>
      <w:contextualSpacing/>
    </w:pPr>
  </w:style>
  <w:style w:type="character" w:customStyle="1" w:styleId="ListParagraphChar">
    <w:name w:val="List Paragraph Char"/>
    <w:aliases w:val="#List Paragraph Char,List Paragraph1 Char,List Paragraph11 Char,Recommendation Char"/>
    <w:link w:val="ListParagraph"/>
    <w:uiPriority w:val="34"/>
    <w:rsid w:val="00077677"/>
    <w:rPr>
      <w:rFonts w:ascii="Arial" w:hAnsi="Arial"/>
      <w:sz w:val="22"/>
      <w:lang w:val="en-AU"/>
    </w:rPr>
  </w:style>
  <w:style w:type="character" w:customStyle="1" w:styleId="HeaderRightChar">
    <w:name w:val="Header (Right) Char"/>
    <w:basedOn w:val="DefaultParagraphFont"/>
    <w:link w:val="HeaderRight"/>
    <w:rsid w:val="00410DF3"/>
    <w:rPr>
      <w:rFonts w:ascii="Arial" w:eastAsia="Times New Roman" w:hAnsi="Arial" w:cs="Times New Roman"/>
      <w:bCs/>
      <w:noProof/>
      <w:sz w:val="18"/>
      <w:szCs w:val="22"/>
      <w:lang w:val="en-AU"/>
    </w:rPr>
  </w:style>
  <w:style w:type="character" w:customStyle="1" w:styleId="normaltextrun">
    <w:name w:val="normaltextrun"/>
    <w:basedOn w:val="DefaultParagraphFont"/>
    <w:rsid w:val="00410DF3"/>
  </w:style>
  <w:style w:type="character" w:customStyle="1" w:styleId="eop">
    <w:name w:val="eop"/>
    <w:basedOn w:val="DefaultParagraphFont"/>
    <w:rsid w:val="00410DF3"/>
  </w:style>
  <w:style w:type="paragraph" w:styleId="NoSpacing">
    <w:name w:val="No Spacing"/>
    <w:uiPriority w:val="1"/>
    <w:qFormat/>
    <w:rsid w:val="00410DF3"/>
    <w:pPr>
      <w:spacing w:before="0" w:after="0"/>
    </w:pPr>
    <w:rPr>
      <w:rFonts w:ascii="Arial" w:hAnsi="Arial"/>
      <w:sz w:val="22"/>
      <w:lang w:val="en-AU"/>
    </w:rPr>
  </w:style>
  <w:style w:type="character" w:styleId="Strong">
    <w:name w:val="Strong"/>
    <w:basedOn w:val="DefaultParagraphFont"/>
    <w:uiPriority w:val="22"/>
    <w:qFormat/>
    <w:rsid w:val="00410DF3"/>
    <w:rPr>
      <w:b/>
      <w:bCs/>
    </w:rPr>
  </w:style>
  <w:style w:type="paragraph" w:styleId="Title">
    <w:name w:val="Title"/>
    <w:basedOn w:val="Normal"/>
    <w:next w:val="Normal"/>
    <w:link w:val="TitleChar"/>
    <w:uiPriority w:val="10"/>
    <w:qFormat/>
    <w:rsid w:val="00515309"/>
    <w:pPr>
      <w:spacing w:before="0"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15309"/>
    <w:rPr>
      <w:rFonts w:asciiTheme="majorHAnsi" w:eastAsiaTheme="majorEastAsia" w:hAnsiTheme="majorHAnsi" w:cstheme="majorBidi"/>
      <w:spacing w:val="-10"/>
      <w:kern w:val="28"/>
      <w:sz w:val="56"/>
      <w:szCs w:val="56"/>
      <w:lang w:val="en-AU"/>
      <w14:ligatures w14:val="standardContextual"/>
    </w:rPr>
  </w:style>
  <w:style w:type="paragraph" w:customStyle="1" w:styleId="Headersecondpage">
    <w:name w:val="Header second page"/>
    <w:basedOn w:val="BodyText"/>
    <w:rsid w:val="00515309"/>
    <w:pPr>
      <w:spacing w:before="0" w:after="40"/>
      <w:contextualSpacing/>
    </w:pPr>
    <w:rPr>
      <w:rFonts w:eastAsia="Times New Roman" w:cs="Times New Roman"/>
      <w:noProof/>
      <w:sz w:val="18"/>
      <w:szCs w:val="24"/>
      <w:lang w:eastAsia="en-GB"/>
    </w:rPr>
  </w:style>
  <w:style w:type="table" w:customStyle="1" w:styleId="TableGridLight1">
    <w:name w:val="Table Grid Light1"/>
    <w:basedOn w:val="TableNormal"/>
    <w:next w:val="TableGridLight"/>
    <w:uiPriority w:val="40"/>
    <w:rsid w:val="00515309"/>
    <w:pPr>
      <w:spacing w:after="0"/>
    </w:pPr>
    <w:rPr>
      <w:rFonts w:ascii="Times New Roman" w:eastAsia="Times New Roman" w:hAnsi="Times New Roman"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HeaderProjectNo">
    <w:name w:val="Header Project No"/>
    <w:basedOn w:val="Headersecondpage"/>
    <w:rsid w:val="00515309"/>
    <w:pPr>
      <w:jc w:val="right"/>
    </w:pPr>
  </w:style>
  <w:style w:type="paragraph" w:customStyle="1" w:styleId="HeaderLogo">
    <w:name w:val="Header Logo"/>
    <w:basedOn w:val="Headersecondpage"/>
    <w:rsid w:val="00515309"/>
    <w:pPr>
      <w:spacing w:after="60"/>
      <w:jc w:val="right"/>
    </w:pPr>
    <w:rPr>
      <w:rFonts w:ascii="Times New Roman" w:hAnsi="Times New Roman"/>
    </w:rPr>
  </w:style>
  <w:style w:type="table" w:customStyle="1" w:styleId="TableGrid41">
    <w:name w:val="Table Grid41"/>
    <w:basedOn w:val="TableNormal"/>
    <w:next w:val="TableGrid"/>
    <w:rsid w:val="00C47666"/>
    <w:pPr>
      <w:spacing w:before="0" w:after="0"/>
    </w:pPr>
    <w:rPr>
      <w:rFonts w:asciiTheme="minorHAnsi" w:eastAsia="Calibri" w:hAnsiTheme="minorHAnsi" w:cs="Times New Roman"/>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C62AD0"/>
    <w:pPr>
      <w:numPr>
        <w:ilvl w:val="1"/>
      </w:numPr>
      <w:spacing w:before="0" w:after="200" w:line="276" w:lineRule="auto"/>
    </w:pPr>
    <w:rPr>
      <w:rFonts w:asciiTheme="majorHAnsi" w:eastAsiaTheme="majorEastAsia" w:hAnsiTheme="majorHAnsi" w:cstheme="majorBidi"/>
      <w:i/>
      <w:iCs/>
      <w:color w:val="3C533C" w:themeColor="accent1"/>
      <w:spacing w:val="15"/>
      <w:sz w:val="24"/>
      <w:szCs w:val="24"/>
      <w:lang w:val="en-US"/>
    </w:rPr>
  </w:style>
  <w:style w:type="character" w:customStyle="1" w:styleId="SubtitleChar">
    <w:name w:val="Subtitle Char"/>
    <w:basedOn w:val="DefaultParagraphFont"/>
    <w:link w:val="Subtitle"/>
    <w:uiPriority w:val="11"/>
    <w:rsid w:val="00C62AD0"/>
    <w:rPr>
      <w:rFonts w:asciiTheme="majorHAnsi" w:eastAsiaTheme="majorEastAsia" w:hAnsiTheme="majorHAnsi" w:cstheme="majorBidi"/>
      <w:i/>
      <w:iCs/>
      <w:color w:val="3C533C" w:themeColor="accent1"/>
      <w:spacing w:val="15"/>
      <w:sz w:val="24"/>
      <w:szCs w:val="24"/>
    </w:rPr>
  </w:style>
  <w:style w:type="paragraph" w:styleId="Quote">
    <w:name w:val="Quote"/>
    <w:basedOn w:val="Normal"/>
    <w:next w:val="Normal"/>
    <w:link w:val="QuoteChar"/>
    <w:uiPriority w:val="29"/>
    <w:qFormat/>
    <w:rsid w:val="00C62AD0"/>
    <w:pPr>
      <w:spacing w:before="0" w:after="200" w:line="276" w:lineRule="auto"/>
    </w:pPr>
    <w:rPr>
      <w:rFonts w:eastAsia="Arial"/>
      <w:i/>
      <w:iCs/>
      <w:color w:val="1E1E1E" w:themeColor="text1"/>
      <w:sz w:val="14"/>
      <w:szCs w:val="22"/>
      <w:lang w:val="en-US"/>
    </w:rPr>
  </w:style>
  <w:style w:type="character" w:customStyle="1" w:styleId="QuoteChar">
    <w:name w:val="Quote Char"/>
    <w:basedOn w:val="DefaultParagraphFont"/>
    <w:link w:val="Quote"/>
    <w:uiPriority w:val="29"/>
    <w:rsid w:val="00C62AD0"/>
    <w:rPr>
      <w:rFonts w:ascii="Arial" w:eastAsia="Arial" w:hAnsi="Arial"/>
      <w:i/>
      <w:iCs/>
      <w:color w:val="1E1E1E" w:themeColor="text1"/>
      <w:sz w:val="14"/>
      <w:szCs w:val="22"/>
    </w:rPr>
  </w:style>
  <w:style w:type="character" w:styleId="Emphasis">
    <w:name w:val="Emphasis"/>
    <w:basedOn w:val="DefaultParagraphFont"/>
    <w:uiPriority w:val="20"/>
    <w:qFormat/>
    <w:rsid w:val="00C62AD0"/>
    <w:rPr>
      <w:i/>
      <w:iCs/>
    </w:rPr>
  </w:style>
  <w:style w:type="paragraph" w:styleId="IntenseQuote">
    <w:name w:val="Intense Quote"/>
    <w:basedOn w:val="Normal"/>
    <w:next w:val="Normal"/>
    <w:link w:val="IntenseQuoteChar"/>
    <w:uiPriority w:val="30"/>
    <w:qFormat/>
    <w:rsid w:val="00C62AD0"/>
    <w:pPr>
      <w:pBdr>
        <w:bottom w:val="single" w:sz="4" w:space="4" w:color="3C533C" w:themeColor="accent1"/>
      </w:pBdr>
      <w:spacing w:before="200" w:after="280" w:line="276" w:lineRule="auto"/>
      <w:ind w:left="936" w:right="936"/>
    </w:pPr>
    <w:rPr>
      <w:rFonts w:eastAsia="Arial"/>
      <w:b/>
      <w:bCs/>
      <w:i/>
      <w:iCs/>
      <w:color w:val="3C533C" w:themeColor="accent1"/>
      <w:sz w:val="14"/>
      <w:szCs w:val="22"/>
      <w:lang w:val="en-US"/>
    </w:rPr>
  </w:style>
  <w:style w:type="character" w:customStyle="1" w:styleId="IntenseQuoteChar">
    <w:name w:val="Intense Quote Char"/>
    <w:basedOn w:val="DefaultParagraphFont"/>
    <w:link w:val="IntenseQuote"/>
    <w:uiPriority w:val="30"/>
    <w:rsid w:val="00C62AD0"/>
    <w:rPr>
      <w:rFonts w:ascii="Arial" w:eastAsia="Arial" w:hAnsi="Arial"/>
      <w:b/>
      <w:bCs/>
      <w:i/>
      <w:iCs/>
      <w:color w:val="3C533C" w:themeColor="accent1"/>
      <w:sz w:val="14"/>
      <w:szCs w:val="22"/>
    </w:rPr>
  </w:style>
  <w:style w:type="character" w:styleId="SubtleEmphasis">
    <w:name w:val="Subtle Emphasis"/>
    <w:basedOn w:val="DefaultParagraphFont"/>
    <w:uiPriority w:val="19"/>
    <w:qFormat/>
    <w:rsid w:val="00C62AD0"/>
    <w:rPr>
      <w:i/>
      <w:iCs/>
      <w:color w:val="8E8E8E" w:themeColor="text1" w:themeTint="7F"/>
    </w:rPr>
  </w:style>
  <w:style w:type="character" w:styleId="IntenseEmphasis">
    <w:name w:val="Intense Emphasis"/>
    <w:basedOn w:val="DefaultParagraphFont"/>
    <w:uiPriority w:val="21"/>
    <w:qFormat/>
    <w:rsid w:val="00C62AD0"/>
    <w:rPr>
      <w:b/>
      <w:bCs/>
      <w:i/>
      <w:iCs/>
      <w:color w:val="3C533C" w:themeColor="accent1"/>
    </w:rPr>
  </w:style>
  <w:style w:type="character" w:styleId="SubtleReference">
    <w:name w:val="Subtle Reference"/>
    <w:basedOn w:val="DefaultParagraphFont"/>
    <w:uiPriority w:val="31"/>
    <w:qFormat/>
    <w:rsid w:val="00C62AD0"/>
    <w:rPr>
      <w:smallCaps/>
      <w:color w:val="A9C272" w:themeColor="accent2"/>
      <w:u w:val="single"/>
    </w:rPr>
  </w:style>
  <w:style w:type="character" w:styleId="IntenseReference">
    <w:name w:val="Intense Reference"/>
    <w:basedOn w:val="DefaultParagraphFont"/>
    <w:uiPriority w:val="32"/>
    <w:qFormat/>
    <w:rsid w:val="00C62AD0"/>
    <w:rPr>
      <w:b/>
      <w:bCs/>
      <w:smallCaps/>
      <w:color w:val="A9C272" w:themeColor="accent2"/>
      <w:spacing w:val="5"/>
      <w:u w:val="single"/>
    </w:rPr>
  </w:style>
  <w:style w:type="character" w:styleId="BookTitle">
    <w:name w:val="Book Title"/>
    <w:basedOn w:val="DefaultParagraphFont"/>
    <w:uiPriority w:val="33"/>
    <w:qFormat/>
    <w:rsid w:val="00C62AD0"/>
    <w:rPr>
      <w:b/>
      <w:bCs/>
      <w:smallCaps/>
      <w:spacing w:val="5"/>
    </w:rPr>
  </w:style>
  <w:style w:type="table" w:styleId="LightShading">
    <w:name w:val="Light Shading"/>
    <w:basedOn w:val="TableNormal"/>
    <w:uiPriority w:val="60"/>
    <w:rsid w:val="00C62AD0"/>
    <w:pPr>
      <w:spacing w:before="0" w:after="0"/>
    </w:pPr>
    <w:rPr>
      <w:rFonts w:asciiTheme="minorHAnsi" w:eastAsiaTheme="minorEastAsia" w:hAnsiTheme="minorHAnsi"/>
      <w:color w:val="161616" w:themeColor="text1" w:themeShade="BF"/>
      <w:sz w:val="22"/>
      <w:szCs w:val="22"/>
    </w:rPr>
    <w:tblPr>
      <w:tblStyleRowBandSize w:val="1"/>
      <w:tblStyleColBandSize w:val="1"/>
      <w:tblBorders>
        <w:top w:val="single" w:sz="8" w:space="0" w:color="1E1E1E" w:themeColor="text1"/>
        <w:bottom w:val="single" w:sz="8" w:space="0" w:color="1E1E1E" w:themeColor="text1"/>
      </w:tblBorders>
    </w:tblPr>
    <w:tblStylePr w:type="firstRow">
      <w:pPr>
        <w:spacing w:before="0" w:after="0" w:line="240" w:lineRule="auto"/>
      </w:pPr>
      <w:rPr>
        <w:b/>
        <w:bCs/>
      </w:rPr>
      <w:tblPr/>
      <w:tcPr>
        <w:tcBorders>
          <w:top w:val="single" w:sz="8" w:space="0" w:color="1E1E1E" w:themeColor="text1"/>
          <w:left w:val="nil"/>
          <w:bottom w:val="single" w:sz="8" w:space="0" w:color="1E1E1E" w:themeColor="text1"/>
          <w:right w:val="nil"/>
          <w:insideH w:val="nil"/>
          <w:insideV w:val="nil"/>
        </w:tcBorders>
      </w:tcPr>
    </w:tblStylePr>
    <w:tblStylePr w:type="lastRow">
      <w:pPr>
        <w:spacing w:before="0" w:after="0" w:line="240" w:lineRule="auto"/>
      </w:pPr>
      <w:rPr>
        <w:b/>
        <w:bCs/>
      </w:rPr>
      <w:tblPr/>
      <w:tcPr>
        <w:tcBorders>
          <w:top w:val="single" w:sz="8" w:space="0" w:color="1E1E1E" w:themeColor="text1"/>
          <w:left w:val="nil"/>
          <w:bottom w:val="single" w:sz="8" w:space="0" w:color="1E1E1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C7C7" w:themeFill="text1" w:themeFillTint="3F"/>
      </w:tcPr>
    </w:tblStylePr>
    <w:tblStylePr w:type="band1Horz">
      <w:tblPr/>
      <w:tcPr>
        <w:tcBorders>
          <w:left w:val="nil"/>
          <w:right w:val="nil"/>
          <w:insideH w:val="nil"/>
          <w:insideV w:val="nil"/>
        </w:tcBorders>
        <w:shd w:val="clear" w:color="auto" w:fill="C7C7C7" w:themeFill="text1" w:themeFillTint="3F"/>
      </w:tcPr>
    </w:tblStylePr>
  </w:style>
  <w:style w:type="table" w:styleId="LightShading-Accent1">
    <w:name w:val="Light Shading Accent 1"/>
    <w:basedOn w:val="TableNormal"/>
    <w:uiPriority w:val="60"/>
    <w:rsid w:val="00C62AD0"/>
    <w:pPr>
      <w:spacing w:before="0" w:after="0"/>
    </w:pPr>
    <w:rPr>
      <w:rFonts w:asciiTheme="minorHAnsi" w:eastAsiaTheme="minorEastAsia" w:hAnsiTheme="minorHAnsi"/>
      <w:color w:val="2D3E2D" w:themeColor="accent1" w:themeShade="BF"/>
      <w:sz w:val="22"/>
      <w:szCs w:val="22"/>
    </w:rPr>
    <w:tblPr>
      <w:tblStyleRowBandSize w:val="1"/>
      <w:tblStyleColBandSize w:val="1"/>
      <w:tblBorders>
        <w:top w:val="single" w:sz="8" w:space="0" w:color="3C533C" w:themeColor="accent1"/>
        <w:bottom w:val="single" w:sz="8" w:space="0" w:color="3C533C" w:themeColor="accent1"/>
      </w:tblBorders>
    </w:tblPr>
    <w:tblStylePr w:type="firstRow">
      <w:pPr>
        <w:spacing w:before="0" w:after="0" w:line="240" w:lineRule="auto"/>
      </w:pPr>
      <w:rPr>
        <w:b/>
        <w:bCs/>
      </w:rPr>
      <w:tblPr/>
      <w:tcPr>
        <w:tcBorders>
          <w:top w:val="single" w:sz="8" w:space="0" w:color="3C533C" w:themeColor="accent1"/>
          <w:left w:val="nil"/>
          <w:bottom w:val="single" w:sz="8" w:space="0" w:color="3C533C" w:themeColor="accent1"/>
          <w:right w:val="nil"/>
          <w:insideH w:val="nil"/>
          <w:insideV w:val="nil"/>
        </w:tcBorders>
      </w:tcPr>
    </w:tblStylePr>
    <w:tblStylePr w:type="lastRow">
      <w:pPr>
        <w:spacing w:before="0" w:after="0" w:line="240" w:lineRule="auto"/>
      </w:pPr>
      <w:rPr>
        <w:b/>
        <w:bCs/>
      </w:rPr>
      <w:tblPr/>
      <w:tcPr>
        <w:tcBorders>
          <w:top w:val="single" w:sz="8" w:space="0" w:color="3C533C" w:themeColor="accent1"/>
          <w:left w:val="nil"/>
          <w:bottom w:val="single" w:sz="8" w:space="0" w:color="3C533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8CA" w:themeFill="accent1" w:themeFillTint="3F"/>
      </w:tcPr>
    </w:tblStylePr>
    <w:tblStylePr w:type="band1Horz">
      <w:tblPr/>
      <w:tcPr>
        <w:tcBorders>
          <w:left w:val="nil"/>
          <w:right w:val="nil"/>
          <w:insideH w:val="nil"/>
          <w:insideV w:val="nil"/>
        </w:tcBorders>
        <w:shd w:val="clear" w:color="auto" w:fill="CAD8CA" w:themeFill="accent1" w:themeFillTint="3F"/>
      </w:tcPr>
    </w:tblStylePr>
  </w:style>
  <w:style w:type="table" w:styleId="LightShading-Accent2">
    <w:name w:val="Light Shading Accent 2"/>
    <w:basedOn w:val="TableNormal"/>
    <w:uiPriority w:val="60"/>
    <w:rsid w:val="00C62AD0"/>
    <w:pPr>
      <w:spacing w:before="0" w:after="0"/>
    </w:pPr>
    <w:rPr>
      <w:rFonts w:asciiTheme="minorHAnsi" w:eastAsiaTheme="minorEastAsia" w:hAnsiTheme="minorHAnsi"/>
      <w:color w:val="84A045" w:themeColor="accent2" w:themeShade="BF"/>
      <w:sz w:val="22"/>
      <w:szCs w:val="22"/>
    </w:rPr>
    <w:tblPr>
      <w:tblStyleRowBandSize w:val="1"/>
      <w:tblStyleColBandSize w:val="1"/>
      <w:tblBorders>
        <w:top w:val="single" w:sz="8" w:space="0" w:color="A9C272" w:themeColor="accent2"/>
        <w:bottom w:val="single" w:sz="8" w:space="0" w:color="A9C272" w:themeColor="accent2"/>
      </w:tblBorders>
    </w:tblPr>
    <w:tblStylePr w:type="firstRow">
      <w:pPr>
        <w:spacing w:before="0" w:after="0" w:line="240" w:lineRule="auto"/>
      </w:pPr>
      <w:rPr>
        <w:b/>
        <w:bCs/>
      </w:rPr>
      <w:tblPr/>
      <w:tcPr>
        <w:tcBorders>
          <w:top w:val="single" w:sz="8" w:space="0" w:color="A9C272" w:themeColor="accent2"/>
          <w:left w:val="nil"/>
          <w:bottom w:val="single" w:sz="8" w:space="0" w:color="A9C272" w:themeColor="accent2"/>
          <w:right w:val="nil"/>
          <w:insideH w:val="nil"/>
          <w:insideV w:val="nil"/>
        </w:tcBorders>
      </w:tcPr>
    </w:tblStylePr>
    <w:tblStylePr w:type="lastRow">
      <w:pPr>
        <w:spacing w:before="0" w:after="0" w:line="240" w:lineRule="auto"/>
      </w:pPr>
      <w:rPr>
        <w:b/>
        <w:bCs/>
      </w:rPr>
      <w:tblPr/>
      <w:tcPr>
        <w:tcBorders>
          <w:top w:val="single" w:sz="8" w:space="0" w:color="A9C272" w:themeColor="accent2"/>
          <w:left w:val="nil"/>
          <w:bottom w:val="single" w:sz="8" w:space="0" w:color="A9C27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0DC" w:themeFill="accent2" w:themeFillTint="3F"/>
      </w:tcPr>
    </w:tblStylePr>
    <w:tblStylePr w:type="band1Horz">
      <w:tblPr/>
      <w:tcPr>
        <w:tcBorders>
          <w:left w:val="nil"/>
          <w:right w:val="nil"/>
          <w:insideH w:val="nil"/>
          <w:insideV w:val="nil"/>
        </w:tcBorders>
        <w:shd w:val="clear" w:color="auto" w:fill="E9F0DC" w:themeFill="accent2" w:themeFillTint="3F"/>
      </w:tcPr>
    </w:tblStylePr>
  </w:style>
  <w:style w:type="table" w:styleId="LightShading-Accent3">
    <w:name w:val="Light Shading Accent 3"/>
    <w:basedOn w:val="TableNormal"/>
    <w:uiPriority w:val="60"/>
    <w:rsid w:val="00C62AD0"/>
    <w:pPr>
      <w:spacing w:before="0" w:after="0"/>
    </w:pPr>
    <w:rPr>
      <w:rFonts w:asciiTheme="minorHAnsi" w:eastAsiaTheme="minorEastAsia" w:hAnsiTheme="minorHAnsi"/>
      <w:color w:val="4C5733" w:themeColor="accent3" w:themeShade="BF"/>
      <w:sz w:val="22"/>
      <w:szCs w:val="22"/>
    </w:rPr>
    <w:tblPr>
      <w:tblStyleRowBandSize w:val="1"/>
      <w:tblStyleColBandSize w:val="1"/>
      <w:tblBorders>
        <w:top w:val="single" w:sz="8" w:space="0" w:color="667545" w:themeColor="accent3"/>
        <w:bottom w:val="single" w:sz="8" w:space="0" w:color="667545" w:themeColor="accent3"/>
      </w:tblBorders>
    </w:tblPr>
    <w:tblStylePr w:type="firstRow">
      <w:pPr>
        <w:spacing w:before="0" w:after="0" w:line="240" w:lineRule="auto"/>
      </w:pPr>
      <w:rPr>
        <w:b/>
        <w:bCs/>
      </w:rPr>
      <w:tblPr/>
      <w:tcPr>
        <w:tcBorders>
          <w:top w:val="single" w:sz="8" w:space="0" w:color="667545" w:themeColor="accent3"/>
          <w:left w:val="nil"/>
          <w:bottom w:val="single" w:sz="8" w:space="0" w:color="667545" w:themeColor="accent3"/>
          <w:right w:val="nil"/>
          <w:insideH w:val="nil"/>
          <w:insideV w:val="nil"/>
        </w:tcBorders>
      </w:tcPr>
    </w:tblStylePr>
    <w:tblStylePr w:type="lastRow">
      <w:pPr>
        <w:spacing w:before="0" w:after="0" w:line="240" w:lineRule="auto"/>
      </w:pPr>
      <w:rPr>
        <w:b/>
        <w:bCs/>
      </w:rPr>
      <w:tblPr/>
      <w:tcPr>
        <w:tcBorders>
          <w:top w:val="single" w:sz="8" w:space="0" w:color="667545" w:themeColor="accent3"/>
          <w:left w:val="nil"/>
          <w:bottom w:val="single" w:sz="8" w:space="0" w:color="66754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1CC" w:themeFill="accent3" w:themeFillTint="3F"/>
      </w:tcPr>
    </w:tblStylePr>
    <w:tblStylePr w:type="band1Horz">
      <w:tblPr/>
      <w:tcPr>
        <w:tcBorders>
          <w:left w:val="nil"/>
          <w:right w:val="nil"/>
          <w:insideH w:val="nil"/>
          <w:insideV w:val="nil"/>
        </w:tcBorders>
        <w:shd w:val="clear" w:color="auto" w:fill="DAE1CC" w:themeFill="accent3" w:themeFillTint="3F"/>
      </w:tcPr>
    </w:tblStylePr>
  </w:style>
  <w:style w:type="table" w:styleId="LightShading-Accent4">
    <w:name w:val="Light Shading Accent 4"/>
    <w:basedOn w:val="TableNormal"/>
    <w:uiPriority w:val="60"/>
    <w:rsid w:val="00C62AD0"/>
    <w:pPr>
      <w:spacing w:before="0" w:after="0"/>
    </w:pPr>
    <w:rPr>
      <w:rFonts w:asciiTheme="minorHAnsi" w:eastAsiaTheme="minorEastAsia" w:hAnsiTheme="minorHAnsi"/>
      <w:color w:val="1C261C" w:themeColor="accent4" w:themeShade="BF"/>
      <w:sz w:val="22"/>
      <w:szCs w:val="22"/>
    </w:rPr>
    <w:tblPr>
      <w:tblStyleRowBandSize w:val="1"/>
      <w:tblStyleColBandSize w:val="1"/>
      <w:tblBorders>
        <w:top w:val="single" w:sz="8" w:space="0" w:color="263326" w:themeColor="accent4"/>
        <w:bottom w:val="single" w:sz="8" w:space="0" w:color="263326" w:themeColor="accent4"/>
      </w:tblBorders>
    </w:tblPr>
    <w:tblStylePr w:type="firstRow">
      <w:pPr>
        <w:spacing w:before="0" w:after="0" w:line="240" w:lineRule="auto"/>
      </w:pPr>
      <w:rPr>
        <w:b/>
        <w:bCs/>
      </w:rPr>
      <w:tblPr/>
      <w:tcPr>
        <w:tcBorders>
          <w:top w:val="single" w:sz="8" w:space="0" w:color="263326" w:themeColor="accent4"/>
          <w:left w:val="nil"/>
          <w:bottom w:val="single" w:sz="8" w:space="0" w:color="263326" w:themeColor="accent4"/>
          <w:right w:val="nil"/>
          <w:insideH w:val="nil"/>
          <w:insideV w:val="nil"/>
        </w:tcBorders>
      </w:tcPr>
    </w:tblStylePr>
    <w:tblStylePr w:type="lastRow">
      <w:pPr>
        <w:spacing w:before="0" w:after="0" w:line="240" w:lineRule="auto"/>
      </w:pPr>
      <w:rPr>
        <w:b/>
        <w:bCs/>
      </w:rPr>
      <w:tblPr/>
      <w:tcPr>
        <w:tcBorders>
          <w:top w:val="single" w:sz="8" w:space="0" w:color="263326" w:themeColor="accent4"/>
          <w:left w:val="nil"/>
          <w:bottom w:val="single" w:sz="8" w:space="0" w:color="26332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D2C3" w:themeFill="accent4" w:themeFillTint="3F"/>
      </w:tcPr>
    </w:tblStylePr>
    <w:tblStylePr w:type="band1Horz">
      <w:tblPr/>
      <w:tcPr>
        <w:tcBorders>
          <w:left w:val="nil"/>
          <w:right w:val="nil"/>
          <w:insideH w:val="nil"/>
          <w:insideV w:val="nil"/>
        </w:tcBorders>
        <w:shd w:val="clear" w:color="auto" w:fill="C3D2C3" w:themeFill="accent4" w:themeFillTint="3F"/>
      </w:tcPr>
    </w:tblStylePr>
  </w:style>
  <w:style w:type="table" w:styleId="LightShading-Accent5">
    <w:name w:val="Light Shading Accent 5"/>
    <w:basedOn w:val="TableNormal"/>
    <w:uiPriority w:val="60"/>
    <w:rsid w:val="00C62AD0"/>
    <w:pPr>
      <w:spacing w:before="0" w:after="0"/>
    </w:pPr>
    <w:rPr>
      <w:rFonts w:asciiTheme="minorHAnsi" w:eastAsiaTheme="minorEastAsia" w:hAnsiTheme="minorHAnsi"/>
      <w:color w:val="B3EC37" w:themeColor="accent5" w:themeShade="BF"/>
      <w:sz w:val="22"/>
      <w:szCs w:val="22"/>
    </w:rPr>
    <w:tblPr>
      <w:tblStyleRowBandSize w:val="1"/>
      <w:tblStyleColBandSize w:val="1"/>
      <w:tblBorders>
        <w:top w:val="single" w:sz="8" w:space="0" w:color="D6F591" w:themeColor="accent5"/>
        <w:bottom w:val="single" w:sz="8" w:space="0" w:color="D6F591" w:themeColor="accent5"/>
      </w:tblBorders>
    </w:tblPr>
    <w:tblStylePr w:type="firstRow">
      <w:pPr>
        <w:spacing w:before="0" w:after="0" w:line="240" w:lineRule="auto"/>
      </w:pPr>
      <w:rPr>
        <w:b/>
        <w:bCs/>
      </w:rPr>
      <w:tblPr/>
      <w:tcPr>
        <w:tcBorders>
          <w:top w:val="single" w:sz="8" w:space="0" w:color="D6F591" w:themeColor="accent5"/>
          <w:left w:val="nil"/>
          <w:bottom w:val="single" w:sz="8" w:space="0" w:color="D6F591" w:themeColor="accent5"/>
          <w:right w:val="nil"/>
          <w:insideH w:val="nil"/>
          <w:insideV w:val="nil"/>
        </w:tcBorders>
      </w:tcPr>
    </w:tblStylePr>
    <w:tblStylePr w:type="lastRow">
      <w:pPr>
        <w:spacing w:before="0" w:after="0" w:line="240" w:lineRule="auto"/>
      </w:pPr>
      <w:rPr>
        <w:b/>
        <w:bCs/>
      </w:rPr>
      <w:tblPr/>
      <w:tcPr>
        <w:tcBorders>
          <w:top w:val="single" w:sz="8" w:space="0" w:color="D6F591" w:themeColor="accent5"/>
          <w:left w:val="nil"/>
          <w:bottom w:val="single" w:sz="8" w:space="0" w:color="D6F59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CE3" w:themeFill="accent5" w:themeFillTint="3F"/>
      </w:tcPr>
    </w:tblStylePr>
    <w:tblStylePr w:type="band1Horz">
      <w:tblPr/>
      <w:tcPr>
        <w:tcBorders>
          <w:left w:val="nil"/>
          <w:right w:val="nil"/>
          <w:insideH w:val="nil"/>
          <w:insideV w:val="nil"/>
        </w:tcBorders>
        <w:shd w:val="clear" w:color="auto" w:fill="F4FCE3" w:themeFill="accent5" w:themeFillTint="3F"/>
      </w:tcPr>
    </w:tblStylePr>
  </w:style>
  <w:style w:type="table" w:styleId="LightShading-Accent6">
    <w:name w:val="Light Shading Accent 6"/>
    <w:basedOn w:val="TableNormal"/>
    <w:uiPriority w:val="60"/>
    <w:rsid w:val="00C62AD0"/>
    <w:pPr>
      <w:spacing w:before="0" w:after="0"/>
    </w:pPr>
    <w:rPr>
      <w:rFonts w:asciiTheme="minorHAnsi" w:eastAsiaTheme="minorEastAsia" w:hAnsiTheme="minorHAnsi"/>
      <w:color w:val="C0E17B" w:themeColor="accent6" w:themeShade="BF"/>
      <w:sz w:val="22"/>
      <w:szCs w:val="22"/>
    </w:rPr>
    <w:tblPr>
      <w:tblStyleRowBandSize w:val="1"/>
      <w:tblStyleColBandSize w:val="1"/>
      <w:tblBorders>
        <w:top w:val="single" w:sz="8" w:space="0" w:color="EEF7DB" w:themeColor="accent6"/>
        <w:bottom w:val="single" w:sz="8" w:space="0" w:color="EEF7DB" w:themeColor="accent6"/>
      </w:tblBorders>
    </w:tblPr>
    <w:tblStylePr w:type="firstRow">
      <w:pPr>
        <w:spacing w:before="0" w:after="0" w:line="240" w:lineRule="auto"/>
      </w:pPr>
      <w:rPr>
        <w:b/>
        <w:bCs/>
      </w:rPr>
      <w:tblPr/>
      <w:tcPr>
        <w:tcBorders>
          <w:top w:val="single" w:sz="8" w:space="0" w:color="EEF7DB" w:themeColor="accent6"/>
          <w:left w:val="nil"/>
          <w:bottom w:val="single" w:sz="8" w:space="0" w:color="EEF7DB" w:themeColor="accent6"/>
          <w:right w:val="nil"/>
          <w:insideH w:val="nil"/>
          <w:insideV w:val="nil"/>
        </w:tcBorders>
      </w:tcPr>
    </w:tblStylePr>
    <w:tblStylePr w:type="lastRow">
      <w:pPr>
        <w:spacing w:before="0" w:after="0" w:line="240" w:lineRule="auto"/>
      </w:pPr>
      <w:rPr>
        <w:b/>
        <w:bCs/>
      </w:rPr>
      <w:tblPr/>
      <w:tcPr>
        <w:tcBorders>
          <w:top w:val="single" w:sz="8" w:space="0" w:color="EEF7DB" w:themeColor="accent6"/>
          <w:left w:val="nil"/>
          <w:bottom w:val="single" w:sz="8" w:space="0" w:color="EEF7D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DF6" w:themeFill="accent6" w:themeFillTint="3F"/>
      </w:tcPr>
    </w:tblStylePr>
    <w:tblStylePr w:type="band1Horz">
      <w:tblPr/>
      <w:tcPr>
        <w:tcBorders>
          <w:left w:val="nil"/>
          <w:right w:val="nil"/>
          <w:insideH w:val="nil"/>
          <w:insideV w:val="nil"/>
        </w:tcBorders>
        <w:shd w:val="clear" w:color="auto" w:fill="FAFDF6" w:themeFill="accent6" w:themeFillTint="3F"/>
      </w:tcPr>
    </w:tblStylePr>
  </w:style>
  <w:style w:type="table" w:styleId="LightList">
    <w:name w:val="Light List"/>
    <w:basedOn w:val="TableNormal"/>
    <w:uiPriority w:val="61"/>
    <w:rsid w:val="00C62AD0"/>
    <w:pPr>
      <w:spacing w:before="0" w:after="0"/>
    </w:pPr>
    <w:rPr>
      <w:rFonts w:asciiTheme="minorHAnsi" w:eastAsiaTheme="minorEastAsia" w:hAnsiTheme="minorHAnsi"/>
      <w:sz w:val="22"/>
      <w:szCs w:val="22"/>
    </w:rPr>
    <w:tblPr>
      <w:tblStyleRowBandSize w:val="1"/>
      <w:tblStyleColBandSize w:val="1"/>
      <w:tblBorders>
        <w:top w:val="single" w:sz="8" w:space="0" w:color="1E1E1E" w:themeColor="text1"/>
        <w:left w:val="single" w:sz="8" w:space="0" w:color="1E1E1E" w:themeColor="text1"/>
        <w:bottom w:val="single" w:sz="8" w:space="0" w:color="1E1E1E" w:themeColor="text1"/>
        <w:right w:val="single" w:sz="8" w:space="0" w:color="1E1E1E" w:themeColor="text1"/>
      </w:tblBorders>
    </w:tblPr>
    <w:tblStylePr w:type="firstRow">
      <w:pPr>
        <w:spacing w:before="0" w:after="0" w:line="240" w:lineRule="auto"/>
      </w:pPr>
      <w:rPr>
        <w:b/>
        <w:bCs/>
        <w:color w:val="FFFFFF" w:themeColor="background1"/>
      </w:rPr>
      <w:tblPr/>
      <w:tcPr>
        <w:shd w:val="clear" w:color="auto" w:fill="1E1E1E" w:themeFill="text1"/>
      </w:tcPr>
    </w:tblStylePr>
    <w:tblStylePr w:type="lastRow">
      <w:pPr>
        <w:spacing w:before="0" w:after="0" w:line="240" w:lineRule="auto"/>
      </w:pPr>
      <w:rPr>
        <w:b/>
        <w:bCs/>
      </w:rPr>
      <w:tblPr/>
      <w:tcPr>
        <w:tcBorders>
          <w:top w:val="double" w:sz="6" w:space="0" w:color="1E1E1E" w:themeColor="text1"/>
          <w:left w:val="single" w:sz="8" w:space="0" w:color="1E1E1E" w:themeColor="text1"/>
          <w:bottom w:val="single" w:sz="8" w:space="0" w:color="1E1E1E" w:themeColor="text1"/>
          <w:right w:val="single" w:sz="8" w:space="0" w:color="1E1E1E" w:themeColor="text1"/>
        </w:tcBorders>
      </w:tcPr>
    </w:tblStylePr>
    <w:tblStylePr w:type="firstCol">
      <w:rPr>
        <w:b/>
        <w:bCs/>
      </w:rPr>
    </w:tblStylePr>
    <w:tblStylePr w:type="lastCol">
      <w:rPr>
        <w:b/>
        <w:bCs/>
      </w:rPr>
    </w:tblStylePr>
    <w:tblStylePr w:type="band1Vert">
      <w:tblPr/>
      <w:tcPr>
        <w:tcBorders>
          <w:top w:val="single" w:sz="8" w:space="0" w:color="1E1E1E" w:themeColor="text1"/>
          <w:left w:val="single" w:sz="8" w:space="0" w:color="1E1E1E" w:themeColor="text1"/>
          <w:bottom w:val="single" w:sz="8" w:space="0" w:color="1E1E1E" w:themeColor="text1"/>
          <w:right w:val="single" w:sz="8" w:space="0" w:color="1E1E1E" w:themeColor="text1"/>
        </w:tcBorders>
      </w:tcPr>
    </w:tblStylePr>
    <w:tblStylePr w:type="band1Horz">
      <w:tblPr/>
      <w:tcPr>
        <w:tcBorders>
          <w:top w:val="single" w:sz="8" w:space="0" w:color="1E1E1E" w:themeColor="text1"/>
          <w:left w:val="single" w:sz="8" w:space="0" w:color="1E1E1E" w:themeColor="text1"/>
          <w:bottom w:val="single" w:sz="8" w:space="0" w:color="1E1E1E" w:themeColor="text1"/>
          <w:right w:val="single" w:sz="8" w:space="0" w:color="1E1E1E" w:themeColor="text1"/>
        </w:tcBorders>
      </w:tcPr>
    </w:tblStylePr>
  </w:style>
  <w:style w:type="table" w:styleId="LightList-Accent1">
    <w:name w:val="Light List Accent 1"/>
    <w:basedOn w:val="TableNormal"/>
    <w:uiPriority w:val="61"/>
    <w:rsid w:val="00C62AD0"/>
    <w:pPr>
      <w:spacing w:before="0" w:after="0"/>
    </w:pPr>
    <w:rPr>
      <w:rFonts w:asciiTheme="minorHAnsi" w:eastAsiaTheme="minorEastAsia" w:hAnsiTheme="minorHAnsi"/>
      <w:sz w:val="22"/>
      <w:szCs w:val="22"/>
    </w:rPr>
    <w:tblPr>
      <w:tblStyleRowBandSize w:val="1"/>
      <w:tblStyleColBandSize w:val="1"/>
      <w:tblBorders>
        <w:top w:val="single" w:sz="8" w:space="0" w:color="3C533C" w:themeColor="accent1"/>
        <w:left w:val="single" w:sz="8" w:space="0" w:color="3C533C" w:themeColor="accent1"/>
        <w:bottom w:val="single" w:sz="8" w:space="0" w:color="3C533C" w:themeColor="accent1"/>
        <w:right w:val="single" w:sz="8" w:space="0" w:color="3C533C" w:themeColor="accent1"/>
      </w:tblBorders>
    </w:tblPr>
    <w:tblStylePr w:type="firstRow">
      <w:pPr>
        <w:spacing w:before="0" w:after="0" w:line="240" w:lineRule="auto"/>
      </w:pPr>
      <w:rPr>
        <w:b/>
        <w:bCs/>
        <w:color w:val="FFFFFF" w:themeColor="background1"/>
      </w:rPr>
      <w:tblPr/>
      <w:tcPr>
        <w:shd w:val="clear" w:color="auto" w:fill="3C533C" w:themeFill="accent1"/>
      </w:tcPr>
    </w:tblStylePr>
    <w:tblStylePr w:type="lastRow">
      <w:pPr>
        <w:spacing w:before="0" w:after="0" w:line="240" w:lineRule="auto"/>
      </w:pPr>
      <w:rPr>
        <w:b/>
        <w:bCs/>
      </w:rPr>
      <w:tblPr/>
      <w:tcPr>
        <w:tcBorders>
          <w:top w:val="double" w:sz="6" w:space="0" w:color="3C533C" w:themeColor="accent1"/>
          <w:left w:val="single" w:sz="8" w:space="0" w:color="3C533C" w:themeColor="accent1"/>
          <w:bottom w:val="single" w:sz="8" w:space="0" w:color="3C533C" w:themeColor="accent1"/>
          <w:right w:val="single" w:sz="8" w:space="0" w:color="3C533C" w:themeColor="accent1"/>
        </w:tcBorders>
      </w:tcPr>
    </w:tblStylePr>
    <w:tblStylePr w:type="firstCol">
      <w:rPr>
        <w:b/>
        <w:bCs/>
      </w:rPr>
    </w:tblStylePr>
    <w:tblStylePr w:type="lastCol">
      <w:rPr>
        <w:b/>
        <w:bCs/>
      </w:rPr>
    </w:tblStylePr>
    <w:tblStylePr w:type="band1Vert">
      <w:tblPr/>
      <w:tcPr>
        <w:tcBorders>
          <w:top w:val="single" w:sz="8" w:space="0" w:color="3C533C" w:themeColor="accent1"/>
          <w:left w:val="single" w:sz="8" w:space="0" w:color="3C533C" w:themeColor="accent1"/>
          <w:bottom w:val="single" w:sz="8" w:space="0" w:color="3C533C" w:themeColor="accent1"/>
          <w:right w:val="single" w:sz="8" w:space="0" w:color="3C533C" w:themeColor="accent1"/>
        </w:tcBorders>
      </w:tcPr>
    </w:tblStylePr>
    <w:tblStylePr w:type="band1Horz">
      <w:tblPr/>
      <w:tcPr>
        <w:tcBorders>
          <w:top w:val="single" w:sz="8" w:space="0" w:color="3C533C" w:themeColor="accent1"/>
          <w:left w:val="single" w:sz="8" w:space="0" w:color="3C533C" w:themeColor="accent1"/>
          <w:bottom w:val="single" w:sz="8" w:space="0" w:color="3C533C" w:themeColor="accent1"/>
          <w:right w:val="single" w:sz="8" w:space="0" w:color="3C533C" w:themeColor="accent1"/>
        </w:tcBorders>
      </w:tcPr>
    </w:tblStylePr>
  </w:style>
  <w:style w:type="table" w:styleId="LightList-Accent2">
    <w:name w:val="Light List Accent 2"/>
    <w:basedOn w:val="TableNormal"/>
    <w:uiPriority w:val="61"/>
    <w:rsid w:val="00C62AD0"/>
    <w:pPr>
      <w:spacing w:before="0" w:after="0"/>
    </w:pPr>
    <w:rPr>
      <w:rFonts w:asciiTheme="minorHAnsi" w:eastAsiaTheme="minorEastAsia" w:hAnsiTheme="minorHAnsi"/>
      <w:sz w:val="22"/>
      <w:szCs w:val="22"/>
    </w:rPr>
    <w:tblPr>
      <w:tblStyleRowBandSize w:val="1"/>
      <w:tblStyleColBandSize w:val="1"/>
      <w:tblBorders>
        <w:top w:val="single" w:sz="8" w:space="0" w:color="A9C272" w:themeColor="accent2"/>
        <w:left w:val="single" w:sz="8" w:space="0" w:color="A9C272" w:themeColor="accent2"/>
        <w:bottom w:val="single" w:sz="8" w:space="0" w:color="A9C272" w:themeColor="accent2"/>
        <w:right w:val="single" w:sz="8" w:space="0" w:color="A9C272" w:themeColor="accent2"/>
      </w:tblBorders>
    </w:tblPr>
    <w:tblStylePr w:type="firstRow">
      <w:pPr>
        <w:spacing w:before="0" w:after="0" w:line="240" w:lineRule="auto"/>
      </w:pPr>
      <w:rPr>
        <w:b/>
        <w:bCs/>
        <w:color w:val="FFFFFF" w:themeColor="background1"/>
      </w:rPr>
      <w:tblPr/>
      <w:tcPr>
        <w:shd w:val="clear" w:color="auto" w:fill="A9C272" w:themeFill="accent2"/>
      </w:tcPr>
    </w:tblStylePr>
    <w:tblStylePr w:type="lastRow">
      <w:pPr>
        <w:spacing w:before="0" w:after="0" w:line="240" w:lineRule="auto"/>
      </w:pPr>
      <w:rPr>
        <w:b/>
        <w:bCs/>
      </w:rPr>
      <w:tblPr/>
      <w:tcPr>
        <w:tcBorders>
          <w:top w:val="double" w:sz="6" w:space="0" w:color="A9C272" w:themeColor="accent2"/>
          <w:left w:val="single" w:sz="8" w:space="0" w:color="A9C272" w:themeColor="accent2"/>
          <w:bottom w:val="single" w:sz="8" w:space="0" w:color="A9C272" w:themeColor="accent2"/>
          <w:right w:val="single" w:sz="8" w:space="0" w:color="A9C272" w:themeColor="accent2"/>
        </w:tcBorders>
      </w:tcPr>
    </w:tblStylePr>
    <w:tblStylePr w:type="firstCol">
      <w:rPr>
        <w:b/>
        <w:bCs/>
      </w:rPr>
    </w:tblStylePr>
    <w:tblStylePr w:type="lastCol">
      <w:rPr>
        <w:b/>
        <w:bCs/>
      </w:rPr>
    </w:tblStylePr>
    <w:tblStylePr w:type="band1Vert">
      <w:tblPr/>
      <w:tcPr>
        <w:tcBorders>
          <w:top w:val="single" w:sz="8" w:space="0" w:color="A9C272" w:themeColor="accent2"/>
          <w:left w:val="single" w:sz="8" w:space="0" w:color="A9C272" w:themeColor="accent2"/>
          <w:bottom w:val="single" w:sz="8" w:space="0" w:color="A9C272" w:themeColor="accent2"/>
          <w:right w:val="single" w:sz="8" w:space="0" w:color="A9C272" w:themeColor="accent2"/>
        </w:tcBorders>
      </w:tcPr>
    </w:tblStylePr>
    <w:tblStylePr w:type="band1Horz">
      <w:tblPr/>
      <w:tcPr>
        <w:tcBorders>
          <w:top w:val="single" w:sz="8" w:space="0" w:color="A9C272" w:themeColor="accent2"/>
          <w:left w:val="single" w:sz="8" w:space="0" w:color="A9C272" w:themeColor="accent2"/>
          <w:bottom w:val="single" w:sz="8" w:space="0" w:color="A9C272" w:themeColor="accent2"/>
          <w:right w:val="single" w:sz="8" w:space="0" w:color="A9C272" w:themeColor="accent2"/>
        </w:tcBorders>
      </w:tcPr>
    </w:tblStylePr>
  </w:style>
  <w:style w:type="table" w:styleId="LightList-Accent4">
    <w:name w:val="Light List Accent 4"/>
    <w:basedOn w:val="TableNormal"/>
    <w:uiPriority w:val="61"/>
    <w:rsid w:val="00C62AD0"/>
    <w:pPr>
      <w:spacing w:before="0" w:after="0"/>
    </w:pPr>
    <w:rPr>
      <w:rFonts w:asciiTheme="minorHAnsi" w:eastAsiaTheme="minorEastAsia" w:hAnsiTheme="minorHAnsi"/>
      <w:sz w:val="22"/>
      <w:szCs w:val="22"/>
    </w:rPr>
    <w:tblPr>
      <w:tblStyleRowBandSize w:val="1"/>
      <w:tblStyleColBandSize w:val="1"/>
      <w:tblBorders>
        <w:top w:val="single" w:sz="8" w:space="0" w:color="263326" w:themeColor="accent4"/>
        <w:left w:val="single" w:sz="8" w:space="0" w:color="263326" w:themeColor="accent4"/>
        <w:bottom w:val="single" w:sz="8" w:space="0" w:color="263326" w:themeColor="accent4"/>
        <w:right w:val="single" w:sz="8" w:space="0" w:color="263326" w:themeColor="accent4"/>
      </w:tblBorders>
    </w:tblPr>
    <w:tblStylePr w:type="firstRow">
      <w:pPr>
        <w:spacing w:before="0" w:after="0" w:line="240" w:lineRule="auto"/>
      </w:pPr>
      <w:rPr>
        <w:b/>
        <w:bCs/>
        <w:color w:val="FFFFFF" w:themeColor="background1"/>
      </w:rPr>
      <w:tblPr/>
      <w:tcPr>
        <w:shd w:val="clear" w:color="auto" w:fill="263326" w:themeFill="accent4"/>
      </w:tcPr>
    </w:tblStylePr>
    <w:tblStylePr w:type="lastRow">
      <w:pPr>
        <w:spacing w:before="0" w:after="0" w:line="240" w:lineRule="auto"/>
      </w:pPr>
      <w:rPr>
        <w:b/>
        <w:bCs/>
      </w:rPr>
      <w:tblPr/>
      <w:tcPr>
        <w:tcBorders>
          <w:top w:val="double" w:sz="6" w:space="0" w:color="263326" w:themeColor="accent4"/>
          <w:left w:val="single" w:sz="8" w:space="0" w:color="263326" w:themeColor="accent4"/>
          <w:bottom w:val="single" w:sz="8" w:space="0" w:color="263326" w:themeColor="accent4"/>
          <w:right w:val="single" w:sz="8" w:space="0" w:color="263326" w:themeColor="accent4"/>
        </w:tcBorders>
      </w:tcPr>
    </w:tblStylePr>
    <w:tblStylePr w:type="firstCol">
      <w:rPr>
        <w:b/>
        <w:bCs/>
      </w:rPr>
    </w:tblStylePr>
    <w:tblStylePr w:type="lastCol">
      <w:rPr>
        <w:b/>
        <w:bCs/>
      </w:rPr>
    </w:tblStylePr>
    <w:tblStylePr w:type="band1Vert">
      <w:tblPr/>
      <w:tcPr>
        <w:tcBorders>
          <w:top w:val="single" w:sz="8" w:space="0" w:color="263326" w:themeColor="accent4"/>
          <w:left w:val="single" w:sz="8" w:space="0" w:color="263326" w:themeColor="accent4"/>
          <w:bottom w:val="single" w:sz="8" w:space="0" w:color="263326" w:themeColor="accent4"/>
          <w:right w:val="single" w:sz="8" w:space="0" w:color="263326" w:themeColor="accent4"/>
        </w:tcBorders>
      </w:tcPr>
    </w:tblStylePr>
    <w:tblStylePr w:type="band1Horz">
      <w:tblPr/>
      <w:tcPr>
        <w:tcBorders>
          <w:top w:val="single" w:sz="8" w:space="0" w:color="263326" w:themeColor="accent4"/>
          <w:left w:val="single" w:sz="8" w:space="0" w:color="263326" w:themeColor="accent4"/>
          <w:bottom w:val="single" w:sz="8" w:space="0" w:color="263326" w:themeColor="accent4"/>
          <w:right w:val="single" w:sz="8" w:space="0" w:color="263326" w:themeColor="accent4"/>
        </w:tcBorders>
      </w:tcPr>
    </w:tblStylePr>
  </w:style>
  <w:style w:type="table" w:styleId="LightList-Accent5">
    <w:name w:val="Light List Accent 5"/>
    <w:basedOn w:val="TableNormal"/>
    <w:uiPriority w:val="61"/>
    <w:rsid w:val="00C62AD0"/>
    <w:pPr>
      <w:spacing w:before="0" w:after="0"/>
    </w:pPr>
    <w:rPr>
      <w:rFonts w:asciiTheme="minorHAnsi" w:eastAsiaTheme="minorEastAsia" w:hAnsiTheme="minorHAnsi"/>
      <w:sz w:val="22"/>
      <w:szCs w:val="22"/>
    </w:rPr>
    <w:tblPr>
      <w:tblStyleRowBandSize w:val="1"/>
      <w:tblStyleColBandSize w:val="1"/>
      <w:tblBorders>
        <w:top w:val="single" w:sz="8" w:space="0" w:color="D6F591" w:themeColor="accent5"/>
        <w:left w:val="single" w:sz="8" w:space="0" w:color="D6F591" w:themeColor="accent5"/>
        <w:bottom w:val="single" w:sz="8" w:space="0" w:color="D6F591" w:themeColor="accent5"/>
        <w:right w:val="single" w:sz="8" w:space="0" w:color="D6F591" w:themeColor="accent5"/>
      </w:tblBorders>
    </w:tblPr>
    <w:tblStylePr w:type="firstRow">
      <w:pPr>
        <w:spacing w:before="0" w:after="0" w:line="240" w:lineRule="auto"/>
      </w:pPr>
      <w:rPr>
        <w:b/>
        <w:bCs/>
        <w:color w:val="FFFFFF" w:themeColor="background1"/>
      </w:rPr>
      <w:tblPr/>
      <w:tcPr>
        <w:shd w:val="clear" w:color="auto" w:fill="D6F591" w:themeFill="accent5"/>
      </w:tcPr>
    </w:tblStylePr>
    <w:tblStylePr w:type="lastRow">
      <w:pPr>
        <w:spacing w:before="0" w:after="0" w:line="240" w:lineRule="auto"/>
      </w:pPr>
      <w:rPr>
        <w:b/>
        <w:bCs/>
      </w:rPr>
      <w:tblPr/>
      <w:tcPr>
        <w:tcBorders>
          <w:top w:val="double" w:sz="6" w:space="0" w:color="D6F591" w:themeColor="accent5"/>
          <w:left w:val="single" w:sz="8" w:space="0" w:color="D6F591" w:themeColor="accent5"/>
          <w:bottom w:val="single" w:sz="8" w:space="0" w:color="D6F591" w:themeColor="accent5"/>
          <w:right w:val="single" w:sz="8" w:space="0" w:color="D6F591" w:themeColor="accent5"/>
        </w:tcBorders>
      </w:tcPr>
    </w:tblStylePr>
    <w:tblStylePr w:type="firstCol">
      <w:rPr>
        <w:b/>
        <w:bCs/>
      </w:rPr>
    </w:tblStylePr>
    <w:tblStylePr w:type="lastCol">
      <w:rPr>
        <w:b/>
        <w:bCs/>
      </w:rPr>
    </w:tblStylePr>
    <w:tblStylePr w:type="band1Vert">
      <w:tblPr/>
      <w:tcPr>
        <w:tcBorders>
          <w:top w:val="single" w:sz="8" w:space="0" w:color="D6F591" w:themeColor="accent5"/>
          <w:left w:val="single" w:sz="8" w:space="0" w:color="D6F591" w:themeColor="accent5"/>
          <w:bottom w:val="single" w:sz="8" w:space="0" w:color="D6F591" w:themeColor="accent5"/>
          <w:right w:val="single" w:sz="8" w:space="0" w:color="D6F591" w:themeColor="accent5"/>
        </w:tcBorders>
      </w:tcPr>
    </w:tblStylePr>
    <w:tblStylePr w:type="band1Horz">
      <w:tblPr/>
      <w:tcPr>
        <w:tcBorders>
          <w:top w:val="single" w:sz="8" w:space="0" w:color="D6F591" w:themeColor="accent5"/>
          <w:left w:val="single" w:sz="8" w:space="0" w:color="D6F591" w:themeColor="accent5"/>
          <w:bottom w:val="single" w:sz="8" w:space="0" w:color="D6F591" w:themeColor="accent5"/>
          <w:right w:val="single" w:sz="8" w:space="0" w:color="D6F591" w:themeColor="accent5"/>
        </w:tcBorders>
      </w:tcPr>
    </w:tblStylePr>
  </w:style>
  <w:style w:type="table" w:styleId="LightList-Accent6">
    <w:name w:val="Light List Accent 6"/>
    <w:basedOn w:val="TableNormal"/>
    <w:uiPriority w:val="61"/>
    <w:rsid w:val="00C62AD0"/>
    <w:pPr>
      <w:spacing w:before="0" w:after="0"/>
    </w:pPr>
    <w:rPr>
      <w:rFonts w:asciiTheme="minorHAnsi" w:eastAsiaTheme="minorEastAsia" w:hAnsiTheme="minorHAnsi"/>
      <w:sz w:val="22"/>
      <w:szCs w:val="22"/>
    </w:rPr>
    <w:tblPr>
      <w:tblStyleRowBandSize w:val="1"/>
      <w:tblStyleColBandSize w:val="1"/>
      <w:tblBorders>
        <w:top w:val="single" w:sz="8" w:space="0" w:color="EEF7DB" w:themeColor="accent6"/>
        <w:left w:val="single" w:sz="8" w:space="0" w:color="EEF7DB" w:themeColor="accent6"/>
        <w:bottom w:val="single" w:sz="8" w:space="0" w:color="EEF7DB" w:themeColor="accent6"/>
        <w:right w:val="single" w:sz="8" w:space="0" w:color="EEF7DB" w:themeColor="accent6"/>
      </w:tblBorders>
    </w:tblPr>
    <w:tblStylePr w:type="firstRow">
      <w:pPr>
        <w:spacing w:before="0" w:after="0" w:line="240" w:lineRule="auto"/>
      </w:pPr>
      <w:rPr>
        <w:b/>
        <w:bCs/>
        <w:color w:val="FFFFFF" w:themeColor="background1"/>
      </w:rPr>
      <w:tblPr/>
      <w:tcPr>
        <w:shd w:val="clear" w:color="auto" w:fill="EEF7DB" w:themeFill="accent6"/>
      </w:tcPr>
    </w:tblStylePr>
    <w:tblStylePr w:type="lastRow">
      <w:pPr>
        <w:spacing w:before="0" w:after="0" w:line="240" w:lineRule="auto"/>
      </w:pPr>
      <w:rPr>
        <w:b/>
        <w:bCs/>
      </w:rPr>
      <w:tblPr/>
      <w:tcPr>
        <w:tcBorders>
          <w:top w:val="double" w:sz="6" w:space="0" w:color="EEF7DB" w:themeColor="accent6"/>
          <w:left w:val="single" w:sz="8" w:space="0" w:color="EEF7DB" w:themeColor="accent6"/>
          <w:bottom w:val="single" w:sz="8" w:space="0" w:color="EEF7DB" w:themeColor="accent6"/>
          <w:right w:val="single" w:sz="8" w:space="0" w:color="EEF7DB" w:themeColor="accent6"/>
        </w:tcBorders>
      </w:tcPr>
    </w:tblStylePr>
    <w:tblStylePr w:type="firstCol">
      <w:rPr>
        <w:b/>
        <w:bCs/>
      </w:rPr>
    </w:tblStylePr>
    <w:tblStylePr w:type="lastCol">
      <w:rPr>
        <w:b/>
        <w:bCs/>
      </w:rPr>
    </w:tblStylePr>
    <w:tblStylePr w:type="band1Vert">
      <w:tblPr/>
      <w:tcPr>
        <w:tcBorders>
          <w:top w:val="single" w:sz="8" w:space="0" w:color="EEF7DB" w:themeColor="accent6"/>
          <w:left w:val="single" w:sz="8" w:space="0" w:color="EEF7DB" w:themeColor="accent6"/>
          <w:bottom w:val="single" w:sz="8" w:space="0" w:color="EEF7DB" w:themeColor="accent6"/>
          <w:right w:val="single" w:sz="8" w:space="0" w:color="EEF7DB" w:themeColor="accent6"/>
        </w:tcBorders>
      </w:tcPr>
    </w:tblStylePr>
    <w:tblStylePr w:type="band1Horz">
      <w:tblPr/>
      <w:tcPr>
        <w:tcBorders>
          <w:top w:val="single" w:sz="8" w:space="0" w:color="EEF7DB" w:themeColor="accent6"/>
          <w:left w:val="single" w:sz="8" w:space="0" w:color="EEF7DB" w:themeColor="accent6"/>
          <w:bottom w:val="single" w:sz="8" w:space="0" w:color="EEF7DB" w:themeColor="accent6"/>
          <w:right w:val="single" w:sz="8" w:space="0" w:color="EEF7DB" w:themeColor="accent6"/>
        </w:tcBorders>
      </w:tcPr>
    </w:tblStylePr>
  </w:style>
  <w:style w:type="table" w:styleId="LightGrid">
    <w:name w:val="Light Grid"/>
    <w:basedOn w:val="TableNormal"/>
    <w:uiPriority w:val="62"/>
    <w:rsid w:val="00C62AD0"/>
    <w:pPr>
      <w:spacing w:before="0" w:after="0"/>
    </w:pPr>
    <w:rPr>
      <w:rFonts w:asciiTheme="minorHAnsi" w:eastAsiaTheme="minorEastAsia" w:hAnsiTheme="minorHAnsi"/>
      <w:sz w:val="22"/>
      <w:szCs w:val="22"/>
    </w:rPr>
    <w:tblPr>
      <w:tblStyleRowBandSize w:val="1"/>
      <w:tblStyleColBandSize w:val="1"/>
      <w:tblBorders>
        <w:top w:val="single" w:sz="8" w:space="0" w:color="1E1E1E" w:themeColor="text1"/>
        <w:left w:val="single" w:sz="8" w:space="0" w:color="1E1E1E" w:themeColor="text1"/>
        <w:bottom w:val="single" w:sz="8" w:space="0" w:color="1E1E1E" w:themeColor="text1"/>
        <w:right w:val="single" w:sz="8" w:space="0" w:color="1E1E1E" w:themeColor="text1"/>
        <w:insideH w:val="single" w:sz="8" w:space="0" w:color="1E1E1E" w:themeColor="text1"/>
        <w:insideV w:val="single" w:sz="8" w:space="0" w:color="1E1E1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1E1E" w:themeColor="text1"/>
          <w:left w:val="single" w:sz="8" w:space="0" w:color="1E1E1E" w:themeColor="text1"/>
          <w:bottom w:val="single" w:sz="18" w:space="0" w:color="1E1E1E" w:themeColor="text1"/>
          <w:right w:val="single" w:sz="8" w:space="0" w:color="1E1E1E" w:themeColor="text1"/>
          <w:insideH w:val="nil"/>
          <w:insideV w:val="single" w:sz="8" w:space="0" w:color="1E1E1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1E1E" w:themeColor="text1"/>
          <w:left w:val="single" w:sz="8" w:space="0" w:color="1E1E1E" w:themeColor="text1"/>
          <w:bottom w:val="single" w:sz="8" w:space="0" w:color="1E1E1E" w:themeColor="text1"/>
          <w:right w:val="single" w:sz="8" w:space="0" w:color="1E1E1E" w:themeColor="text1"/>
          <w:insideH w:val="nil"/>
          <w:insideV w:val="single" w:sz="8" w:space="0" w:color="1E1E1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1E1E" w:themeColor="text1"/>
          <w:left w:val="single" w:sz="8" w:space="0" w:color="1E1E1E" w:themeColor="text1"/>
          <w:bottom w:val="single" w:sz="8" w:space="0" w:color="1E1E1E" w:themeColor="text1"/>
          <w:right w:val="single" w:sz="8" w:space="0" w:color="1E1E1E" w:themeColor="text1"/>
        </w:tcBorders>
      </w:tcPr>
    </w:tblStylePr>
    <w:tblStylePr w:type="band1Vert">
      <w:tblPr/>
      <w:tcPr>
        <w:tcBorders>
          <w:top w:val="single" w:sz="8" w:space="0" w:color="1E1E1E" w:themeColor="text1"/>
          <w:left w:val="single" w:sz="8" w:space="0" w:color="1E1E1E" w:themeColor="text1"/>
          <w:bottom w:val="single" w:sz="8" w:space="0" w:color="1E1E1E" w:themeColor="text1"/>
          <w:right w:val="single" w:sz="8" w:space="0" w:color="1E1E1E" w:themeColor="text1"/>
        </w:tcBorders>
        <w:shd w:val="clear" w:color="auto" w:fill="C7C7C7" w:themeFill="text1" w:themeFillTint="3F"/>
      </w:tcPr>
    </w:tblStylePr>
    <w:tblStylePr w:type="band1Horz">
      <w:tblPr/>
      <w:tcPr>
        <w:tcBorders>
          <w:top w:val="single" w:sz="8" w:space="0" w:color="1E1E1E" w:themeColor="text1"/>
          <w:left w:val="single" w:sz="8" w:space="0" w:color="1E1E1E" w:themeColor="text1"/>
          <w:bottom w:val="single" w:sz="8" w:space="0" w:color="1E1E1E" w:themeColor="text1"/>
          <w:right w:val="single" w:sz="8" w:space="0" w:color="1E1E1E" w:themeColor="text1"/>
          <w:insideV w:val="single" w:sz="8" w:space="0" w:color="1E1E1E" w:themeColor="text1"/>
        </w:tcBorders>
        <w:shd w:val="clear" w:color="auto" w:fill="C7C7C7" w:themeFill="text1" w:themeFillTint="3F"/>
      </w:tcPr>
    </w:tblStylePr>
    <w:tblStylePr w:type="band2Horz">
      <w:tblPr/>
      <w:tcPr>
        <w:tcBorders>
          <w:top w:val="single" w:sz="8" w:space="0" w:color="1E1E1E" w:themeColor="text1"/>
          <w:left w:val="single" w:sz="8" w:space="0" w:color="1E1E1E" w:themeColor="text1"/>
          <w:bottom w:val="single" w:sz="8" w:space="0" w:color="1E1E1E" w:themeColor="text1"/>
          <w:right w:val="single" w:sz="8" w:space="0" w:color="1E1E1E" w:themeColor="text1"/>
          <w:insideV w:val="single" w:sz="8" w:space="0" w:color="1E1E1E" w:themeColor="text1"/>
        </w:tcBorders>
      </w:tcPr>
    </w:tblStylePr>
  </w:style>
  <w:style w:type="table" w:styleId="LightGrid-Accent1">
    <w:name w:val="Light Grid Accent 1"/>
    <w:basedOn w:val="TableNormal"/>
    <w:uiPriority w:val="62"/>
    <w:rsid w:val="00C62AD0"/>
    <w:pPr>
      <w:spacing w:before="0" w:after="0"/>
    </w:pPr>
    <w:rPr>
      <w:rFonts w:asciiTheme="minorHAnsi" w:eastAsiaTheme="minorEastAsia" w:hAnsiTheme="minorHAnsi"/>
      <w:sz w:val="22"/>
      <w:szCs w:val="22"/>
    </w:rPr>
    <w:tblPr>
      <w:tblStyleRowBandSize w:val="1"/>
      <w:tblStyleColBandSize w:val="1"/>
      <w:tblBorders>
        <w:top w:val="single" w:sz="8" w:space="0" w:color="3C533C" w:themeColor="accent1"/>
        <w:left w:val="single" w:sz="8" w:space="0" w:color="3C533C" w:themeColor="accent1"/>
        <w:bottom w:val="single" w:sz="8" w:space="0" w:color="3C533C" w:themeColor="accent1"/>
        <w:right w:val="single" w:sz="8" w:space="0" w:color="3C533C" w:themeColor="accent1"/>
        <w:insideH w:val="single" w:sz="8" w:space="0" w:color="3C533C" w:themeColor="accent1"/>
        <w:insideV w:val="single" w:sz="8" w:space="0" w:color="3C533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33C" w:themeColor="accent1"/>
          <w:left w:val="single" w:sz="8" w:space="0" w:color="3C533C" w:themeColor="accent1"/>
          <w:bottom w:val="single" w:sz="18" w:space="0" w:color="3C533C" w:themeColor="accent1"/>
          <w:right w:val="single" w:sz="8" w:space="0" w:color="3C533C" w:themeColor="accent1"/>
          <w:insideH w:val="nil"/>
          <w:insideV w:val="single" w:sz="8" w:space="0" w:color="3C533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33C" w:themeColor="accent1"/>
          <w:left w:val="single" w:sz="8" w:space="0" w:color="3C533C" w:themeColor="accent1"/>
          <w:bottom w:val="single" w:sz="8" w:space="0" w:color="3C533C" w:themeColor="accent1"/>
          <w:right w:val="single" w:sz="8" w:space="0" w:color="3C533C" w:themeColor="accent1"/>
          <w:insideH w:val="nil"/>
          <w:insideV w:val="single" w:sz="8" w:space="0" w:color="3C533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33C" w:themeColor="accent1"/>
          <w:left w:val="single" w:sz="8" w:space="0" w:color="3C533C" w:themeColor="accent1"/>
          <w:bottom w:val="single" w:sz="8" w:space="0" w:color="3C533C" w:themeColor="accent1"/>
          <w:right w:val="single" w:sz="8" w:space="0" w:color="3C533C" w:themeColor="accent1"/>
        </w:tcBorders>
      </w:tcPr>
    </w:tblStylePr>
    <w:tblStylePr w:type="band1Vert">
      <w:tblPr/>
      <w:tcPr>
        <w:tcBorders>
          <w:top w:val="single" w:sz="8" w:space="0" w:color="3C533C" w:themeColor="accent1"/>
          <w:left w:val="single" w:sz="8" w:space="0" w:color="3C533C" w:themeColor="accent1"/>
          <w:bottom w:val="single" w:sz="8" w:space="0" w:color="3C533C" w:themeColor="accent1"/>
          <w:right w:val="single" w:sz="8" w:space="0" w:color="3C533C" w:themeColor="accent1"/>
        </w:tcBorders>
        <w:shd w:val="clear" w:color="auto" w:fill="CAD8CA" w:themeFill="accent1" w:themeFillTint="3F"/>
      </w:tcPr>
    </w:tblStylePr>
    <w:tblStylePr w:type="band1Horz">
      <w:tblPr/>
      <w:tcPr>
        <w:tcBorders>
          <w:top w:val="single" w:sz="8" w:space="0" w:color="3C533C" w:themeColor="accent1"/>
          <w:left w:val="single" w:sz="8" w:space="0" w:color="3C533C" w:themeColor="accent1"/>
          <w:bottom w:val="single" w:sz="8" w:space="0" w:color="3C533C" w:themeColor="accent1"/>
          <w:right w:val="single" w:sz="8" w:space="0" w:color="3C533C" w:themeColor="accent1"/>
          <w:insideV w:val="single" w:sz="8" w:space="0" w:color="3C533C" w:themeColor="accent1"/>
        </w:tcBorders>
        <w:shd w:val="clear" w:color="auto" w:fill="CAD8CA" w:themeFill="accent1" w:themeFillTint="3F"/>
      </w:tcPr>
    </w:tblStylePr>
    <w:tblStylePr w:type="band2Horz">
      <w:tblPr/>
      <w:tcPr>
        <w:tcBorders>
          <w:top w:val="single" w:sz="8" w:space="0" w:color="3C533C" w:themeColor="accent1"/>
          <w:left w:val="single" w:sz="8" w:space="0" w:color="3C533C" w:themeColor="accent1"/>
          <w:bottom w:val="single" w:sz="8" w:space="0" w:color="3C533C" w:themeColor="accent1"/>
          <w:right w:val="single" w:sz="8" w:space="0" w:color="3C533C" w:themeColor="accent1"/>
          <w:insideV w:val="single" w:sz="8" w:space="0" w:color="3C533C" w:themeColor="accent1"/>
        </w:tcBorders>
      </w:tcPr>
    </w:tblStylePr>
  </w:style>
  <w:style w:type="table" w:styleId="LightGrid-Accent2">
    <w:name w:val="Light Grid Accent 2"/>
    <w:basedOn w:val="TableNormal"/>
    <w:uiPriority w:val="62"/>
    <w:rsid w:val="00C62AD0"/>
    <w:pPr>
      <w:spacing w:before="0" w:after="0"/>
    </w:pPr>
    <w:rPr>
      <w:rFonts w:asciiTheme="minorHAnsi" w:eastAsiaTheme="minorEastAsia" w:hAnsiTheme="minorHAnsi"/>
      <w:sz w:val="22"/>
      <w:szCs w:val="22"/>
    </w:rPr>
    <w:tblPr>
      <w:tblStyleRowBandSize w:val="1"/>
      <w:tblStyleColBandSize w:val="1"/>
      <w:tblBorders>
        <w:top w:val="single" w:sz="8" w:space="0" w:color="A9C272" w:themeColor="accent2"/>
        <w:left w:val="single" w:sz="8" w:space="0" w:color="A9C272" w:themeColor="accent2"/>
        <w:bottom w:val="single" w:sz="8" w:space="0" w:color="A9C272" w:themeColor="accent2"/>
        <w:right w:val="single" w:sz="8" w:space="0" w:color="A9C272" w:themeColor="accent2"/>
        <w:insideH w:val="single" w:sz="8" w:space="0" w:color="A9C272" w:themeColor="accent2"/>
        <w:insideV w:val="single" w:sz="8" w:space="0" w:color="A9C27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C272" w:themeColor="accent2"/>
          <w:left w:val="single" w:sz="8" w:space="0" w:color="A9C272" w:themeColor="accent2"/>
          <w:bottom w:val="single" w:sz="18" w:space="0" w:color="A9C272" w:themeColor="accent2"/>
          <w:right w:val="single" w:sz="8" w:space="0" w:color="A9C272" w:themeColor="accent2"/>
          <w:insideH w:val="nil"/>
          <w:insideV w:val="single" w:sz="8" w:space="0" w:color="A9C27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C272" w:themeColor="accent2"/>
          <w:left w:val="single" w:sz="8" w:space="0" w:color="A9C272" w:themeColor="accent2"/>
          <w:bottom w:val="single" w:sz="8" w:space="0" w:color="A9C272" w:themeColor="accent2"/>
          <w:right w:val="single" w:sz="8" w:space="0" w:color="A9C272" w:themeColor="accent2"/>
          <w:insideH w:val="nil"/>
          <w:insideV w:val="single" w:sz="8" w:space="0" w:color="A9C27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C272" w:themeColor="accent2"/>
          <w:left w:val="single" w:sz="8" w:space="0" w:color="A9C272" w:themeColor="accent2"/>
          <w:bottom w:val="single" w:sz="8" w:space="0" w:color="A9C272" w:themeColor="accent2"/>
          <w:right w:val="single" w:sz="8" w:space="0" w:color="A9C272" w:themeColor="accent2"/>
        </w:tcBorders>
      </w:tcPr>
    </w:tblStylePr>
    <w:tblStylePr w:type="band1Vert">
      <w:tblPr/>
      <w:tcPr>
        <w:tcBorders>
          <w:top w:val="single" w:sz="8" w:space="0" w:color="A9C272" w:themeColor="accent2"/>
          <w:left w:val="single" w:sz="8" w:space="0" w:color="A9C272" w:themeColor="accent2"/>
          <w:bottom w:val="single" w:sz="8" w:space="0" w:color="A9C272" w:themeColor="accent2"/>
          <w:right w:val="single" w:sz="8" w:space="0" w:color="A9C272" w:themeColor="accent2"/>
        </w:tcBorders>
        <w:shd w:val="clear" w:color="auto" w:fill="E9F0DC" w:themeFill="accent2" w:themeFillTint="3F"/>
      </w:tcPr>
    </w:tblStylePr>
    <w:tblStylePr w:type="band1Horz">
      <w:tblPr/>
      <w:tcPr>
        <w:tcBorders>
          <w:top w:val="single" w:sz="8" w:space="0" w:color="A9C272" w:themeColor="accent2"/>
          <w:left w:val="single" w:sz="8" w:space="0" w:color="A9C272" w:themeColor="accent2"/>
          <w:bottom w:val="single" w:sz="8" w:space="0" w:color="A9C272" w:themeColor="accent2"/>
          <w:right w:val="single" w:sz="8" w:space="0" w:color="A9C272" w:themeColor="accent2"/>
          <w:insideV w:val="single" w:sz="8" w:space="0" w:color="A9C272" w:themeColor="accent2"/>
        </w:tcBorders>
        <w:shd w:val="clear" w:color="auto" w:fill="E9F0DC" w:themeFill="accent2" w:themeFillTint="3F"/>
      </w:tcPr>
    </w:tblStylePr>
    <w:tblStylePr w:type="band2Horz">
      <w:tblPr/>
      <w:tcPr>
        <w:tcBorders>
          <w:top w:val="single" w:sz="8" w:space="0" w:color="A9C272" w:themeColor="accent2"/>
          <w:left w:val="single" w:sz="8" w:space="0" w:color="A9C272" w:themeColor="accent2"/>
          <w:bottom w:val="single" w:sz="8" w:space="0" w:color="A9C272" w:themeColor="accent2"/>
          <w:right w:val="single" w:sz="8" w:space="0" w:color="A9C272" w:themeColor="accent2"/>
          <w:insideV w:val="single" w:sz="8" w:space="0" w:color="A9C272" w:themeColor="accent2"/>
        </w:tcBorders>
      </w:tcPr>
    </w:tblStylePr>
  </w:style>
  <w:style w:type="table" w:styleId="LightGrid-Accent3">
    <w:name w:val="Light Grid Accent 3"/>
    <w:basedOn w:val="TableNormal"/>
    <w:uiPriority w:val="62"/>
    <w:rsid w:val="00C62AD0"/>
    <w:pPr>
      <w:spacing w:before="0" w:after="0"/>
    </w:pPr>
    <w:rPr>
      <w:rFonts w:asciiTheme="minorHAnsi" w:eastAsiaTheme="minorEastAsia" w:hAnsiTheme="minorHAnsi"/>
      <w:sz w:val="22"/>
      <w:szCs w:val="22"/>
    </w:rPr>
    <w:tblPr>
      <w:tblStyleRowBandSize w:val="1"/>
      <w:tblStyleColBandSize w:val="1"/>
      <w:tblBorders>
        <w:top w:val="single" w:sz="8" w:space="0" w:color="667545" w:themeColor="accent3"/>
        <w:left w:val="single" w:sz="8" w:space="0" w:color="667545" w:themeColor="accent3"/>
        <w:bottom w:val="single" w:sz="8" w:space="0" w:color="667545" w:themeColor="accent3"/>
        <w:right w:val="single" w:sz="8" w:space="0" w:color="667545" w:themeColor="accent3"/>
        <w:insideH w:val="single" w:sz="8" w:space="0" w:color="667545" w:themeColor="accent3"/>
        <w:insideV w:val="single" w:sz="8" w:space="0" w:color="66754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7545" w:themeColor="accent3"/>
          <w:left w:val="single" w:sz="8" w:space="0" w:color="667545" w:themeColor="accent3"/>
          <w:bottom w:val="single" w:sz="18" w:space="0" w:color="667545" w:themeColor="accent3"/>
          <w:right w:val="single" w:sz="8" w:space="0" w:color="667545" w:themeColor="accent3"/>
          <w:insideH w:val="nil"/>
          <w:insideV w:val="single" w:sz="8" w:space="0" w:color="66754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7545" w:themeColor="accent3"/>
          <w:left w:val="single" w:sz="8" w:space="0" w:color="667545" w:themeColor="accent3"/>
          <w:bottom w:val="single" w:sz="8" w:space="0" w:color="667545" w:themeColor="accent3"/>
          <w:right w:val="single" w:sz="8" w:space="0" w:color="667545" w:themeColor="accent3"/>
          <w:insideH w:val="nil"/>
          <w:insideV w:val="single" w:sz="8" w:space="0" w:color="66754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7545" w:themeColor="accent3"/>
          <w:left w:val="single" w:sz="8" w:space="0" w:color="667545" w:themeColor="accent3"/>
          <w:bottom w:val="single" w:sz="8" w:space="0" w:color="667545" w:themeColor="accent3"/>
          <w:right w:val="single" w:sz="8" w:space="0" w:color="667545" w:themeColor="accent3"/>
        </w:tcBorders>
      </w:tcPr>
    </w:tblStylePr>
    <w:tblStylePr w:type="band1Vert">
      <w:tblPr/>
      <w:tcPr>
        <w:tcBorders>
          <w:top w:val="single" w:sz="8" w:space="0" w:color="667545" w:themeColor="accent3"/>
          <w:left w:val="single" w:sz="8" w:space="0" w:color="667545" w:themeColor="accent3"/>
          <w:bottom w:val="single" w:sz="8" w:space="0" w:color="667545" w:themeColor="accent3"/>
          <w:right w:val="single" w:sz="8" w:space="0" w:color="667545" w:themeColor="accent3"/>
        </w:tcBorders>
        <w:shd w:val="clear" w:color="auto" w:fill="DAE1CC" w:themeFill="accent3" w:themeFillTint="3F"/>
      </w:tcPr>
    </w:tblStylePr>
    <w:tblStylePr w:type="band1Horz">
      <w:tblPr/>
      <w:tcPr>
        <w:tcBorders>
          <w:top w:val="single" w:sz="8" w:space="0" w:color="667545" w:themeColor="accent3"/>
          <w:left w:val="single" w:sz="8" w:space="0" w:color="667545" w:themeColor="accent3"/>
          <w:bottom w:val="single" w:sz="8" w:space="0" w:color="667545" w:themeColor="accent3"/>
          <w:right w:val="single" w:sz="8" w:space="0" w:color="667545" w:themeColor="accent3"/>
          <w:insideV w:val="single" w:sz="8" w:space="0" w:color="667545" w:themeColor="accent3"/>
        </w:tcBorders>
        <w:shd w:val="clear" w:color="auto" w:fill="DAE1CC" w:themeFill="accent3" w:themeFillTint="3F"/>
      </w:tcPr>
    </w:tblStylePr>
    <w:tblStylePr w:type="band2Horz">
      <w:tblPr/>
      <w:tcPr>
        <w:tcBorders>
          <w:top w:val="single" w:sz="8" w:space="0" w:color="667545" w:themeColor="accent3"/>
          <w:left w:val="single" w:sz="8" w:space="0" w:color="667545" w:themeColor="accent3"/>
          <w:bottom w:val="single" w:sz="8" w:space="0" w:color="667545" w:themeColor="accent3"/>
          <w:right w:val="single" w:sz="8" w:space="0" w:color="667545" w:themeColor="accent3"/>
          <w:insideV w:val="single" w:sz="8" w:space="0" w:color="667545" w:themeColor="accent3"/>
        </w:tcBorders>
      </w:tcPr>
    </w:tblStylePr>
  </w:style>
  <w:style w:type="table" w:styleId="LightGrid-Accent4">
    <w:name w:val="Light Grid Accent 4"/>
    <w:basedOn w:val="TableNormal"/>
    <w:uiPriority w:val="62"/>
    <w:rsid w:val="00C62AD0"/>
    <w:pPr>
      <w:spacing w:before="0" w:after="0"/>
    </w:pPr>
    <w:rPr>
      <w:rFonts w:asciiTheme="minorHAnsi" w:eastAsiaTheme="minorEastAsia" w:hAnsiTheme="minorHAnsi"/>
      <w:sz w:val="22"/>
      <w:szCs w:val="22"/>
    </w:rPr>
    <w:tblPr>
      <w:tblStyleRowBandSize w:val="1"/>
      <w:tblStyleColBandSize w:val="1"/>
      <w:tblBorders>
        <w:top w:val="single" w:sz="8" w:space="0" w:color="263326" w:themeColor="accent4"/>
        <w:left w:val="single" w:sz="8" w:space="0" w:color="263326" w:themeColor="accent4"/>
        <w:bottom w:val="single" w:sz="8" w:space="0" w:color="263326" w:themeColor="accent4"/>
        <w:right w:val="single" w:sz="8" w:space="0" w:color="263326" w:themeColor="accent4"/>
        <w:insideH w:val="single" w:sz="8" w:space="0" w:color="263326" w:themeColor="accent4"/>
        <w:insideV w:val="single" w:sz="8" w:space="0" w:color="26332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3326" w:themeColor="accent4"/>
          <w:left w:val="single" w:sz="8" w:space="0" w:color="263326" w:themeColor="accent4"/>
          <w:bottom w:val="single" w:sz="18" w:space="0" w:color="263326" w:themeColor="accent4"/>
          <w:right w:val="single" w:sz="8" w:space="0" w:color="263326" w:themeColor="accent4"/>
          <w:insideH w:val="nil"/>
          <w:insideV w:val="single" w:sz="8" w:space="0" w:color="26332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3326" w:themeColor="accent4"/>
          <w:left w:val="single" w:sz="8" w:space="0" w:color="263326" w:themeColor="accent4"/>
          <w:bottom w:val="single" w:sz="8" w:space="0" w:color="263326" w:themeColor="accent4"/>
          <w:right w:val="single" w:sz="8" w:space="0" w:color="263326" w:themeColor="accent4"/>
          <w:insideH w:val="nil"/>
          <w:insideV w:val="single" w:sz="8" w:space="0" w:color="26332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3326" w:themeColor="accent4"/>
          <w:left w:val="single" w:sz="8" w:space="0" w:color="263326" w:themeColor="accent4"/>
          <w:bottom w:val="single" w:sz="8" w:space="0" w:color="263326" w:themeColor="accent4"/>
          <w:right w:val="single" w:sz="8" w:space="0" w:color="263326" w:themeColor="accent4"/>
        </w:tcBorders>
      </w:tcPr>
    </w:tblStylePr>
    <w:tblStylePr w:type="band1Vert">
      <w:tblPr/>
      <w:tcPr>
        <w:tcBorders>
          <w:top w:val="single" w:sz="8" w:space="0" w:color="263326" w:themeColor="accent4"/>
          <w:left w:val="single" w:sz="8" w:space="0" w:color="263326" w:themeColor="accent4"/>
          <w:bottom w:val="single" w:sz="8" w:space="0" w:color="263326" w:themeColor="accent4"/>
          <w:right w:val="single" w:sz="8" w:space="0" w:color="263326" w:themeColor="accent4"/>
        </w:tcBorders>
        <w:shd w:val="clear" w:color="auto" w:fill="C3D2C3" w:themeFill="accent4" w:themeFillTint="3F"/>
      </w:tcPr>
    </w:tblStylePr>
    <w:tblStylePr w:type="band1Horz">
      <w:tblPr/>
      <w:tcPr>
        <w:tcBorders>
          <w:top w:val="single" w:sz="8" w:space="0" w:color="263326" w:themeColor="accent4"/>
          <w:left w:val="single" w:sz="8" w:space="0" w:color="263326" w:themeColor="accent4"/>
          <w:bottom w:val="single" w:sz="8" w:space="0" w:color="263326" w:themeColor="accent4"/>
          <w:right w:val="single" w:sz="8" w:space="0" w:color="263326" w:themeColor="accent4"/>
          <w:insideV w:val="single" w:sz="8" w:space="0" w:color="263326" w:themeColor="accent4"/>
        </w:tcBorders>
        <w:shd w:val="clear" w:color="auto" w:fill="C3D2C3" w:themeFill="accent4" w:themeFillTint="3F"/>
      </w:tcPr>
    </w:tblStylePr>
    <w:tblStylePr w:type="band2Horz">
      <w:tblPr/>
      <w:tcPr>
        <w:tcBorders>
          <w:top w:val="single" w:sz="8" w:space="0" w:color="263326" w:themeColor="accent4"/>
          <w:left w:val="single" w:sz="8" w:space="0" w:color="263326" w:themeColor="accent4"/>
          <w:bottom w:val="single" w:sz="8" w:space="0" w:color="263326" w:themeColor="accent4"/>
          <w:right w:val="single" w:sz="8" w:space="0" w:color="263326" w:themeColor="accent4"/>
          <w:insideV w:val="single" w:sz="8" w:space="0" w:color="263326" w:themeColor="accent4"/>
        </w:tcBorders>
      </w:tcPr>
    </w:tblStylePr>
  </w:style>
  <w:style w:type="table" w:styleId="LightGrid-Accent5">
    <w:name w:val="Light Grid Accent 5"/>
    <w:basedOn w:val="TableNormal"/>
    <w:uiPriority w:val="62"/>
    <w:rsid w:val="00C62AD0"/>
    <w:pPr>
      <w:spacing w:before="0" w:after="0"/>
    </w:pPr>
    <w:rPr>
      <w:rFonts w:asciiTheme="minorHAnsi" w:eastAsiaTheme="minorEastAsia" w:hAnsiTheme="minorHAnsi"/>
      <w:sz w:val="22"/>
      <w:szCs w:val="22"/>
    </w:rPr>
    <w:tblPr>
      <w:tblStyleRowBandSize w:val="1"/>
      <w:tblStyleColBandSize w:val="1"/>
      <w:tblBorders>
        <w:top w:val="single" w:sz="8" w:space="0" w:color="D6F591" w:themeColor="accent5"/>
        <w:left w:val="single" w:sz="8" w:space="0" w:color="D6F591" w:themeColor="accent5"/>
        <w:bottom w:val="single" w:sz="8" w:space="0" w:color="D6F591" w:themeColor="accent5"/>
        <w:right w:val="single" w:sz="8" w:space="0" w:color="D6F591" w:themeColor="accent5"/>
        <w:insideH w:val="single" w:sz="8" w:space="0" w:color="D6F591" w:themeColor="accent5"/>
        <w:insideV w:val="single" w:sz="8" w:space="0" w:color="D6F59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6F591" w:themeColor="accent5"/>
          <w:left w:val="single" w:sz="8" w:space="0" w:color="D6F591" w:themeColor="accent5"/>
          <w:bottom w:val="single" w:sz="18" w:space="0" w:color="D6F591" w:themeColor="accent5"/>
          <w:right w:val="single" w:sz="8" w:space="0" w:color="D6F591" w:themeColor="accent5"/>
          <w:insideH w:val="nil"/>
          <w:insideV w:val="single" w:sz="8" w:space="0" w:color="D6F59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6F591" w:themeColor="accent5"/>
          <w:left w:val="single" w:sz="8" w:space="0" w:color="D6F591" w:themeColor="accent5"/>
          <w:bottom w:val="single" w:sz="8" w:space="0" w:color="D6F591" w:themeColor="accent5"/>
          <w:right w:val="single" w:sz="8" w:space="0" w:color="D6F591" w:themeColor="accent5"/>
          <w:insideH w:val="nil"/>
          <w:insideV w:val="single" w:sz="8" w:space="0" w:color="D6F59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6F591" w:themeColor="accent5"/>
          <w:left w:val="single" w:sz="8" w:space="0" w:color="D6F591" w:themeColor="accent5"/>
          <w:bottom w:val="single" w:sz="8" w:space="0" w:color="D6F591" w:themeColor="accent5"/>
          <w:right w:val="single" w:sz="8" w:space="0" w:color="D6F591" w:themeColor="accent5"/>
        </w:tcBorders>
      </w:tcPr>
    </w:tblStylePr>
    <w:tblStylePr w:type="band1Vert">
      <w:tblPr/>
      <w:tcPr>
        <w:tcBorders>
          <w:top w:val="single" w:sz="8" w:space="0" w:color="D6F591" w:themeColor="accent5"/>
          <w:left w:val="single" w:sz="8" w:space="0" w:color="D6F591" w:themeColor="accent5"/>
          <w:bottom w:val="single" w:sz="8" w:space="0" w:color="D6F591" w:themeColor="accent5"/>
          <w:right w:val="single" w:sz="8" w:space="0" w:color="D6F591" w:themeColor="accent5"/>
        </w:tcBorders>
        <w:shd w:val="clear" w:color="auto" w:fill="F4FCE3" w:themeFill="accent5" w:themeFillTint="3F"/>
      </w:tcPr>
    </w:tblStylePr>
    <w:tblStylePr w:type="band1Horz">
      <w:tblPr/>
      <w:tcPr>
        <w:tcBorders>
          <w:top w:val="single" w:sz="8" w:space="0" w:color="D6F591" w:themeColor="accent5"/>
          <w:left w:val="single" w:sz="8" w:space="0" w:color="D6F591" w:themeColor="accent5"/>
          <w:bottom w:val="single" w:sz="8" w:space="0" w:color="D6F591" w:themeColor="accent5"/>
          <w:right w:val="single" w:sz="8" w:space="0" w:color="D6F591" w:themeColor="accent5"/>
          <w:insideV w:val="single" w:sz="8" w:space="0" w:color="D6F591" w:themeColor="accent5"/>
        </w:tcBorders>
        <w:shd w:val="clear" w:color="auto" w:fill="F4FCE3" w:themeFill="accent5" w:themeFillTint="3F"/>
      </w:tcPr>
    </w:tblStylePr>
    <w:tblStylePr w:type="band2Horz">
      <w:tblPr/>
      <w:tcPr>
        <w:tcBorders>
          <w:top w:val="single" w:sz="8" w:space="0" w:color="D6F591" w:themeColor="accent5"/>
          <w:left w:val="single" w:sz="8" w:space="0" w:color="D6F591" w:themeColor="accent5"/>
          <w:bottom w:val="single" w:sz="8" w:space="0" w:color="D6F591" w:themeColor="accent5"/>
          <w:right w:val="single" w:sz="8" w:space="0" w:color="D6F591" w:themeColor="accent5"/>
          <w:insideV w:val="single" w:sz="8" w:space="0" w:color="D6F591" w:themeColor="accent5"/>
        </w:tcBorders>
      </w:tcPr>
    </w:tblStylePr>
  </w:style>
  <w:style w:type="table" w:styleId="LightGrid-Accent6">
    <w:name w:val="Light Grid Accent 6"/>
    <w:basedOn w:val="TableNormal"/>
    <w:uiPriority w:val="62"/>
    <w:rsid w:val="00C62AD0"/>
    <w:pPr>
      <w:spacing w:before="0" w:after="0"/>
    </w:pPr>
    <w:rPr>
      <w:rFonts w:asciiTheme="minorHAnsi" w:eastAsiaTheme="minorEastAsia" w:hAnsiTheme="minorHAnsi"/>
      <w:sz w:val="22"/>
      <w:szCs w:val="22"/>
    </w:rPr>
    <w:tblPr>
      <w:tblStyleRowBandSize w:val="1"/>
      <w:tblStyleColBandSize w:val="1"/>
      <w:tblBorders>
        <w:top w:val="single" w:sz="8" w:space="0" w:color="EEF7DB" w:themeColor="accent6"/>
        <w:left w:val="single" w:sz="8" w:space="0" w:color="EEF7DB" w:themeColor="accent6"/>
        <w:bottom w:val="single" w:sz="8" w:space="0" w:color="EEF7DB" w:themeColor="accent6"/>
        <w:right w:val="single" w:sz="8" w:space="0" w:color="EEF7DB" w:themeColor="accent6"/>
        <w:insideH w:val="single" w:sz="8" w:space="0" w:color="EEF7DB" w:themeColor="accent6"/>
        <w:insideV w:val="single" w:sz="8" w:space="0" w:color="EEF7D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F7DB" w:themeColor="accent6"/>
          <w:left w:val="single" w:sz="8" w:space="0" w:color="EEF7DB" w:themeColor="accent6"/>
          <w:bottom w:val="single" w:sz="18" w:space="0" w:color="EEF7DB" w:themeColor="accent6"/>
          <w:right w:val="single" w:sz="8" w:space="0" w:color="EEF7DB" w:themeColor="accent6"/>
          <w:insideH w:val="nil"/>
          <w:insideV w:val="single" w:sz="8" w:space="0" w:color="EEF7D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F7DB" w:themeColor="accent6"/>
          <w:left w:val="single" w:sz="8" w:space="0" w:color="EEF7DB" w:themeColor="accent6"/>
          <w:bottom w:val="single" w:sz="8" w:space="0" w:color="EEF7DB" w:themeColor="accent6"/>
          <w:right w:val="single" w:sz="8" w:space="0" w:color="EEF7DB" w:themeColor="accent6"/>
          <w:insideH w:val="nil"/>
          <w:insideV w:val="single" w:sz="8" w:space="0" w:color="EEF7D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F7DB" w:themeColor="accent6"/>
          <w:left w:val="single" w:sz="8" w:space="0" w:color="EEF7DB" w:themeColor="accent6"/>
          <w:bottom w:val="single" w:sz="8" w:space="0" w:color="EEF7DB" w:themeColor="accent6"/>
          <w:right w:val="single" w:sz="8" w:space="0" w:color="EEF7DB" w:themeColor="accent6"/>
        </w:tcBorders>
      </w:tcPr>
    </w:tblStylePr>
    <w:tblStylePr w:type="band1Vert">
      <w:tblPr/>
      <w:tcPr>
        <w:tcBorders>
          <w:top w:val="single" w:sz="8" w:space="0" w:color="EEF7DB" w:themeColor="accent6"/>
          <w:left w:val="single" w:sz="8" w:space="0" w:color="EEF7DB" w:themeColor="accent6"/>
          <w:bottom w:val="single" w:sz="8" w:space="0" w:color="EEF7DB" w:themeColor="accent6"/>
          <w:right w:val="single" w:sz="8" w:space="0" w:color="EEF7DB" w:themeColor="accent6"/>
        </w:tcBorders>
        <w:shd w:val="clear" w:color="auto" w:fill="FAFDF6" w:themeFill="accent6" w:themeFillTint="3F"/>
      </w:tcPr>
    </w:tblStylePr>
    <w:tblStylePr w:type="band1Horz">
      <w:tblPr/>
      <w:tcPr>
        <w:tcBorders>
          <w:top w:val="single" w:sz="8" w:space="0" w:color="EEF7DB" w:themeColor="accent6"/>
          <w:left w:val="single" w:sz="8" w:space="0" w:color="EEF7DB" w:themeColor="accent6"/>
          <w:bottom w:val="single" w:sz="8" w:space="0" w:color="EEF7DB" w:themeColor="accent6"/>
          <w:right w:val="single" w:sz="8" w:space="0" w:color="EEF7DB" w:themeColor="accent6"/>
          <w:insideV w:val="single" w:sz="8" w:space="0" w:color="EEF7DB" w:themeColor="accent6"/>
        </w:tcBorders>
        <w:shd w:val="clear" w:color="auto" w:fill="FAFDF6" w:themeFill="accent6" w:themeFillTint="3F"/>
      </w:tcPr>
    </w:tblStylePr>
    <w:tblStylePr w:type="band2Horz">
      <w:tblPr/>
      <w:tcPr>
        <w:tcBorders>
          <w:top w:val="single" w:sz="8" w:space="0" w:color="EEF7DB" w:themeColor="accent6"/>
          <w:left w:val="single" w:sz="8" w:space="0" w:color="EEF7DB" w:themeColor="accent6"/>
          <w:bottom w:val="single" w:sz="8" w:space="0" w:color="EEF7DB" w:themeColor="accent6"/>
          <w:right w:val="single" w:sz="8" w:space="0" w:color="EEF7DB" w:themeColor="accent6"/>
          <w:insideV w:val="single" w:sz="8" w:space="0" w:color="EEF7DB" w:themeColor="accent6"/>
        </w:tcBorders>
      </w:tcPr>
    </w:tblStylePr>
  </w:style>
  <w:style w:type="table" w:styleId="MediumShading1">
    <w:name w:val="Medium Shading 1"/>
    <w:basedOn w:val="TableNormal"/>
    <w:uiPriority w:val="63"/>
    <w:rsid w:val="00C62AD0"/>
    <w:pPr>
      <w:spacing w:before="0" w:after="0"/>
    </w:pPr>
    <w:rPr>
      <w:rFonts w:asciiTheme="minorHAnsi" w:eastAsiaTheme="minorEastAsia" w:hAnsiTheme="minorHAnsi"/>
      <w:sz w:val="22"/>
      <w:szCs w:val="22"/>
    </w:rPr>
    <w:tblPr>
      <w:tblStyleRowBandSize w:val="1"/>
      <w:tblStyleColBandSize w:val="1"/>
      <w:tblBorders>
        <w:top w:val="single" w:sz="8" w:space="0" w:color="565656" w:themeColor="text1" w:themeTint="BF"/>
        <w:left w:val="single" w:sz="8" w:space="0" w:color="565656" w:themeColor="text1" w:themeTint="BF"/>
        <w:bottom w:val="single" w:sz="8" w:space="0" w:color="565656" w:themeColor="text1" w:themeTint="BF"/>
        <w:right w:val="single" w:sz="8" w:space="0" w:color="565656" w:themeColor="text1" w:themeTint="BF"/>
        <w:insideH w:val="single" w:sz="8" w:space="0" w:color="565656" w:themeColor="text1" w:themeTint="BF"/>
      </w:tblBorders>
    </w:tblPr>
    <w:tblStylePr w:type="firstRow">
      <w:pPr>
        <w:spacing w:before="0" w:after="0" w:line="240" w:lineRule="auto"/>
      </w:pPr>
      <w:rPr>
        <w:b/>
        <w:bCs/>
        <w:color w:val="FFFFFF" w:themeColor="background1"/>
      </w:rPr>
      <w:tblPr/>
      <w:tcPr>
        <w:tcBorders>
          <w:top w:val="single" w:sz="8" w:space="0" w:color="565656" w:themeColor="text1" w:themeTint="BF"/>
          <w:left w:val="single" w:sz="8" w:space="0" w:color="565656" w:themeColor="text1" w:themeTint="BF"/>
          <w:bottom w:val="single" w:sz="8" w:space="0" w:color="565656" w:themeColor="text1" w:themeTint="BF"/>
          <w:right w:val="single" w:sz="8" w:space="0" w:color="565656" w:themeColor="text1" w:themeTint="BF"/>
          <w:insideH w:val="nil"/>
          <w:insideV w:val="nil"/>
        </w:tcBorders>
        <w:shd w:val="clear" w:color="auto" w:fill="1E1E1E" w:themeFill="text1"/>
      </w:tcPr>
    </w:tblStylePr>
    <w:tblStylePr w:type="lastRow">
      <w:pPr>
        <w:spacing w:before="0" w:after="0" w:line="240" w:lineRule="auto"/>
      </w:pPr>
      <w:rPr>
        <w:b/>
        <w:bCs/>
      </w:rPr>
      <w:tblPr/>
      <w:tcPr>
        <w:tcBorders>
          <w:top w:val="double" w:sz="6" w:space="0" w:color="565656" w:themeColor="text1" w:themeTint="BF"/>
          <w:left w:val="single" w:sz="8" w:space="0" w:color="565656" w:themeColor="text1" w:themeTint="BF"/>
          <w:bottom w:val="single" w:sz="8" w:space="0" w:color="565656" w:themeColor="text1" w:themeTint="BF"/>
          <w:right w:val="single" w:sz="8" w:space="0" w:color="565656" w:themeColor="text1" w:themeTint="BF"/>
          <w:insideH w:val="nil"/>
          <w:insideV w:val="nil"/>
        </w:tcBorders>
      </w:tcPr>
    </w:tblStylePr>
    <w:tblStylePr w:type="firstCol">
      <w:rPr>
        <w:b/>
        <w:bCs/>
      </w:rPr>
    </w:tblStylePr>
    <w:tblStylePr w:type="lastCol">
      <w:rPr>
        <w:b/>
        <w:bCs/>
      </w:rPr>
    </w:tblStylePr>
    <w:tblStylePr w:type="band1Vert">
      <w:tblPr/>
      <w:tcPr>
        <w:shd w:val="clear" w:color="auto" w:fill="C7C7C7" w:themeFill="text1" w:themeFillTint="3F"/>
      </w:tcPr>
    </w:tblStylePr>
    <w:tblStylePr w:type="band1Horz">
      <w:tblPr/>
      <w:tcPr>
        <w:tcBorders>
          <w:insideH w:val="nil"/>
          <w:insideV w:val="nil"/>
        </w:tcBorders>
        <w:shd w:val="clear" w:color="auto" w:fill="C7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62AD0"/>
    <w:pPr>
      <w:spacing w:before="0" w:after="0"/>
    </w:pPr>
    <w:rPr>
      <w:rFonts w:asciiTheme="minorHAnsi" w:eastAsiaTheme="minorEastAsia" w:hAnsiTheme="minorHAnsi"/>
      <w:sz w:val="22"/>
      <w:szCs w:val="22"/>
    </w:rPr>
    <w:tblPr>
      <w:tblStyleRowBandSize w:val="1"/>
      <w:tblStyleColBandSize w:val="1"/>
      <w:tblBorders>
        <w:top w:val="single" w:sz="8" w:space="0" w:color="628862" w:themeColor="accent1" w:themeTint="BF"/>
        <w:left w:val="single" w:sz="8" w:space="0" w:color="628862" w:themeColor="accent1" w:themeTint="BF"/>
        <w:bottom w:val="single" w:sz="8" w:space="0" w:color="628862" w:themeColor="accent1" w:themeTint="BF"/>
        <w:right w:val="single" w:sz="8" w:space="0" w:color="628862" w:themeColor="accent1" w:themeTint="BF"/>
        <w:insideH w:val="single" w:sz="8" w:space="0" w:color="628862" w:themeColor="accent1" w:themeTint="BF"/>
      </w:tblBorders>
    </w:tblPr>
    <w:tblStylePr w:type="firstRow">
      <w:pPr>
        <w:spacing w:before="0" w:after="0" w:line="240" w:lineRule="auto"/>
      </w:pPr>
      <w:rPr>
        <w:b/>
        <w:bCs/>
        <w:color w:val="FFFFFF" w:themeColor="background1"/>
      </w:rPr>
      <w:tblPr/>
      <w:tcPr>
        <w:tcBorders>
          <w:top w:val="single" w:sz="8" w:space="0" w:color="628862" w:themeColor="accent1" w:themeTint="BF"/>
          <w:left w:val="single" w:sz="8" w:space="0" w:color="628862" w:themeColor="accent1" w:themeTint="BF"/>
          <w:bottom w:val="single" w:sz="8" w:space="0" w:color="628862" w:themeColor="accent1" w:themeTint="BF"/>
          <w:right w:val="single" w:sz="8" w:space="0" w:color="628862" w:themeColor="accent1" w:themeTint="BF"/>
          <w:insideH w:val="nil"/>
          <w:insideV w:val="nil"/>
        </w:tcBorders>
        <w:shd w:val="clear" w:color="auto" w:fill="3C533C" w:themeFill="accent1"/>
      </w:tcPr>
    </w:tblStylePr>
    <w:tblStylePr w:type="lastRow">
      <w:pPr>
        <w:spacing w:before="0" w:after="0" w:line="240" w:lineRule="auto"/>
      </w:pPr>
      <w:rPr>
        <w:b/>
        <w:bCs/>
      </w:rPr>
      <w:tblPr/>
      <w:tcPr>
        <w:tcBorders>
          <w:top w:val="double" w:sz="6" w:space="0" w:color="628862" w:themeColor="accent1" w:themeTint="BF"/>
          <w:left w:val="single" w:sz="8" w:space="0" w:color="628862" w:themeColor="accent1" w:themeTint="BF"/>
          <w:bottom w:val="single" w:sz="8" w:space="0" w:color="628862" w:themeColor="accent1" w:themeTint="BF"/>
          <w:right w:val="single" w:sz="8" w:space="0" w:color="628862" w:themeColor="accent1" w:themeTint="BF"/>
          <w:insideH w:val="nil"/>
          <w:insideV w:val="nil"/>
        </w:tcBorders>
      </w:tcPr>
    </w:tblStylePr>
    <w:tblStylePr w:type="firstCol">
      <w:rPr>
        <w:b/>
        <w:bCs/>
      </w:rPr>
    </w:tblStylePr>
    <w:tblStylePr w:type="lastCol">
      <w:rPr>
        <w:b/>
        <w:bCs/>
      </w:rPr>
    </w:tblStylePr>
    <w:tblStylePr w:type="band1Vert">
      <w:tblPr/>
      <w:tcPr>
        <w:shd w:val="clear" w:color="auto" w:fill="CAD8CA" w:themeFill="accent1" w:themeFillTint="3F"/>
      </w:tcPr>
    </w:tblStylePr>
    <w:tblStylePr w:type="band1Horz">
      <w:tblPr/>
      <w:tcPr>
        <w:tcBorders>
          <w:insideH w:val="nil"/>
          <w:insideV w:val="nil"/>
        </w:tcBorders>
        <w:shd w:val="clear" w:color="auto" w:fill="CAD8C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62AD0"/>
    <w:pPr>
      <w:spacing w:before="0" w:after="0"/>
    </w:pPr>
    <w:rPr>
      <w:rFonts w:asciiTheme="minorHAnsi" w:eastAsiaTheme="minorEastAsia" w:hAnsiTheme="minorHAnsi"/>
      <w:sz w:val="22"/>
      <w:szCs w:val="22"/>
    </w:rPr>
    <w:tblPr>
      <w:tblStyleRowBandSize w:val="1"/>
      <w:tblStyleColBandSize w:val="1"/>
      <w:tblBorders>
        <w:top w:val="single" w:sz="8" w:space="0" w:color="BED195" w:themeColor="accent2" w:themeTint="BF"/>
        <w:left w:val="single" w:sz="8" w:space="0" w:color="BED195" w:themeColor="accent2" w:themeTint="BF"/>
        <w:bottom w:val="single" w:sz="8" w:space="0" w:color="BED195" w:themeColor="accent2" w:themeTint="BF"/>
        <w:right w:val="single" w:sz="8" w:space="0" w:color="BED195" w:themeColor="accent2" w:themeTint="BF"/>
        <w:insideH w:val="single" w:sz="8" w:space="0" w:color="BED195" w:themeColor="accent2" w:themeTint="BF"/>
      </w:tblBorders>
    </w:tblPr>
    <w:tblStylePr w:type="firstRow">
      <w:pPr>
        <w:spacing w:before="0" w:after="0" w:line="240" w:lineRule="auto"/>
      </w:pPr>
      <w:rPr>
        <w:b/>
        <w:bCs/>
        <w:color w:val="FFFFFF" w:themeColor="background1"/>
      </w:rPr>
      <w:tblPr/>
      <w:tcPr>
        <w:tcBorders>
          <w:top w:val="single" w:sz="8" w:space="0" w:color="BED195" w:themeColor="accent2" w:themeTint="BF"/>
          <w:left w:val="single" w:sz="8" w:space="0" w:color="BED195" w:themeColor="accent2" w:themeTint="BF"/>
          <w:bottom w:val="single" w:sz="8" w:space="0" w:color="BED195" w:themeColor="accent2" w:themeTint="BF"/>
          <w:right w:val="single" w:sz="8" w:space="0" w:color="BED195" w:themeColor="accent2" w:themeTint="BF"/>
          <w:insideH w:val="nil"/>
          <w:insideV w:val="nil"/>
        </w:tcBorders>
        <w:shd w:val="clear" w:color="auto" w:fill="A9C272" w:themeFill="accent2"/>
      </w:tcPr>
    </w:tblStylePr>
    <w:tblStylePr w:type="lastRow">
      <w:pPr>
        <w:spacing w:before="0" w:after="0" w:line="240" w:lineRule="auto"/>
      </w:pPr>
      <w:rPr>
        <w:b/>
        <w:bCs/>
      </w:rPr>
      <w:tblPr/>
      <w:tcPr>
        <w:tcBorders>
          <w:top w:val="double" w:sz="6" w:space="0" w:color="BED195" w:themeColor="accent2" w:themeTint="BF"/>
          <w:left w:val="single" w:sz="8" w:space="0" w:color="BED195" w:themeColor="accent2" w:themeTint="BF"/>
          <w:bottom w:val="single" w:sz="8" w:space="0" w:color="BED195" w:themeColor="accent2" w:themeTint="BF"/>
          <w:right w:val="single" w:sz="8" w:space="0" w:color="BED19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F0DC" w:themeFill="accent2" w:themeFillTint="3F"/>
      </w:tcPr>
    </w:tblStylePr>
    <w:tblStylePr w:type="band1Horz">
      <w:tblPr/>
      <w:tcPr>
        <w:tcBorders>
          <w:insideH w:val="nil"/>
          <w:insideV w:val="nil"/>
        </w:tcBorders>
        <w:shd w:val="clear" w:color="auto" w:fill="E9F0D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62AD0"/>
    <w:pPr>
      <w:spacing w:before="0" w:after="0"/>
    </w:pPr>
    <w:rPr>
      <w:rFonts w:asciiTheme="minorHAnsi" w:eastAsiaTheme="minorEastAsia" w:hAnsiTheme="minorHAnsi"/>
      <w:sz w:val="22"/>
      <w:szCs w:val="22"/>
    </w:rPr>
    <w:tblPr>
      <w:tblStyleRowBandSize w:val="1"/>
      <w:tblStyleColBandSize w:val="1"/>
      <w:tblBorders>
        <w:top w:val="single" w:sz="8" w:space="0" w:color="91A466" w:themeColor="accent3" w:themeTint="BF"/>
        <w:left w:val="single" w:sz="8" w:space="0" w:color="91A466" w:themeColor="accent3" w:themeTint="BF"/>
        <w:bottom w:val="single" w:sz="8" w:space="0" w:color="91A466" w:themeColor="accent3" w:themeTint="BF"/>
        <w:right w:val="single" w:sz="8" w:space="0" w:color="91A466" w:themeColor="accent3" w:themeTint="BF"/>
        <w:insideH w:val="single" w:sz="8" w:space="0" w:color="91A466" w:themeColor="accent3" w:themeTint="BF"/>
      </w:tblBorders>
    </w:tblPr>
    <w:tblStylePr w:type="firstRow">
      <w:pPr>
        <w:spacing w:before="0" w:after="0" w:line="240" w:lineRule="auto"/>
      </w:pPr>
      <w:rPr>
        <w:b/>
        <w:bCs/>
        <w:color w:val="FFFFFF" w:themeColor="background1"/>
      </w:rPr>
      <w:tblPr/>
      <w:tcPr>
        <w:tcBorders>
          <w:top w:val="single" w:sz="8" w:space="0" w:color="91A466" w:themeColor="accent3" w:themeTint="BF"/>
          <w:left w:val="single" w:sz="8" w:space="0" w:color="91A466" w:themeColor="accent3" w:themeTint="BF"/>
          <w:bottom w:val="single" w:sz="8" w:space="0" w:color="91A466" w:themeColor="accent3" w:themeTint="BF"/>
          <w:right w:val="single" w:sz="8" w:space="0" w:color="91A466" w:themeColor="accent3" w:themeTint="BF"/>
          <w:insideH w:val="nil"/>
          <w:insideV w:val="nil"/>
        </w:tcBorders>
        <w:shd w:val="clear" w:color="auto" w:fill="667545" w:themeFill="accent3"/>
      </w:tcPr>
    </w:tblStylePr>
    <w:tblStylePr w:type="lastRow">
      <w:pPr>
        <w:spacing w:before="0" w:after="0" w:line="240" w:lineRule="auto"/>
      </w:pPr>
      <w:rPr>
        <w:b/>
        <w:bCs/>
      </w:rPr>
      <w:tblPr/>
      <w:tcPr>
        <w:tcBorders>
          <w:top w:val="double" w:sz="6" w:space="0" w:color="91A466" w:themeColor="accent3" w:themeTint="BF"/>
          <w:left w:val="single" w:sz="8" w:space="0" w:color="91A466" w:themeColor="accent3" w:themeTint="BF"/>
          <w:bottom w:val="single" w:sz="8" w:space="0" w:color="91A466" w:themeColor="accent3" w:themeTint="BF"/>
          <w:right w:val="single" w:sz="8" w:space="0" w:color="91A466"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E1CC" w:themeFill="accent3" w:themeFillTint="3F"/>
      </w:tcPr>
    </w:tblStylePr>
    <w:tblStylePr w:type="band1Horz">
      <w:tblPr/>
      <w:tcPr>
        <w:tcBorders>
          <w:insideH w:val="nil"/>
          <w:insideV w:val="nil"/>
        </w:tcBorders>
        <w:shd w:val="clear" w:color="auto" w:fill="DAE1C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62AD0"/>
    <w:pPr>
      <w:spacing w:before="0" w:after="0"/>
    </w:pPr>
    <w:rPr>
      <w:rFonts w:asciiTheme="minorHAnsi" w:eastAsiaTheme="minorEastAsia" w:hAnsiTheme="minorHAnsi"/>
      <w:sz w:val="22"/>
      <w:szCs w:val="22"/>
    </w:rPr>
    <w:tblPr>
      <w:tblStyleRowBandSize w:val="1"/>
      <w:tblStyleColBandSize w:val="1"/>
      <w:tblBorders>
        <w:top w:val="single" w:sz="8" w:space="0" w:color="536F53" w:themeColor="accent4" w:themeTint="BF"/>
        <w:left w:val="single" w:sz="8" w:space="0" w:color="536F53" w:themeColor="accent4" w:themeTint="BF"/>
        <w:bottom w:val="single" w:sz="8" w:space="0" w:color="536F53" w:themeColor="accent4" w:themeTint="BF"/>
        <w:right w:val="single" w:sz="8" w:space="0" w:color="536F53" w:themeColor="accent4" w:themeTint="BF"/>
        <w:insideH w:val="single" w:sz="8" w:space="0" w:color="536F53" w:themeColor="accent4" w:themeTint="BF"/>
      </w:tblBorders>
    </w:tblPr>
    <w:tblStylePr w:type="firstRow">
      <w:pPr>
        <w:spacing w:before="0" w:after="0" w:line="240" w:lineRule="auto"/>
      </w:pPr>
      <w:rPr>
        <w:b/>
        <w:bCs/>
        <w:color w:val="FFFFFF" w:themeColor="background1"/>
      </w:rPr>
      <w:tblPr/>
      <w:tcPr>
        <w:tcBorders>
          <w:top w:val="single" w:sz="8" w:space="0" w:color="536F53" w:themeColor="accent4" w:themeTint="BF"/>
          <w:left w:val="single" w:sz="8" w:space="0" w:color="536F53" w:themeColor="accent4" w:themeTint="BF"/>
          <w:bottom w:val="single" w:sz="8" w:space="0" w:color="536F53" w:themeColor="accent4" w:themeTint="BF"/>
          <w:right w:val="single" w:sz="8" w:space="0" w:color="536F53" w:themeColor="accent4" w:themeTint="BF"/>
          <w:insideH w:val="nil"/>
          <w:insideV w:val="nil"/>
        </w:tcBorders>
        <w:shd w:val="clear" w:color="auto" w:fill="263326" w:themeFill="accent4"/>
      </w:tcPr>
    </w:tblStylePr>
    <w:tblStylePr w:type="lastRow">
      <w:pPr>
        <w:spacing w:before="0" w:after="0" w:line="240" w:lineRule="auto"/>
      </w:pPr>
      <w:rPr>
        <w:b/>
        <w:bCs/>
      </w:rPr>
      <w:tblPr/>
      <w:tcPr>
        <w:tcBorders>
          <w:top w:val="double" w:sz="6" w:space="0" w:color="536F53" w:themeColor="accent4" w:themeTint="BF"/>
          <w:left w:val="single" w:sz="8" w:space="0" w:color="536F53" w:themeColor="accent4" w:themeTint="BF"/>
          <w:bottom w:val="single" w:sz="8" w:space="0" w:color="536F53" w:themeColor="accent4" w:themeTint="BF"/>
          <w:right w:val="single" w:sz="8" w:space="0" w:color="536F53" w:themeColor="accent4" w:themeTint="BF"/>
          <w:insideH w:val="nil"/>
          <w:insideV w:val="nil"/>
        </w:tcBorders>
      </w:tcPr>
    </w:tblStylePr>
    <w:tblStylePr w:type="firstCol">
      <w:rPr>
        <w:b/>
        <w:bCs/>
      </w:rPr>
    </w:tblStylePr>
    <w:tblStylePr w:type="lastCol">
      <w:rPr>
        <w:b/>
        <w:bCs/>
      </w:rPr>
    </w:tblStylePr>
    <w:tblStylePr w:type="band1Vert">
      <w:tblPr/>
      <w:tcPr>
        <w:shd w:val="clear" w:color="auto" w:fill="C3D2C3" w:themeFill="accent4" w:themeFillTint="3F"/>
      </w:tcPr>
    </w:tblStylePr>
    <w:tblStylePr w:type="band1Horz">
      <w:tblPr/>
      <w:tcPr>
        <w:tcBorders>
          <w:insideH w:val="nil"/>
          <w:insideV w:val="nil"/>
        </w:tcBorders>
        <w:shd w:val="clear" w:color="auto" w:fill="C3D2C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62AD0"/>
    <w:pPr>
      <w:spacing w:before="0" w:after="0"/>
    </w:pPr>
    <w:rPr>
      <w:rFonts w:asciiTheme="minorHAnsi" w:eastAsiaTheme="minorEastAsia" w:hAnsiTheme="minorHAnsi"/>
      <w:sz w:val="22"/>
      <w:szCs w:val="22"/>
    </w:rPr>
    <w:tblPr>
      <w:tblStyleRowBandSize w:val="1"/>
      <w:tblStyleColBandSize w:val="1"/>
      <w:tblBorders>
        <w:top w:val="single" w:sz="8" w:space="0" w:color="DFF7AC" w:themeColor="accent5" w:themeTint="BF"/>
        <w:left w:val="single" w:sz="8" w:space="0" w:color="DFF7AC" w:themeColor="accent5" w:themeTint="BF"/>
        <w:bottom w:val="single" w:sz="8" w:space="0" w:color="DFF7AC" w:themeColor="accent5" w:themeTint="BF"/>
        <w:right w:val="single" w:sz="8" w:space="0" w:color="DFF7AC" w:themeColor="accent5" w:themeTint="BF"/>
        <w:insideH w:val="single" w:sz="8" w:space="0" w:color="DFF7AC" w:themeColor="accent5" w:themeTint="BF"/>
      </w:tblBorders>
    </w:tblPr>
    <w:tblStylePr w:type="firstRow">
      <w:pPr>
        <w:spacing w:before="0" w:after="0" w:line="240" w:lineRule="auto"/>
      </w:pPr>
      <w:rPr>
        <w:b/>
        <w:bCs/>
        <w:color w:val="FFFFFF" w:themeColor="background1"/>
      </w:rPr>
      <w:tblPr/>
      <w:tcPr>
        <w:tcBorders>
          <w:top w:val="single" w:sz="8" w:space="0" w:color="DFF7AC" w:themeColor="accent5" w:themeTint="BF"/>
          <w:left w:val="single" w:sz="8" w:space="0" w:color="DFF7AC" w:themeColor="accent5" w:themeTint="BF"/>
          <w:bottom w:val="single" w:sz="8" w:space="0" w:color="DFF7AC" w:themeColor="accent5" w:themeTint="BF"/>
          <w:right w:val="single" w:sz="8" w:space="0" w:color="DFF7AC" w:themeColor="accent5" w:themeTint="BF"/>
          <w:insideH w:val="nil"/>
          <w:insideV w:val="nil"/>
        </w:tcBorders>
        <w:shd w:val="clear" w:color="auto" w:fill="D6F591" w:themeFill="accent5"/>
      </w:tcPr>
    </w:tblStylePr>
    <w:tblStylePr w:type="lastRow">
      <w:pPr>
        <w:spacing w:before="0" w:after="0" w:line="240" w:lineRule="auto"/>
      </w:pPr>
      <w:rPr>
        <w:b/>
        <w:bCs/>
      </w:rPr>
      <w:tblPr/>
      <w:tcPr>
        <w:tcBorders>
          <w:top w:val="double" w:sz="6" w:space="0" w:color="DFF7AC" w:themeColor="accent5" w:themeTint="BF"/>
          <w:left w:val="single" w:sz="8" w:space="0" w:color="DFF7AC" w:themeColor="accent5" w:themeTint="BF"/>
          <w:bottom w:val="single" w:sz="8" w:space="0" w:color="DFF7AC" w:themeColor="accent5" w:themeTint="BF"/>
          <w:right w:val="single" w:sz="8" w:space="0" w:color="DFF7A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4FCE3" w:themeFill="accent5" w:themeFillTint="3F"/>
      </w:tcPr>
    </w:tblStylePr>
    <w:tblStylePr w:type="band1Horz">
      <w:tblPr/>
      <w:tcPr>
        <w:tcBorders>
          <w:insideH w:val="nil"/>
          <w:insideV w:val="nil"/>
        </w:tcBorders>
        <w:shd w:val="clear" w:color="auto" w:fill="F4FCE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62AD0"/>
    <w:pPr>
      <w:spacing w:before="0" w:after="0"/>
    </w:pPr>
    <w:rPr>
      <w:rFonts w:asciiTheme="minorHAnsi" w:eastAsiaTheme="minorEastAsia" w:hAnsiTheme="minorHAnsi"/>
      <w:sz w:val="22"/>
      <w:szCs w:val="22"/>
    </w:rPr>
    <w:tblPr>
      <w:tblStyleRowBandSize w:val="1"/>
      <w:tblStyleColBandSize w:val="1"/>
      <w:tblBorders>
        <w:top w:val="single" w:sz="8" w:space="0" w:color="F2F9E4" w:themeColor="accent6" w:themeTint="BF"/>
        <w:left w:val="single" w:sz="8" w:space="0" w:color="F2F9E4" w:themeColor="accent6" w:themeTint="BF"/>
        <w:bottom w:val="single" w:sz="8" w:space="0" w:color="F2F9E4" w:themeColor="accent6" w:themeTint="BF"/>
        <w:right w:val="single" w:sz="8" w:space="0" w:color="F2F9E4" w:themeColor="accent6" w:themeTint="BF"/>
        <w:insideH w:val="single" w:sz="8" w:space="0" w:color="F2F9E4" w:themeColor="accent6" w:themeTint="BF"/>
      </w:tblBorders>
    </w:tblPr>
    <w:tblStylePr w:type="firstRow">
      <w:pPr>
        <w:spacing w:before="0" w:after="0" w:line="240" w:lineRule="auto"/>
      </w:pPr>
      <w:rPr>
        <w:b/>
        <w:bCs/>
        <w:color w:val="FFFFFF" w:themeColor="background1"/>
      </w:rPr>
      <w:tblPr/>
      <w:tcPr>
        <w:tcBorders>
          <w:top w:val="single" w:sz="8" w:space="0" w:color="F2F9E4" w:themeColor="accent6" w:themeTint="BF"/>
          <w:left w:val="single" w:sz="8" w:space="0" w:color="F2F9E4" w:themeColor="accent6" w:themeTint="BF"/>
          <w:bottom w:val="single" w:sz="8" w:space="0" w:color="F2F9E4" w:themeColor="accent6" w:themeTint="BF"/>
          <w:right w:val="single" w:sz="8" w:space="0" w:color="F2F9E4" w:themeColor="accent6" w:themeTint="BF"/>
          <w:insideH w:val="nil"/>
          <w:insideV w:val="nil"/>
        </w:tcBorders>
        <w:shd w:val="clear" w:color="auto" w:fill="EEF7DB" w:themeFill="accent6"/>
      </w:tcPr>
    </w:tblStylePr>
    <w:tblStylePr w:type="lastRow">
      <w:pPr>
        <w:spacing w:before="0" w:after="0" w:line="240" w:lineRule="auto"/>
      </w:pPr>
      <w:rPr>
        <w:b/>
        <w:bCs/>
      </w:rPr>
      <w:tblPr/>
      <w:tcPr>
        <w:tcBorders>
          <w:top w:val="double" w:sz="6" w:space="0" w:color="F2F9E4" w:themeColor="accent6" w:themeTint="BF"/>
          <w:left w:val="single" w:sz="8" w:space="0" w:color="F2F9E4" w:themeColor="accent6" w:themeTint="BF"/>
          <w:bottom w:val="single" w:sz="8" w:space="0" w:color="F2F9E4" w:themeColor="accent6" w:themeTint="BF"/>
          <w:right w:val="single" w:sz="8" w:space="0" w:color="F2F9E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FDF6" w:themeFill="accent6" w:themeFillTint="3F"/>
      </w:tcPr>
    </w:tblStylePr>
    <w:tblStylePr w:type="band1Horz">
      <w:tblPr/>
      <w:tcPr>
        <w:tcBorders>
          <w:insideH w:val="nil"/>
          <w:insideV w:val="nil"/>
        </w:tcBorders>
        <w:shd w:val="clear" w:color="auto" w:fill="FAFDF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62AD0"/>
    <w:pPr>
      <w:spacing w:before="0" w:after="0"/>
    </w:pPr>
    <w:rPr>
      <w:rFonts w:asciiTheme="minorHAnsi" w:eastAsiaTheme="minorEastAsia"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1E1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E1E1E" w:themeFill="text1"/>
      </w:tcPr>
    </w:tblStylePr>
    <w:tblStylePr w:type="lastCol">
      <w:rPr>
        <w:b/>
        <w:bCs/>
        <w:color w:val="FFFFFF" w:themeColor="background1"/>
      </w:rPr>
      <w:tblPr/>
      <w:tcPr>
        <w:tcBorders>
          <w:left w:val="nil"/>
          <w:right w:val="nil"/>
          <w:insideH w:val="nil"/>
          <w:insideV w:val="nil"/>
        </w:tcBorders>
        <w:shd w:val="clear" w:color="auto" w:fill="1E1E1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62AD0"/>
    <w:pPr>
      <w:spacing w:before="0" w:after="0"/>
    </w:pPr>
    <w:rPr>
      <w:rFonts w:asciiTheme="minorHAnsi" w:eastAsiaTheme="minorEastAsia"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33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33C" w:themeFill="accent1"/>
      </w:tcPr>
    </w:tblStylePr>
    <w:tblStylePr w:type="lastCol">
      <w:rPr>
        <w:b/>
        <w:bCs/>
        <w:color w:val="FFFFFF" w:themeColor="background1"/>
      </w:rPr>
      <w:tblPr/>
      <w:tcPr>
        <w:tcBorders>
          <w:left w:val="nil"/>
          <w:right w:val="nil"/>
          <w:insideH w:val="nil"/>
          <w:insideV w:val="nil"/>
        </w:tcBorders>
        <w:shd w:val="clear" w:color="auto" w:fill="3C533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62AD0"/>
    <w:pPr>
      <w:spacing w:before="0" w:after="0"/>
    </w:pPr>
    <w:rPr>
      <w:rFonts w:asciiTheme="minorHAnsi" w:eastAsiaTheme="minorEastAsia"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C27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C272" w:themeFill="accent2"/>
      </w:tcPr>
    </w:tblStylePr>
    <w:tblStylePr w:type="lastCol">
      <w:rPr>
        <w:b/>
        <w:bCs/>
        <w:color w:val="FFFFFF" w:themeColor="background1"/>
      </w:rPr>
      <w:tblPr/>
      <w:tcPr>
        <w:tcBorders>
          <w:left w:val="nil"/>
          <w:right w:val="nil"/>
          <w:insideH w:val="nil"/>
          <w:insideV w:val="nil"/>
        </w:tcBorders>
        <w:shd w:val="clear" w:color="auto" w:fill="A9C27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62AD0"/>
    <w:pPr>
      <w:spacing w:before="0" w:after="0"/>
    </w:pPr>
    <w:rPr>
      <w:rFonts w:asciiTheme="minorHAnsi" w:eastAsiaTheme="minorEastAsia"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754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7545" w:themeFill="accent3"/>
      </w:tcPr>
    </w:tblStylePr>
    <w:tblStylePr w:type="lastCol">
      <w:rPr>
        <w:b/>
        <w:bCs/>
        <w:color w:val="FFFFFF" w:themeColor="background1"/>
      </w:rPr>
      <w:tblPr/>
      <w:tcPr>
        <w:tcBorders>
          <w:left w:val="nil"/>
          <w:right w:val="nil"/>
          <w:insideH w:val="nil"/>
          <w:insideV w:val="nil"/>
        </w:tcBorders>
        <w:shd w:val="clear" w:color="auto" w:fill="66754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62AD0"/>
    <w:pPr>
      <w:spacing w:before="0" w:after="0"/>
    </w:pPr>
    <w:rPr>
      <w:rFonts w:asciiTheme="minorHAnsi" w:eastAsiaTheme="minorEastAsia"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332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63326" w:themeFill="accent4"/>
      </w:tcPr>
    </w:tblStylePr>
    <w:tblStylePr w:type="lastCol">
      <w:rPr>
        <w:b/>
        <w:bCs/>
        <w:color w:val="FFFFFF" w:themeColor="background1"/>
      </w:rPr>
      <w:tblPr/>
      <w:tcPr>
        <w:tcBorders>
          <w:left w:val="nil"/>
          <w:right w:val="nil"/>
          <w:insideH w:val="nil"/>
          <w:insideV w:val="nil"/>
        </w:tcBorders>
        <w:shd w:val="clear" w:color="auto" w:fill="26332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62AD0"/>
    <w:pPr>
      <w:spacing w:before="0" w:after="0"/>
    </w:pPr>
    <w:rPr>
      <w:rFonts w:asciiTheme="minorHAnsi" w:eastAsiaTheme="minorEastAsia"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6F59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6F591" w:themeFill="accent5"/>
      </w:tcPr>
    </w:tblStylePr>
    <w:tblStylePr w:type="lastCol">
      <w:rPr>
        <w:b/>
        <w:bCs/>
        <w:color w:val="FFFFFF" w:themeColor="background1"/>
      </w:rPr>
      <w:tblPr/>
      <w:tcPr>
        <w:tcBorders>
          <w:left w:val="nil"/>
          <w:right w:val="nil"/>
          <w:insideH w:val="nil"/>
          <w:insideV w:val="nil"/>
        </w:tcBorders>
        <w:shd w:val="clear" w:color="auto" w:fill="D6F59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62AD0"/>
    <w:pPr>
      <w:spacing w:before="0" w:after="0"/>
    </w:pPr>
    <w:rPr>
      <w:rFonts w:asciiTheme="minorHAnsi" w:eastAsiaTheme="minorEastAsia"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F7D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EF7DB" w:themeFill="accent6"/>
      </w:tcPr>
    </w:tblStylePr>
    <w:tblStylePr w:type="lastCol">
      <w:rPr>
        <w:b/>
        <w:bCs/>
        <w:color w:val="FFFFFF" w:themeColor="background1"/>
      </w:rPr>
      <w:tblPr/>
      <w:tcPr>
        <w:tcBorders>
          <w:left w:val="nil"/>
          <w:right w:val="nil"/>
          <w:insideH w:val="nil"/>
          <w:insideV w:val="nil"/>
        </w:tcBorders>
        <w:shd w:val="clear" w:color="auto" w:fill="EEF7D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62AD0"/>
    <w:pPr>
      <w:spacing w:before="0" w:after="0"/>
    </w:pPr>
    <w:rPr>
      <w:rFonts w:asciiTheme="minorHAnsi" w:eastAsiaTheme="minorEastAsia" w:hAnsiTheme="minorHAnsi"/>
      <w:color w:val="1E1E1E" w:themeColor="text1"/>
      <w:sz w:val="22"/>
      <w:szCs w:val="22"/>
    </w:rPr>
    <w:tblPr>
      <w:tblStyleRowBandSize w:val="1"/>
      <w:tblStyleColBandSize w:val="1"/>
      <w:tblBorders>
        <w:top w:val="single" w:sz="8" w:space="0" w:color="1E1E1E" w:themeColor="text1"/>
        <w:bottom w:val="single" w:sz="8" w:space="0" w:color="1E1E1E" w:themeColor="text1"/>
      </w:tblBorders>
    </w:tblPr>
    <w:tblStylePr w:type="firstRow">
      <w:rPr>
        <w:rFonts w:asciiTheme="majorHAnsi" w:eastAsiaTheme="majorEastAsia" w:hAnsiTheme="majorHAnsi" w:cstheme="majorBidi"/>
      </w:rPr>
      <w:tblPr/>
      <w:tcPr>
        <w:tcBorders>
          <w:top w:val="nil"/>
          <w:bottom w:val="single" w:sz="8" w:space="0" w:color="1E1E1E" w:themeColor="text1"/>
        </w:tcBorders>
      </w:tcPr>
    </w:tblStylePr>
    <w:tblStylePr w:type="lastRow">
      <w:rPr>
        <w:b/>
        <w:bCs/>
        <w:color w:val="3C533C" w:themeColor="text2"/>
      </w:rPr>
      <w:tblPr/>
      <w:tcPr>
        <w:tcBorders>
          <w:top w:val="single" w:sz="8" w:space="0" w:color="1E1E1E" w:themeColor="text1"/>
          <w:bottom w:val="single" w:sz="8" w:space="0" w:color="1E1E1E" w:themeColor="text1"/>
        </w:tcBorders>
      </w:tcPr>
    </w:tblStylePr>
    <w:tblStylePr w:type="firstCol">
      <w:rPr>
        <w:b/>
        <w:bCs/>
      </w:rPr>
    </w:tblStylePr>
    <w:tblStylePr w:type="lastCol">
      <w:rPr>
        <w:b/>
        <w:bCs/>
      </w:rPr>
      <w:tblPr/>
      <w:tcPr>
        <w:tcBorders>
          <w:top w:val="single" w:sz="8" w:space="0" w:color="1E1E1E" w:themeColor="text1"/>
          <w:bottom w:val="single" w:sz="8" w:space="0" w:color="1E1E1E" w:themeColor="text1"/>
        </w:tcBorders>
      </w:tcPr>
    </w:tblStylePr>
    <w:tblStylePr w:type="band1Vert">
      <w:tblPr/>
      <w:tcPr>
        <w:shd w:val="clear" w:color="auto" w:fill="C7C7C7" w:themeFill="text1" w:themeFillTint="3F"/>
      </w:tcPr>
    </w:tblStylePr>
    <w:tblStylePr w:type="band1Horz">
      <w:tblPr/>
      <w:tcPr>
        <w:shd w:val="clear" w:color="auto" w:fill="C7C7C7" w:themeFill="text1" w:themeFillTint="3F"/>
      </w:tcPr>
    </w:tblStylePr>
  </w:style>
  <w:style w:type="table" w:styleId="MediumList1-Accent1">
    <w:name w:val="Medium List 1 Accent 1"/>
    <w:basedOn w:val="TableNormal"/>
    <w:uiPriority w:val="65"/>
    <w:rsid w:val="00C62AD0"/>
    <w:pPr>
      <w:spacing w:before="0" w:after="0"/>
    </w:pPr>
    <w:rPr>
      <w:rFonts w:asciiTheme="minorHAnsi" w:eastAsiaTheme="minorEastAsia" w:hAnsiTheme="minorHAnsi"/>
      <w:color w:val="1E1E1E" w:themeColor="text1"/>
      <w:sz w:val="22"/>
      <w:szCs w:val="22"/>
    </w:rPr>
    <w:tblPr>
      <w:tblStyleRowBandSize w:val="1"/>
      <w:tblStyleColBandSize w:val="1"/>
      <w:tblBorders>
        <w:top w:val="single" w:sz="8" w:space="0" w:color="3C533C" w:themeColor="accent1"/>
        <w:bottom w:val="single" w:sz="8" w:space="0" w:color="3C533C" w:themeColor="accent1"/>
      </w:tblBorders>
    </w:tblPr>
    <w:tblStylePr w:type="firstRow">
      <w:rPr>
        <w:rFonts w:asciiTheme="majorHAnsi" w:eastAsiaTheme="majorEastAsia" w:hAnsiTheme="majorHAnsi" w:cstheme="majorBidi"/>
      </w:rPr>
      <w:tblPr/>
      <w:tcPr>
        <w:tcBorders>
          <w:top w:val="nil"/>
          <w:bottom w:val="single" w:sz="8" w:space="0" w:color="3C533C" w:themeColor="accent1"/>
        </w:tcBorders>
      </w:tcPr>
    </w:tblStylePr>
    <w:tblStylePr w:type="lastRow">
      <w:rPr>
        <w:b/>
        <w:bCs/>
        <w:color w:val="3C533C" w:themeColor="text2"/>
      </w:rPr>
      <w:tblPr/>
      <w:tcPr>
        <w:tcBorders>
          <w:top w:val="single" w:sz="8" w:space="0" w:color="3C533C" w:themeColor="accent1"/>
          <w:bottom w:val="single" w:sz="8" w:space="0" w:color="3C533C" w:themeColor="accent1"/>
        </w:tcBorders>
      </w:tcPr>
    </w:tblStylePr>
    <w:tblStylePr w:type="firstCol">
      <w:rPr>
        <w:b/>
        <w:bCs/>
      </w:rPr>
    </w:tblStylePr>
    <w:tblStylePr w:type="lastCol">
      <w:rPr>
        <w:b/>
        <w:bCs/>
      </w:rPr>
      <w:tblPr/>
      <w:tcPr>
        <w:tcBorders>
          <w:top w:val="single" w:sz="8" w:space="0" w:color="3C533C" w:themeColor="accent1"/>
          <w:bottom w:val="single" w:sz="8" w:space="0" w:color="3C533C" w:themeColor="accent1"/>
        </w:tcBorders>
      </w:tcPr>
    </w:tblStylePr>
    <w:tblStylePr w:type="band1Vert">
      <w:tblPr/>
      <w:tcPr>
        <w:shd w:val="clear" w:color="auto" w:fill="CAD8CA" w:themeFill="accent1" w:themeFillTint="3F"/>
      </w:tcPr>
    </w:tblStylePr>
    <w:tblStylePr w:type="band1Horz">
      <w:tblPr/>
      <w:tcPr>
        <w:shd w:val="clear" w:color="auto" w:fill="CAD8CA" w:themeFill="accent1" w:themeFillTint="3F"/>
      </w:tcPr>
    </w:tblStylePr>
  </w:style>
  <w:style w:type="table" w:styleId="MediumList1-Accent2">
    <w:name w:val="Medium List 1 Accent 2"/>
    <w:basedOn w:val="TableNormal"/>
    <w:uiPriority w:val="65"/>
    <w:rsid w:val="00C62AD0"/>
    <w:pPr>
      <w:spacing w:before="0" w:after="0"/>
    </w:pPr>
    <w:rPr>
      <w:rFonts w:asciiTheme="minorHAnsi" w:eastAsiaTheme="minorEastAsia" w:hAnsiTheme="minorHAnsi"/>
      <w:color w:val="1E1E1E" w:themeColor="text1"/>
      <w:sz w:val="22"/>
      <w:szCs w:val="22"/>
    </w:rPr>
    <w:tblPr>
      <w:tblStyleRowBandSize w:val="1"/>
      <w:tblStyleColBandSize w:val="1"/>
      <w:tblBorders>
        <w:top w:val="single" w:sz="8" w:space="0" w:color="A9C272" w:themeColor="accent2"/>
        <w:bottom w:val="single" w:sz="8" w:space="0" w:color="A9C272" w:themeColor="accent2"/>
      </w:tblBorders>
    </w:tblPr>
    <w:tblStylePr w:type="firstRow">
      <w:rPr>
        <w:rFonts w:asciiTheme="majorHAnsi" w:eastAsiaTheme="majorEastAsia" w:hAnsiTheme="majorHAnsi" w:cstheme="majorBidi"/>
      </w:rPr>
      <w:tblPr/>
      <w:tcPr>
        <w:tcBorders>
          <w:top w:val="nil"/>
          <w:bottom w:val="single" w:sz="8" w:space="0" w:color="A9C272" w:themeColor="accent2"/>
        </w:tcBorders>
      </w:tcPr>
    </w:tblStylePr>
    <w:tblStylePr w:type="lastRow">
      <w:rPr>
        <w:b/>
        <w:bCs/>
        <w:color w:val="3C533C" w:themeColor="text2"/>
      </w:rPr>
      <w:tblPr/>
      <w:tcPr>
        <w:tcBorders>
          <w:top w:val="single" w:sz="8" w:space="0" w:color="A9C272" w:themeColor="accent2"/>
          <w:bottom w:val="single" w:sz="8" w:space="0" w:color="A9C272" w:themeColor="accent2"/>
        </w:tcBorders>
      </w:tcPr>
    </w:tblStylePr>
    <w:tblStylePr w:type="firstCol">
      <w:rPr>
        <w:b/>
        <w:bCs/>
      </w:rPr>
    </w:tblStylePr>
    <w:tblStylePr w:type="lastCol">
      <w:rPr>
        <w:b/>
        <w:bCs/>
      </w:rPr>
      <w:tblPr/>
      <w:tcPr>
        <w:tcBorders>
          <w:top w:val="single" w:sz="8" w:space="0" w:color="A9C272" w:themeColor="accent2"/>
          <w:bottom w:val="single" w:sz="8" w:space="0" w:color="A9C272" w:themeColor="accent2"/>
        </w:tcBorders>
      </w:tcPr>
    </w:tblStylePr>
    <w:tblStylePr w:type="band1Vert">
      <w:tblPr/>
      <w:tcPr>
        <w:shd w:val="clear" w:color="auto" w:fill="E9F0DC" w:themeFill="accent2" w:themeFillTint="3F"/>
      </w:tcPr>
    </w:tblStylePr>
    <w:tblStylePr w:type="band1Horz">
      <w:tblPr/>
      <w:tcPr>
        <w:shd w:val="clear" w:color="auto" w:fill="E9F0DC" w:themeFill="accent2" w:themeFillTint="3F"/>
      </w:tcPr>
    </w:tblStylePr>
  </w:style>
  <w:style w:type="table" w:styleId="MediumList1-Accent3">
    <w:name w:val="Medium List 1 Accent 3"/>
    <w:basedOn w:val="TableNormal"/>
    <w:uiPriority w:val="65"/>
    <w:rsid w:val="00C62AD0"/>
    <w:pPr>
      <w:spacing w:before="0" w:after="0"/>
    </w:pPr>
    <w:rPr>
      <w:rFonts w:asciiTheme="minorHAnsi" w:eastAsiaTheme="minorEastAsia" w:hAnsiTheme="minorHAnsi"/>
      <w:color w:val="1E1E1E" w:themeColor="text1"/>
      <w:sz w:val="22"/>
      <w:szCs w:val="22"/>
    </w:rPr>
    <w:tblPr>
      <w:tblStyleRowBandSize w:val="1"/>
      <w:tblStyleColBandSize w:val="1"/>
      <w:tblBorders>
        <w:top w:val="single" w:sz="8" w:space="0" w:color="667545" w:themeColor="accent3"/>
        <w:bottom w:val="single" w:sz="8" w:space="0" w:color="667545" w:themeColor="accent3"/>
      </w:tblBorders>
    </w:tblPr>
    <w:tblStylePr w:type="firstRow">
      <w:rPr>
        <w:rFonts w:asciiTheme="majorHAnsi" w:eastAsiaTheme="majorEastAsia" w:hAnsiTheme="majorHAnsi" w:cstheme="majorBidi"/>
      </w:rPr>
      <w:tblPr/>
      <w:tcPr>
        <w:tcBorders>
          <w:top w:val="nil"/>
          <w:bottom w:val="single" w:sz="8" w:space="0" w:color="667545" w:themeColor="accent3"/>
        </w:tcBorders>
      </w:tcPr>
    </w:tblStylePr>
    <w:tblStylePr w:type="lastRow">
      <w:rPr>
        <w:b/>
        <w:bCs/>
        <w:color w:val="3C533C" w:themeColor="text2"/>
      </w:rPr>
      <w:tblPr/>
      <w:tcPr>
        <w:tcBorders>
          <w:top w:val="single" w:sz="8" w:space="0" w:color="667545" w:themeColor="accent3"/>
          <w:bottom w:val="single" w:sz="8" w:space="0" w:color="667545" w:themeColor="accent3"/>
        </w:tcBorders>
      </w:tcPr>
    </w:tblStylePr>
    <w:tblStylePr w:type="firstCol">
      <w:rPr>
        <w:b/>
        <w:bCs/>
      </w:rPr>
    </w:tblStylePr>
    <w:tblStylePr w:type="lastCol">
      <w:rPr>
        <w:b/>
        <w:bCs/>
      </w:rPr>
      <w:tblPr/>
      <w:tcPr>
        <w:tcBorders>
          <w:top w:val="single" w:sz="8" w:space="0" w:color="667545" w:themeColor="accent3"/>
          <w:bottom w:val="single" w:sz="8" w:space="0" w:color="667545" w:themeColor="accent3"/>
        </w:tcBorders>
      </w:tcPr>
    </w:tblStylePr>
    <w:tblStylePr w:type="band1Vert">
      <w:tblPr/>
      <w:tcPr>
        <w:shd w:val="clear" w:color="auto" w:fill="DAE1CC" w:themeFill="accent3" w:themeFillTint="3F"/>
      </w:tcPr>
    </w:tblStylePr>
    <w:tblStylePr w:type="band1Horz">
      <w:tblPr/>
      <w:tcPr>
        <w:shd w:val="clear" w:color="auto" w:fill="DAE1CC" w:themeFill="accent3" w:themeFillTint="3F"/>
      </w:tcPr>
    </w:tblStylePr>
  </w:style>
  <w:style w:type="table" w:styleId="MediumList1-Accent4">
    <w:name w:val="Medium List 1 Accent 4"/>
    <w:basedOn w:val="TableNormal"/>
    <w:uiPriority w:val="65"/>
    <w:rsid w:val="00C62AD0"/>
    <w:pPr>
      <w:spacing w:before="0" w:after="0"/>
    </w:pPr>
    <w:rPr>
      <w:rFonts w:asciiTheme="minorHAnsi" w:eastAsiaTheme="minorEastAsia" w:hAnsiTheme="minorHAnsi"/>
      <w:color w:val="1E1E1E" w:themeColor="text1"/>
      <w:sz w:val="22"/>
      <w:szCs w:val="22"/>
    </w:rPr>
    <w:tblPr>
      <w:tblStyleRowBandSize w:val="1"/>
      <w:tblStyleColBandSize w:val="1"/>
      <w:tblBorders>
        <w:top w:val="single" w:sz="8" w:space="0" w:color="263326" w:themeColor="accent4"/>
        <w:bottom w:val="single" w:sz="8" w:space="0" w:color="263326" w:themeColor="accent4"/>
      </w:tblBorders>
    </w:tblPr>
    <w:tblStylePr w:type="firstRow">
      <w:rPr>
        <w:rFonts w:asciiTheme="majorHAnsi" w:eastAsiaTheme="majorEastAsia" w:hAnsiTheme="majorHAnsi" w:cstheme="majorBidi"/>
      </w:rPr>
      <w:tblPr/>
      <w:tcPr>
        <w:tcBorders>
          <w:top w:val="nil"/>
          <w:bottom w:val="single" w:sz="8" w:space="0" w:color="263326" w:themeColor="accent4"/>
        </w:tcBorders>
      </w:tcPr>
    </w:tblStylePr>
    <w:tblStylePr w:type="lastRow">
      <w:rPr>
        <w:b/>
        <w:bCs/>
        <w:color w:val="3C533C" w:themeColor="text2"/>
      </w:rPr>
      <w:tblPr/>
      <w:tcPr>
        <w:tcBorders>
          <w:top w:val="single" w:sz="8" w:space="0" w:color="263326" w:themeColor="accent4"/>
          <w:bottom w:val="single" w:sz="8" w:space="0" w:color="263326" w:themeColor="accent4"/>
        </w:tcBorders>
      </w:tcPr>
    </w:tblStylePr>
    <w:tblStylePr w:type="firstCol">
      <w:rPr>
        <w:b/>
        <w:bCs/>
      </w:rPr>
    </w:tblStylePr>
    <w:tblStylePr w:type="lastCol">
      <w:rPr>
        <w:b/>
        <w:bCs/>
      </w:rPr>
      <w:tblPr/>
      <w:tcPr>
        <w:tcBorders>
          <w:top w:val="single" w:sz="8" w:space="0" w:color="263326" w:themeColor="accent4"/>
          <w:bottom w:val="single" w:sz="8" w:space="0" w:color="263326" w:themeColor="accent4"/>
        </w:tcBorders>
      </w:tcPr>
    </w:tblStylePr>
    <w:tblStylePr w:type="band1Vert">
      <w:tblPr/>
      <w:tcPr>
        <w:shd w:val="clear" w:color="auto" w:fill="C3D2C3" w:themeFill="accent4" w:themeFillTint="3F"/>
      </w:tcPr>
    </w:tblStylePr>
    <w:tblStylePr w:type="band1Horz">
      <w:tblPr/>
      <w:tcPr>
        <w:shd w:val="clear" w:color="auto" w:fill="C3D2C3" w:themeFill="accent4" w:themeFillTint="3F"/>
      </w:tcPr>
    </w:tblStylePr>
  </w:style>
  <w:style w:type="table" w:styleId="MediumList1-Accent5">
    <w:name w:val="Medium List 1 Accent 5"/>
    <w:basedOn w:val="TableNormal"/>
    <w:uiPriority w:val="65"/>
    <w:rsid w:val="00C62AD0"/>
    <w:pPr>
      <w:spacing w:before="0" w:after="0"/>
    </w:pPr>
    <w:rPr>
      <w:rFonts w:asciiTheme="minorHAnsi" w:eastAsiaTheme="minorEastAsia" w:hAnsiTheme="minorHAnsi"/>
      <w:color w:val="1E1E1E" w:themeColor="text1"/>
      <w:sz w:val="22"/>
      <w:szCs w:val="22"/>
    </w:rPr>
    <w:tblPr>
      <w:tblStyleRowBandSize w:val="1"/>
      <w:tblStyleColBandSize w:val="1"/>
      <w:tblBorders>
        <w:top w:val="single" w:sz="8" w:space="0" w:color="D6F591" w:themeColor="accent5"/>
        <w:bottom w:val="single" w:sz="8" w:space="0" w:color="D6F591" w:themeColor="accent5"/>
      </w:tblBorders>
    </w:tblPr>
    <w:tblStylePr w:type="firstRow">
      <w:rPr>
        <w:rFonts w:asciiTheme="majorHAnsi" w:eastAsiaTheme="majorEastAsia" w:hAnsiTheme="majorHAnsi" w:cstheme="majorBidi"/>
      </w:rPr>
      <w:tblPr/>
      <w:tcPr>
        <w:tcBorders>
          <w:top w:val="nil"/>
          <w:bottom w:val="single" w:sz="8" w:space="0" w:color="D6F591" w:themeColor="accent5"/>
        </w:tcBorders>
      </w:tcPr>
    </w:tblStylePr>
    <w:tblStylePr w:type="lastRow">
      <w:rPr>
        <w:b/>
        <w:bCs/>
        <w:color w:val="3C533C" w:themeColor="text2"/>
      </w:rPr>
      <w:tblPr/>
      <w:tcPr>
        <w:tcBorders>
          <w:top w:val="single" w:sz="8" w:space="0" w:color="D6F591" w:themeColor="accent5"/>
          <w:bottom w:val="single" w:sz="8" w:space="0" w:color="D6F591" w:themeColor="accent5"/>
        </w:tcBorders>
      </w:tcPr>
    </w:tblStylePr>
    <w:tblStylePr w:type="firstCol">
      <w:rPr>
        <w:b/>
        <w:bCs/>
      </w:rPr>
    </w:tblStylePr>
    <w:tblStylePr w:type="lastCol">
      <w:rPr>
        <w:b/>
        <w:bCs/>
      </w:rPr>
      <w:tblPr/>
      <w:tcPr>
        <w:tcBorders>
          <w:top w:val="single" w:sz="8" w:space="0" w:color="D6F591" w:themeColor="accent5"/>
          <w:bottom w:val="single" w:sz="8" w:space="0" w:color="D6F591" w:themeColor="accent5"/>
        </w:tcBorders>
      </w:tcPr>
    </w:tblStylePr>
    <w:tblStylePr w:type="band1Vert">
      <w:tblPr/>
      <w:tcPr>
        <w:shd w:val="clear" w:color="auto" w:fill="F4FCE3" w:themeFill="accent5" w:themeFillTint="3F"/>
      </w:tcPr>
    </w:tblStylePr>
    <w:tblStylePr w:type="band1Horz">
      <w:tblPr/>
      <w:tcPr>
        <w:shd w:val="clear" w:color="auto" w:fill="F4FCE3" w:themeFill="accent5" w:themeFillTint="3F"/>
      </w:tcPr>
    </w:tblStylePr>
  </w:style>
  <w:style w:type="table" w:styleId="MediumList1-Accent6">
    <w:name w:val="Medium List 1 Accent 6"/>
    <w:basedOn w:val="TableNormal"/>
    <w:uiPriority w:val="65"/>
    <w:rsid w:val="00C62AD0"/>
    <w:pPr>
      <w:spacing w:before="0" w:after="0"/>
    </w:pPr>
    <w:rPr>
      <w:rFonts w:asciiTheme="minorHAnsi" w:eastAsiaTheme="minorEastAsia" w:hAnsiTheme="minorHAnsi"/>
      <w:color w:val="1E1E1E" w:themeColor="text1"/>
      <w:sz w:val="22"/>
      <w:szCs w:val="22"/>
    </w:rPr>
    <w:tblPr>
      <w:tblStyleRowBandSize w:val="1"/>
      <w:tblStyleColBandSize w:val="1"/>
      <w:tblBorders>
        <w:top w:val="single" w:sz="8" w:space="0" w:color="EEF7DB" w:themeColor="accent6"/>
        <w:bottom w:val="single" w:sz="8" w:space="0" w:color="EEF7DB" w:themeColor="accent6"/>
      </w:tblBorders>
    </w:tblPr>
    <w:tblStylePr w:type="firstRow">
      <w:rPr>
        <w:rFonts w:asciiTheme="majorHAnsi" w:eastAsiaTheme="majorEastAsia" w:hAnsiTheme="majorHAnsi" w:cstheme="majorBidi"/>
      </w:rPr>
      <w:tblPr/>
      <w:tcPr>
        <w:tcBorders>
          <w:top w:val="nil"/>
          <w:bottom w:val="single" w:sz="8" w:space="0" w:color="EEF7DB" w:themeColor="accent6"/>
        </w:tcBorders>
      </w:tcPr>
    </w:tblStylePr>
    <w:tblStylePr w:type="lastRow">
      <w:rPr>
        <w:b/>
        <w:bCs/>
        <w:color w:val="3C533C" w:themeColor="text2"/>
      </w:rPr>
      <w:tblPr/>
      <w:tcPr>
        <w:tcBorders>
          <w:top w:val="single" w:sz="8" w:space="0" w:color="EEF7DB" w:themeColor="accent6"/>
          <w:bottom w:val="single" w:sz="8" w:space="0" w:color="EEF7DB" w:themeColor="accent6"/>
        </w:tcBorders>
      </w:tcPr>
    </w:tblStylePr>
    <w:tblStylePr w:type="firstCol">
      <w:rPr>
        <w:b/>
        <w:bCs/>
      </w:rPr>
    </w:tblStylePr>
    <w:tblStylePr w:type="lastCol">
      <w:rPr>
        <w:b/>
        <w:bCs/>
      </w:rPr>
      <w:tblPr/>
      <w:tcPr>
        <w:tcBorders>
          <w:top w:val="single" w:sz="8" w:space="0" w:color="EEF7DB" w:themeColor="accent6"/>
          <w:bottom w:val="single" w:sz="8" w:space="0" w:color="EEF7DB" w:themeColor="accent6"/>
        </w:tcBorders>
      </w:tcPr>
    </w:tblStylePr>
    <w:tblStylePr w:type="band1Vert">
      <w:tblPr/>
      <w:tcPr>
        <w:shd w:val="clear" w:color="auto" w:fill="FAFDF6" w:themeFill="accent6" w:themeFillTint="3F"/>
      </w:tcPr>
    </w:tblStylePr>
    <w:tblStylePr w:type="band1Horz">
      <w:tblPr/>
      <w:tcPr>
        <w:shd w:val="clear" w:color="auto" w:fill="FAFDF6" w:themeFill="accent6" w:themeFillTint="3F"/>
      </w:tcPr>
    </w:tblStylePr>
  </w:style>
  <w:style w:type="table" w:styleId="MediumList2">
    <w:name w:val="Medium List 2"/>
    <w:basedOn w:val="TableNormal"/>
    <w:uiPriority w:val="66"/>
    <w:rsid w:val="00C62AD0"/>
    <w:pPr>
      <w:spacing w:before="0" w:after="0"/>
    </w:pPr>
    <w:rPr>
      <w:rFonts w:asciiTheme="majorHAnsi" w:eastAsiaTheme="majorEastAsia" w:hAnsiTheme="majorHAnsi" w:cstheme="majorBidi"/>
      <w:color w:val="1E1E1E" w:themeColor="text1"/>
      <w:sz w:val="22"/>
      <w:szCs w:val="22"/>
    </w:rPr>
    <w:tblPr>
      <w:tblStyleRowBandSize w:val="1"/>
      <w:tblStyleColBandSize w:val="1"/>
      <w:tblBorders>
        <w:top w:val="single" w:sz="8" w:space="0" w:color="1E1E1E" w:themeColor="text1"/>
        <w:left w:val="single" w:sz="8" w:space="0" w:color="1E1E1E" w:themeColor="text1"/>
        <w:bottom w:val="single" w:sz="8" w:space="0" w:color="1E1E1E" w:themeColor="text1"/>
        <w:right w:val="single" w:sz="8" w:space="0" w:color="1E1E1E" w:themeColor="text1"/>
      </w:tblBorders>
    </w:tblPr>
    <w:tblStylePr w:type="firstRow">
      <w:rPr>
        <w:sz w:val="24"/>
        <w:szCs w:val="24"/>
      </w:rPr>
      <w:tblPr/>
      <w:tcPr>
        <w:tcBorders>
          <w:top w:val="nil"/>
          <w:left w:val="nil"/>
          <w:bottom w:val="single" w:sz="24" w:space="0" w:color="1E1E1E" w:themeColor="text1"/>
          <w:right w:val="nil"/>
          <w:insideH w:val="nil"/>
          <w:insideV w:val="nil"/>
        </w:tcBorders>
        <w:shd w:val="clear" w:color="auto" w:fill="FFFFFF" w:themeFill="background1"/>
      </w:tcPr>
    </w:tblStylePr>
    <w:tblStylePr w:type="lastRow">
      <w:tblPr/>
      <w:tcPr>
        <w:tcBorders>
          <w:top w:val="single" w:sz="8" w:space="0" w:color="1E1E1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1E1E" w:themeColor="text1"/>
          <w:insideH w:val="nil"/>
          <w:insideV w:val="nil"/>
        </w:tcBorders>
        <w:shd w:val="clear" w:color="auto" w:fill="FFFFFF" w:themeFill="background1"/>
      </w:tcPr>
    </w:tblStylePr>
    <w:tblStylePr w:type="lastCol">
      <w:tblPr/>
      <w:tcPr>
        <w:tcBorders>
          <w:top w:val="nil"/>
          <w:left w:val="single" w:sz="8" w:space="0" w:color="1E1E1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C7C7" w:themeFill="text1" w:themeFillTint="3F"/>
      </w:tcPr>
    </w:tblStylePr>
    <w:tblStylePr w:type="band1Horz">
      <w:tblPr/>
      <w:tcPr>
        <w:tcBorders>
          <w:top w:val="nil"/>
          <w:bottom w:val="nil"/>
          <w:insideH w:val="nil"/>
          <w:insideV w:val="nil"/>
        </w:tcBorders>
        <w:shd w:val="clear" w:color="auto" w:fill="C7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62AD0"/>
    <w:pPr>
      <w:spacing w:before="0" w:after="0"/>
    </w:pPr>
    <w:rPr>
      <w:rFonts w:asciiTheme="majorHAnsi" w:eastAsiaTheme="majorEastAsia" w:hAnsiTheme="majorHAnsi" w:cstheme="majorBidi"/>
      <w:color w:val="1E1E1E" w:themeColor="text1"/>
      <w:sz w:val="22"/>
      <w:szCs w:val="22"/>
    </w:rPr>
    <w:tblPr>
      <w:tblStyleRowBandSize w:val="1"/>
      <w:tblStyleColBandSize w:val="1"/>
      <w:tblBorders>
        <w:top w:val="single" w:sz="8" w:space="0" w:color="3C533C" w:themeColor="accent1"/>
        <w:left w:val="single" w:sz="8" w:space="0" w:color="3C533C" w:themeColor="accent1"/>
        <w:bottom w:val="single" w:sz="8" w:space="0" w:color="3C533C" w:themeColor="accent1"/>
        <w:right w:val="single" w:sz="8" w:space="0" w:color="3C533C" w:themeColor="accent1"/>
      </w:tblBorders>
    </w:tblPr>
    <w:tblStylePr w:type="firstRow">
      <w:rPr>
        <w:sz w:val="24"/>
        <w:szCs w:val="24"/>
      </w:rPr>
      <w:tblPr/>
      <w:tcPr>
        <w:tcBorders>
          <w:top w:val="nil"/>
          <w:left w:val="nil"/>
          <w:bottom w:val="single" w:sz="24" w:space="0" w:color="3C533C" w:themeColor="accent1"/>
          <w:right w:val="nil"/>
          <w:insideH w:val="nil"/>
          <w:insideV w:val="nil"/>
        </w:tcBorders>
        <w:shd w:val="clear" w:color="auto" w:fill="FFFFFF" w:themeFill="background1"/>
      </w:tcPr>
    </w:tblStylePr>
    <w:tblStylePr w:type="lastRow">
      <w:tblPr/>
      <w:tcPr>
        <w:tcBorders>
          <w:top w:val="single" w:sz="8" w:space="0" w:color="3C533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33C" w:themeColor="accent1"/>
          <w:insideH w:val="nil"/>
          <w:insideV w:val="nil"/>
        </w:tcBorders>
        <w:shd w:val="clear" w:color="auto" w:fill="FFFFFF" w:themeFill="background1"/>
      </w:tcPr>
    </w:tblStylePr>
    <w:tblStylePr w:type="lastCol">
      <w:tblPr/>
      <w:tcPr>
        <w:tcBorders>
          <w:top w:val="nil"/>
          <w:left w:val="single" w:sz="8" w:space="0" w:color="3C533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D8CA" w:themeFill="accent1" w:themeFillTint="3F"/>
      </w:tcPr>
    </w:tblStylePr>
    <w:tblStylePr w:type="band1Horz">
      <w:tblPr/>
      <w:tcPr>
        <w:tcBorders>
          <w:top w:val="nil"/>
          <w:bottom w:val="nil"/>
          <w:insideH w:val="nil"/>
          <w:insideV w:val="nil"/>
        </w:tcBorders>
        <w:shd w:val="clear" w:color="auto" w:fill="CAD8C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62AD0"/>
    <w:pPr>
      <w:spacing w:before="0" w:after="0"/>
    </w:pPr>
    <w:rPr>
      <w:rFonts w:asciiTheme="majorHAnsi" w:eastAsiaTheme="majorEastAsia" w:hAnsiTheme="majorHAnsi" w:cstheme="majorBidi"/>
      <w:color w:val="1E1E1E" w:themeColor="text1"/>
      <w:sz w:val="22"/>
      <w:szCs w:val="22"/>
    </w:rPr>
    <w:tblPr>
      <w:tblStyleRowBandSize w:val="1"/>
      <w:tblStyleColBandSize w:val="1"/>
      <w:tblBorders>
        <w:top w:val="single" w:sz="8" w:space="0" w:color="A9C272" w:themeColor="accent2"/>
        <w:left w:val="single" w:sz="8" w:space="0" w:color="A9C272" w:themeColor="accent2"/>
        <w:bottom w:val="single" w:sz="8" w:space="0" w:color="A9C272" w:themeColor="accent2"/>
        <w:right w:val="single" w:sz="8" w:space="0" w:color="A9C272" w:themeColor="accent2"/>
      </w:tblBorders>
    </w:tblPr>
    <w:tblStylePr w:type="firstRow">
      <w:rPr>
        <w:sz w:val="24"/>
        <w:szCs w:val="24"/>
      </w:rPr>
      <w:tblPr/>
      <w:tcPr>
        <w:tcBorders>
          <w:top w:val="nil"/>
          <w:left w:val="nil"/>
          <w:bottom w:val="single" w:sz="24" w:space="0" w:color="A9C272" w:themeColor="accent2"/>
          <w:right w:val="nil"/>
          <w:insideH w:val="nil"/>
          <w:insideV w:val="nil"/>
        </w:tcBorders>
        <w:shd w:val="clear" w:color="auto" w:fill="FFFFFF" w:themeFill="background1"/>
      </w:tcPr>
    </w:tblStylePr>
    <w:tblStylePr w:type="lastRow">
      <w:tblPr/>
      <w:tcPr>
        <w:tcBorders>
          <w:top w:val="single" w:sz="8" w:space="0" w:color="A9C27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C272" w:themeColor="accent2"/>
          <w:insideH w:val="nil"/>
          <w:insideV w:val="nil"/>
        </w:tcBorders>
        <w:shd w:val="clear" w:color="auto" w:fill="FFFFFF" w:themeFill="background1"/>
      </w:tcPr>
    </w:tblStylePr>
    <w:tblStylePr w:type="lastCol">
      <w:tblPr/>
      <w:tcPr>
        <w:tcBorders>
          <w:top w:val="nil"/>
          <w:left w:val="single" w:sz="8" w:space="0" w:color="A9C27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0DC" w:themeFill="accent2" w:themeFillTint="3F"/>
      </w:tcPr>
    </w:tblStylePr>
    <w:tblStylePr w:type="band1Horz">
      <w:tblPr/>
      <w:tcPr>
        <w:tcBorders>
          <w:top w:val="nil"/>
          <w:bottom w:val="nil"/>
          <w:insideH w:val="nil"/>
          <w:insideV w:val="nil"/>
        </w:tcBorders>
        <w:shd w:val="clear" w:color="auto" w:fill="E9F0D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62AD0"/>
    <w:pPr>
      <w:spacing w:before="0" w:after="0"/>
    </w:pPr>
    <w:rPr>
      <w:rFonts w:asciiTheme="majorHAnsi" w:eastAsiaTheme="majorEastAsia" w:hAnsiTheme="majorHAnsi" w:cstheme="majorBidi"/>
      <w:color w:val="1E1E1E" w:themeColor="text1"/>
      <w:sz w:val="22"/>
      <w:szCs w:val="22"/>
    </w:rPr>
    <w:tblPr>
      <w:tblStyleRowBandSize w:val="1"/>
      <w:tblStyleColBandSize w:val="1"/>
      <w:tblBorders>
        <w:top w:val="single" w:sz="8" w:space="0" w:color="667545" w:themeColor="accent3"/>
        <w:left w:val="single" w:sz="8" w:space="0" w:color="667545" w:themeColor="accent3"/>
        <w:bottom w:val="single" w:sz="8" w:space="0" w:color="667545" w:themeColor="accent3"/>
        <w:right w:val="single" w:sz="8" w:space="0" w:color="667545" w:themeColor="accent3"/>
      </w:tblBorders>
    </w:tblPr>
    <w:tblStylePr w:type="firstRow">
      <w:rPr>
        <w:sz w:val="24"/>
        <w:szCs w:val="24"/>
      </w:rPr>
      <w:tblPr/>
      <w:tcPr>
        <w:tcBorders>
          <w:top w:val="nil"/>
          <w:left w:val="nil"/>
          <w:bottom w:val="single" w:sz="24" w:space="0" w:color="667545" w:themeColor="accent3"/>
          <w:right w:val="nil"/>
          <w:insideH w:val="nil"/>
          <w:insideV w:val="nil"/>
        </w:tcBorders>
        <w:shd w:val="clear" w:color="auto" w:fill="FFFFFF" w:themeFill="background1"/>
      </w:tcPr>
    </w:tblStylePr>
    <w:tblStylePr w:type="lastRow">
      <w:tblPr/>
      <w:tcPr>
        <w:tcBorders>
          <w:top w:val="single" w:sz="8" w:space="0" w:color="66754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7545" w:themeColor="accent3"/>
          <w:insideH w:val="nil"/>
          <w:insideV w:val="nil"/>
        </w:tcBorders>
        <w:shd w:val="clear" w:color="auto" w:fill="FFFFFF" w:themeFill="background1"/>
      </w:tcPr>
    </w:tblStylePr>
    <w:tblStylePr w:type="lastCol">
      <w:tblPr/>
      <w:tcPr>
        <w:tcBorders>
          <w:top w:val="nil"/>
          <w:left w:val="single" w:sz="8" w:space="0" w:color="66754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1CC" w:themeFill="accent3" w:themeFillTint="3F"/>
      </w:tcPr>
    </w:tblStylePr>
    <w:tblStylePr w:type="band1Horz">
      <w:tblPr/>
      <w:tcPr>
        <w:tcBorders>
          <w:top w:val="nil"/>
          <w:bottom w:val="nil"/>
          <w:insideH w:val="nil"/>
          <w:insideV w:val="nil"/>
        </w:tcBorders>
        <w:shd w:val="clear" w:color="auto" w:fill="DAE1C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62AD0"/>
    <w:pPr>
      <w:spacing w:before="0" w:after="0"/>
    </w:pPr>
    <w:rPr>
      <w:rFonts w:asciiTheme="majorHAnsi" w:eastAsiaTheme="majorEastAsia" w:hAnsiTheme="majorHAnsi" w:cstheme="majorBidi"/>
      <w:color w:val="1E1E1E" w:themeColor="text1"/>
      <w:sz w:val="22"/>
      <w:szCs w:val="22"/>
    </w:rPr>
    <w:tblPr>
      <w:tblStyleRowBandSize w:val="1"/>
      <w:tblStyleColBandSize w:val="1"/>
      <w:tblBorders>
        <w:top w:val="single" w:sz="8" w:space="0" w:color="263326" w:themeColor="accent4"/>
        <w:left w:val="single" w:sz="8" w:space="0" w:color="263326" w:themeColor="accent4"/>
        <w:bottom w:val="single" w:sz="8" w:space="0" w:color="263326" w:themeColor="accent4"/>
        <w:right w:val="single" w:sz="8" w:space="0" w:color="263326" w:themeColor="accent4"/>
      </w:tblBorders>
    </w:tblPr>
    <w:tblStylePr w:type="firstRow">
      <w:rPr>
        <w:sz w:val="24"/>
        <w:szCs w:val="24"/>
      </w:rPr>
      <w:tblPr/>
      <w:tcPr>
        <w:tcBorders>
          <w:top w:val="nil"/>
          <w:left w:val="nil"/>
          <w:bottom w:val="single" w:sz="24" w:space="0" w:color="263326" w:themeColor="accent4"/>
          <w:right w:val="nil"/>
          <w:insideH w:val="nil"/>
          <w:insideV w:val="nil"/>
        </w:tcBorders>
        <w:shd w:val="clear" w:color="auto" w:fill="FFFFFF" w:themeFill="background1"/>
      </w:tcPr>
    </w:tblStylePr>
    <w:tblStylePr w:type="lastRow">
      <w:tblPr/>
      <w:tcPr>
        <w:tcBorders>
          <w:top w:val="single" w:sz="8" w:space="0" w:color="26332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3326" w:themeColor="accent4"/>
          <w:insideH w:val="nil"/>
          <w:insideV w:val="nil"/>
        </w:tcBorders>
        <w:shd w:val="clear" w:color="auto" w:fill="FFFFFF" w:themeFill="background1"/>
      </w:tcPr>
    </w:tblStylePr>
    <w:tblStylePr w:type="lastCol">
      <w:tblPr/>
      <w:tcPr>
        <w:tcBorders>
          <w:top w:val="nil"/>
          <w:left w:val="single" w:sz="8" w:space="0" w:color="26332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D2C3" w:themeFill="accent4" w:themeFillTint="3F"/>
      </w:tcPr>
    </w:tblStylePr>
    <w:tblStylePr w:type="band1Horz">
      <w:tblPr/>
      <w:tcPr>
        <w:tcBorders>
          <w:top w:val="nil"/>
          <w:bottom w:val="nil"/>
          <w:insideH w:val="nil"/>
          <w:insideV w:val="nil"/>
        </w:tcBorders>
        <w:shd w:val="clear" w:color="auto" w:fill="C3D2C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62AD0"/>
    <w:pPr>
      <w:spacing w:before="0" w:after="0"/>
    </w:pPr>
    <w:rPr>
      <w:rFonts w:asciiTheme="majorHAnsi" w:eastAsiaTheme="majorEastAsia" w:hAnsiTheme="majorHAnsi" w:cstheme="majorBidi"/>
      <w:color w:val="1E1E1E" w:themeColor="text1"/>
      <w:sz w:val="22"/>
      <w:szCs w:val="22"/>
    </w:rPr>
    <w:tblPr>
      <w:tblStyleRowBandSize w:val="1"/>
      <w:tblStyleColBandSize w:val="1"/>
      <w:tblBorders>
        <w:top w:val="single" w:sz="8" w:space="0" w:color="D6F591" w:themeColor="accent5"/>
        <w:left w:val="single" w:sz="8" w:space="0" w:color="D6F591" w:themeColor="accent5"/>
        <w:bottom w:val="single" w:sz="8" w:space="0" w:color="D6F591" w:themeColor="accent5"/>
        <w:right w:val="single" w:sz="8" w:space="0" w:color="D6F591" w:themeColor="accent5"/>
      </w:tblBorders>
    </w:tblPr>
    <w:tblStylePr w:type="firstRow">
      <w:rPr>
        <w:sz w:val="24"/>
        <w:szCs w:val="24"/>
      </w:rPr>
      <w:tblPr/>
      <w:tcPr>
        <w:tcBorders>
          <w:top w:val="nil"/>
          <w:left w:val="nil"/>
          <w:bottom w:val="single" w:sz="24" w:space="0" w:color="D6F591" w:themeColor="accent5"/>
          <w:right w:val="nil"/>
          <w:insideH w:val="nil"/>
          <w:insideV w:val="nil"/>
        </w:tcBorders>
        <w:shd w:val="clear" w:color="auto" w:fill="FFFFFF" w:themeFill="background1"/>
      </w:tcPr>
    </w:tblStylePr>
    <w:tblStylePr w:type="lastRow">
      <w:tblPr/>
      <w:tcPr>
        <w:tcBorders>
          <w:top w:val="single" w:sz="8" w:space="0" w:color="D6F59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6F591" w:themeColor="accent5"/>
          <w:insideH w:val="nil"/>
          <w:insideV w:val="nil"/>
        </w:tcBorders>
        <w:shd w:val="clear" w:color="auto" w:fill="FFFFFF" w:themeFill="background1"/>
      </w:tcPr>
    </w:tblStylePr>
    <w:tblStylePr w:type="lastCol">
      <w:tblPr/>
      <w:tcPr>
        <w:tcBorders>
          <w:top w:val="nil"/>
          <w:left w:val="single" w:sz="8" w:space="0" w:color="D6F59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CE3" w:themeFill="accent5" w:themeFillTint="3F"/>
      </w:tcPr>
    </w:tblStylePr>
    <w:tblStylePr w:type="band1Horz">
      <w:tblPr/>
      <w:tcPr>
        <w:tcBorders>
          <w:top w:val="nil"/>
          <w:bottom w:val="nil"/>
          <w:insideH w:val="nil"/>
          <w:insideV w:val="nil"/>
        </w:tcBorders>
        <w:shd w:val="clear" w:color="auto" w:fill="F4FCE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62AD0"/>
    <w:pPr>
      <w:spacing w:before="0" w:after="0"/>
    </w:pPr>
    <w:rPr>
      <w:rFonts w:asciiTheme="majorHAnsi" w:eastAsiaTheme="majorEastAsia" w:hAnsiTheme="majorHAnsi" w:cstheme="majorBidi"/>
      <w:color w:val="1E1E1E" w:themeColor="text1"/>
      <w:sz w:val="22"/>
      <w:szCs w:val="22"/>
    </w:rPr>
    <w:tblPr>
      <w:tblStyleRowBandSize w:val="1"/>
      <w:tblStyleColBandSize w:val="1"/>
      <w:tblBorders>
        <w:top w:val="single" w:sz="8" w:space="0" w:color="EEF7DB" w:themeColor="accent6"/>
        <w:left w:val="single" w:sz="8" w:space="0" w:color="EEF7DB" w:themeColor="accent6"/>
        <w:bottom w:val="single" w:sz="8" w:space="0" w:color="EEF7DB" w:themeColor="accent6"/>
        <w:right w:val="single" w:sz="8" w:space="0" w:color="EEF7DB" w:themeColor="accent6"/>
      </w:tblBorders>
    </w:tblPr>
    <w:tblStylePr w:type="firstRow">
      <w:rPr>
        <w:sz w:val="24"/>
        <w:szCs w:val="24"/>
      </w:rPr>
      <w:tblPr/>
      <w:tcPr>
        <w:tcBorders>
          <w:top w:val="nil"/>
          <w:left w:val="nil"/>
          <w:bottom w:val="single" w:sz="24" w:space="0" w:color="EEF7DB" w:themeColor="accent6"/>
          <w:right w:val="nil"/>
          <w:insideH w:val="nil"/>
          <w:insideV w:val="nil"/>
        </w:tcBorders>
        <w:shd w:val="clear" w:color="auto" w:fill="FFFFFF" w:themeFill="background1"/>
      </w:tcPr>
    </w:tblStylePr>
    <w:tblStylePr w:type="lastRow">
      <w:tblPr/>
      <w:tcPr>
        <w:tcBorders>
          <w:top w:val="single" w:sz="8" w:space="0" w:color="EEF7D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EF7DB" w:themeColor="accent6"/>
          <w:insideH w:val="nil"/>
          <w:insideV w:val="nil"/>
        </w:tcBorders>
        <w:shd w:val="clear" w:color="auto" w:fill="FFFFFF" w:themeFill="background1"/>
      </w:tcPr>
    </w:tblStylePr>
    <w:tblStylePr w:type="lastCol">
      <w:tblPr/>
      <w:tcPr>
        <w:tcBorders>
          <w:top w:val="nil"/>
          <w:left w:val="single" w:sz="8" w:space="0" w:color="EEF7D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DF6" w:themeFill="accent6" w:themeFillTint="3F"/>
      </w:tcPr>
    </w:tblStylePr>
    <w:tblStylePr w:type="band1Horz">
      <w:tblPr/>
      <w:tcPr>
        <w:tcBorders>
          <w:top w:val="nil"/>
          <w:bottom w:val="nil"/>
          <w:insideH w:val="nil"/>
          <w:insideV w:val="nil"/>
        </w:tcBorders>
        <w:shd w:val="clear" w:color="auto" w:fill="FAFDF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62AD0"/>
    <w:pPr>
      <w:spacing w:before="0" w:after="0"/>
    </w:pPr>
    <w:rPr>
      <w:rFonts w:asciiTheme="minorHAnsi" w:eastAsiaTheme="minorEastAsia" w:hAnsiTheme="minorHAnsi"/>
      <w:sz w:val="22"/>
      <w:szCs w:val="22"/>
    </w:rPr>
    <w:tblPr>
      <w:tblStyleRowBandSize w:val="1"/>
      <w:tblStyleColBandSize w:val="1"/>
      <w:tblBorders>
        <w:top w:val="single" w:sz="8" w:space="0" w:color="565656" w:themeColor="text1" w:themeTint="BF"/>
        <w:left w:val="single" w:sz="8" w:space="0" w:color="565656" w:themeColor="text1" w:themeTint="BF"/>
        <w:bottom w:val="single" w:sz="8" w:space="0" w:color="565656" w:themeColor="text1" w:themeTint="BF"/>
        <w:right w:val="single" w:sz="8" w:space="0" w:color="565656" w:themeColor="text1" w:themeTint="BF"/>
        <w:insideH w:val="single" w:sz="8" w:space="0" w:color="565656" w:themeColor="text1" w:themeTint="BF"/>
        <w:insideV w:val="single" w:sz="8" w:space="0" w:color="565656" w:themeColor="text1" w:themeTint="BF"/>
      </w:tblBorders>
    </w:tblPr>
    <w:tcPr>
      <w:shd w:val="clear" w:color="auto" w:fill="C7C7C7" w:themeFill="text1" w:themeFillTint="3F"/>
    </w:tcPr>
    <w:tblStylePr w:type="firstRow">
      <w:rPr>
        <w:b/>
        <w:bCs/>
      </w:rPr>
    </w:tblStylePr>
    <w:tblStylePr w:type="lastRow">
      <w:rPr>
        <w:b/>
        <w:bCs/>
      </w:rPr>
      <w:tblPr/>
      <w:tcPr>
        <w:tcBorders>
          <w:top w:val="single" w:sz="18" w:space="0" w:color="565656" w:themeColor="text1" w:themeTint="BF"/>
        </w:tcBorders>
      </w:tcPr>
    </w:tblStylePr>
    <w:tblStylePr w:type="firstCol">
      <w:rPr>
        <w:b/>
        <w:bCs/>
      </w:rPr>
    </w:tblStylePr>
    <w:tblStylePr w:type="lastCol">
      <w:rPr>
        <w:b/>
        <w:bCs/>
      </w:rPr>
    </w:tblStylePr>
    <w:tblStylePr w:type="band1Vert">
      <w:tblPr/>
      <w:tcPr>
        <w:shd w:val="clear" w:color="auto" w:fill="8E8E8E" w:themeFill="text1" w:themeFillTint="7F"/>
      </w:tcPr>
    </w:tblStylePr>
    <w:tblStylePr w:type="band1Horz">
      <w:tblPr/>
      <w:tcPr>
        <w:shd w:val="clear" w:color="auto" w:fill="8E8E8E" w:themeFill="text1" w:themeFillTint="7F"/>
      </w:tcPr>
    </w:tblStylePr>
  </w:style>
  <w:style w:type="table" w:styleId="MediumGrid1-Accent1">
    <w:name w:val="Medium Grid 1 Accent 1"/>
    <w:basedOn w:val="TableNormal"/>
    <w:uiPriority w:val="67"/>
    <w:rsid w:val="00C62AD0"/>
    <w:pPr>
      <w:spacing w:before="0" w:after="0"/>
    </w:pPr>
    <w:rPr>
      <w:rFonts w:asciiTheme="minorHAnsi" w:eastAsiaTheme="minorEastAsia" w:hAnsiTheme="minorHAnsi"/>
      <w:sz w:val="22"/>
      <w:szCs w:val="22"/>
    </w:rPr>
    <w:tblPr>
      <w:tblStyleRowBandSize w:val="1"/>
      <w:tblStyleColBandSize w:val="1"/>
      <w:tblBorders>
        <w:top w:val="single" w:sz="8" w:space="0" w:color="628862" w:themeColor="accent1" w:themeTint="BF"/>
        <w:left w:val="single" w:sz="8" w:space="0" w:color="628862" w:themeColor="accent1" w:themeTint="BF"/>
        <w:bottom w:val="single" w:sz="8" w:space="0" w:color="628862" w:themeColor="accent1" w:themeTint="BF"/>
        <w:right w:val="single" w:sz="8" w:space="0" w:color="628862" w:themeColor="accent1" w:themeTint="BF"/>
        <w:insideH w:val="single" w:sz="8" w:space="0" w:color="628862" w:themeColor="accent1" w:themeTint="BF"/>
        <w:insideV w:val="single" w:sz="8" w:space="0" w:color="628862" w:themeColor="accent1" w:themeTint="BF"/>
      </w:tblBorders>
    </w:tblPr>
    <w:tcPr>
      <w:shd w:val="clear" w:color="auto" w:fill="CAD8CA" w:themeFill="accent1" w:themeFillTint="3F"/>
    </w:tcPr>
    <w:tblStylePr w:type="firstRow">
      <w:rPr>
        <w:b/>
        <w:bCs/>
      </w:rPr>
    </w:tblStylePr>
    <w:tblStylePr w:type="lastRow">
      <w:rPr>
        <w:b/>
        <w:bCs/>
      </w:rPr>
      <w:tblPr/>
      <w:tcPr>
        <w:tcBorders>
          <w:top w:val="single" w:sz="18" w:space="0" w:color="628862" w:themeColor="accent1" w:themeTint="BF"/>
        </w:tcBorders>
      </w:tcPr>
    </w:tblStylePr>
    <w:tblStylePr w:type="firstCol">
      <w:rPr>
        <w:b/>
        <w:bCs/>
      </w:rPr>
    </w:tblStylePr>
    <w:tblStylePr w:type="lastCol">
      <w:rPr>
        <w:b/>
        <w:bCs/>
      </w:rPr>
    </w:tblStylePr>
    <w:tblStylePr w:type="band1Vert">
      <w:tblPr/>
      <w:tcPr>
        <w:shd w:val="clear" w:color="auto" w:fill="94B294" w:themeFill="accent1" w:themeFillTint="7F"/>
      </w:tcPr>
    </w:tblStylePr>
    <w:tblStylePr w:type="band1Horz">
      <w:tblPr/>
      <w:tcPr>
        <w:shd w:val="clear" w:color="auto" w:fill="94B294" w:themeFill="accent1" w:themeFillTint="7F"/>
      </w:tcPr>
    </w:tblStylePr>
  </w:style>
  <w:style w:type="table" w:styleId="MediumGrid1-Accent2">
    <w:name w:val="Medium Grid 1 Accent 2"/>
    <w:basedOn w:val="TableNormal"/>
    <w:uiPriority w:val="67"/>
    <w:rsid w:val="00C62AD0"/>
    <w:pPr>
      <w:spacing w:before="0" w:after="0"/>
    </w:pPr>
    <w:rPr>
      <w:rFonts w:asciiTheme="minorHAnsi" w:eastAsiaTheme="minorEastAsia" w:hAnsiTheme="minorHAnsi"/>
      <w:sz w:val="22"/>
      <w:szCs w:val="22"/>
    </w:rPr>
    <w:tblPr>
      <w:tblStyleRowBandSize w:val="1"/>
      <w:tblStyleColBandSize w:val="1"/>
      <w:tblBorders>
        <w:top w:val="single" w:sz="8" w:space="0" w:color="BED195" w:themeColor="accent2" w:themeTint="BF"/>
        <w:left w:val="single" w:sz="8" w:space="0" w:color="BED195" w:themeColor="accent2" w:themeTint="BF"/>
        <w:bottom w:val="single" w:sz="8" w:space="0" w:color="BED195" w:themeColor="accent2" w:themeTint="BF"/>
        <w:right w:val="single" w:sz="8" w:space="0" w:color="BED195" w:themeColor="accent2" w:themeTint="BF"/>
        <w:insideH w:val="single" w:sz="8" w:space="0" w:color="BED195" w:themeColor="accent2" w:themeTint="BF"/>
        <w:insideV w:val="single" w:sz="8" w:space="0" w:color="BED195" w:themeColor="accent2" w:themeTint="BF"/>
      </w:tblBorders>
    </w:tblPr>
    <w:tcPr>
      <w:shd w:val="clear" w:color="auto" w:fill="E9F0DC" w:themeFill="accent2" w:themeFillTint="3F"/>
    </w:tcPr>
    <w:tblStylePr w:type="firstRow">
      <w:rPr>
        <w:b/>
        <w:bCs/>
      </w:rPr>
    </w:tblStylePr>
    <w:tblStylePr w:type="lastRow">
      <w:rPr>
        <w:b/>
        <w:bCs/>
      </w:rPr>
      <w:tblPr/>
      <w:tcPr>
        <w:tcBorders>
          <w:top w:val="single" w:sz="18" w:space="0" w:color="BED195" w:themeColor="accent2" w:themeTint="BF"/>
        </w:tcBorders>
      </w:tcPr>
    </w:tblStylePr>
    <w:tblStylePr w:type="firstCol">
      <w:rPr>
        <w:b/>
        <w:bCs/>
      </w:rPr>
    </w:tblStylePr>
    <w:tblStylePr w:type="lastCol">
      <w:rPr>
        <w:b/>
        <w:bCs/>
      </w:rPr>
    </w:tblStylePr>
    <w:tblStylePr w:type="band1Vert">
      <w:tblPr/>
      <w:tcPr>
        <w:shd w:val="clear" w:color="auto" w:fill="D4E0B8" w:themeFill="accent2" w:themeFillTint="7F"/>
      </w:tcPr>
    </w:tblStylePr>
    <w:tblStylePr w:type="band1Horz">
      <w:tblPr/>
      <w:tcPr>
        <w:shd w:val="clear" w:color="auto" w:fill="D4E0B8" w:themeFill="accent2" w:themeFillTint="7F"/>
      </w:tcPr>
    </w:tblStylePr>
  </w:style>
  <w:style w:type="table" w:styleId="MediumGrid1-Accent3">
    <w:name w:val="Medium Grid 1 Accent 3"/>
    <w:basedOn w:val="TableNormal"/>
    <w:uiPriority w:val="67"/>
    <w:rsid w:val="00C62AD0"/>
    <w:pPr>
      <w:spacing w:before="0" w:after="0"/>
    </w:pPr>
    <w:rPr>
      <w:rFonts w:asciiTheme="minorHAnsi" w:eastAsiaTheme="minorEastAsia" w:hAnsiTheme="minorHAnsi"/>
      <w:sz w:val="22"/>
      <w:szCs w:val="22"/>
    </w:rPr>
    <w:tblPr>
      <w:tblStyleRowBandSize w:val="1"/>
      <w:tblStyleColBandSize w:val="1"/>
      <w:tblBorders>
        <w:top w:val="single" w:sz="8" w:space="0" w:color="91A466" w:themeColor="accent3" w:themeTint="BF"/>
        <w:left w:val="single" w:sz="8" w:space="0" w:color="91A466" w:themeColor="accent3" w:themeTint="BF"/>
        <w:bottom w:val="single" w:sz="8" w:space="0" w:color="91A466" w:themeColor="accent3" w:themeTint="BF"/>
        <w:right w:val="single" w:sz="8" w:space="0" w:color="91A466" w:themeColor="accent3" w:themeTint="BF"/>
        <w:insideH w:val="single" w:sz="8" w:space="0" w:color="91A466" w:themeColor="accent3" w:themeTint="BF"/>
        <w:insideV w:val="single" w:sz="8" w:space="0" w:color="91A466" w:themeColor="accent3" w:themeTint="BF"/>
      </w:tblBorders>
    </w:tblPr>
    <w:tcPr>
      <w:shd w:val="clear" w:color="auto" w:fill="DAE1CC" w:themeFill="accent3" w:themeFillTint="3F"/>
    </w:tcPr>
    <w:tblStylePr w:type="firstRow">
      <w:rPr>
        <w:b/>
        <w:bCs/>
      </w:rPr>
    </w:tblStylePr>
    <w:tblStylePr w:type="lastRow">
      <w:rPr>
        <w:b/>
        <w:bCs/>
      </w:rPr>
      <w:tblPr/>
      <w:tcPr>
        <w:tcBorders>
          <w:top w:val="single" w:sz="18" w:space="0" w:color="91A466" w:themeColor="accent3" w:themeTint="BF"/>
        </w:tcBorders>
      </w:tcPr>
    </w:tblStylePr>
    <w:tblStylePr w:type="firstCol">
      <w:rPr>
        <w:b/>
        <w:bCs/>
      </w:rPr>
    </w:tblStylePr>
    <w:tblStylePr w:type="lastCol">
      <w:rPr>
        <w:b/>
        <w:bCs/>
      </w:rPr>
    </w:tblStylePr>
    <w:tblStylePr w:type="band1Vert">
      <w:tblPr/>
      <w:tcPr>
        <w:shd w:val="clear" w:color="auto" w:fill="B5C399" w:themeFill="accent3" w:themeFillTint="7F"/>
      </w:tcPr>
    </w:tblStylePr>
    <w:tblStylePr w:type="band1Horz">
      <w:tblPr/>
      <w:tcPr>
        <w:shd w:val="clear" w:color="auto" w:fill="B5C399" w:themeFill="accent3" w:themeFillTint="7F"/>
      </w:tcPr>
    </w:tblStylePr>
  </w:style>
  <w:style w:type="table" w:styleId="MediumGrid1-Accent4">
    <w:name w:val="Medium Grid 1 Accent 4"/>
    <w:basedOn w:val="TableNormal"/>
    <w:uiPriority w:val="67"/>
    <w:rsid w:val="00C62AD0"/>
    <w:pPr>
      <w:spacing w:before="0" w:after="0"/>
    </w:pPr>
    <w:rPr>
      <w:rFonts w:asciiTheme="minorHAnsi" w:eastAsiaTheme="minorEastAsia" w:hAnsiTheme="minorHAnsi"/>
      <w:sz w:val="22"/>
      <w:szCs w:val="22"/>
    </w:rPr>
    <w:tblPr>
      <w:tblStyleRowBandSize w:val="1"/>
      <w:tblStyleColBandSize w:val="1"/>
      <w:tblBorders>
        <w:top w:val="single" w:sz="8" w:space="0" w:color="536F53" w:themeColor="accent4" w:themeTint="BF"/>
        <w:left w:val="single" w:sz="8" w:space="0" w:color="536F53" w:themeColor="accent4" w:themeTint="BF"/>
        <w:bottom w:val="single" w:sz="8" w:space="0" w:color="536F53" w:themeColor="accent4" w:themeTint="BF"/>
        <w:right w:val="single" w:sz="8" w:space="0" w:color="536F53" w:themeColor="accent4" w:themeTint="BF"/>
        <w:insideH w:val="single" w:sz="8" w:space="0" w:color="536F53" w:themeColor="accent4" w:themeTint="BF"/>
        <w:insideV w:val="single" w:sz="8" w:space="0" w:color="536F53" w:themeColor="accent4" w:themeTint="BF"/>
      </w:tblBorders>
    </w:tblPr>
    <w:tcPr>
      <w:shd w:val="clear" w:color="auto" w:fill="C3D2C3" w:themeFill="accent4" w:themeFillTint="3F"/>
    </w:tcPr>
    <w:tblStylePr w:type="firstRow">
      <w:rPr>
        <w:b/>
        <w:bCs/>
      </w:rPr>
    </w:tblStylePr>
    <w:tblStylePr w:type="lastRow">
      <w:rPr>
        <w:b/>
        <w:bCs/>
      </w:rPr>
      <w:tblPr/>
      <w:tcPr>
        <w:tcBorders>
          <w:top w:val="single" w:sz="18" w:space="0" w:color="536F53" w:themeColor="accent4" w:themeTint="BF"/>
        </w:tcBorders>
      </w:tcPr>
    </w:tblStylePr>
    <w:tblStylePr w:type="firstCol">
      <w:rPr>
        <w:b/>
        <w:bCs/>
      </w:rPr>
    </w:tblStylePr>
    <w:tblStylePr w:type="lastCol">
      <w:rPr>
        <w:b/>
        <w:bCs/>
      </w:rPr>
    </w:tblStylePr>
    <w:tblStylePr w:type="band1Vert">
      <w:tblPr/>
      <w:tcPr>
        <w:shd w:val="clear" w:color="auto" w:fill="86A586" w:themeFill="accent4" w:themeFillTint="7F"/>
      </w:tcPr>
    </w:tblStylePr>
    <w:tblStylePr w:type="band1Horz">
      <w:tblPr/>
      <w:tcPr>
        <w:shd w:val="clear" w:color="auto" w:fill="86A586" w:themeFill="accent4" w:themeFillTint="7F"/>
      </w:tcPr>
    </w:tblStylePr>
  </w:style>
  <w:style w:type="table" w:styleId="MediumGrid1-Accent5">
    <w:name w:val="Medium Grid 1 Accent 5"/>
    <w:basedOn w:val="TableNormal"/>
    <w:uiPriority w:val="67"/>
    <w:rsid w:val="00C62AD0"/>
    <w:pPr>
      <w:spacing w:before="0" w:after="0"/>
    </w:pPr>
    <w:rPr>
      <w:rFonts w:asciiTheme="minorHAnsi" w:eastAsiaTheme="minorEastAsia" w:hAnsiTheme="minorHAnsi"/>
      <w:sz w:val="22"/>
      <w:szCs w:val="22"/>
    </w:rPr>
    <w:tblPr>
      <w:tblStyleRowBandSize w:val="1"/>
      <w:tblStyleColBandSize w:val="1"/>
      <w:tblBorders>
        <w:top w:val="single" w:sz="8" w:space="0" w:color="DFF7AC" w:themeColor="accent5" w:themeTint="BF"/>
        <w:left w:val="single" w:sz="8" w:space="0" w:color="DFF7AC" w:themeColor="accent5" w:themeTint="BF"/>
        <w:bottom w:val="single" w:sz="8" w:space="0" w:color="DFF7AC" w:themeColor="accent5" w:themeTint="BF"/>
        <w:right w:val="single" w:sz="8" w:space="0" w:color="DFF7AC" w:themeColor="accent5" w:themeTint="BF"/>
        <w:insideH w:val="single" w:sz="8" w:space="0" w:color="DFF7AC" w:themeColor="accent5" w:themeTint="BF"/>
        <w:insideV w:val="single" w:sz="8" w:space="0" w:color="DFF7AC" w:themeColor="accent5" w:themeTint="BF"/>
      </w:tblBorders>
    </w:tblPr>
    <w:tcPr>
      <w:shd w:val="clear" w:color="auto" w:fill="F4FCE3" w:themeFill="accent5" w:themeFillTint="3F"/>
    </w:tcPr>
    <w:tblStylePr w:type="firstRow">
      <w:rPr>
        <w:b/>
        <w:bCs/>
      </w:rPr>
    </w:tblStylePr>
    <w:tblStylePr w:type="lastRow">
      <w:rPr>
        <w:b/>
        <w:bCs/>
      </w:rPr>
      <w:tblPr/>
      <w:tcPr>
        <w:tcBorders>
          <w:top w:val="single" w:sz="18" w:space="0" w:color="DFF7AC" w:themeColor="accent5" w:themeTint="BF"/>
        </w:tcBorders>
      </w:tcPr>
    </w:tblStylePr>
    <w:tblStylePr w:type="firstCol">
      <w:rPr>
        <w:b/>
        <w:bCs/>
      </w:rPr>
    </w:tblStylePr>
    <w:tblStylePr w:type="lastCol">
      <w:rPr>
        <w:b/>
        <w:bCs/>
      </w:rPr>
    </w:tblStylePr>
    <w:tblStylePr w:type="band1Vert">
      <w:tblPr/>
      <w:tcPr>
        <w:shd w:val="clear" w:color="auto" w:fill="EAFAC8" w:themeFill="accent5" w:themeFillTint="7F"/>
      </w:tcPr>
    </w:tblStylePr>
    <w:tblStylePr w:type="band1Horz">
      <w:tblPr/>
      <w:tcPr>
        <w:shd w:val="clear" w:color="auto" w:fill="EAFAC8" w:themeFill="accent5" w:themeFillTint="7F"/>
      </w:tcPr>
    </w:tblStylePr>
  </w:style>
  <w:style w:type="table" w:styleId="MediumGrid1-Accent6">
    <w:name w:val="Medium Grid 1 Accent 6"/>
    <w:basedOn w:val="TableNormal"/>
    <w:uiPriority w:val="67"/>
    <w:rsid w:val="00C62AD0"/>
    <w:pPr>
      <w:spacing w:before="0" w:after="0"/>
    </w:pPr>
    <w:rPr>
      <w:rFonts w:asciiTheme="minorHAnsi" w:eastAsiaTheme="minorEastAsia" w:hAnsiTheme="minorHAnsi"/>
      <w:sz w:val="22"/>
      <w:szCs w:val="22"/>
    </w:rPr>
    <w:tblPr>
      <w:tblStyleRowBandSize w:val="1"/>
      <w:tblStyleColBandSize w:val="1"/>
      <w:tblBorders>
        <w:top w:val="single" w:sz="8" w:space="0" w:color="F2F9E4" w:themeColor="accent6" w:themeTint="BF"/>
        <w:left w:val="single" w:sz="8" w:space="0" w:color="F2F9E4" w:themeColor="accent6" w:themeTint="BF"/>
        <w:bottom w:val="single" w:sz="8" w:space="0" w:color="F2F9E4" w:themeColor="accent6" w:themeTint="BF"/>
        <w:right w:val="single" w:sz="8" w:space="0" w:color="F2F9E4" w:themeColor="accent6" w:themeTint="BF"/>
        <w:insideH w:val="single" w:sz="8" w:space="0" w:color="F2F9E4" w:themeColor="accent6" w:themeTint="BF"/>
        <w:insideV w:val="single" w:sz="8" w:space="0" w:color="F2F9E4" w:themeColor="accent6" w:themeTint="BF"/>
      </w:tblBorders>
    </w:tblPr>
    <w:tcPr>
      <w:shd w:val="clear" w:color="auto" w:fill="FAFDF6" w:themeFill="accent6" w:themeFillTint="3F"/>
    </w:tcPr>
    <w:tblStylePr w:type="firstRow">
      <w:rPr>
        <w:b/>
        <w:bCs/>
      </w:rPr>
    </w:tblStylePr>
    <w:tblStylePr w:type="lastRow">
      <w:rPr>
        <w:b/>
        <w:bCs/>
      </w:rPr>
      <w:tblPr/>
      <w:tcPr>
        <w:tcBorders>
          <w:top w:val="single" w:sz="18" w:space="0" w:color="F2F9E4" w:themeColor="accent6" w:themeTint="BF"/>
        </w:tcBorders>
      </w:tcPr>
    </w:tblStylePr>
    <w:tblStylePr w:type="firstCol">
      <w:rPr>
        <w:b/>
        <w:bCs/>
      </w:rPr>
    </w:tblStylePr>
    <w:tblStylePr w:type="lastCol">
      <w:rPr>
        <w:b/>
        <w:bCs/>
      </w:rPr>
    </w:tblStylePr>
    <w:tblStylePr w:type="band1Vert">
      <w:tblPr/>
      <w:tcPr>
        <w:shd w:val="clear" w:color="auto" w:fill="F6FBED" w:themeFill="accent6" w:themeFillTint="7F"/>
      </w:tcPr>
    </w:tblStylePr>
    <w:tblStylePr w:type="band1Horz">
      <w:tblPr/>
      <w:tcPr>
        <w:shd w:val="clear" w:color="auto" w:fill="F6FBED" w:themeFill="accent6" w:themeFillTint="7F"/>
      </w:tcPr>
    </w:tblStylePr>
  </w:style>
  <w:style w:type="table" w:styleId="MediumGrid2">
    <w:name w:val="Medium Grid 2"/>
    <w:basedOn w:val="TableNormal"/>
    <w:uiPriority w:val="68"/>
    <w:rsid w:val="00C62AD0"/>
    <w:pPr>
      <w:spacing w:before="0" w:after="0"/>
    </w:pPr>
    <w:rPr>
      <w:rFonts w:asciiTheme="majorHAnsi" w:eastAsiaTheme="majorEastAsia" w:hAnsiTheme="majorHAnsi" w:cstheme="majorBidi"/>
      <w:color w:val="1E1E1E" w:themeColor="text1"/>
      <w:sz w:val="22"/>
      <w:szCs w:val="22"/>
    </w:rPr>
    <w:tblPr>
      <w:tblStyleRowBandSize w:val="1"/>
      <w:tblStyleColBandSize w:val="1"/>
      <w:tblBorders>
        <w:top w:val="single" w:sz="8" w:space="0" w:color="1E1E1E" w:themeColor="text1"/>
        <w:left w:val="single" w:sz="8" w:space="0" w:color="1E1E1E" w:themeColor="text1"/>
        <w:bottom w:val="single" w:sz="8" w:space="0" w:color="1E1E1E" w:themeColor="text1"/>
        <w:right w:val="single" w:sz="8" w:space="0" w:color="1E1E1E" w:themeColor="text1"/>
        <w:insideH w:val="single" w:sz="8" w:space="0" w:color="1E1E1E" w:themeColor="text1"/>
        <w:insideV w:val="single" w:sz="8" w:space="0" w:color="1E1E1E" w:themeColor="text1"/>
      </w:tblBorders>
    </w:tblPr>
    <w:tcPr>
      <w:shd w:val="clear" w:color="auto" w:fill="C7C7C7" w:themeFill="text1" w:themeFillTint="3F"/>
    </w:tcPr>
    <w:tblStylePr w:type="firstRow">
      <w:rPr>
        <w:b/>
        <w:bCs/>
        <w:color w:val="1E1E1E" w:themeColor="text1"/>
      </w:rPr>
      <w:tblPr/>
      <w:tcPr>
        <w:shd w:val="clear" w:color="auto" w:fill="E8E8E8" w:themeFill="text1" w:themeFillTint="19"/>
      </w:tcPr>
    </w:tblStylePr>
    <w:tblStylePr w:type="lastRow">
      <w:rPr>
        <w:b/>
        <w:bCs/>
        <w:color w:val="1E1E1E" w:themeColor="text1"/>
      </w:rPr>
      <w:tblPr/>
      <w:tcPr>
        <w:tcBorders>
          <w:top w:val="single" w:sz="12" w:space="0" w:color="1E1E1E" w:themeColor="text1"/>
          <w:left w:val="nil"/>
          <w:bottom w:val="nil"/>
          <w:right w:val="nil"/>
          <w:insideH w:val="nil"/>
          <w:insideV w:val="nil"/>
        </w:tcBorders>
        <w:shd w:val="clear" w:color="auto" w:fill="FFFFFF" w:themeFill="background1"/>
      </w:tcPr>
    </w:tblStylePr>
    <w:tblStylePr w:type="firstCol">
      <w:rPr>
        <w:b/>
        <w:bCs/>
        <w:color w:val="1E1E1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1E1E" w:themeColor="text1"/>
      </w:rPr>
      <w:tblPr/>
      <w:tcPr>
        <w:tcBorders>
          <w:top w:val="nil"/>
          <w:left w:val="nil"/>
          <w:bottom w:val="nil"/>
          <w:right w:val="nil"/>
          <w:insideH w:val="nil"/>
          <w:insideV w:val="nil"/>
        </w:tcBorders>
        <w:shd w:val="clear" w:color="auto" w:fill="D2D2D2" w:themeFill="text1" w:themeFillTint="33"/>
      </w:tcPr>
    </w:tblStylePr>
    <w:tblStylePr w:type="band1Vert">
      <w:tblPr/>
      <w:tcPr>
        <w:shd w:val="clear" w:color="auto" w:fill="8E8E8E" w:themeFill="text1" w:themeFillTint="7F"/>
      </w:tcPr>
    </w:tblStylePr>
    <w:tblStylePr w:type="band1Horz">
      <w:tblPr/>
      <w:tcPr>
        <w:tcBorders>
          <w:insideH w:val="single" w:sz="6" w:space="0" w:color="1E1E1E" w:themeColor="text1"/>
          <w:insideV w:val="single" w:sz="6" w:space="0" w:color="1E1E1E" w:themeColor="text1"/>
        </w:tcBorders>
        <w:shd w:val="clear" w:color="auto" w:fill="8E8E8E"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62AD0"/>
    <w:pPr>
      <w:spacing w:before="0" w:after="0"/>
    </w:pPr>
    <w:rPr>
      <w:rFonts w:asciiTheme="majorHAnsi" w:eastAsiaTheme="majorEastAsia" w:hAnsiTheme="majorHAnsi" w:cstheme="majorBidi"/>
      <w:color w:val="1E1E1E" w:themeColor="text1"/>
      <w:sz w:val="22"/>
      <w:szCs w:val="22"/>
    </w:rPr>
    <w:tblPr>
      <w:tblStyleRowBandSize w:val="1"/>
      <w:tblStyleColBandSize w:val="1"/>
      <w:tblBorders>
        <w:top w:val="single" w:sz="8" w:space="0" w:color="3C533C" w:themeColor="accent1"/>
        <w:left w:val="single" w:sz="8" w:space="0" w:color="3C533C" w:themeColor="accent1"/>
        <w:bottom w:val="single" w:sz="8" w:space="0" w:color="3C533C" w:themeColor="accent1"/>
        <w:right w:val="single" w:sz="8" w:space="0" w:color="3C533C" w:themeColor="accent1"/>
        <w:insideH w:val="single" w:sz="8" w:space="0" w:color="3C533C" w:themeColor="accent1"/>
        <w:insideV w:val="single" w:sz="8" w:space="0" w:color="3C533C" w:themeColor="accent1"/>
      </w:tblBorders>
    </w:tblPr>
    <w:tcPr>
      <w:shd w:val="clear" w:color="auto" w:fill="CAD8CA" w:themeFill="accent1" w:themeFillTint="3F"/>
    </w:tcPr>
    <w:tblStylePr w:type="firstRow">
      <w:rPr>
        <w:b/>
        <w:bCs/>
        <w:color w:val="1E1E1E" w:themeColor="text1"/>
      </w:rPr>
      <w:tblPr/>
      <w:tcPr>
        <w:shd w:val="clear" w:color="auto" w:fill="EAF0EA" w:themeFill="accent1" w:themeFillTint="19"/>
      </w:tcPr>
    </w:tblStylePr>
    <w:tblStylePr w:type="lastRow">
      <w:rPr>
        <w:b/>
        <w:bCs/>
        <w:color w:val="1E1E1E" w:themeColor="text1"/>
      </w:rPr>
      <w:tblPr/>
      <w:tcPr>
        <w:tcBorders>
          <w:top w:val="single" w:sz="12" w:space="0" w:color="1E1E1E" w:themeColor="text1"/>
          <w:left w:val="nil"/>
          <w:bottom w:val="nil"/>
          <w:right w:val="nil"/>
          <w:insideH w:val="nil"/>
          <w:insideV w:val="nil"/>
        </w:tcBorders>
        <w:shd w:val="clear" w:color="auto" w:fill="FFFFFF" w:themeFill="background1"/>
      </w:tcPr>
    </w:tblStylePr>
    <w:tblStylePr w:type="firstCol">
      <w:rPr>
        <w:b/>
        <w:bCs/>
        <w:color w:val="1E1E1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1E1E" w:themeColor="text1"/>
      </w:rPr>
      <w:tblPr/>
      <w:tcPr>
        <w:tcBorders>
          <w:top w:val="nil"/>
          <w:left w:val="nil"/>
          <w:bottom w:val="nil"/>
          <w:right w:val="nil"/>
          <w:insideH w:val="nil"/>
          <w:insideV w:val="nil"/>
        </w:tcBorders>
        <w:shd w:val="clear" w:color="auto" w:fill="D4E0D4" w:themeFill="accent1" w:themeFillTint="33"/>
      </w:tcPr>
    </w:tblStylePr>
    <w:tblStylePr w:type="band1Vert">
      <w:tblPr/>
      <w:tcPr>
        <w:shd w:val="clear" w:color="auto" w:fill="94B294" w:themeFill="accent1" w:themeFillTint="7F"/>
      </w:tcPr>
    </w:tblStylePr>
    <w:tblStylePr w:type="band1Horz">
      <w:tblPr/>
      <w:tcPr>
        <w:tcBorders>
          <w:insideH w:val="single" w:sz="6" w:space="0" w:color="3C533C" w:themeColor="accent1"/>
          <w:insideV w:val="single" w:sz="6" w:space="0" w:color="3C533C" w:themeColor="accent1"/>
        </w:tcBorders>
        <w:shd w:val="clear" w:color="auto" w:fill="94B29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62AD0"/>
    <w:pPr>
      <w:spacing w:before="0" w:after="0"/>
    </w:pPr>
    <w:rPr>
      <w:rFonts w:asciiTheme="majorHAnsi" w:eastAsiaTheme="majorEastAsia" w:hAnsiTheme="majorHAnsi" w:cstheme="majorBidi"/>
      <w:color w:val="1E1E1E" w:themeColor="text1"/>
      <w:sz w:val="22"/>
      <w:szCs w:val="22"/>
    </w:rPr>
    <w:tblPr>
      <w:tblStyleRowBandSize w:val="1"/>
      <w:tblStyleColBandSize w:val="1"/>
      <w:tblBorders>
        <w:top w:val="single" w:sz="8" w:space="0" w:color="A9C272" w:themeColor="accent2"/>
        <w:left w:val="single" w:sz="8" w:space="0" w:color="A9C272" w:themeColor="accent2"/>
        <w:bottom w:val="single" w:sz="8" w:space="0" w:color="A9C272" w:themeColor="accent2"/>
        <w:right w:val="single" w:sz="8" w:space="0" w:color="A9C272" w:themeColor="accent2"/>
        <w:insideH w:val="single" w:sz="8" w:space="0" w:color="A9C272" w:themeColor="accent2"/>
        <w:insideV w:val="single" w:sz="8" w:space="0" w:color="A9C272" w:themeColor="accent2"/>
      </w:tblBorders>
    </w:tblPr>
    <w:tcPr>
      <w:shd w:val="clear" w:color="auto" w:fill="E9F0DC" w:themeFill="accent2" w:themeFillTint="3F"/>
    </w:tcPr>
    <w:tblStylePr w:type="firstRow">
      <w:rPr>
        <w:b/>
        <w:bCs/>
        <w:color w:val="1E1E1E" w:themeColor="text1"/>
      </w:rPr>
      <w:tblPr/>
      <w:tcPr>
        <w:shd w:val="clear" w:color="auto" w:fill="F6F9F1" w:themeFill="accent2" w:themeFillTint="19"/>
      </w:tcPr>
    </w:tblStylePr>
    <w:tblStylePr w:type="lastRow">
      <w:rPr>
        <w:b/>
        <w:bCs/>
        <w:color w:val="1E1E1E" w:themeColor="text1"/>
      </w:rPr>
      <w:tblPr/>
      <w:tcPr>
        <w:tcBorders>
          <w:top w:val="single" w:sz="12" w:space="0" w:color="1E1E1E" w:themeColor="text1"/>
          <w:left w:val="nil"/>
          <w:bottom w:val="nil"/>
          <w:right w:val="nil"/>
          <w:insideH w:val="nil"/>
          <w:insideV w:val="nil"/>
        </w:tcBorders>
        <w:shd w:val="clear" w:color="auto" w:fill="FFFFFF" w:themeFill="background1"/>
      </w:tcPr>
    </w:tblStylePr>
    <w:tblStylePr w:type="firstCol">
      <w:rPr>
        <w:b/>
        <w:bCs/>
        <w:color w:val="1E1E1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1E1E" w:themeColor="text1"/>
      </w:rPr>
      <w:tblPr/>
      <w:tcPr>
        <w:tcBorders>
          <w:top w:val="nil"/>
          <w:left w:val="nil"/>
          <w:bottom w:val="nil"/>
          <w:right w:val="nil"/>
          <w:insideH w:val="nil"/>
          <w:insideV w:val="nil"/>
        </w:tcBorders>
        <w:shd w:val="clear" w:color="auto" w:fill="EDF2E2" w:themeFill="accent2" w:themeFillTint="33"/>
      </w:tcPr>
    </w:tblStylePr>
    <w:tblStylePr w:type="band1Vert">
      <w:tblPr/>
      <w:tcPr>
        <w:shd w:val="clear" w:color="auto" w:fill="D4E0B8" w:themeFill="accent2" w:themeFillTint="7F"/>
      </w:tcPr>
    </w:tblStylePr>
    <w:tblStylePr w:type="band1Horz">
      <w:tblPr/>
      <w:tcPr>
        <w:tcBorders>
          <w:insideH w:val="single" w:sz="6" w:space="0" w:color="A9C272" w:themeColor="accent2"/>
          <w:insideV w:val="single" w:sz="6" w:space="0" w:color="A9C272" w:themeColor="accent2"/>
        </w:tcBorders>
        <w:shd w:val="clear" w:color="auto" w:fill="D4E0B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62AD0"/>
    <w:pPr>
      <w:spacing w:before="0" w:after="0"/>
    </w:pPr>
    <w:rPr>
      <w:rFonts w:asciiTheme="majorHAnsi" w:eastAsiaTheme="majorEastAsia" w:hAnsiTheme="majorHAnsi" w:cstheme="majorBidi"/>
      <w:color w:val="1E1E1E" w:themeColor="text1"/>
      <w:sz w:val="22"/>
      <w:szCs w:val="22"/>
    </w:rPr>
    <w:tblPr>
      <w:tblStyleRowBandSize w:val="1"/>
      <w:tblStyleColBandSize w:val="1"/>
      <w:tblBorders>
        <w:top w:val="single" w:sz="8" w:space="0" w:color="667545" w:themeColor="accent3"/>
        <w:left w:val="single" w:sz="8" w:space="0" w:color="667545" w:themeColor="accent3"/>
        <w:bottom w:val="single" w:sz="8" w:space="0" w:color="667545" w:themeColor="accent3"/>
        <w:right w:val="single" w:sz="8" w:space="0" w:color="667545" w:themeColor="accent3"/>
        <w:insideH w:val="single" w:sz="8" w:space="0" w:color="667545" w:themeColor="accent3"/>
        <w:insideV w:val="single" w:sz="8" w:space="0" w:color="667545" w:themeColor="accent3"/>
      </w:tblBorders>
    </w:tblPr>
    <w:tcPr>
      <w:shd w:val="clear" w:color="auto" w:fill="DAE1CC" w:themeFill="accent3" w:themeFillTint="3F"/>
    </w:tcPr>
    <w:tblStylePr w:type="firstRow">
      <w:rPr>
        <w:b/>
        <w:bCs/>
        <w:color w:val="1E1E1E" w:themeColor="text1"/>
      </w:rPr>
      <w:tblPr/>
      <w:tcPr>
        <w:shd w:val="clear" w:color="auto" w:fill="F0F3EA" w:themeFill="accent3" w:themeFillTint="19"/>
      </w:tcPr>
    </w:tblStylePr>
    <w:tblStylePr w:type="lastRow">
      <w:rPr>
        <w:b/>
        <w:bCs/>
        <w:color w:val="1E1E1E" w:themeColor="text1"/>
      </w:rPr>
      <w:tblPr/>
      <w:tcPr>
        <w:tcBorders>
          <w:top w:val="single" w:sz="12" w:space="0" w:color="1E1E1E" w:themeColor="text1"/>
          <w:left w:val="nil"/>
          <w:bottom w:val="nil"/>
          <w:right w:val="nil"/>
          <w:insideH w:val="nil"/>
          <w:insideV w:val="nil"/>
        </w:tcBorders>
        <w:shd w:val="clear" w:color="auto" w:fill="FFFFFF" w:themeFill="background1"/>
      </w:tcPr>
    </w:tblStylePr>
    <w:tblStylePr w:type="firstCol">
      <w:rPr>
        <w:b/>
        <w:bCs/>
        <w:color w:val="1E1E1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1E1E" w:themeColor="text1"/>
      </w:rPr>
      <w:tblPr/>
      <w:tcPr>
        <w:tcBorders>
          <w:top w:val="nil"/>
          <w:left w:val="nil"/>
          <w:bottom w:val="nil"/>
          <w:right w:val="nil"/>
          <w:insideH w:val="nil"/>
          <w:insideV w:val="nil"/>
        </w:tcBorders>
        <w:shd w:val="clear" w:color="auto" w:fill="E1E7D6" w:themeFill="accent3" w:themeFillTint="33"/>
      </w:tcPr>
    </w:tblStylePr>
    <w:tblStylePr w:type="band1Vert">
      <w:tblPr/>
      <w:tcPr>
        <w:shd w:val="clear" w:color="auto" w:fill="B5C399" w:themeFill="accent3" w:themeFillTint="7F"/>
      </w:tcPr>
    </w:tblStylePr>
    <w:tblStylePr w:type="band1Horz">
      <w:tblPr/>
      <w:tcPr>
        <w:tcBorders>
          <w:insideH w:val="single" w:sz="6" w:space="0" w:color="667545" w:themeColor="accent3"/>
          <w:insideV w:val="single" w:sz="6" w:space="0" w:color="667545" w:themeColor="accent3"/>
        </w:tcBorders>
        <w:shd w:val="clear" w:color="auto" w:fill="B5C399"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62AD0"/>
    <w:pPr>
      <w:spacing w:before="0" w:after="0"/>
    </w:pPr>
    <w:rPr>
      <w:rFonts w:asciiTheme="majorHAnsi" w:eastAsiaTheme="majorEastAsia" w:hAnsiTheme="majorHAnsi" w:cstheme="majorBidi"/>
      <w:color w:val="1E1E1E" w:themeColor="text1"/>
      <w:sz w:val="22"/>
      <w:szCs w:val="22"/>
    </w:rPr>
    <w:tblPr>
      <w:tblStyleRowBandSize w:val="1"/>
      <w:tblStyleColBandSize w:val="1"/>
      <w:tblBorders>
        <w:top w:val="single" w:sz="8" w:space="0" w:color="263326" w:themeColor="accent4"/>
        <w:left w:val="single" w:sz="8" w:space="0" w:color="263326" w:themeColor="accent4"/>
        <w:bottom w:val="single" w:sz="8" w:space="0" w:color="263326" w:themeColor="accent4"/>
        <w:right w:val="single" w:sz="8" w:space="0" w:color="263326" w:themeColor="accent4"/>
        <w:insideH w:val="single" w:sz="8" w:space="0" w:color="263326" w:themeColor="accent4"/>
        <w:insideV w:val="single" w:sz="8" w:space="0" w:color="263326" w:themeColor="accent4"/>
      </w:tblBorders>
    </w:tblPr>
    <w:tcPr>
      <w:shd w:val="clear" w:color="auto" w:fill="C3D2C3" w:themeFill="accent4" w:themeFillTint="3F"/>
    </w:tcPr>
    <w:tblStylePr w:type="firstRow">
      <w:rPr>
        <w:b/>
        <w:bCs/>
        <w:color w:val="1E1E1E" w:themeColor="text1"/>
      </w:rPr>
      <w:tblPr/>
      <w:tcPr>
        <w:shd w:val="clear" w:color="auto" w:fill="E7EDE7" w:themeFill="accent4" w:themeFillTint="19"/>
      </w:tcPr>
    </w:tblStylePr>
    <w:tblStylePr w:type="lastRow">
      <w:rPr>
        <w:b/>
        <w:bCs/>
        <w:color w:val="1E1E1E" w:themeColor="text1"/>
      </w:rPr>
      <w:tblPr/>
      <w:tcPr>
        <w:tcBorders>
          <w:top w:val="single" w:sz="12" w:space="0" w:color="1E1E1E" w:themeColor="text1"/>
          <w:left w:val="nil"/>
          <w:bottom w:val="nil"/>
          <w:right w:val="nil"/>
          <w:insideH w:val="nil"/>
          <w:insideV w:val="nil"/>
        </w:tcBorders>
        <w:shd w:val="clear" w:color="auto" w:fill="FFFFFF" w:themeFill="background1"/>
      </w:tcPr>
    </w:tblStylePr>
    <w:tblStylePr w:type="firstCol">
      <w:rPr>
        <w:b/>
        <w:bCs/>
        <w:color w:val="1E1E1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1E1E" w:themeColor="text1"/>
      </w:rPr>
      <w:tblPr/>
      <w:tcPr>
        <w:tcBorders>
          <w:top w:val="nil"/>
          <w:left w:val="nil"/>
          <w:bottom w:val="nil"/>
          <w:right w:val="nil"/>
          <w:insideH w:val="nil"/>
          <w:insideV w:val="nil"/>
        </w:tcBorders>
        <w:shd w:val="clear" w:color="auto" w:fill="CEDBCE" w:themeFill="accent4" w:themeFillTint="33"/>
      </w:tcPr>
    </w:tblStylePr>
    <w:tblStylePr w:type="band1Vert">
      <w:tblPr/>
      <w:tcPr>
        <w:shd w:val="clear" w:color="auto" w:fill="86A586" w:themeFill="accent4" w:themeFillTint="7F"/>
      </w:tcPr>
    </w:tblStylePr>
    <w:tblStylePr w:type="band1Horz">
      <w:tblPr/>
      <w:tcPr>
        <w:tcBorders>
          <w:insideH w:val="single" w:sz="6" w:space="0" w:color="263326" w:themeColor="accent4"/>
          <w:insideV w:val="single" w:sz="6" w:space="0" w:color="263326" w:themeColor="accent4"/>
        </w:tcBorders>
        <w:shd w:val="clear" w:color="auto" w:fill="86A58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62AD0"/>
    <w:pPr>
      <w:spacing w:before="0" w:after="0"/>
    </w:pPr>
    <w:rPr>
      <w:rFonts w:asciiTheme="majorHAnsi" w:eastAsiaTheme="majorEastAsia" w:hAnsiTheme="majorHAnsi" w:cstheme="majorBidi"/>
      <w:color w:val="1E1E1E" w:themeColor="text1"/>
      <w:sz w:val="22"/>
      <w:szCs w:val="22"/>
    </w:rPr>
    <w:tblPr>
      <w:tblStyleRowBandSize w:val="1"/>
      <w:tblStyleColBandSize w:val="1"/>
      <w:tblBorders>
        <w:top w:val="single" w:sz="8" w:space="0" w:color="D6F591" w:themeColor="accent5"/>
        <w:left w:val="single" w:sz="8" w:space="0" w:color="D6F591" w:themeColor="accent5"/>
        <w:bottom w:val="single" w:sz="8" w:space="0" w:color="D6F591" w:themeColor="accent5"/>
        <w:right w:val="single" w:sz="8" w:space="0" w:color="D6F591" w:themeColor="accent5"/>
        <w:insideH w:val="single" w:sz="8" w:space="0" w:color="D6F591" w:themeColor="accent5"/>
        <w:insideV w:val="single" w:sz="8" w:space="0" w:color="D6F591" w:themeColor="accent5"/>
      </w:tblBorders>
    </w:tblPr>
    <w:tcPr>
      <w:shd w:val="clear" w:color="auto" w:fill="F4FCE3" w:themeFill="accent5" w:themeFillTint="3F"/>
    </w:tcPr>
    <w:tblStylePr w:type="firstRow">
      <w:rPr>
        <w:b/>
        <w:bCs/>
        <w:color w:val="1E1E1E" w:themeColor="text1"/>
      </w:rPr>
      <w:tblPr/>
      <w:tcPr>
        <w:shd w:val="clear" w:color="auto" w:fill="FAFEF4" w:themeFill="accent5" w:themeFillTint="19"/>
      </w:tcPr>
    </w:tblStylePr>
    <w:tblStylePr w:type="lastRow">
      <w:rPr>
        <w:b/>
        <w:bCs/>
        <w:color w:val="1E1E1E" w:themeColor="text1"/>
      </w:rPr>
      <w:tblPr/>
      <w:tcPr>
        <w:tcBorders>
          <w:top w:val="single" w:sz="12" w:space="0" w:color="1E1E1E" w:themeColor="text1"/>
          <w:left w:val="nil"/>
          <w:bottom w:val="nil"/>
          <w:right w:val="nil"/>
          <w:insideH w:val="nil"/>
          <w:insideV w:val="nil"/>
        </w:tcBorders>
        <w:shd w:val="clear" w:color="auto" w:fill="FFFFFF" w:themeFill="background1"/>
      </w:tcPr>
    </w:tblStylePr>
    <w:tblStylePr w:type="firstCol">
      <w:rPr>
        <w:b/>
        <w:bCs/>
        <w:color w:val="1E1E1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1E1E" w:themeColor="text1"/>
      </w:rPr>
      <w:tblPr/>
      <w:tcPr>
        <w:tcBorders>
          <w:top w:val="nil"/>
          <w:left w:val="nil"/>
          <w:bottom w:val="nil"/>
          <w:right w:val="nil"/>
          <w:insideH w:val="nil"/>
          <w:insideV w:val="nil"/>
        </w:tcBorders>
        <w:shd w:val="clear" w:color="auto" w:fill="F6FDE9" w:themeFill="accent5" w:themeFillTint="33"/>
      </w:tcPr>
    </w:tblStylePr>
    <w:tblStylePr w:type="band1Vert">
      <w:tblPr/>
      <w:tcPr>
        <w:shd w:val="clear" w:color="auto" w:fill="EAFAC8" w:themeFill="accent5" w:themeFillTint="7F"/>
      </w:tcPr>
    </w:tblStylePr>
    <w:tblStylePr w:type="band1Horz">
      <w:tblPr/>
      <w:tcPr>
        <w:tcBorders>
          <w:insideH w:val="single" w:sz="6" w:space="0" w:color="D6F591" w:themeColor="accent5"/>
          <w:insideV w:val="single" w:sz="6" w:space="0" w:color="D6F591" w:themeColor="accent5"/>
        </w:tcBorders>
        <w:shd w:val="clear" w:color="auto" w:fill="EAFAC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62AD0"/>
    <w:pPr>
      <w:spacing w:before="0" w:after="0"/>
    </w:pPr>
    <w:rPr>
      <w:rFonts w:asciiTheme="majorHAnsi" w:eastAsiaTheme="majorEastAsia" w:hAnsiTheme="majorHAnsi" w:cstheme="majorBidi"/>
      <w:color w:val="1E1E1E" w:themeColor="text1"/>
      <w:sz w:val="22"/>
      <w:szCs w:val="22"/>
    </w:rPr>
    <w:tblPr>
      <w:tblStyleRowBandSize w:val="1"/>
      <w:tblStyleColBandSize w:val="1"/>
      <w:tblBorders>
        <w:top w:val="single" w:sz="8" w:space="0" w:color="EEF7DB" w:themeColor="accent6"/>
        <w:left w:val="single" w:sz="8" w:space="0" w:color="EEF7DB" w:themeColor="accent6"/>
        <w:bottom w:val="single" w:sz="8" w:space="0" w:color="EEF7DB" w:themeColor="accent6"/>
        <w:right w:val="single" w:sz="8" w:space="0" w:color="EEF7DB" w:themeColor="accent6"/>
        <w:insideH w:val="single" w:sz="8" w:space="0" w:color="EEF7DB" w:themeColor="accent6"/>
        <w:insideV w:val="single" w:sz="8" w:space="0" w:color="EEF7DB" w:themeColor="accent6"/>
      </w:tblBorders>
    </w:tblPr>
    <w:tcPr>
      <w:shd w:val="clear" w:color="auto" w:fill="FAFDF6" w:themeFill="accent6" w:themeFillTint="3F"/>
    </w:tcPr>
    <w:tblStylePr w:type="firstRow">
      <w:rPr>
        <w:b/>
        <w:bCs/>
        <w:color w:val="1E1E1E" w:themeColor="text1"/>
      </w:rPr>
      <w:tblPr/>
      <w:tcPr>
        <w:shd w:val="clear" w:color="auto" w:fill="FDFEFB" w:themeFill="accent6" w:themeFillTint="19"/>
      </w:tcPr>
    </w:tblStylePr>
    <w:tblStylePr w:type="lastRow">
      <w:rPr>
        <w:b/>
        <w:bCs/>
        <w:color w:val="1E1E1E" w:themeColor="text1"/>
      </w:rPr>
      <w:tblPr/>
      <w:tcPr>
        <w:tcBorders>
          <w:top w:val="single" w:sz="12" w:space="0" w:color="1E1E1E" w:themeColor="text1"/>
          <w:left w:val="nil"/>
          <w:bottom w:val="nil"/>
          <w:right w:val="nil"/>
          <w:insideH w:val="nil"/>
          <w:insideV w:val="nil"/>
        </w:tcBorders>
        <w:shd w:val="clear" w:color="auto" w:fill="FFFFFF" w:themeFill="background1"/>
      </w:tcPr>
    </w:tblStylePr>
    <w:tblStylePr w:type="firstCol">
      <w:rPr>
        <w:b/>
        <w:bCs/>
        <w:color w:val="1E1E1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1E1E" w:themeColor="text1"/>
      </w:rPr>
      <w:tblPr/>
      <w:tcPr>
        <w:tcBorders>
          <w:top w:val="nil"/>
          <w:left w:val="nil"/>
          <w:bottom w:val="nil"/>
          <w:right w:val="nil"/>
          <w:insideH w:val="nil"/>
          <w:insideV w:val="nil"/>
        </w:tcBorders>
        <w:shd w:val="clear" w:color="auto" w:fill="FBFDF7" w:themeFill="accent6" w:themeFillTint="33"/>
      </w:tcPr>
    </w:tblStylePr>
    <w:tblStylePr w:type="band1Vert">
      <w:tblPr/>
      <w:tcPr>
        <w:shd w:val="clear" w:color="auto" w:fill="F6FBED" w:themeFill="accent6" w:themeFillTint="7F"/>
      </w:tcPr>
    </w:tblStylePr>
    <w:tblStylePr w:type="band1Horz">
      <w:tblPr/>
      <w:tcPr>
        <w:tcBorders>
          <w:insideH w:val="single" w:sz="6" w:space="0" w:color="EEF7DB" w:themeColor="accent6"/>
          <w:insideV w:val="single" w:sz="6" w:space="0" w:color="EEF7DB" w:themeColor="accent6"/>
        </w:tcBorders>
        <w:shd w:val="clear" w:color="auto" w:fill="F6FBE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62AD0"/>
    <w:pPr>
      <w:spacing w:before="0" w:after="0"/>
    </w:pPr>
    <w:rPr>
      <w:rFonts w:asciiTheme="minorHAnsi" w:eastAsiaTheme="minorEastAsia"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1E1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1E1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1E1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1E1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E8E8E"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E8E8E" w:themeFill="text1" w:themeFillTint="7F"/>
      </w:tcPr>
    </w:tblStylePr>
  </w:style>
  <w:style w:type="table" w:styleId="MediumGrid3-Accent1">
    <w:name w:val="Medium Grid 3 Accent 1"/>
    <w:basedOn w:val="TableNormal"/>
    <w:uiPriority w:val="69"/>
    <w:rsid w:val="00C62AD0"/>
    <w:pPr>
      <w:spacing w:before="0" w:after="0"/>
    </w:pPr>
    <w:rPr>
      <w:rFonts w:asciiTheme="minorHAnsi" w:eastAsiaTheme="minorEastAsia"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D8C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33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33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33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33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B29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B294" w:themeFill="accent1" w:themeFillTint="7F"/>
      </w:tcPr>
    </w:tblStylePr>
  </w:style>
  <w:style w:type="table" w:styleId="MediumGrid3-Accent2">
    <w:name w:val="Medium Grid 3 Accent 2"/>
    <w:basedOn w:val="TableNormal"/>
    <w:uiPriority w:val="69"/>
    <w:rsid w:val="00C62AD0"/>
    <w:pPr>
      <w:spacing w:before="0" w:after="0"/>
    </w:pPr>
    <w:rPr>
      <w:rFonts w:asciiTheme="minorHAnsi" w:eastAsiaTheme="minorEastAsia"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0D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C27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C27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C27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C27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E0B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E0B8" w:themeFill="accent2" w:themeFillTint="7F"/>
      </w:tcPr>
    </w:tblStylePr>
  </w:style>
  <w:style w:type="table" w:styleId="MediumGrid3-Accent3">
    <w:name w:val="Medium Grid 3 Accent 3"/>
    <w:basedOn w:val="TableNormal"/>
    <w:uiPriority w:val="69"/>
    <w:rsid w:val="00C62AD0"/>
    <w:pPr>
      <w:spacing w:before="0" w:after="0"/>
    </w:pPr>
    <w:rPr>
      <w:rFonts w:asciiTheme="minorHAnsi" w:eastAsiaTheme="minorEastAsia"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1C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754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754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754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754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C39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C399" w:themeFill="accent3" w:themeFillTint="7F"/>
      </w:tcPr>
    </w:tblStylePr>
  </w:style>
  <w:style w:type="table" w:styleId="MediumGrid3-Accent4">
    <w:name w:val="Medium Grid 3 Accent 4"/>
    <w:basedOn w:val="TableNormal"/>
    <w:uiPriority w:val="69"/>
    <w:rsid w:val="00C62AD0"/>
    <w:pPr>
      <w:spacing w:before="0" w:after="0"/>
    </w:pPr>
    <w:rPr>
      <w:rFonts w:asciiTheme="minorHAnsi" w:eastAsiaTheme="minorEastAsia"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D2C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332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332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332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332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A58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A586" w:themeFill="accent4" w:themeFillTint="7F"/>
      </w:tcPr>
    </w:tblStylePr>
  </w:style>
  <w:style w:type="table" w:styleId="MediumGrid3-Accent5">
    <w:name w:val="Medium Grid 3 Accent 5"/>
    <w:basedOn w:val="TableNormal"/>
    <w:uiPriority w:val="69"/>
    <w:rsid w:val="00C62AD0"/>
    <w:pPr>
      <w:spacing w:before="0" w:after="0"/>
    </w:pPr>
    <w:rPr>
      <w:rFonts w:asciiTheme="minorHAnsi" w:eastAsiaTheme="minorEastAsia"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CE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6F59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6F59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6F59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6F59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FAC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FAC8" w:themeFill="accent5" w:themeFillTint="7F"/>
      </w:tcPr>
    </w:tblStylePr>
  </w:style>
  <w:style w:type="table" w:styleId="MediumGrid3-Accent6">
    <w:name w:val="Medium Grid 3 Accent 6"/>
    <w:basedOn w:val="TableNormal"/>
    <w:uiPriority w:val="69"/>
    <w:rsid w:val="00C62AD0"/>
    <w:pPr>
      <w:spacing w:before="0" w:after="0"/>
    </w:pPr>
    <w:rPr>
      <w:rFonts w:asciiTheme="minorHAnsi" w:eastAsiaTheme="minorEastAsia"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DF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F7D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F7D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F7D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F7D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BE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BED" w:themeFill="accent6" w:themeFillTint="7F"/>
      </w:tcPr>
    </w:tblStylePr>
  </w:style>
  <w:style w:type="table" w:styleId="DarkList">
    <w:name w:val="Dark List"/>
    <w:basedOn w:val="TableNormal"/>
    <w:uiPriority w:val="70"/>
    <w:rsid w:val="00C62AD0"/>
    <w:pPr>
      <w:spacing w:before="0" w:after="0"/>
    </w:pPr>
    <w:rPr>
      <w:rFonts w:asciiTheme="minorHAnsi" w:eastAsiaTheme="minorEastAsia" w:hAnsiTheme="minorHAnsi"/>
      <w:color w:val="FFFFFF" w:themeColor="background1"/>
      <w:sz w:val="22"/>
      <w:szCs w:val="22"/>
    </w:rPr>
    <w:tblPr>
      <w:tblStyleRowBandSize w:val="1"/>
      <w:tblStyleColBandSize w:val="1"/>
    </w:tblPr>
    <w:tcPr>
      <w:shd w:val="clear" w:color="auto" w:fill="1E1E1E" w:themeFill="text1"/>
    </w:tcPr>
    <w:tblStylePr w:type="firstRow">
      <w:rPr>
        <w:b/>
        <w:bCs/>
      </w:rPr>
      <w:tblPr/>
      <w:tcPr>
        <w:tcBorders>
          <w:top w:val="nil"/>
          <w:left w:val="nil"/>
          <w:bottom w:val="single" w:sz="18" w:space="0" w:color="FFFFFF" w:themeColor="background1"/>
          <w:right w:val="nil"/>
          <w:insideH w:val="nil"/>
          <w:insideV w:val="nil"/>
        </w:tcBorders>
        <w:shd w:val="clear" w:color="auto" w:fill="1E1E1E" w:themeFill="text1"/>
      </w:tcPr>
    </w:tblStylePr>
    <w:tblStylePr w:type="lastRow">
      <w:tblPr/>
      <w:tcPr>
        <w:tcBorders>
          <w:top w:val="single" w:sz="18" w:space="0" w:color="FFFFFF" w:themeColor="background1"/>
          <w:left w:val="nil"/>
          <w:bottom w:val="nil"/>
          <w:right w:val="nil"/>
          <w:insideH w:val="nil"/>
          <w:insideV w:val="nil"/>
        </w:tcBorders>
        <w:shd w:val="clear" w:color="auto" w:fill="0E0E0E"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6161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61616" w:themeFill="text1" w:themeFillShade="BF"/>
      </w:tcPr>
    </w:tblStylePr>
    <w:tblStylePr w:type="band1Vert">
      <w:tblPr/>
      <w:tcPr>
        <w:tcBorders>
          <w:top w:val="nil"/>
          <w:left w:val="nil"/>
          <w:bottom w:val="nil"/>
          <w:right w:val="nil"/>
          <w:insideH w:val="nil"/>
          <w:insideV w:val="nil"/>
        </w:tcBorders>
        <w:shd w:val="clear" w:color="auto" w:fill="161616" w:themeFill="text1" w:themeFillShade="BF"/>
      </w:tcPr>
    </w:tblStylePr>
    <w:tblStylePr w:type="band1Horz">
      <w:tblPr/>
      <w:tcPr>
        <w:tcBorders>
          <w:top w:val="nil"/>
          <w:left w:val="nil"/>
          <w:bottom w:val="nil"/>
          <w:right w:val="nil"/>
          <w:insideH w:val="nil"/>
          <w:insideV w:val="nil"/>
        </w:tcBorders>
        <w:shd w:val="clear" w:color="auto" w:fill="161616" w:themeFill="text1" w:themeFillShade="BF"/>
      </w:tcPr>
    </w:tblStylePr>
  </w:style>
  <w:style w:type="table" w:styleId="DarkList-Accent1">
    <w:name w:val="Dark List Accent 1"/>
    <w:basedOn w:val="TableNormal"/>
    <w:uiPriority w:val="70"/>
    <w:rsid w:val="00C62AD0"/>
    <w:pPr>
      <w:spacing w:before="0" w:after="0"/>
    </w:pPr>
    <w:rPr>
      <w:rFonts w:asciiTheme="minorHAnsi" w:eastAsiaTheme="minorEastAsia" w:hAnsiTheme="minorHAnsi"/>
      <w:color w:val="FFFFFF" w:themeColor="background1"/>
      <w:sz w:val="22"/>
      <w:szCs w:val="22"/>
    </w:rPr>
    <w:tblPr>
      <w:tblStyleRowBandSize w:val="1"/>
      <w:tblStyleColBandSize w:val="1"/>
    </w:tblPr>
    <w:tcPr>
      <w:shd w:val="clear" w:color="auto" w:fill="3C533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E1E1E" w:themeFill="text1"/>
      </w:tcPr>
    </w:tblStylePr>
    <w:tblStylePr w:type="lastRow">
      <w:tblPr/>
      <w:tcPr>
        <w:tcBorders>
          <w:top w:val="single" w:sz="18" w:space="0" w:color="FFFFFF" w:themeColor="background1"/>
          <w:left w:val="nil"/>
          <w:bottom w:val="nil"/>
          <w:right w:val="nil"/>
          <w:insideH w:val="nil"/>
          <w:insideV w:val="nil"/>
        </w:tcBorders>
        <w:shd w:val="clear" w:color="auto" w:fill="1D291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3E2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3E2D" w:themeFill="accent1" w:themeFillShade="BF"/>
      </w:tcPr>
    </w:tblStylePr>
    <w:tblStylePr w:type="band1Vert">
      <w:tblPr/>
      <w:tcPr>
        <w:tcBorders>
          <w:top w:val="nil"/>
          <w:left w:val="nil"/>
          <w:bottom w:val="nil"/>
          <w:right w:val="nil"/>
          <w:insideH w:val="nil"/>
          <w:insideV w:val="nil"/>
        </w:tcBorders>
        <w:shd w:val="clear" w:color="auto" w:fill="2D3E2D" w:themeFill="accent1" w:themeFillShade="BF"/>
      </w:tcPr>
    </w:tblStylePr>
    <w:tblStylePr w:type="band1Horz">
      <w:tblPr/>
      <w:tcPr>
        <w:tcBorders>
          <w:top w:val="nil"/>
          <w:left w:val="nil"/>
          <w:bottom w:val="nil"/>
          <w:right w:val="nil"/>
          <w:insideH w:val="nil"/>
          <w:insideV w:val="nil"/>
        </w:tcBorders>
        <w:shd w:val="clear" w:color="auto" w:fill="2D3E2D" w:themeFill="accent1" w:themeFillShade="BF"/>
      </w:tcPr>
    </w:tblStylePr>
  </w:style>
  <w:style w:type="table" w:styleId="DarkList-Accent2">
    <w:name w:val="Dark List Accent 2"/>
    <w:basedOn w:val="TableNormal"/>
    <w:uiPriority w:val="70"/>
    <w:rsid w:val="00C62AD0"/>
    <w:pPr>
      <w:spacing w:before="0" w:after="0"/>
    </w:pPr>
    <w:rPr>
      <w:rFonts w:asciiTheme="minorHAnsi" w:eastAsiaTheme="minorEastAsia" w:hAnsiTheme="minorHAnsi"/>
      <w:color w:val="FFFFFF" w:themeColor="background1"/>
      <w:sz w:val="22"/>
      <w:szCs w:val="22"/>
    </w:rPr>
    <w:tblPr>
      <w:tblStyleRowBandSize w:val="1"/>
      <w:tblStyleColBandSize w:val="1"/>
    </w:tblPr>
    <w:tcPr>
      <w:shd w:val="clear" w:color="auto" w:fill="A9C27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E1E1E" w:themeFill="text1"/>
      </w:tcPr>
    </w:tblStylePr>
    <w:tblStylePr w:type="lastRow">
      <w:tblPr/>
      <w:tcPr>
        <w:tcBorders>
          <w:top w:val="single" w:sz="18" w:space="0" w:color="FFFFFF" w:themeColor="background1"/>
          <w:left w:val="nil"/>
          <w:bottom w:val="nil"/>
          <w:right w:val="nil"/>
          <w:insideH w:val="nil"/>
          <w:insideV w:val="nil"/>
        </w:tcBorders>
        <w:shd w:val="clear" w:color="auto" w:fill="576A2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4A04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4A045" w:themeFill="accent2" w:themeFillShade="BF"/>
      </w:tcPr>
    </w:tblStylePr>
    <w:tblStylePr w:type="band1Vert">
      <w:tblPr/>
      <w:tcPr>
        <w:tcBorders>
          <w:top w:val="nil"/>
          <w:left w:val="nil"/>
          <w:bottom w:val="nil"/>
          <w:right w:val="nil"/>
          <w:insideH w:val="nil"/>
          <w:insideV w:val="nil"/>
        </w:tcBorders>
        <w:shd w:val="clear" w:color="auto" w:fill="84A045" w:themeFill="accent2" w:themeFillShade="BF"/>
      </w:tcPr>
    </w:tblStylePr>
    <w:tblStylePr w:type="band1Horz">
      <w:tblPr/>
      <w:tcPr>
        <w:tcBorders>
          <w:top w:val="nil"/>
          <w:left w:val="nil"/>
          <w:bottom w:val="nil"/>
          <w:right w:val="nil"/>
          <w:insideH w:val="nil"/>
          <w:insideV w:val="nil"/>
        </w:tcBorders>
        <w:shd w:val="clear" w:color="auto" w:fill="84A045" w:themeFill="accent2" w:themeFillShade="BF"/>
      </w:tcPr>
    </w:tblStylePr>
  </w:style>
  <w:style w:type="table" w:styleId="DarkList-Accent3">
    <w:name w:val="Dark List Accent 3"/>
    <w:basedOn w:val="TableNormal"/>
    <w:uiPriority w:val="70"/>
    <w:rsid w:val="00C62AD0"/>
    <w:pPr>
      <w:spacing w:before="0" w:after="0"/>
    </w:pPr>
    <w:rPr>
      <w:rFonts w:asciiTheme="minorHAnsi" w:eastAsiaTheme="minorEastAsia" w:hAnsiTheme="minorHAnsi"/>
      <w:color w:val="FFFFFF" w:themeColor="background1"/>
      <w:sz w:val="22"/>
      <w:szCs w:val="22"/>
    </w:rPr>
    <w:tblPr>
      <w:tblStyleRowBandSize w:val="1"/>
      <w:tblStyleColBandSize w:val="1"/>
    </w:tblPr>
    <w:tcPr>
      <w:shd w:val="clear" w:color="auto" w:fill="66754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E1E1E" w:themeFill="text1"/>
      </w:tcPr>
    </w:tblStylePr>
    <w:tblStylePr w:type="lastRow">
      <w:tblPr/>
      <w:tcPr>
        <w:tcBorders>
          <w:top w:val="single" w:sz="18" w:space="0" w:color="FFFFFF" w:themeColor="background1"/>
          <w:left w:val="nil"/>
          <w:bottom w:val="nil"/>
          <w:right w:val="nil"/>
          <w:insideH w:val="nil"/>
          <w:insideV w:val="nil"/>
        </w:tcBorders>
        <w:shd w:val="clear" w:color="auto" w:fill="323A2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C573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C5733" w:themeFill="accent3" w:themeFillShade="BF"/>
      </w:tcPr>
    </w:tblStylePr>
    <w:tblStylePr w:type="band1Vert">
      <w:tblPr/>
      <w:tcPr>
        <w:tcBorders>
          <w:top w:val="nil"/>
          <w:left w:val="nil"/>
          <w:bottom w:val="nil"/>
          <w:right w:val="nil"/>
          <w:insideH w:val="nil"/>
          <w:insideV w:val="nil"/>
        </w:tcBorders>
        <w:shd w:val="clear" w:color="auto" w:fill="4C5733" w:themeFill="accent3" w:themeFillShade="BF"/>
      </w:tcPr>
    </w:tblStylePr>
    <w:tblStylePr w:type="band1Horz">
      <w:tblPr/>
      <w:tcPr>
        <w:tcBorders>
          <w:top w:val="nil"/>
          <w:left w:val="nil"/>
          <w:bottom w:val="nil"/>
          <w:right w:val="nil"/>
          <w:insideH w:val="nil"/>
          <w:insideV w:val="nil"/>
        </w:tcBorders>
        <w:shd w:val="clear" w:color="auto" w:fill="4C5733" w:themeFill="accent3" w:themeFillShade="BF"/>
      </w:tcPr>
    </w:tblStylePr>
  </w:style>
  <w:style w:type="table" w:styleId="DarkList-Accent4">
    <w:name w:val="Dark List Accent 4"/>
    <w:basedOn w:val="TableNormal"/>
    <w:uiPriority w:val="70"/>
    <w:rsid w:val="00C62AD0"/>
    <w:pPr>
      <w:spacing w:before="0" w:after="0"/>
    </w:pPr>
    <w:rPr>
      <w:rFonts w:asciiTheme="minorHAnsi" w:eastAsiaTheme="minorEastAsia" w:hAnsiTheme="minorHAnsi"/>
      <w:color w:val="FFFFFF" w:themeColor="background1"/>
      <w:sz w:val="22"/>
      <w:szCs w:val="22"/>
    </w:rPr>
    <w:tblPr>
      <w:tblStyleRowBandSize w:val="1"/>
      <w:tblStyleColBandSize w:val="1"/>
    </w:tblPr>
    <w:tcPr>
      <w:shd w:val="clear" w:color="auto" w:fill="26332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E1E1E" w:themeFill="text1"/>
      </w:tcPr>
    </w:tblStylePr>
    <w:tblStylePr w:type="lastRow">
      <w:tblPr/>
      <w:tcPr>
        <w:tcBorders>
          <w:top w:val="single" w:sz="18" w:space="0" w:color="FFFFFF" w:themeColor="background1"/>
          <w:left w:val="nil"/>
          <w:bottom w:val="nil"/>
          <w:right w:val="nil"/>
          <w:insideH w:val="nil"/>
          <w:insideV w:val="nil"/>
        </w:tcBorders>
        <w:shd w:val="clear" w:color="auto" w:fill="12191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C261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C261C" w:themeFill="accent4" w:themeFillShade="BF"/>
      </w:tcPr>
    </w:tblStylePr>
    <w:tblStylePr w:type="band1Vert">
      <w:tblPr/>
      <w:tcPr>
        <w:tcBorders>
          <w:top w:val="nil"/>
          <w:left w:val="nil"/>
          <w:bottom w:val="nil"/>
          <w:right w:val="nil"/>
          <w:insideH w:val="nil"/>
          <w:insideV w:val="nil"/>
        </w:tcBorders>
        <w:shd w:val="clear" w:color="auto" w:fill="1C261C" w:themeFill="accent4" w:themeFillShade="BF"/>
      </w:tcPr>
    </w:tblStylePr>
    <w:tblStylePr w:type="band1Horz">
      <w:tblPr/>
      <w:tcPr>
        <w:tcBorders>
          <w:top w:val="nil"/>
          <w:left w:val="nil"/>
          <w:bottom w:val="nil"/>
          <w:right w:val="nil"/>
          <w:insideH w:val="nil"/>
          <w:insideV w:val="nil"/>
        </w:tcBorders>
        <w:shd w:val="clear" w:color="auto" w:fill="1C261C" w:themeFill="accent4" w:themeFillShade="BF"/>
      </w:tcPr>
    </w:tblStylePr>
  </w:style>
  <w:style w:type="table" w:styleId="DarkList-Accent5">
    <w:name w:val="Dark List Accent 5"/>
    <w:basedOn w:val="TableNormal"/>
    <w:uiPriority w:val="70"/>
    <w:rsid w:val="00C62AD0"/>
    <w:pPr>
      <w:spacing w:before="0" w:after="0"/>
    </w:pPr>
    <w:rPr>
      <w:rFonts w:asciiTheme="minorHAnsi" w:eastAsiaTheme="minorEastAsia" w:hAnsiTheme="minorHAnsi"/>
      <w:color w:val="FFFFFF" w:themeColor="background1"/>
      <w:sz w:val="22"/>
      <w:szCs w:val="22"/>
    </w:rPr>
    <w:tblPr>
      <w:tblStyleRowBandSize w:val="1"/>
      <w:tblStyleColBandSize w:val="1"/>
    </w:tblPr>
    <w:tcPr>
      <w:shd w:val="clear" w:color="auto" w:fill="D6F59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E1E1E" w:themeFill="text1"/>
      </w:tcPr>
    </w:tblStylePr>
    <w:tblStylePr w:type="lastRow">
      <w:tblPr/>
      <w:tcPr>
        <w:tcBorders>
          <w:top w:val="single" w:sz="18" w:space="0" w:color="FFFFFF" w:themeColor="background1"/>
          <w:left w:val="nil"/>
          <w:bottom w:val="nil"/>
          <w:right w:val="nil"/>
          <w:insideH w:val="nil"/>
          <w:insideV w:val="nil"/>
        </w:tcBorders>
        <w:shd w:val="clear" w:color="auto" w:fill="7FB11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3EC3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3EC37" w:themeFill="accent5" w:themeFillShade="BF"/>
      </w:tcPr>
    </w:tblStylePr>
    <w:tblStylePr w:type="band1Vert">
      <w:tblPr/>
      <w:tcPr>
        <w:tcBorders>
          <w:top w:val="nil"/>
          <w:left w:val="nil"/>
          <w:bottom w:val="nil"/>
          <w:right w:val="nil"/>
          <w:insideH w:val="nil"/>
          <w:insideV w:val="nil"/>
        </w:tcBorders>
        <w:shd w:val="clear" w:color="auto" w:fill="B3EC37" w:themeFill="accent5" w:themeFillShade="BF"/>
      </w:tcPr>
    </w:tblStylePr>
    <w:tblStylePr w:type="band1Horz">
      <w:tblPr/>
      <w:tcPr>
        <w:tcBorders>
          <w:top w:val="nil"/>
          <w:left w:val="nil"/>
          <w:bottom w:val="nil"/>
          <w:right w:val="nil"/>
          <w:insideH w:val="nil"/>
          <w:insideV w:val="nil"/>
        </w:tcBorders>
        <w:shd w:val="clear" w:color="auto" w:fill="B3EC37" w:themeFill="accent5" w:themeFillShade="BF"/>
      </w:tcPr>
    </w:tblStylePr>
  </w:style>
  <w:style w:type="table" w:styleId="DarkList-Accent6">
    <w:name w:val="Dark List Accent 6"/>
    <w:basedOn w:val="TableNormal"/>
    <w:uiPriority w:val="70"/>
    <w:rsid w:val="00C62AD0"/>
    <w:pPr>
      <w:spacing w:before="0" w:after="0"/>
    </w:pPr>
    <w:rPr>
      <w:rFonts w:asciiTheme="minorHAnsi" w:eastAsiaTheme="minorEastAsia" w:hAnsiTheme="minorHAnsi"/>
      <w:color w:val="FFFFFF" w:themeColor="background1"/>
      <w:sz w:val="22"/>
      <w:szCs w:val="22"/>
    </w:rPr>
    <w:tblPr>
      <w:tblStyleRowBandSize w:val="1"/>
      <w:tblStyleColBandSize w:val="1"/>
    </w:tblPr>
    <w:tcPr>
      <w:shd w:val="clear" w:color="auto" w:fill="EEF7D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E1E1E" w:themeFill="text1"/>
      </w:tcPr>
    </w:tblStylePr>
    <w:tblStylePr w:type="lastRow">
      <w:tblPr/>
      <w:tcPr>
        <w:tcBorders>
          <w:top w:val="single" w:sz="18" w:space="0" w:color="FFFFFF" w:themeColor="background1"/>
          <w:left w:val="nil"/>
          <w:bottom w:val="nil"/>
          <w:right w:val="nil"/>
          <w:insideH w:val="nil"/>
          <w:insideV w:val="nil"/>
        </w:tcBorders>
        <w:shd w:val="clear" w:color="auto" w:fill="8EBD2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0E17B"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0E17B" w:themeFill="accent6" w:themeFillShade="BF"/>
      </w:tcPr>
    </w:tblStylePr>
    <w:tblStylePr w:type="band1Vert">
      <w:tblPr/>
      <w:tcPr>
        <w:tcBorders>
          <w:top w:val="nil"/>
          <w:left w:val="nil"/>
          <w:bottom w:val="nil"/>
          <w:right w:val="nil"/>
          <w:insideH w:val="nil"/>
          <w:insideV w:val="nil"/>
        </w:tcBorders>
        <w:shd w:val="clear" w:color="auto" w:fill="C0E17B" w:themeFill="accent6" w:themeFillShade="BF"/>
      </w:tcPr>
    </w:tblStylePr>
    <w:tblStylePr w:type="band1Horz">
      <w:tblPr/>
      <w:tcPr>
        <w:tcBorders>
          <w:top w:val="nil"/>
          <w:left w:val="nil"/>
          <w:bottom w:val="nil"/>
          <w:right w:val="nil"/>
          <w:insideH w:val="nil"/>
          <w:insideV w:val="nil"/>
        </w:tcBorders>
        <w:shd w:val="clear" w:color="auto" w:fill="C0E17B" w:themeFill="accent6" w:themeFillShade="BF"/>
      </w:tcPr>
    </w:tblStylePr>
  </w:style>
  <w:style w:type="table" w:styleId="ColorfulShading">
    <w:name w:val="Colorful Shading"/>
    <w:basedOn w:val="TableNormal"/>
    <w:uiPriority w:val="71"/>
    <w:rsid w:val="00C62AD0"/>
    <w:pPr>
      <w:spacing w:before="0" w:after="0"/>
    </w:pPr>
    <w:rPr>
      <w:rFonts w:asciiTheme="minorHAnsi" w:eastAsiaTheme="minorEastAsia" w:hAnsiTheme="minorHAnsi"/>
      <w:color w:val="1E1E1E" w:themeColor="text1"/>
      <w:sz w:val="22"/>
      <w:szCs w:val="22"/>
    </w:rPr>
    <w:tblPr>
      <w:tblStyleRowBandSize w:val="1"/>
      <w:tblStyleColBandSize w:val="1"/>
      <w:tblBorders>
        <w:top w:val="single" w:sz="24" w:space="0" w:color="A9C272" w:themeColor="accent2"/>
        <w:left w:val="single" w:sz="4" w:space="0" w:color="1E1E1E" w:themeColor="text1"/>
        <w:bottom w:val="single" w:sz="4" w:space="0" w:color="1E1E1E" w:themeColor="text1"/>
        <w:right w:val="single" w:sz="4" w:space="0" w:color="1E1E1E" w:themeColor="text1"/>
        <w:insideH w:val="single" w:sz="4" w:space="0" w:color="FFFFFF" w:themeColor="background1"/>
        <w:insideV w:val="single" w:sz="4" w:space="0" w:color="FFFFFF" w:themeColor="background1"/>
      </w:tblBorders>
    </w:tblPr>
    <w:tcPr>
      <w:shd w:val="clear" w:color="auto" w:fill="E8E8E8" w:themeFill="text1" w:themeFillTint="19"/>
    </w:tcPr>
    <w:tblStylePr w:type="firstRow">
      <w:rPr>
        <w:b/>
        <w:bCs/>
      </w:rPr>
      <w:tblPr/>
      <w:tcPr>
        <w:tcBorders>
          <w:top w:val="nil"/>
          <w:left w:val="nil"/>
          <w:bottom w:val="single" w:sz="24" w:space="0" w:color="A9C27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1212" w:themeFill="text1" w:themeFillShade="99"/>
      </w:tcPr>
    </w:tblStylePr>
    <w:tblStylePr w:type="firstCol">
      <w:rPr>
        <w:color w:val="FFFFFF" w:themeColor="background1"/>
      </w:rPr>
      <w:tblPr/>
      <w:tcPr>
        <w:tcBorders>
          <w:top w:val="nil"/>
          <w:left w:val="nil"/>
          <w:bottom w:val="nil"/>
          <w:right w:val="nil"/>
          <w:insideH w:val="single" w:sz="4" w:space="0" w:color="121212" w:themeColor="text1" w:themeShade="99"/>
          <w:insideV w:val="nil"/>
        </w:tcBorders>
        <w:shd w:val="clear" w:color="auto" w:fill="121212"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61616" w:themeFill="text1" w:themeFillShade="BF"/>
      </w:tcPr>
    </w:tblStylePr>
    <w:tblStylePr w:type="band1Vert">
      <w:tblPr/>
      <w:tcPr>
        <w:shd w:val="clear" w:color="auto" w:fill="A5A5A5" w:themeFill="text1" w:themeFillTint="66"/>
      </w:tcPr>
    </w:tblStylePr>
    <w:tblStylePr w:type="band1Horz">
      <w:tblPr/>
      <w:tcPr>
        <w:shd w:val="clear" w:color="auto" w:fill="8E8E8E" w:themeFill="text1" w:themeFillTint="7F"/>
      </w:tcPr>
    </w:tblStylePr>
    <w:tblStylePr w:type="neCell">
      <w:rPr>
        <w:color w:val="1E1E1E" w:themeColor="text1"/>
      </w:rPr>
    </w:tblStylePr>
    <w:tblStylePr w:type="nwCell">
      <w:rPr>
        <w:color w:val="1E1E1E" w:themeColor="text1"/>
      </w:rPr>
    </w:tblStylePr>
  </w:style>
  <w:style w:type="table" w:styleId="ColorfulShading-Accent1">
    <w:name w:val="Colorful Shading Accent 1"/>
    <w:basedOn w:val="TableNormal"/>
    <w:uiPriority w:val="71"/>
    <w:rsid w:val="00C62AD0"/>
    <w:pPr>
      <w:spacing w:before="0" w:after="0"/>
    </w:pPr>
    <w:rPr>
      <w:rFonts w:asciiTheme="minorHAnsi" w:eastAsiaTheme="minorEastAsia" w:hAnsiTheme="minorHAnsi"/>
      <w:color w:val="1E1E1E" w:themeColor="text1"/>
      <w:sz w:val="22"/>
      <w:szCs w:val="22"/>
    </w:rPr>
    <w:tblPr>
      <w:tblStyleRowBandSize w:val="1"/>
      <w:tblStyleColBandSize w:val="1"/>
      <w:tblBorders>
        <w:top w:val="single" w:sz="24" w:space="0" w:color="A9C272" w:themeColor="accent2"/>
        <w:left w:val="single" w:sz="4" w:space="0" w:color="3C533C" w:themeColor="accent1"/>
        <w:bottom w:val="single" w:sz="4" w:space="0" w:color="3C533C" w:themeColor="accent1"/>
        <w:right w:val="single" w:sz="4" w:space="0" w:color="3C533C" w:themeColor="accent1"/>
        <w:insideH w:val="single" w:sz="4" w:space="0" w:color="FFFFFF" w:themeColor="background1"/>
        <w:insideV w:val="single" w:sz="4" w:space="0" w:color="FFFFFF" w:themeColor="background1"/>
      </w:tblBorders>
    </w:tblPr>
    <w:tcPr>
      <w:shd w:val="clear" w:color="auto" w:fill="EAF0EA" w:themeFill="accent1" w:themeFillTint="19"/>
    </w:tcPr>
    <w:tblStylePr w:type="firstRow">
      <w:rPr>
        <w:b/>
        <w:bCs/>
      </w:rPr>
      <w:tblPr/>
      <w:tcPr>
        <w:tcBorders>
          <w:top w:val="nil"/>
          <w:left w:val="nil"/>
          <w:bottom w:val="single" w:sz="24" w:space="0" w:color="A9C27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124" w:themeFill="accent1" w:themeFillShade="99"/>
      </w:tcPr>
    </w:tblStylePr>
    <w:tblStylePr w:type="firstCol">
      <w:rPr>
        <w:color w:val="FFFFFF" w:themeColor="background1"/>
      </w:rPr>
      <w:tblPr/>
      <w:tcPr>
        <w:tcBorders>
          <w:top w:val="nil"/>
          <w:left w:val="nil"/>
          <w:bottom w:val="nil"/>
          <w:right w:val="nil"/>
          <w:insideH w:val="single" w:sz="4" w:space="0" w:color="243124" w:themeColor="accent1" w:themeShade="99"/>
          <w:insideV w:val="nil"/>
        </w:tcBorders>
        <w:shd w:val="clear" w:color="auto" w:fill="24312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3124" w:themeFill="accent1" w:themeFillShade="99"/>
      </w:tcPr>
    </w:tblStylePr>
    <w:tblStylePr w:type="band1Vert">
      <w:tblPr/>
      <w:tcPr>
        <w:shd w:val="clear" w:color="auto" w:fill="A9C1A9" w:themeFill="accent1" w:themeFillTint="66"/>
      </w:tcPr>
    </w:tblStylePr>
    <w:tblStylePr w:type="band1Horz">
      <w:tblPr/>
      <w:tcPr>
        <w:shd w:val="clear" w:color="auto" w:fill="94B294" w:themeFill="accent1" w:themeFillTint="7F"/>
      </w:tcPr>
    </w:tblStylePr>
    <w:tblStylePr w:type="neCell">
      <w:rPr>
        <w:color w:val="1E1E1E" w:themeColor="text1"/>
      </w:rPr>
    </w:tblStylePr>
    <w:tblStylePr w:type="nwCell">
      <w:rPr>
        <w:color w:val="1E1E1E" w:themeColor="text1"/>
      </w:rPr>
    </w:tblStylePr>
  </w:style>
  <w:style w:type="table" w:styleId="ColorfulShading-Accent2">
    <w:name w:val="Colorful Shading Accent 2"/>
    <w:basedOn w:val="TableNormal"/>
    <w:uiPriority w:val="71"/>
    <w:rsid w:val="00C62AD0"/>
    <w:pPr>
      <w:spacing w:before="0" w:after="0"/>
    </w:pPr>
    <w:rPr>
      <w:rFonts w:asciiTheme="minorHAnsi" w:eastAsiaTheme="minorEastAsia" w:hAnsiTheme="minorHAnsi"/>
      <w:color w:val="1E1E1E" w:themeColor="text1"/>
      <w:sz w:val="22"/>
      <w:szCs w:val="22"/>
    </w:rPr>
    <w:tblPr>
      <w:tblStyleRowBandSize w:val="1"/>
      <w:tblStyleColBandSize w:val="1"/>
      <w:tblBorders>
        <w:top w:val="single" w:sz="24" w:space="0" w:color="A9C272" w:themeColor="accent2"/>
        <w:left w:val="single" w:sz="4" w:space="0" w:color="A9C272" w:themeColor="accent2"/>
        <w:bottom w:val="single" w:sz="4" w:space="0" w:color="A9C272" w:themeColor="accent2"/>
        <w:right w:val="single" w:sz="4" w:space="0" w:color="A9C272" w:themeColor="accent2"/>
        <w:insideH w:val="single" w:sz="4" w:space="0" w:color="FFFFFF" w:themeColor="background1"/>
        <w:insideV w:val="single" w:sz="4" w:space="0" w:color="FFFFFF" w:themeColor="background1"/>
      </w:tblBorders>
    </w:tblPr>
    <w:tcPr>
      <w:shd w:val="clear" w:color="auto" w:fill="F6F9F1" w:themeFill="accent2" w:themeFillTint="19"/>
    </w:tcPr>
    <w:tblStylePr w:type="firstRow">
      <w:rPr>
        <w:b/>
        <w:bCs/>
      </w:rPr>
      <w:tblPr/>
      <w:tcPr>
        <w:tcBorders>
          <w:top w:val="nil"/>
          <w:left w:val="nil"/>
          <w:bottom w:val="single" w:sz="24" w:space="0" w:color="A9C27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98037" w:themeFill="accent2" w:themeFillShade="99"/>
      </w:tcPr>
    </w:tblStylePr>
    <w:tblStylePr w:type="firstCol">
      <w:rPr>
        <w:color w:val="FFFFFF" w:themeColor="background1"/>
      </w:rPr>
      <w:tblPr/>
      <w:tcPr>
        <w:tcBorders>
          <w:top w:val="nil"/>
          <w:left w:val="nil"/>
          <w:bottom w:val="nil"/>
          <w:right w:val="nil"/>
          <w:insideH w:val="single" w:sz="4" w:space="0" w:color="698037" w:themeColor="accent2" w:themeShade="99"/>
          <w:insideV w:val="nil"/>
        </w:tcBorders>
        <w:shd w:val="clear" w:color="auto" w:fill="6980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98037" w:themeFill="accent2" w:themeFillShade="99"/>
      </w:tcPr>
    </w:tblStylePr>
    <w:tblStylePr w:type="band1Vert">
      <w:tblPr/>
      <w:tcPr>
        <w:shd w:val="clear" w:color="auto" w:fill="DCE6C6" w:themeFill="accent2" w:themeFillTint="66"/>
      </w:tcPr>
    </w:tblStylePr>
    <w:tblStylePr w:type="band1Horz">
      <w:tblPr/>
      <w:tcPr>
        <w:shd w:val="clear" w:color="auto" w:fill="D4E0B8" w:themeFill="accent2" w:themeFillTint="7F"/>
      </w:tcPr>
    </w:tblStylePr>
    <w:tblStylePr w:type="neCell">
      <w:rPr>
        <w:color w:val="1E1E1E" w:themeColor="text1"/>
      </w:rPr>
    </w:tblStylePr>
    <w:tblStylePr w:type="nwCell">
      <w:rPr>
        <w:color w:val="1E1E1E" w:themeColor="text1"/>
      </w:rPr>
    </w:tblStylePr>
  </w:style>
  <w:style w:type="table" w:styleId="ColorfulShading-Accent3">
    <w:name w:val="Colorful Shading Accent 3"/>
    <w:basedOn w:val="TableNormal"/>
    <w:uiPriority w:val="71"/>
    <w:rsid w:val="00C62AD0"/>
    <w:pPr>
      <w:spacing w:before="0" w:after="0"/>
    </w:pPr>
    <w:rPr>
      <w:rFonts w:asciiTheme="minorHAnsi" w:eastAsiaTheme="minorEastAsia" w:hAnsiTheme="minorHAnsi"/>
      <w:color w:val="1E1E1E" w:themeColor="text1"/>
      <w:sz w:val="22"/>
      <w:szCs w:val="22"/>
    </w:rPr>
    <w:tblPr>
      <w:tblStyleRowBandSize w:val="1"/>
      <w:tblStyleColBandSize w:val="1"/>
      <w:tblBorders>
        <w:top w:val="single" w:sz="24" w:space="0" w:color="263326" w:themeColor="accent4"/>
        <w:left w:val="single" w:sz="4" w:space="0" w:color="667545" w:themeColor="accent3"/>
        <w:bottom w:val="single" w:sz="4" w:space="0" w:color="667545" w:themeColor="accent3"/>
        <w:right w:val="single" w:sz="4" w:space="0" w:color="667545" w:themeColor="accent3"/>
        <w:insideH w:val="single" w:sz="4" w:space="0" w:color="FFFFFF" w:themeColor="background1"/>
        <w:insideV w:val="single" w:sz="4" w:space="0" w:color="FFFFFF" w:themeColor="background1"/>
      </w:tblBorders>
    </w:tblPr>
    <w:tcPr>
      <w:shd w:val="clear" w:color="auto" w:fill="F0F3EA" w:themeFill="accent3" w:themeFillTint="19"/>
    </w:tcPr>
    <w:tblStylePr w:type="firstRow">
      <w:rPr>
        <w:b/>
        <w:bCs/>
      </w:rPr>
      <w:tblPr/>
      <w:tcPr>
        <w:tcBorders>
          <w:top w:val="nil"/>
          <w:left w:val="nil"/>
          <w:bottom w:val="single" w:sz="24" w:space="0" w:color="26332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629" w:themeFill="accent3" w:themeFillShade="99"/>
      </w:tcPr>
    </w:tblStylePr>
    <w:tblStylePr w:type="firstCol">
      <w:rPr>
        <w:color w:val="FFFFFF" w:themeColor="background1"/>
      </w:rPr>
      <w:tblPr/>
      <w:tcPr>
        <w:tcBorders>
          <w:top w:val="nil"/>
          <w:left w:val="nil"/>
          <w:bottom w:val="nil"/>
          <w:right w:val="nil"/>
          <w:insideH w:val="single" w:sz="4" w:space="0" w:color="3D4629" w:themeColor="accent3" w:themeShade="99"/>
          <w:insideV w:val="nil"/>
        </w:tcBorders>
        <w:shd w:val="clear" w:color="auto" w:fill="3D462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D4629" w:themeFill="accent3" w:themeFillShade="99"/>
      </w:tcPr>
    </w:tblStylePr>
    <w:tblStylePr w:type="band1Vert">
      <w:tblPr/>
      <w:tcPr>
        <w:shd w:val="clear" w:color="auto" w:fill="C4CFAD" w:themeFill="accent3" w:themeFillTint="66"/>
      </w:tcPr>
    </w:tblStylePr>
    <w:tblStylePr w:type="band1Horz">
      <w:tblPr/>
      <w:tcPr>
        <w:shd w:val="clear" w:color="auto" w:fill="B5C399" w:themeFill="accent3" w:themeFillTint="7F"/>
      </w:tcPr>
    </w:tblStylePr>
  </w:style>
  <w:style w:type="table" w:styleId="ColorfulShading-Accent4">
    <w:name w:val="Colorful Shading Accent 4"/>
    <w:basedOn w:val="TableNormal"/>
    <w:uiPriority w:val="71"/>
    <w:rsid w:val="00C62AD0"/>
    <w:pPr>
      <w:spacing w:before="0" w:after="0"/>
    </w:pPr>
    <w:rPr>
      <w:rFonts w:asciiTheme="minorHAnsi" w:eastAsiaTheme="minorEastAsia" w:hAnsiTheme="minorHAnsi"/>
      <w:color w:val="1E1E1E" w:themeColor="text1"/>
      <w:sz w:val="22"/>
      <w:szCs w:val="22"/>
    </w:rPr>
    <w:tblPr>
      <w:tblStyleRowBandSize w:val="1"/>
      <w:tblStyleColBandSize w:val="1"/>
      <w:tblBorders>
        <w:top w:val="single" w:sz="24" w:space="0" w:color="667545" w:themeColor="accent3"/>
        <w:left w:val="single" w:sz="4" w:space="0" w:color="263326" w:themeColor="accent4"/>
        <w:bottom w:val="single" w:sz="4" w:space="0" w:color="263326" w:themeColor="accent4"/>
        <w:right w:val="single" w:sz="4" w:space="0" w:color="263326" w:themeColor="accent4"/>
        <w:insideH w:val="single" w:sz="4" w:space="0" w:color="FFFFFF" w:themeColor="background1"/>
        <w:insideV w:val="single" w:sz="4" w:space="0" w:color="FFFFFF" w:themeColor="background1"/>
      </w:tblBorders>
    </w:tblPr>
    <w:tcPr>
      <w:shd w:val="clear" w:color="auto" w:fill="E7EDE7" w:themeFill="accent4" w:themeFillTint="19"/>
    </w:tcPr>
    <w:tblStylePr w:type="firstRow">
      <w:rPr>
        <w:b/>
        <w:bCs/>
      </w:rPr>
      <w:tblPr/>
      <w:tcPr>
        <w:tcBorders>
          <w:top w:val="nil"/>
          <w:left w:val="nil"/>
          <w:bottom w:val="single" w:sz="24" w:space="0" w:color="66754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1E16" w:themeFill="accent4" w:themeFillShade="99"/>
      </w:tcPr>
    </w:tblStylePr>
    <w:tblStylePr w:type="firstCol">
      <w:rPr>
        <w:color w:val="FFFFFF" w:themeColor="background1"/>
      </w:rPr>
      <w:tblPr/>
      <w:tcPr>
        <w:tcBorders>
          <w:top w:val="nil"/>
          <w:left w:val="nil"/>
          <w:bottom w:val="nil"/>
          <w:right w:val="nil"/>
          <w:insideH w:val="single" w:sz="4" w:space="0" w:color="161E16" w:themeColor="accent4" w:themeShade="99"/>
          <w:insideV w:val="nil"/>
        </w:tcBorders>
        <w:shd w:val="clear" w:color="auto" w:fill="161E1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61E16" w:themeFill="accent4" w:themeFillShade="99"/>
      </w:tcPr>
    </w:tblStylePr>
    <w:tblStylePr w:type="band1Vert">
      <w:tblPr/>
      <w:tcPr>
        <w:shd w:val="clear" w:color="auto" w:fill="9EB79E" w:themeFill="accent4" w:themeFillTint="66"/>
      </w:tcPr>
    </w:tblStylePr>
    <w:tblStylePr w:type="band1Horz">
      <w:tblPr/>
      <w:tcPr>
        <w:shd w:val="clear" w:color="auto" w:fill="86A586" w:themeFill="accent4" w:themeFillTint="7F"/>
      </w:tcPr>
    </w:tblStylePr>
    <w:tblStylePr w:type="neCell">
      <w:rPr>
        <w:color w:val="1E1E1E" w:themeColor="text1"/>
      </w:rPr>
    </w:tblStylePr>
    <w:tblStylePr w:type="nwCell">
      <w:rPr>
        <w:color w:val="1E1E1E" w:themeColor="text1"/>
      </w:rPr>
    </w:tblStylePr>
  </w:style>
  <w:style w:type="table" w:styleId="ColorfulShading-Accent5">
    <w:name w:val="Colorful Shading Accent 5"/>
    <w:basedOn w:val="TableNormal"/>
    <w:uiPriority w:val="71"/>
    <w:rsid w:val="00C62AD0"/>
    <w:pPr>
      <w:spacing w:before="0" w:after="0"/>
    </w:pPr>
    <w:rPr>
      <w:rFonts w:asciiTheme="minorHAnsi" w:eastAsiaTheme="minorEastAsia" w:hAnsiTheme="minorHAnsi"/>
      <w:color w:val="1E1E1E" w:themeColor="text1"/>
      <w:sz w:val="22"/>
      <w:szCs w:val="22"/>
    </w:rPr>
    <w:tblPr>
      <w:tblStyleRowBandSize w:val="1"/>
      <w:tblStyleColBandSize w:val="1"/>
      <w:tblBorders>
        <w:top w:val="single" w:sz="24" w:space="0" w:color="EEF7DB" w:themeColor="accent6"/>
        <w:left w:val="single" w:sz="4" w:space="0" w:color="D6F591" w:themeColor="accent5"/>
        <w:bottom w:val="single" w:sz="4" w:space="0" w:color="D6F591" w:themeColor="accent5"/>
        <w:right w:val="single" w:sz="4" w:space="0" w:color="D6F591" w:themeColor="accent5"/>
        <w:insideH w:val="single" w:sz="4" w:space="0" w:color="FFFFFF" w:themeColor="background1"/>
        <w:insideV w:val="single" w:sz="4" w:space="0" w:color="FFFFFF" w:themeColor="background1"/>
      </w:tblBorders>
    </w:tblPr>
    <w:tcPr>
      <w:shd w:val="clear" w:color="auto" w:fill="FAFEF4" w:themeFill="accent5" w:themeFillTint="19"/>
    </w:tcPr>
    <w:tblStylePr w:type="firstRow">
      <w:rPr>
        <w:b/>
        <w:bCs/>
      </w:rPr>
      <w:tblPr/>
      <w:tcPr>
        <w:tcBorders>
          <w:top w:val="nil"/>
          <w:left w:val="nil"/>
          <w:bottom w:val="single" w:sz="24" w:space="0" w:color="EEF7D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D613" w:themeFill="accent5" w:themeFillShade="99"/>
      </w:tcPr>
    </w:tblStylePr>
    <w:tblStylePr w:type="firstCol">
      <w:rPr>
        <w:color w:val="FFFFFF" w:themeColor="background1"/>
      </w:rPr>
      <w:tblPr/>
      <w:tcPr>
        <w:tcBorders>
          <w:top w:val="nil"/>
          <w:left w:val="nil"/>
          <w:bottom w:val="nil"/>
          <w:right w:val="nil"/>
          <w:insideH w:val="single" w:sz="4" w:space="0" w:color="99D613" w:themeColor="accent5" w:themeShade="99"/>
          <w:insideV w:val="nil"/>
        </w:tcBorders>
        <w:shd w:val="clear" w:color="auto" w:fill="99D61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D613" w:themeFill="accent5" w:themeFillShade="99"/>
      </w:tcPr>
    </w:tblStylePr>
    <w:tblStylePr w:type="band1Vert">
      <w:tblPr/>
      <w:tcPr>
        <w:shd w:val="clear" w:color="auto" w:fill="EEFBD3" w:themeFill="accent5" w:themeFillTint="66"/>
      </w:tcPr>
    </w:tblStylePr>
    <w:tblStylePr w:type="band1Horz">
      <w:tblPr/>
      <w:tcPr>
        <w:shd w:val="clear" w:color="auto" w:fill="EAFAC8" w:themeFill="accent5" w:themeFillTint="7F"/>
      </w:tcPr>
    </w:tblStylePr>
    <w:tblStylePr w:type="neCell">
      <w:rPr>
        <w:color w:val="1E1E1E" w:themeColor="text1"/>
      </w:rPr>
    </w:tblStylePr>
    <w:tblStylePr w:type="nwCell">
      <w:rPr>
        <w:color w:val="1E1E1E" w:themeColor="text1"/>
      </w:rPr>
    </w:tblStylePr>
  </w:style>
  <w:style w:type="table" w:styleId="ColorfulShading-Accent6">
    <w:name w:val="Colorful Shading Accent 6"/>
    <w:basedOn w:val="TableNormal"/>
    <w:uiPriority w:val="71"/>
    <w:rsid w:val="00C62AD0"/>
    <w:pPr>
      <w:spacing w:before="0" w:after="0"/>
    </w:pPr>
    <w:rPr>
      <w:rFonts w:asciiTheme="minorHAnsi" w:eastAsiaTheme="minorEastAsia" w:hAnsiTheme="minorHAnsi"/>
      <w:color w:val="1E1E1E" w:themeColor="text1"/>
      <w:sz w:val="22"/>
      <w:szCs w:val="22"/>
    </w:rPr>
    <w:tblPr>
      <w:tblStyleRowBandSize w:val="1"/>
      <w:tblStyleColBandSize w:val="1"/>
      <w:tblBorders>
        <w:top w:val="single" w:sz="24" w:space="0" w:color="D6F591" w:themeColor="accent5"/>
        <w:left w:val="single" w:sz="4" w:space="0" w:color="EEF7DB" w:themeColor="accent6"/>
        <w:bottom w:val="single" w:sz="4" w:space="0" w:color="EEF7DB" w:themeColor="accent6"/>
        <w:right w:val="single" w:sz="4" w:space="0" w:color="EEF7DB" w:themeColor="accent6"/>
        <w:insideH w:val="single" w:sz="4" w:space="0" w:color="FFFFFF" w:themeColor="background1"/>
        <w:insideV w:val="single" w:sz="4" w:space="0" w:color="FFFFFF" w:themeColor="background1"/>
      </w:tblBorders>
    </w:tblPr>
    <w:tcPr>
      <w:shd w:val="clear" w:color="auto" w:fill="FDFEFB" w:themeFill="accent6" w:themeFillTint="19"/>
    </w:tcPr>
    <w:tblStylePr w:type="firstRow">
      <w:rPr>
        <w:b/>
        <w:bCs/>
      </w:rPr>
      <w:tblPr/>
      <w:tcPr>
        <w:tcBorders>
          <w:top w:val="nil"/>
          <w:left w:val="nil"/>
          <w:bottom w:val="single" w:sz="24" w:space="0" w:color="D6F59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5D542" w:themeFill="accent6" w:themeFillShade="99"/>
      </w:tcPr>
    </w:tblStylePr>
    <w:tblStylePr w:type="firstCol">
      <w:rPr>
        <w:color w:val="FFFFFF" w:themeColor="background1"/>
      </w:rPr>
      <w:tblPr/>
      <w:tcPr>
        <w:tcBorders>
          <w:top w:val="nil"/>
          <w:left w:val="nil"/>
          <w:bottom w:val="nil"/>
          <w:right w:val="nil"/>
          <w:insideH w:val="single" w:sz="4" w:space="0" w:color="A5D542" w:themeColor="accent6" w:themeShade="99"/>
          <w:insideV w:val="nil"/>
        </w:tcBorders>
        <w:shd w:val="clear" w:color="auto" w:fill="A5D54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A5D542" w:themeFill="accent6" w:themeFillShade="99"/>
      </w:tcPr>
    </w:tblStylePr>
    <w:tblStylePr w:type="band1Vert">
      <w:tblPr/>
      <w:tcPr>
        <w:shd w:val="clear" w:color="auto" w:fill="F8FBF0" w:themeFill="accent6" w:themeFillTint="66"/>
      </w:tcPr>
    </w:tblStylePr>
    <w:tblStylePr w:type="band1Horz">
      <w:tblPr/>
      <w:tcPr>
        <w:shd w:val="clear" w:color="auto" w:fill="F6FBED" w:themeFill="accent6" w:themeFillTint="7F"/>
      </w:tcPr>
    </w:tblStylePr>
    <w:tblStylePr w:type="neCell">
      <w:rPr>
        <w:color w:val="1E1E1E" w:themeColor="text1"/>
      </w:rPr>
    </w:tblStylePr>
    <w:tblStylePr w:type="nwCell">
      <w:rPr>
        <w:color w:val="1E1E1E" w:themeColor="text1"/>
      </w:rPr>
    </w:tblStylePr>
  </w:style>
  <w:style w:type="table" w:styleId="ColorfulList">
    <w:name w:val="Colorful List"/>
    <w:basedOn w:val="TableNormal"/>
    <w:uiPriority w:val="72"/>
    <w:rsid w:val="00C62AD0"/>
    <w:pPr>
      <w:spacing w:before="0" w:after="0"/>
    </w:pPr>
    <w:rPr>
      <w:rFonts w:asciiTheme="minorHAnsi" w:eastAsiaTheme="minorEastAsia" w:hAnsiTheme="minorHAnsi"/>
      <w:color w:val="1E1E1E" w:themeColor="text1"/>
      <w:sz w:val="22"/>
      <w:szCs w:val="22"/>
    </w:rPr>
    <w:tblPr>
      <w:tblStyleRowBandSize w:val="1"/>
      <w:tblStyleColBandSize w:val="1"/>
    </w:tblPr>
    <w:tcPr>
      <w:shd w:val="clear" w:color="auto" w:fill="E8E8E8" w:themeFill="text1" w:themeFillTint="19"/>
    </w:tcPr>
    <w:tblStylePr w:type="firstRow">
      <w:rPr>
        <w:b/>
        <w:bCs/>
        <w:color w:val="FFFFFF" w:themeColor="background1"/>
      </w:rPr>
      <w:tblPr/>
      <w:tcPr>
        <w:tcBorders>
          <w:bottom w:val="single" w:sz="12" w:space="0" w:color="FFFFFF" w:themeColor="background1"/>
        </w:tcBorders>
        <w:shd w:val="clear" w:color="auto" w:fill="8DAB4A" w:themeFill="accent2" w:themeFillShade="CC"/>
      </w:tcPr>
    </w:tblStylePr>
    <w:tblStylePr w:type="lastRow">
      <w:rPr>
        <w:b/>
        <w:bCs/>
        <w:color w:val="8DAB4A" w:themeColor="accent2" w:themeShade="CC"/>
      </w:rPr>
      <w:tblPr/>
      <w:tcPr>
        <w:tcBorders>
          <w:top w:val="single" w:sz="12" w:space="0" w:color="1E1E1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C7C7" w:themeFill="text1" w:themeFillTint="3F"/>
      </w:tcPr>
    </w:tblStylePr>
    <w:tblStylePr w:type="band1Horz">
      <w:tblPr/>
      <w:tcPr>
        <w:shd w:val="clear" w:color="auto" w:fill="D2D2D2" w:themeFill="text1" w:themeFillTint="33"/>
      </w:tcPr>
    </w:tblStylePr>
  </w:style>
  <w:style w:type="table" w:styleId="ColorfulList-Accent1">
    <w:name w:val="Colorful List Accent 1"/>
    <w:basedOn w:val="TableNormal"/>
    <w:uiPriority w:val="72"/>
    <w:rsid w:val="00C62AD0"/>
    <w:pPr>
      <w:spacing w:before="0" w:after="0"/>
    </w:pPr>
    <w:rPr>
      <w:rFonts w:asciiTheme="minorHAnsi" w:eastAsiaTheme="minorEastAsia" w:hAnsiTheme="minorHAnsi"/>
      <w:color w:val="1E1E1E" w:themeColor="text1"/>
      <w:sz w:val="22"/>
      <w:szCs w:val="22"/>
    </w:rPr>
    <w:tblPr>
      <w:tblStyleRowBandSize w:val="1"/>
      <w:tblStyleColBandSize w:val="1"/>
    </w:tblPr>
    <w:tcPr>
      <w:shd w:val="clear" w:color="auto" w:fill="EAF0EA" w:themeFill="accent1" w:themeFillTint="19"/>
    </w:tcPr>
    <w:tblStylePr w:type="firstRow">
      <w:rPr>
        <w:b/>
        <w:bCs/>
        <w:color w:val="FFFFFF" w:themeColor="background1"/>
      </w:rPr>
      <w:tblPr/>
      <w:tcPr>
        <w:tcBorders>
          <w:bottom w:val="single" w:sz="12" w:space="0" w:color="FFFFFF" w:themeColor="background1"/>
        </w:tcBorders>
        <w:shd w:val="clear" w:color="auto" w:fill="8DAB4A" w:themeFill="accent2" w:themeFillShade="CC"/>
      </w:tcPr>
    </w:tblStylePr>
    <w:tblStylePr w:type="lastRow">
      <w:rPr>
        <w:b/>
        <w:bCs/>
        <w:color w:val="8DAB4A" w:themeColor="accent2" w:themeShade="CC"/>
      </w:rPr>
      <w:tblPr/>
      <w:tcPr>
        <w:tcBorders>
          <w:top w:val="single" w:sz="12" w:space="0" w:color="1E1E1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D8CA" w:themeFill="accent1" w:themeFillTint="3F"/>
      </w:tcPr>
    </w:tblStylePr>
    <w:tblStylePr w:type="band1Horz">
      <w:tblPr/>
      <w:tcPr>
        <w:shd w:val="clear" w:color="auto" w:fill="D4E0D4" w:themeFill="accent1" w:themeFillTint="33"/>
      </w:tcPr>
    </w:tblStylePr>
  </w:style>
  <w:style w:type="table" w:styleId="ColorfulList-Accent2">
    <w:name w:val="Colorful List Accent 2"/>
    <w:basedOn w:val="TableNormal"/>
    <w:uiPriority w:val="72"/>
    <w:rsid w:val="00C62AD0"/>
    <w:pPr>
      <w:spacing w:before="0" w:after="0"/>
    </w:pPr>
    <w:rPr>
      <w:rFonts w:asciiTheme="minorHAnsi" w:eastAsiaTheme="minorEastAsia" w:hAnsiTheme="minorHAnsi"/>
      <w:color w:val="1E1E1E" w:themeColor="text1"/>
      <w:sz w:val="22"/>
      <w:szCs w:val="22"/>
    </w:rPr>
    <w:tblPr>
      <w:tblStyleRowBandSize w:val="1"/>
      <w:tblStyleColBandSize w:val="1"/>
    </w:tblPr>
    <w:tcPr>
      <w:shd w:val="clear" w:color="auto" w:fill="F6F9F1" w:themeFill="accent2" w:themeFillTint="19"/>
    </w:tcPr>
    <w:tblStylePr w:type="firstRow">
      <w:rPr>
        <w:b/>
        <w:bCs/>
        <w:color w:val="FFFFFF" w:themeColor="background1"/>
      </w:rPr>
      <w:tblPr/>
      <w:tcPr>
        <w:tcBorders>
          <w:bottom w:val="single" w:sz="12" w:space="0" w:color="FFFFFF" w:themeColor="background1"/>
        </w:tcBorders>
        <w:shd w:val="clear" w:color="auto" w:fill="8DAB4A" w:themeFill="accent2" w:themeFillShade="CC"/>
      </w:tcPr>
    </w:tblStylePr>
    <w:tblStylePr w:type="lastRow">
      <w:rPr>
        <w:b/>
        <w:bCs/>
        <w:color w:val="8DAB4A" w:themeColor="accent2" w:themeShade="CC"/>
      </w:rPr>
      <w:tblPr/>
      <w:tcPr>
        <w:tcBorders>
          <w:top w:val="single" w:sz="12" w:space="0" w:color="1E1E1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0DC" w:themeFill="accent2" w:themeFillTint="3F"/>
      </w:tcPr>
    </w:tblStylePr>
    <w:tblStylePr w:type="band1Horz">
      <w:tblPr/>
      <w:tcPr>
        <w:shd w:val="clear" w:color="auto" w:fill="EDF2E2" w:themeFill="accent2" w:themeFillTint="33"/>
      </w:tcPr>
    </w:tblStylePr>
  </w:style>
  <w:style w:type="table" w:styleId="ColorfulList-Accent3">
    <w:name w:val="Colorful List Accent 3"/>
    <w:basedOn w:val="TableNormal"/>
    <w:uiPriority w:val="72"/>
    <w:rsid w:val="00C62AD0"/>
    <w:pPr>
      <w:spacing w:before="0" w:after="0"/>
    </w:pPr>
    <w:rPr>
      <w:rFonts w:asciiTheme="minorHAnsi" w:eastAsiaTheme="minorEastAsia" w:hAnsiTheme="minorHAnsi"/>
      <w:color w:val="1E1E1E" w:themeColor="text1"/>
      <w:sz w:val="22"/>
      <w:szCs w:val="22"/>
    </w:rPr>
    <w:tblPr>
      <w:tblStyleRowBandSize w:val="1"/>
      <w:tblStyleColBandSize w:val="1"/>
    </w:tblPr>
    <w:tcPr>
      <w:shd w:val="clear" w:color="auto" w:fill="F0F3EA" w:themeFill="accent3" w:themeFillTint="19"/>
    </w:tcPr>
    <w:tblStylePr w:type="firstRow">
      <w:rPr>
        <w:b/>
        <w:bCs/>
        <w:color w:val="FFFFFF" w:themeColor="background1"/>
      </w:rPr>
      <w:tblPr/>
      <w:tcPr>
        <w:tcBorders>
          <w:bottom w:val="single" w:sz="12" w:space="0" w:color="FFFFFF" w:themeColor="background1"/>
        </w:tcBorders>
        <w:shd w:val="clear" w:color="auto" w:fill="1E281E" w:themeFill="accent4" w:themeFillShade="CC"/>
      </w:tcPr>
    </w:tblStylePr>
    <w:tblStylePr w:type="lastRow">
      <w:rPr>
        <w:b/>
        <w:bCs/>
        <w:color w:val="1E281E" w:themeColor="accent4" w:themeShade="CC"/>
      </w:rPr>
      <w:tblPr/>
      <w:tcPr>
        <w:tcBorders>
          <w:top w:val="single" w:sz="12" w:space="0" w:color="1E1E1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1CC" w:themeFill="accent3" w:themeFillTint="3F"/>
      </w:tcPr>
    </w:tblStylePr>
    <w:tblStylePr w:type="band1Horz">
      <w:tblPr/>
      <w:tcPr>
        <w:shd w:val="clear" w:color="auto" w:fill="E1E7D6" w:themeFill="accent3" w:themeFillTint="33"/>
      </w:tcPr>
    </w:tblStylePr>
  </w:style>
  <w:style w:type="table" w:styleId="ColorfulList-Accent4">
    <w:name w:val="Colorful List Accent 4"/>
    <w:basedOn w:val="TableNormal"/>
    <w:uiPriority w:val="72"/>
    <w:rsid w:val="00C62AD0"/>
    <w:pPr>
      <w:spacing w:before="0" w:after="0"/>
    </w:pPr>
    <w:rPr>
      <w:rFonts w:asciiTheme="minorHAnsi" w:eastAsiaTheme="minorEastAsia" w:hAnsiTheme="minorHAnsi"/>
      <w:color w:val="1E1E1E" w:themeColor="text1"/>
      <w:sz w:val="22"/>
      <w:szCs w:val="22"/>
    </w:rPr>
    <w:tblPr>
      <w:tblStyleRowBandSize w:val="1"/>
      <w:tblStyleColBandSize w:val="1"/>
    </w:tblPr>
    <w:tcPr>
      <w:shd w:val="clear" w:color="auto" w:fill="E7EDE7" w:themeFill="accent4" w:themeFillTint="19"/>
    </w:tcPr>
    <w:tblStylePr w:type="firstRow">
      <w:rPr>
        <w:b/>
        <w:bCs/>
        <w:color w:val="FFFFFF" w:themeColor="background1"/>
      </w:rPr>
      <w:tblPr/>
      <w:tcPr>
        <w:tcBorders>
          <w:bottom w:val="single" w:sz="12" w:space="0" w:color="FFFFFF" w:themeColor="background1"/>
        </w:tcBorders>
        <w:shd w:val="clear" w:color="auto" w:fill="515D37" w:themeFill="accent3" w:themeFillShade="CC"/>
      </w:tcPr>
    </w:tblStylePr>
    <w:tblStylePr w:type="lastRow">
      <w:rPr>
        <w:b/>
        <w:bCs/>
        <w:color w:val="515D37" w:themeColor="accent3" w:themeShade="CC"/>
      </w:rPr>
      <w:tblPr/>
      <w:tcPr>
        <w:tcBorders>
          <w:top w:val="single" w:sz="12" w:space="0" w:color="1E1E1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D2C3" w:themeFill="accent4" w:themeFillTint="3F"/>
      </w:tcPr>
    </w:tblStylePr>
    <w:tblStylePr w:type="band1Horz">
      <w:tblPr/>
      <w:tcPr>
        <w:shd w:val="clear" w:color="auto" w:fill="CEDBCE" w:themeFill="accent4" w:themeFillTint="33"/>
      </w:tcPr>
    </w:tblStylePr>
  </w:style>
  <w:style w:type="table" w:styleId="ColorfulList-Accent5">
    <w:name w:val="Colorful List Accent 5"/>
    <w:basedOn w:val="TableNormal"/>
    <w:uiPriority w:val="72"/>
    <w:rsid w:val="00C62AD0"/>
    <w:pPr>
      <w:spacing w:before="0" w:after="0"/>
    </w:pPr>
    <w:rPr>
      <w:rFonts w:asciiTheme="minorHAnsi" w:eastAsiaTheme="minorEastAsia" w:hAnsiTheme="minorHAnsi"/>
      <w:color w:val="1E1E1E" w:themeColor="text1"/>
      <w:sz w:val="22"/>
      <w:szCs w:val="22"/>
    </w:rPr>
    <w:tblPr>
      <w:tblStyleRowBandSize w:val="1"/>
      <w:tblStyleColBandSize w:val="1"/>
    </w:tblPr>
    <w:tcPr>
      <w:shd w:val="clear" w:color="auto" w:fill="FAFEF4" w:themeFill="accent5" w:themeFillTint="19"/>
    </w:tcPr>
    <w:tblStylePr w:type="firstRow">
      <w:rPr>
        <w:b/>
        <w:bCs/>
        <w:color w:val="FFFFFF" w:themeColor="background1"/>
      </w:rPr>
      <w:tblPr/>
      <w:tcPr>
        <w:tcBorders>
          <w:bottom w:val="single" w:sz="12" w:space="0" w:color="FFFFFF" w:themeColor="background1"/>
        </w:tcBorders>
        <w:shd w:val="clear" w:color="auto" w:fill="C9E68E" w:themeFill="accent6" w:themeFillShade="CC"/>
      </w:tcPr>
    </w:tblStylePr>
    <w:tblStylePr w:type="lastRow">
      <w:rPr>
        <w:b/>
        <w:bCs/>
        <w:color w:val="C9E68E" w:themeColor="accent6" w:themeShade="CC"/>
      </w:rPr>
      <w:tblPr/>
      <w:tcPr>
        <w:tcBorders>
          <w:top w:val="single" w:sz="12" w:space="0" w:color="1E1E1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CE3" w:themeFill="accent5" w:themeFillTint="3F"/>
      </w:tcPr>
    </w:tblStylePr>
    <w:tblStylePr w:type="band1Horz">
      <w:tblPr/>
      <w:tcPr>
        <w:shd w:val="clear" w:color="auto" w:fill="F6FDE9" w:themeFill="accent5" w:themeFillTint="33"/>
      </w:tcPr>
    </w:tblStylePr>
  </w:style>
  <w:style w:type="table" w:styleId="ColorfulList-Accent6">
    <w:name w:val="Colorful List Accent 6"/>
    <w:basedOn w:val="TableNormal"/>
    <w:uiPriority w:val="72"/>
    <w:rsid w:val="00C62AD0"/>
    <w:pPr>
      <w:spacing w:before="0" w:after="0"/>
    </w:pPr>
    <w:rPr>
      <w:rFonts w:asciiTheme="minorHAnsi" w:eastAsiaTheme="minorEastAsia" w:hAnsiTheme="minorHAnsi"/>
      <w:color w:val="1E1E1E" w:themeColor="text1"/>
      <w:sz w:val="22"/>
      <w:szCs w:val="22"/>
    </w:rPr>
    <w:tblPr>
      <w:tblStyleRowBandSize w:val="1"/>
      <w:tblStyleColBandSize w:val="1"/>
    </w:tblPr>
    <w:tcPr>
      <w:shd w:val="clear" w:color="auto" w:fill="FDFEFB" w:themeFill="accent6" w:themeFillTint="19"/>
    </w:tcPr>
    <w:tblStylePr w:type="firstRow">
      <w:rPr>
        <w:b/>
        <w:bCs/>
        <w:color w:val="FFFFFF" w:themeColor="background1"/>
      </w:rPr>
      <w:tblPr/>
      <w:tcPr>
        <w:tcBorders>
          <w:bottom w:val="single" w:sz="12" w:space="0" w:color="FFFFFF" w:themeColor="background1"/>
        </w:tcBorders>
        <w:shd w:val="clear" w:color="auto" w:fill="BAEE49" w:themeFill="accent5" w:themeFillShade="CC"/>
      </w:tcPr>
    </w:tblStylePr>
    <w:tblStylePr w:type="lastRow">
      <w:rPr>
        <w:b/>
        <w:bCs/>
        <w:color w:val="BAEE49" w:themeColor="accent5" w:themeShade="CC"/>
      </w:rPr>
      <w:tblPr/>
      <w:tcPr>
        <w:tcBorders>
          <w:top w:val="single" w:sz="12" w:space="0" w:color="1E1E1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DF6" w:themeFill="accent6" w:themeFillTint="3F"/>
      </w:tcPr>
    </w:tblStylePr>
    <w:tblStylePr w:type="band1Horz">
      <w:tblPr/>
      <w:tcPr>
        <w:shd w:val="clear" w:color="auto" w:fill="FBFDF7" w:themeFill="accent6" w:themeFillTint="33"/>
      </w:tcPr>
    </w:tblStylePr>
  </w:style>
  <w:style w:type="table" w:styleId="ColorfulGrid">
    <w:name w:val="Colorful Grid"/>
    <w:basedOn w:val="TableNormal"/>
    <w:uiPriority w:val="73"/>
    <w:rsid w:val="00C62AD0"/>
    <w:pPr>
      <w:spacing w:before="0" w:after="0"/>
    </w:pPr>
    <w:rPr>
      <w:rFonts w:asciiTheme="minorHAnsi" w:eastAsiaTheme="minorEastAsia" w:hAnsiTheme="minorHAnsi"/>
      <w:color w:val="1E1E1E" w:themeColor="text1"/>
      <w:sz w:val="22"/>
      <w:szCs w:val="22"/>
    </w:rPr>
    <w:tblPr>
      <w:tblStyleRowBandSize w:val="1"/>
      <w:tblStyleColBandSize w:val="1"/>
      <w:tblBorders>
        <w:insideH w:val="single" w:sz="4" w:space="0" w:color="FFFFFF" w:themeColor="background1"/>
      </w:tblBorders>
    </w:tblPr>
    <w:tcPr>
      <w:shd w:val="clear" w:color="auto" w:fill="D2D2D2" w:themeFill="text1" w:themeFillTint="33"/>
    </w:tcPr>
    <w:tblStylePr w:type="firstRow">
      <w:rPr>
        <w:b/>
        <w:bCs/>
      </w:rPr>
      <w:tblPr/>
      <w:tcPr>
        <w:shd w:val="clear" w:color="auto" w:fill="A5A5A5" w:themeFill="text1" w:themeFillTint="66"/>
      </w:tcPr>
    </w:tblStylePr>
    <w:tblStylePr w:type="lastRow">
      <w:rPr>
        <w:b/>
        <w:bCs/>
        <w:color w:val="1E1E1E" w:themeColor="text1"/>
      </w:rPr>
      <w:tblPr/>
      <w:tcPr>
        <w:shd w:val="clear" w:color="auto" w:fill="A5A5A5" w:themeFill="text1" w:themeFillTint="66"/>
      </w:tcPr>
    </w:tblStylePr>
    <w:tblStylePr w:type="firstCol">
      <w:rPr>
        <w:color w:val="FFFFFF" w:themeColor="background1"/>
      </w:rPr>
      <w:tblPr/>
      <w:tcPr>
        <w:shd w:val="clear" w:color="auto" w:fill="161616" w:themeFill="text1" w:themeFillShade="BF"/>
      </w:tcPr>
    </w:tblStylePr>
    <w:tblStylePr w:type="lastCol">
      <w:rPr>
        <w:color w:val="FFFFFF" w:themeColor="background1"/>
      </w:rPr>
      <w:tblPr/>
      <w:tcPr>
        <w:shd w:val="clear" w:color="auto" w:fill="161616" w:themeFill="text1" w:themeFillShade="BF"/>
      </w:tcPr>
    </w:tblStylePr>
    <w:tblStylePr w:type="band1Vert">
      <w:tblPr/>
      <w:tcPr>
        <w:shd w:val="clear" w:color="auto" w:fill="8E8E8E" w:themeFill="text1" w:themeFillTint="7F"/>
      </w:tcPr>
    </w:tblStylePr>
    <w:tblStylePr w:type="band1Horz">
      <w:tblPr/>
      <w:tcPr>
        <w:shd w:val="clear" w:color="auto" w:fill="8E8E8E" w:themeFill="text1" w:themeFillTint="7F"/>
      </w:tcPr>
    </w:tblStylePr>
  </w:style>
  <w:style w:type="table" w:styleId="ColorfulGrid-Accent1">
    <w:name w:val="Colorful Grid Accent 1"/>
    <w:basedOn w:val="TableNormal"/>
    <w:uiPriority w:val="73"/>
    <w:rsid w:val="00C62AD0"/>
    <w:pPr>
      <w:spacing w:before="0" w:after="0"/>
    </w:pPr>
    <w:rPr>
      <w:rFonts w:asciiTheme="minorHAnsi" w:eastAsiaTheme="minorEastAsia" w:hAnsiTheme="minorHAnsi"/>
      <w:color w:val="1E1E1E" w:themeColor="text1"/>
      <w:sz w:val="22"/>
      <w:szCs w:val="22"/>
    </w:rPr>
    <w:tblPr>
      <w:tblStyleRowBandSize w:val="1"/>
      <w:tblStyleColBandSize w:val="1"/>
      <w:tblBorders>
        <w:insideH w:val="single" w:sz="4" w:space="0" w:color="FFFFFF" w:themeColor="background1"/>
      </w:tblBorders>
    </w:tblPr>
    <w:tcPr>
      <w:shd w:val="clear" w:color="auto" w:fill="D4E0D4" w:themeFill="accent1" w:themeFillTint="33"/>
    </w:tcPr>
    <w:tblStylePr w:type="firstRow">
      <w:rPr>
        <w:b/>
        <w:bCs/>
      </w:rPr>
      <w:tblPr/>
      <w:tcPr>
        <w:shd w:val="clear" w:color="auto" w:fill="A9C1A9" w:themeFill="accent1" w:themeFillTint="66"/>
      </w:tcPr>
    </w:tblStylePr>
    <w:tblStylePr w:type="lastRow">
      <w:rPr>
        <w:b/>
        <w:bCs/>
        <w:color w:val="1E1E1E" w:themeColor="text1"/>
      </w:rPr>
      <w:tblPr/>
      <w:tcPr>
        <w:shd w:val="clear" w:color="auto" w:fill="A9C1A9" w:themeFill="accent1" w:themeFillTint="66"/>
      </w:tcPr>
    </w:tblStylePr>
    <w:tblStylePr w:type="firstCol">
      <w:rPr>
        <w:color w:val="FFFFFF" w:themeColor="background1"/>
      </w:rPr>
      <w:tblPr/>
      <w:tcPr>
        <w:shd w:val="clear" w:color="auto" w:fill="2D3E2D" w:themeFill="accent1" w:themeFillShade="BF"/>
      </w:tcPr>
    </w:tblStylePr>
    <w:tblStylePr w:type="lastCol">
      <w:rPr>
        <w:color w:val="FFFFFF" w:themeColor="background1"/>
      </w:rPr>
      <w:tblPr/>
      <w:tcPr>
        <w:shd w:val="clear" w:color="auto" w:fill="2D3E2D" w:themeFill="accent1" w:themeFillShade="BF"/>
      </w:tcPr>
    </w:tblStylePr>
    <w:tblStylePr w:type="band1Vert">
      <w:tblPr/>
      <w:tcPr>
        <w:shd w:val="clear" w:color="auto" w:fill="94B294" w:themeFill="accent1" w:themeFillTint="7F"/>
      </w:tcPr>
    </w:tblStylePr>
    <w:tblStylePr w:type="band1Horz">
      <w:tblPr/>
      <w:tcPr>
        <w:shd w:val="clear" w:color="auto" w:fill="94B294" w:themeFill="accent1" w:themeFillTint="7F"/>
      </w:tcPr>
    </w:tblStylePr>
  </w:style>
  <w:style w:type="table" w:styleId="ColorfulGrid-Accent2">
    <w:name w:val="Colorful Grid Accent 2"/>
    <w:basedOn w:val="TableNormal"/>
    <w:uiPriority w:val="73"/>
    <w:rsid w:val="00C62AD0"/>
    <w:pPr>
      <w:spacing w:before="0" w:after="0"/>
    </w:pPr>
    <w:rPr>
      <w:rFonts w:asciiTheme="minorHAnsi" w:eastAsiaTheme="minorEastAsia" w:hAnsiTheme="minorHAnsi"/>
      <w:color w:val="1E1E1E" w:themeColor="text1"/>
      <w:sz w:val="22"/>
      <w:szCs w:val="22"/>
    </w:rPr>
    <w:tblPr>
      <w:tblStyleRowBandSize w:val="1"/>
      <w:tblStyleColBandSize w:val="1"/>
      <w:tblBorders>
        <w:insideH w:val="single" w:sz="4" w:space="0" w:color="FFFFFF" w:themeColor="background1"/>
      </w:tblBorders>
    </w:tblPr>
    <w:tcPr>
      <w:shd w:val="clear" w:color="auto" w:fill="EDF2E2" w:themeFill="accent2" w:themeFillTint="33"/>
    </w:tcPr>
    <w:tblStylePr w:type="firstRow">
      <w:rPr>
        <w:b/>
        <w:bCs/>
      </w:rPr>
      <w:tblPr/>
      <w:tcPr>
        <w:shd w:val="clear" w:color="auto" w:fill="DCE6C6" w:themeFill="accent2" w:themeFillTint="66"/>
      </w:tcPr>
    </w:tblStylePr>
    <w:tblStylePr w:type="lastRow">
      <w:rPr>
        <w:b/>
        <w:bCs/>
        <w:color w:val="1E1E1E" w:themeColor="text1"/>
      </w:rPr>
      <w:tblPr/>
      <w:tcPr>
        <w:shd w:val="clear" w:color="auto" w:fill="DCE6C6" w:themeFill="accent2" w:themeFillTint="66"/>
      </w:tcPr>
    </w:tblStylePr>
    <w:tblStylePr w:type="firstCol">
      <w:rPr>
        <w:color w:val="FFFFFF" w:themeColor="background1"/>
      </w:rPr>
      <w:tblPr/>
      <w:tcPr>
        <w:shd w:val="clear" w:color="auto" w:fill="84A045" w:themeFill="accent2" w:themeFillShade="BF"/>
      </w:tcPr>
    </w:tblStylePr>
    <w:tblStylePr w:type="lastCol">
      <w:rPr>
        <w:color w:val="FFFFFF" w:themeColor="background1"/>
      </w:rPr>
      <w:tblPr/>
      <w:tcPr>
        <w:shd w:val="clear" w:color="auto" w:fill="84A045" w:themeFill="accent2" w:themeFillShade="BF"/>
      </w:tcPr>
    </w:tblStylePr>
    <w:tblStylePr w:type="band1Vert">
      <w:tblPr/>
      <w:tcPr>
        <w:shd w:val="clear" w:color="auto" w:fill="D4E0B8" w:themeFill="accent2" w:themeFillTint="7F"/>
      </w:tcPr>
    </w:tblStylePr>
    <w:tblStylePr w:type="band1Horz">
      <w:tblPr/>
      <w:tcPr>
        <w:shd w:val="clear" w:color="auto" w:fill="D4E0B8" w:themeFill="accent2" w:themeFillTint="7F"/>
      </w:tcPr>
    </w:tblStylePr>
  </w:style>
  <w:style w:type="table" w:styleId="ColorfulGrid-Accent3">
    <w:name w:val="Colorful Grid Accent 3"/>
    <w:basedOn w:val="TableNormal"/>
    <w:uiPriority w:val="73"/>
    <w:rsid w:val="00C62AD0"/>
    <w:pPr>
      <w:spacing w:before="0" w:after="0"/>
    </w:pPr>
    <w:rPr>
      <w:rFonts w:asciiTheme="minorHAnsi" w:eastAsiaTheme="minorEastAsia" w:hAnsiTheme="minorHAnsi"/>
      <w:color w:val="1E1E1E" w:themeColor="text1"/>
      <w:sz w:val="22"/>
      <w:szCs w:val="22"/>
    </w:rPr>
    <w:tblPr>
      <w:tblStyleRowBandSize w:val="1"/>
      <w:tblStyleColBandSize w:val="1"/>
      <w:tblBorders>
        <w:insideH w:val="single" w:sz="4" w:space="0" w:color="FFFFFF" w:themeColor="background1"/>
      </w:tblBorders>
    </w:tblPr>
    <w:tcPr>
      <w:shd w:val="clear" w:color="auto" w:fill="E1E7D6" w:themeFill="accent3" w:themeFillTint="33"/>
    </w:tcPr>
    <w:tblStylePr w:type="firstRow">
      <w:rPr>
        <w:b/>
        <w:bCs/>
      </w:rPr>
      <w:tblPr/>
      <w:tcPr>
        <w:shd w:val="clear" w:color="auto" w:fill="C4CFAD" w:themeFill="accent3" w:themeFillTint="66"/>
      </w:tcPr>
    </w:tblStylePr>
    <w:tblStylePr w:type="lastRow">
      <w:rPr>
        <w:b/>
        <w:bCs/>
        <w:color w:val="1E1E1E" w:themeColor="text1"/>
      </w:rPr>
      <w:tblPr/>
      <w:tcPr>
        <w:shd w:val="clear" w:color="auto" w:fill="C4CFAD" w:themeFill="accent3" w:themeFillTint="66"/>
      </w:tcPr>
    </w:tblStylePr>
    <w:tblStylePr w:type="firstCol">
      <w:rPr>
        <w:color w:val="FFFFFF" w:themeColor="background1"/>
      </w:rPr>
      <w:tblPr/>
      <w:tcPr>
        <w:shd w:val="clear" w:color="auto" w:fill="4C5733" w:themeFill="accent3" w:themeFillShade="BF"/>
      </w:tcPr>
    </w:tblStylePr>
    <w:tblStylePr w:type="lastCol">
      <w:rPr>
        <w:color w:val="FFFFFF" w:themeColor="background1"/>
      </w:rPr>
      <w:tblPr/>
      <w:tcPr>
        <w:shd w:val="clear" w:color="auto" w:fill="4C5733" w:themeFill="accent3" w:themeFillShade="BF"/>
      </w:tcPr>
    </w:tblStylePr>
    <w:tblStylePr w:type="band1Vert">
      <w:tblPr/>
      <w:tcPr>
        <w:shd w:val="clear" w:color="auto" w:fill="B5C399" w:themeFill="accent3" w:themeFillTint="7F"/>
      </w:tcPr>
    </w:tblStylePr>
    <w:tblStylePr w:type="band1Horz">
      <w:tblPr/>
      <w:tcPr>
        <w:shd w:val="clear" w:color="auto" w:fill="B5C399" w:themeFill="accent3" w:themeFillTint="7F"/>
      </w:tcPr>
    </w:tblStylePr>
  </w:style>
  <w:style w:type="table" w:styleId="ColorfulGrid-Accent4">
    <w:name w:val="Colorful Grid Accent 4"/>
    <w:basedOn w:val="TableNormal"/>
    <w:uiPriority w:val="73"/>
    <w:rsid w:val="00C62AD0"/>
    <w:pPr>
      <w:spacing w:before="0" w:after="0"/>
    </w:pPr>
    <w:rPr>
      <w:rFonts w:asciiTheme="minorHAnsi" w:eastAsiaTheme="minorEastAsia" w:hAnsiTheme="minorHAnsi"/>
      <w:color w:val="1E1E1E" w:themeColor="text1"/>
      <w:sz w:val="22"/>
      <w:szCs w:val="22"/>
    </w:rPr>
    <w:tblPr>
      <w:tblStyleRowBandSize w:val="1"/>
      <w:tblStyleColBandSize w:val="1"/>
      <w:tblBorders>
        <w:insideH w:val="single" w:sz="4" w:space="0" w:color="FFFFFF" w:themeColor="background1"/>
      </w:tblBorders>
    </w:tblPr>
    <w:tcPr>
      <w:shd w:val="clear" w:color="auto" w:fill="CEDBCE" w:themeFill="accent4" w:themeFillTint="33"/>
    </w:tcPr>
    <w:tblStylePr w:type="firstRow">
      <w:rPr>
        <w:b/>
        <w:bCs/>
      </w:rPr>
      <w:tblPr/>
      <w:tcPr>
        <w:shd w:val="clear" w:color="auto" w:fill="9EB79E" w:themeFill="accent4" w:themeFillTint="66"/>
      </w:tcPr>
    </w:tblStylePr>
    <w:tblStylePr w:type="lastRow">
      <w:rPr>
        <w:b/>
        <w:bCs/>
        <w:color w:val="1E1E1E" w:themeColor="text1"/>
      </w:rPr>
      <w:tblPr/>
      <w:tcPr>
        <w:shd w:val="clear" w:color="auto" w:fill="9EB79E" w:themeFill="accent4" w:themeFillTint="66"/>
      </w:tcPr>
    </w:tblStylePr>
    <w:tblStylePr w:type="firstCol">
      <w:rPr>
        <w:color w:val="FFFFFF" w:themeColor="background1"/>
      </w:rPr>
      <w:tblPr/>
      <w:tcPr>
        <w:shd w:val="clear" w:color="auto" w:fill="1C261C" w:themeFill="accent4" w:themeFillShade="BF"/>
      </w:tcPr>
    </w:tblStylePr>
    <w:tblStylePr w:type="lastCol">
      <w:rPr>
        <w:color w:val="FFFFFF" w:themeColor="background1"/>
      </w:rPr>
      <w:tblPr/>
      <w:tcPr>
        <w:shd w:val="clear" w:color="auto" w:fill="1C261C" w:themeFill="accent4" w:themeFillShade="BF"/>
      </w:tcPr>
    </w:tblStylePr>
    <w:tblStylePr w:type="band1Vert">
      <w:tblPr/>
      <w:tcPr>
        <w:shd w:val="clear" w:color="auto" w:fill="86A586" w:themeFill="accent4" w:themeFillTint="7F"/>
      </w:tcPr>
    </w:tblStylePr>
    <w:tblStylePr w:type="band1Horz">
      <w:tblPr/>
      <w:tcPr>
        <w:shd w:val="clear" w:color="auto" w:fill="86A586" w:themeFill="accent4" w:themeFillTint="7F"/>
      </w:tcPr>
    </w:tblStylePr>
  </w:style>
  <w:style w:type="table" w:styleId="ColorfulGrid-Accent5">
    <w:name w:val="Colorful Grid Accent 5"/>
    <w:basedOn w:val="TableNormal"/>
    <w:uiPriority w:val="73"/>
    <w:rsid w:val="00C62AD0"/>
    <w:pPr>
      <w:spacing w:before="0" w:after="0"/>
    </w:pPr>
    <w:rPr>
      <w:rFonts w:asciiTheme="minorHAnsi" w:eastAsiaTheme="minorEastAsia" w:hAnsiTheme="minorHAnsi"/>
      <w:color w:val="1E1E1E" w:themeColor="text1"/>
      <w:sz w:val="22"/>
      <w:szCs w:val="22"/>
    </w:rPr>
    <w:tblPr>
      <w:tblStyleRowBandSize w:val="1"/>
      <w:tblStyleColBandSize w:val="1"/>
      <w:tblBorders>
        <w:insideH w:val="single" w:sz="4" w:space="0" w:color="FFFFFF" w:themeColor="background1"/>
      </w:tblBorders>
    </w:tblPr>
    <w:tcPr>
      <w:shd w:val="clear" w:color="auto" w:fill="F6FDE9" w:themeFill="accent5" w:themeFillTint="33"/>
    </w:tcPr>
    <w:tblStylePr w:type="firstRow">
      <w:rPr>
        <w:b/>
        <w:bCs/>
      </w:rPr>
      <w:tblPr/>
      <w:tcPr>
        <w:shd w:val="clear" w:color="auto" w:fill="EEFBD3" w:themeFill="accent5" w:themeFillTint="66"/>
      </w:tcPr>
    </w:tblStylePr>
    <w:tblStylePr w:type="lastRow">
      <w:rPr>
        <w:b/>
        <w:bCs/>
        <w:color w:val="1E1E1E" w:themeColor="text1"/>
      </w:rPr>
      <w:tblPr/>
      <w:tcPr>
        <w:shd w:val="clear" w:color="auto" w:fill="EEFBD3" w:themeFill="accent5" w:themeFillTint="66"/>
      </w:tcPr>
    </w:tblStylePr>
    <w:tblStylePr w:type="firstCol">
      <w:rPr>
        <w:color w:val="FFFFFF" w:themeColor="background1"/>
      </w:rPr>
      <w:tblPr/>
      <w:tcPr>
        <w:shd w:val="clear" w:color="auto" w:fill="B3EC37" w:themeFill="accent5" w:themeFillShade="BF"/>
      </w:tcPr>
    </w:tblStylePr>
    <w:tblStylePr w:type="lastCol">
      <w:rPr>
        <w:color w:val="FFFFFF" w:themeColor="background1"/>
      </w:rPr>
      <w:tblPr/>
      <w:tcPr>
        <w:shd w:val="clear" w:color="auto" w:fill="B3EC37" w:themeFill="accent5" w:themeFillShade="BF"/>
      </w:tcPr>
    </w:tblStylePr>
    <w:tblStylePr w:type="band1Vert">
      <w:tblPr/>
      <w:tcPr>
        <w:shd w:val="clear" w:color="auto" w:fill="EAFAC8" w:themeFill="accent5" w:themeFillTint="7F"/>
      </w:tcPr>
    </w:tblStylePr>
    <w:tblStylePr w:type="band1Horz">
      <w:tblPr/>
      <w:tcPr>
        <w:shd w:val="clear" w:color="auto" w:fill="EAFAC8" w:themeFill="accent5" w:themeFillTint="7F"/>
      </w:tcPr>
    </w:tblStylePr>
  </w:style>
  <w:style w:type="table" w:styleId="ColorfulGrid-Accent6">
    <w:name w:val="Colorful Grid Accent 6"/>
    <w:basedOn w:val="TableNormal"/>
    <w:uiPriority w:val="73"/>
    <w:rsid w:val="00C62AD0"/>
    <w:pPr>
      <w:spacing w:before="0" w:after="0"/>
    </w:pPr>
    <w:rPr>
      <w:rFonts w:asciiTheme="minorHAnsi" w:eastAsiaTheme="minorEastAsia" w:hAnsiTheme="minorHAnsi"/>
      <w:color w:val="1E1E1E" w:themeColor="text1"/>
      <w:sz w:val="22"/>
      <w:szCs w:val="22"/>
    </w:rPr>
    <w:tblPr>
      <w:tblStyleRowBandSize w:val="1"/>
      <w:tblStyleColBandSize w:val="1"/>
      <w:tblBorders>
        <w:insideH w:val="single" w:sz="4" w:space="0" w:color="FFFFFF" w:themeColor="background1"/>
      </w:tblBorders>
    </w:tblPr>
    <w:tcPr>
      <w:shd w:val="clear" w:color="auto" w:fill="FBFDF7" w:themeFill="accent6" w:themeFillTint="33"/>
    </w:tcPr>
    <w:tblStylePr w:type="firstRow">
      <w:rPr>
        <w:b/>
        <w:bCs/>
      </w:rPr>
      <w:tblPr/>
      <w:tcPr>
        <w:shd w:val="clear" w:color="auto" w:fill="F8FBF0" w:themeFill="accent6" w:themeFillTint="66"/>
      </w:tcPr>
    </w:tblStylePr>
    <w:tblStylePr w:type="lastRow">
      <w:rPr>
        <w:b/>
        <w:bCs/>
        <w:color w:val="1E1E1E" w:themeColor="text1"/>
      </w:rPr>
      <w:tblPr/>
      <w:tcPr>
        <w:shd w:val="clear" w:color="auto" w:fill="F8FBF0" w:themeFill="accent6" w:themeFillTint="66"/>
      </w:tcPr>
    </w:tblStylePr>
    <w:tblStylePr w:type="firstCol">
      <w:rPr>
        <w:color w:val="FFFFFF" w:themeColor="background1"/>
      </w:rPr>
      <w:tblPr/>
      <w:tcPr>
        <w:shd w:val="clear" w:color="auto" w:fill="C0E17B" w:themeFill="accent6" w:themeFillShade="BF"/>
      </w:tcPr>
    </w:tblStylePr>
    <w:tblStylePr w:type="lastCol">
      <w:rPr>
        <w:color w:val="FFFFFF" w:themeColor="background1"/>
      </w:rPr>
      <w:tblPr/>
      <w:tcPr>
        <w:shd w:val="clear" w:color="auto" w:fill="C0E17B" w:themeFill="accent6" w:themeFillShade="BF"/>
      </w:tcPr>
    </w:tblStylePr>
    <w:tblStylePr w:type="band1Vert">
      <w:tblPr/>
      <w:tcPr>
        <w:shd w:val="clear" w:color="auto" w:fill="F6FBED" w:themeFill="accent6" w:themeFillTint="7F"/>
      </w:tcPr>
    </w:tblStylePr>
    <w:tblStylePr w:type="band1Horz">
      <w:tblPr/>
      <w:tcPr>
        <w:shd w:val="clear" w:color="auto" w:fill="F6FBED" w:themeFill="accent6" w:themeFillTint="7F"/>
      </w:tcPr>
    </w:tblStylePr>
  </w:style>
  <w:style w:type="paragraph" w:customStyle="1" w:styleId="Strong1">
    <w:name w:val="Strong1"/>
    <w:qFormat/>
    <w:rsid w:val="00EA496D"/>
    <w:pPr>
      <w:spacing w:before="0" w:after="0"/>
    </w:pPr>
    <w:rPr>
      <w:rFonts w:ascii="Times New Roman" w:eastAsia="Times New Roman" w:hAnsi="Times New Roman" w:cs="Times New Roman"/>
      <w:b/>
      <w:bCs/>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23377">
      <w:bodyDiv w:val="1"/>
      <w:marLeft w:val="0"/>
      <w:marRight w:val="0"/>
      <w:marTop w:val="0"/>
      <w:marBottom w:val="0"/>
      <w:divBdr>
        <w:top w:val="none" w:sz="0" w:space="0" w:color="auto"/>
        <w:left w:val="none" w:sz="0" w:space="0" w:color="auto"/>
        <w:bottom w:val="none" w:sz="0" w:space="0" w:color="auto"/>
        <w:right w:val="none" w:sz="0" w:space="0" w:color="auto"/>
      </w:divBdr>
    </w:div>
    <w:div w:id="152071920">
      <w:bodyDiv w:val="1"/>
      <w:marLeft w:val="0"/>
      <w:marRight w:val="0"/>
      <w:marTop w:val="0"/>
      <w:marBottom w:val="0"/>
      <w:divBdr>
        <w:top w:val="none" w:sz="0" w:space="0" w:color="auto"/>
        <w:left w:val="none" w:sz="0" w:space="0" w:color="auto"/>
        <w:bottom w:val="none" w:sz="0" w:space="0" w:color="auto"/>
        <w:right w:val="none" w:sz="0" w:space="0" w:color="auto"/>
      </w:divBdr>
    </w:div>
    <w:div w:id="435293359">
      <w:bodyDiv w:val="1"/>
      <w:marLeft w:val="0"/>
      <w:marRight w:val="0"/>
      <w:marTop w:val="0"/>
      <w:marBottom w:val="0"/>
      <w:divBdr>
        <w:top w:val="none" w:sz="0" w:space="0" w:color="auto"/>
        <w:left w:val="none" w:sz="0" w:space="0" w:color="auto"/>
        <w:bottom w:val="none" w:sz="0" w:space="0" w:color="auto"/>
        <w:right w:val="none" w:sz="0" w:space="0" w:color="auto"/>
      </w:divBdr>
    </w:div>
    <w:div w:id="679551345">
      <w:bodyDiv w:val="1"/>
      <w:marLeft w:val="0"/>
      <w:marRight w:val="0"/>
      <w:marTop w:val="0"/>
      <w:marBottom w:val="0"/>
      <w:divBdr>
        <w:top w:val="none" w:sz="0" w:space="0" w:color="auto"/>
        <w:left w:val="none" w:sz="0" w:space="0" w:color="auto"/>
        <w:bottom w:val="none" w:sz="0" w:space="0" w:color="auto"/>
        <w:right w:val="none" w:sz="0" w:space="0" w:color="auto"/>
      </w:divBdr>
    </w:div>
    <w:div w:id="694036182">
      <w:bodyDiv w:val="1"/>
      <w:marLeft w:val="0"/>
      <w:marRight w:val="0"/>
      <w:marTop w:val="0"/>
      <w:marBottom w:val="0"/>
      <w:divBdr>
        <w:top w:val="none" w:sz="0" w:space="0" w:color="auto"/>
        <w:left w:val="none" w:sz="0" w:space="0" w:color="auto"/>
        <w:bottom w:val="none" w:sz="0" w:space="0" w:color="auto"/>
        <w:right w:val="none" w:sz="0" w:space="0" w:color="auto"/>
      </w:divBdr>
    </w:div>
    <w:div w:id="864751707">
      <w:bodyDiv w:val="1"/>
      <w:marLeft w:val="0"/>
      <w:marRight w:val="0"/>
      <w:marTop w:val="0"/>
      <w:marBottom w:val="0"/>
      <w:divBdr>
        <w:top w:val="none" w:sz="0" w:space="0" w:color="auto"/>
        <w:left w:val="none" w:sz="0" w:space="0" w:color="auto"/>
        <w:bottom w:val="none" w:sz="0" w:space="0" w:color="auto"/>
        <w:right w:val="none" w:sz="0" w:space="0" w:color="auto"/>
      </w:divBdr>
    </w:div>
    <w:div w:id="963467543">
      <w:bodyDiv w:val="1"/>
      <w:marLeft w:val="0"/>
      <w:marRight w:val="0"/>
      <w:marTop w:val="0"/>
      <w:marBottom w:val="0"/>
      <w:divBdr>
        <w:top w:val="none" w:sz="0" w:space="0" w:color="auto"/>
        <w:left w:val="none" w:sz="0" w:space="0" w:color="auto"/>
        <w:bottom w:val="none" w:sz="0" w:space="0" w:color="auto"/>
        <w:right w:val="none" w:sz="0" w:space="0" w:color="auto"/>
      </w:divBdr>
    </w:div>
    <w:div w:id="1565673969">
      <w:bodyDiv w:val="1"/>
      <w:marLeft w:val="0"/>
      <w:marRight w:val="0"/>
      <w:marTop w:val="0"/>
      <w:marBottom w:val="0"/>
      <w:divBdr>
        <w:top w:val="none" w:sz="0" w:space="0" w:color="auto"/>
        <w:left w:val="none" w:sz="0" w:space="0" w:color="auto"/>
        <w:bottom w:val="none" w:sz="0" w:space="0" w:color="auto"/>
        <w:right w:val="none" w:sz="0" w:space="0" w:color="auto"/>
      </w:divBdr>
    </w:div>
    <w:div w:id="205200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lrgroup-my.sharepoint.com/personal/emma_craven_slrconsulting_com/Documents/Microsoft%20Copilot%20Chat%20Files/Brands%202026.pdf" TargetMode="External"/><Relationship Id="rId21" Type="http://schemas.openxmlformats.org/officeDocument/2006/relationships/header" Target="header5.xml"/><Relationship Id="rId42" Type="http://schemas.openxmlformats.org/officeDocument/2006/relationships/hyperlink" Target="https://doi.org/10.2147/DHPS.S499941" TargetMode="External"/><Relationship Id="rId63" Type="http://schemas.openxmlformats.org/officeDocument/2006/relationships/footer" Target="footer12.xml"/><Relationship Id="rId84" Type="http://schemas.openxmlformats.org/officeDocument/2006/relationships/hyperlink" Target="https://slrgroup-my.sharepoint.com/personal/emma_craven_slrconsulting_com/_layouts/15/Doc.aspx?sourcedoc=%7B80F018D2-2C09-4B8F-AB02-0FE435BC0D82%7D&amp;file=Vit%20B6%20starter%20meeting%20.docx&amp;action=default&amp;mobileredirect=true" TargetMode="External"/><Relationship Id="rId138" Type="http://schemas.openxmlformats.org/officeDocument/2006/relationships/hyperlink" Target="https://slrgroup-my.sharepoint.com/personal/emma_craven_slrconsulting_com/Documents/Microsoft%20Copilot%20Chat%20Files/Gdynia%202025.pdf" TargetMode="External"/><Relationship Id="rId159" Type="http://schemas.openxmlformats.org/officeDocument/2006/relationships/hyperlink" Target="https://slrgroup-my.sharepoint.com/personal/emma_craven_slrconsulting_com/Documents/Microsoft%20Copilot%20Chat%20Files/Lee%202025.pdf" TargetMode="External"/><Relationship Id="rId170" Type="http://schemas.openxmlformats.org/officeDocument/2006/relationships/hyperlink" Target="https://slrgroup-my.sharepoint.com/personal/emma_craven_slrconsulting_com/Documents/Microsoft%20Copilot%20Chat%20Files/Modica%20J,%202023%20A%20systematic%20review%20of%20the%20potential%20consequences%20of%20abnormal%20serum%20level.pdf" TargetMode="External"/><Relationship Id="rId191" Type="http://schemas.openxmlformats.org/officeDocument/2006/relationships/hyperlink" Target="https://slrgroup-my.sharepoint.com/personal/emma_craven_slrconsulting_com/Documents/Microsoft%20Copilot%20Chat%20Files/Muhamade%202023.pdf" TargetMode="External"/><Relationship Id="rId205" Type="http://schemas.openxmlformats.org/officeDocument/2006/relationships/hyperlink" Target="https://doi.org/10.1016/j.bone.2024.117033" TargetMode="External"/><Relationship Id="rId107" Type="http://schemas.openxmlformats.org/officeDocument/2006/relationships/hyperlink" Target="https://slrgroup-my.sharepoint.com/personal/emma_craven_slrconsulting_com/Documents/Microsoft%20Copilot%20Chat%20Files/Bossard%20V,%202022%20Problematic%20rise%20of%20vitamin%20B6%20supplementation%20overuse%20and%20potential.pdf" TargetMode="External"/><Relationship Id="rId11" Type="http://schemas.openxmlformats.org/officeDocument/2006/relationships/header" Target="header1.xml"/><Relationship Id="rId32" Type="http://schemas.openxmlformats.org/officeDocument/2006/relationships/hyperlink" Target="https://doi.org/10.25259/JNRP_346_2024" TargetMode="External"/><Relationship Id="rId53" Type="http://schemas.openxmlformats.org/officeDocument/2006/relationships/hyperlink" Target="https://doi.org/10.1093/jbmrpl/ziaf086" TargetMode="External"/><Relationship Id="rId74" Type="http://schemas.openxmlformats.org/officeDocument/2006/relationships/header" Target="header16.xml"/><Relationship Id="rId128" Type="http://schemas.openxmlformats.org/officeDocument/2006/relationships/hyperlink" Target="https://slrgroup-my.sharepoint.com/personal/emma_craven_slrconsulting_com/Documents/Microsoft%20Copilot%20Chat%20Files/Gdynia%202025.pdf" TargetMode="External"/><Relationship Id="rId149" Type="http://schemas.openxmlformats.org/officeDocument/2006/relationships/hyperlink" Target="https://slrgroup-my.sharepoint.com/personal/emma_craven_slrconsulting_com/Documents/Microsoft%20Copilot%20Chat%20Files/Iga%20Ko%C5%9Bci%C5%84ska-Shukla%202025%20-%20same%20content%20different%20first%20author.pdf" TargetMode="External"/><Relationship Id="rId5" Type="http://schemas.openxmlformats.org/officeDocument/2006/relationships/numbering" Target="numbering.xml"/><Relationship Id="rId95" Type="http://schemas.openxmlformats.org/officeDocument/2006/relationships/hyperlink" Target="https://slrgroup-my.sharepoint.com/personal/emma_craven_slrconsulting_com/_layouts/15/Doc.aspx?sourcedoc=%7B80F018D2-2C09-4B8F-AB02-0FE435BC0D82%7D&amp;file=Vit%20B6%20starter%20meeting%20.docx&amp;action=default&amp;mobileredirect=true" TargetMode="External"/><Relationship Id="rId160" Type="http://schemas.openxmlformats.org/officeDocument/2006/relationships/hyperlink" Target="https://slrgroup-my.sharepoint.com/personal/emma_craven_slrconsulting_com/Documents/Microsoft%20Copilot%20Chat%20Files/Lee%202025.pdf" TargetMode="External"/><Relationship Id="rId181" Type="http://schemas.openxmlformats.org/officeDocument/2006/relationships/hyperlink" Target="https://slrgroup-my.sharepoint.com/personal/emma_craven_slrconsulting_com/Documents/Microsoft%20Copilot%20Chat%20Files/Morris%202025.pdf" TargetMode="External"/><Relationship Id="rId216" Type="http://schemas.openxmlformats.org/officeDocument/2006/relationships/header" Target="header25.xml"/><Relationship Id="rId22" Type="http://schemas.openxmlformats.org/officeDocument/2006/relationships/footer" Target="footer7.xml"/><Relationship Id="rId43" Type="http://schemas.openxmlformats.org/officeDocument/2006/relationships/hyperlink" Target="https://doi.org/10.1111/jns.12480" TargetMode="External"/><Relationship Id="rId64" Type="http://schemas.openxmlformats.org/officeDocument/2006/relationships/header" Target="header11.xml"/><Relationship Id="rId118" Type="http://schemas.openxmlformats.org/officeDocument/2006/relationships/hyperlink" Target="https://slrgroup-my.sharepoint.com/personal/emma_craven_slrconsulting_com/Documents/Microsoft%20Copilot%20Chat%20Files/Brands%202026.pdf" TargetMode="External"/><Relationship Id="rId139" Type="http://schemas.openxmlformats.org/officeDocument/2006/relationships/hyperlink" Target="https://slrgroup-my.sharepoint.com/personal/emma_craven_slrconsulting_com/Documents/Microsoft%20Copilot%20Chat%20Files/He%20L,%202024%20The%20potential%20hazards%20of%20high%20doses%20of%20vitamin%20B6%20in%20treating%20nausea%20and%20vomi.pdf" TargetMode="External"/><Relationship Id="rId85" Type="http://schemas.openxmlformats.org/officeDocument/2006/relationships/hyperlink" Target="https://slrgroup-my.sharepoint.com/personal/emma_craven_slrconsulting_com/_layouts/15/Doc.aspx?sourcedoc=%7B80F018D2-2C09-4B8F-AB02-0FE435BC0D82%7D&amp;file=Vit%20B6%20starter%20meeting%20.docx&amp;action=default&amp;mobileredirect=true" TargetMode="External"/><Relationship Id="rId150" Type="http://schemas.openxmlformats.org/officeDocument/2006/relationships/hyperlink" Target="https://slrgroup-my.sharepoint.com/personal/emma_craven_slrconsulting_com/Documents/Microsoft%20Copilot%20Chat%20Files/Iga%20Ko%C5%9Bci%C5%84ska-Shukla%202025%20-%20same%20content%20different%20first%20author.pdf" TargetMode="External"/><Relationship Id="rId171" Type="http://schemas.openxmlformats.org/officeDocument/2006/relationships/hyperlink" Target="https://slrgroup-my.sharepoint.com/personal/emma_craven_slrconsulting_com/Documents/Microsoft%20Copilot%20Chat%20Files/Modica%20J,%202023%20A%20systematic%20review%20of%20the%20potential%20consequences%20of%20abnormal%20serum%20level.pdf" TargetMode="External"/><Relationship Id="rId192" Type="http://schemas.openxmlformats.org/officeDocument/2006/relationships/hyperlink" Target="https://slrgroup-my.sharepoint.com/personal/emma_craven_slrconsulting_com/Documents/Microsoft%20Copilot%20Chat%20Files/Muhamade%202023.pdf" TargetMode="External"/><Relationship Id="rId206" Type="http://schemas.openxmlformats.org/officeDocument/2006/relationships/hyperlink" Target="https://doi.org/10.1093/jbmrpl/ziaf086" TargetMode="External"/><Relationship Id="rId12" Type="http://schemas.openxmlformats.org/officeDocument/2006/relationships/footer" Target="footer1.xml"/><Relationship Id="rId33" Type="http://schemas.openxmlformats.org/officeDocument/2006/relationships/hyperlink" Target="https://doi.org/10.1002/ijgo.16032" TargetMode="External"/><Relationship Id="rId108" Type="http://schemas.openxmlformats.org/officeDocument/2006/relationships/hyperlink" Target="https://slrgroup-my.sharepoint.com/personal/emma_craven_slrconsulting_com/Documents/Microsoft%20Copilot%20Chat%20Files/Bossard%20V,%202022%20Problematic%20rise%20of%20vitamin%20B6%20supplementation%20overuse%20and%20potential.pdf" TargetMode="External"/><Relationship Id="rId129" Type="http://schemas.openxmlformats.org/officeDocument/2006/relationships/hyperlink" Target="https://slrgroup-my.sharepoint.com/personal/emma_craven_slrconsulting_com/Documents/Microsoft%20Copilot%20Chat%20Files/Gdynia%202025.pdf" TargetMode="External"/><Relationship Id="rId54" Type="http://schemas.openxmlformats.org/officeDocument/2006/relationships/header" Target="header6.xml"/><Relationship Id="rId75" Type="http://schemas.openxmlformats.org/officeDocument/2006/relationships/footer" Target="footer18.xml"/><Relationship Id="rId96" Type="http://schemas.openxmlformats.org/officeDocument/2006/relationships/hyperlink" Target="https://slrgroup-my.sharepoint.com/personal/emma_craven_slrconsulting_com/_layouts/15/Doc.aspx?sourcedoc=%7B80F018D2-2C09-4B8F-AB02-0FE435BC0D82%7D&amp;file=Vit%20B6%20starter%20meeting%20.docx&amp;action=default&amp;mobileredirect=true" TargetMode="External"/><Relationship Id="rId140" Type="http://schemas.openxmlformats.org/officeDocument/2006/relationships/hyperlink" Target="https://slrgroup-my.sharepoint.com/personal/emma_craven_slrconsulting_com/Documents/Microsoft%20Copilot%20Chat%20Files/He%20L,%202024%20The%20potential%20hazards%20of%20high%20doses%20of%20vitamin%20B6%20in%20treating%20nausea%20and%20vomi.pdf" TargetMode="External"/><Relationship Id="rId161" Type="http://schemas.openxmlformats.org/officeDocument/2006/relationships/hyperlink" Target="https://slrgroup-my.sharepoint.com/personal/emma_craven_slrconsulting_com/Documents/Microsoft%20Copilot%20Chat%20Files/Lee%202025.pdf" TargetMode="External"/><Relationship Id="rId182" Type="http://schemas.openxmlformats.org/officeDocument/2006/relationships/hyperlink" Target="https://slrgroup-my.sharepoint.com/personal/emma_craven_slrconsulting_com/Documents/Microsoft%20Copilot%20Chat%20Files/Morris%202025.pdf" TargetMode="External"/><Relationship Id="rId217" Type="http://schemas.openxmlformats.org/officeDocument/2006/relationships/header" Target="header26.xml"/><Relationship Id="rId6" Type="http://schemas.openxmlformats.org/officeDocument/2006/relationships/styles" Target="styles.xml"/><Relationship Id="rId23" Type="http://schemas.openxmlformats.org/officeDocument/2006/relationships/hyperlink" Target="https://doi.org/10.1016/j.yebeh.2023.109348" TargetMode="External"/><Relationship Id="rId119" Type="http://schemas.openxmlformats.org/officeDocument/2006/relationships/hyperlink" Target="https://slrgroup-my.sharepoint.com/personal/emma_craven_slrconsulting_com/Documents/Microsoft%20Copilot%20Chat%20Files/Brands%202026.pdf" TargetMode="External"/><Relationship Id="rId44" Type="http://schemas.openxmlformats.org/officeDocument/2006/relationships/hyperlink" Target="https://doi.org/10.1016/j.ejpn.2022.04.011" TargetMode="External"/><Relationship Id="rId65" Type="http://schemas.openxmlformats.org/officeDocument/2006/relationships/footer" Target="footer13.xml"/><Relationship Id="rId86" Type="http://schemas.openxmlformats.org/officeDocument/2006/relationships/hyperlink" Target="https://slrgroup-my.sharepoint.com/personal/emma_craven_slrconsulting_com/_layouts/15/Doc.aspx?sourcedoc=%7B80F018D2-2C09-4B8F-AB02-0FE435BC0D82%7D&amp;file=Vit%20B6%20starter%20meeting%20.docx&amp;action=default&amp;mobileredirect=true" TargetMode="External"/><Relationship Id="rId130" Type="http://schemas.openxmlformats.org/officeDocument/2006/relationships/hyperlink" Target="https://slrgroup-my.sharepoint.com/personal/emma_craven_slrconsulting_com/Documents/Microsoft%20Copilot%20Chat%20Files/Gdynia%202025.pdf" TargetMode="External"/><Relationship Id="rId151" Type="http://schemas.openxmlformats.org/officeDocument/2006/relationships/hyperlink" Target="https://slrgroup-my.sharepoint.com/personal/emma_craven_slrconsulting_com/Documents/Microsoft%20Copilot%20Chat%20Files/Iga%20Ko%C5%9Bci%C5%84ska-Shukla%202025%20-%20same%20content%20different%20first%20author.pdf" TargetMode="External"/><Relationship Id="rId172" Type="http://schemas.openxmlformats.org/officeDocument/2006/relationships/hyperlink" Target="https://slrgroup-my.sharepoint.com/personal/emma_craven_slrconsulting_com/Documents/Microsoft%20Copilot%20Chat%20Files/Modica%20J,%202023%20A%20systematic%20review%20of%20the%20potential%20consequences%20of%20abnormal%20serum%20level.pdf" TargetMode="External"/><Relationship Id="rId193" Type="http://schemas.openxmlformats.org/officeDocument/2006/relationships/hyperlink" Target="https://slrgroup-my.sharepoint.com/personal/emma_craven_slrconsulting_com/Documents/Microsoft%20Copilot%20Chat%20Files/Muhamade%202023.pdf" TargetMode="External"/><Relationship Id="rId207" Type="http://schemas.openxmlformats.org/officeDocument/2006/relationships/header" Target="header20.xml"/><Relationship Id="rId13" Type="http://schemas.openxmlformats.org/officeDocument/2006/relationships/header" Target="header2.xml"/><Relationship Id="rId109" Type="http://schemas.openxmlformats.org/officeDocument/2006/relationships/hyperlink" Target="https://slrgroup-my.sharepoint.com/personal/emma_craven_slrconsulting_com/Documents/Microsoft%20Copilot%20Chat%20Files/Bossard%20V,%202022%20Problematic%20rise%20of%20vitamin%20B6%20supplementation%20overuse%20and%20potential.pdf" TargetMode="External"/><Relationship Id="rId34" Type="http://schemas.openxmlformats.org/officeDocument/2006/relationships/hyperlink" Target="https://doi.org/10.1007/s00296-025-05900-9" TargetMode="External"/><Relationship Id="rId55" Type="http://schemas.openxmlformats.org/officeDocument/2006/relationships/footer" Target="footer8.xml"/><Relationship Id="rId76" Type="http://schemas.openxmlformats.org/officeDocument/2006/relationships/header" Target="header17.xml"/><Relationship Id="rId97" Type="http://schemas.openxmlformats.org/officeDocument/2006/relationships/hyperlink" Target="https://slrgroup-my.sharepoint.com/personal/emma_craven_slrconsulting_com/Documents/Microsoft%20Copilot%20Chat%20Files/Bossard%20V,%202022%20Problematic%20rise%20of%20vitamin%20B6%20supplementation%20overuse%20and%20potential.pdf" TargetMode="External"/><Relationship Id="rId120" Type="http://schemas.openxmlformats.org/officeDocument/2006/relationships/hyperlink" Target="https://slrgroup-my.sharepoint.com/personal/emma_craven_slrconsulting_com/Documents/Microsoft%20Copilot%20Chat%20Files/Brands%202026.pdf" TargetMode="External"/><Relationship Id="rId141" Type="http://schemas.openxmlformats.org/officeDocument/2006/relationships/hyperlink" Target="https://slrgroup-my.sharepoint.com/personal/emma_craven_slrconsulting_com/Documents/Microsoft%20Copilot%20Chat%20Files/He%20L,%202024%20The%20potential%20hazards%20of%20high%20doses%20of%20vitamin%20B6%20in%20treating%20nausea%20and%20vomi.pdf" TargetMode="External"/><Relationship Id="rId7" Type="http://schemas.openxmlformats.org/officeDocument/2006/relationships/settings" Target="settings.xml"/><Relationship Id="rId162" Type="http://schemas.openxmlformats.org/officeDocument/2006/relationships/hyperlink" Target="https://slrgroup-my.sharepoint.com/personal/emma_craven_slrconsulting_com/Documents/Microsoft%20Copilot%20Chat%20Files/Lee%202025.pdf" TargetMode="External"/><Relationship Id="rId183" Type="http://schemas.openxmlformats.org/officeDocument/2006/relationships/hyperlink" Target="https://slrgroup-my.sharepoint.com/personal/emma_craven_slrconsulting_com/Documents/Microsoft%20Copilot%20Chat%20Files/Morris%202025.pdf" TargetMode="External"/><Relationship Id="rId218" Type="http://schemas.openxmlformats.org/officeDocument/2006/relationships/footer" Target="footer25.xml"/><Relationship Id="rId24" Type="http://schemas.openxmlformats.org/officeDocument/2006/relationships/hyperlink" Target="https://doi.org/10.1016/j.nut.2022.111738" TargetMode="External"/><Relationship Id="rId45" Type="http://schemas.openxmlformats.org/officeDocument/2006/relationships/hyperlink" Target="https://doi.org/10.1155/bn/7888243" TargetMode="External"/><Relationship Id="rId66" Type="http://schemas.openxmlformats.org/officeDocument/2006/relationships/header" Target="header12.xml"/><Relationship Id="rId87" Type="http://schemas.openxmlformats.org/officeDocument/2006/relationships/hyperlink" Target="https://slrgroup-my.sharepoint.com/personal/emma_craven_slrconsulting_com/_layouts/15/Doc.aspx?sourcedoc=%7B80F018D2-2C09-4B8F-AB02-0FE435BC0D82%7D&amp;file=Vit%20B6%20starter%20meeting%20.docx&amp;action=default&amp;mobileredirect=true" TargetMode="External"/><Relationship Id="rId110" Type="http://schemas.openxmlformats.org/officeDocument/2006/relationships/hyperlink" Target="https://slrgroup-my.sharepoint.com/personal/emma_craven_slrconsulting_com/Documents/Microsoft%20Copilot%20Chat%20Files/Bossard%20V,%202022%20Problematic%20rise%20of%20vitamin%20B6%20supplementation%20overuse%20and%20potential.pdf" TargetMode="External"/><Relationship Id="rId131" Type="http://schemas.openxmlformats.org/officeDocument/2006/relationships/hyperlink" Target="https://slrgroup-my.sharepoint.com/personal/emma_craven_slrconsulting_com/Documents/Microsoft%20Copilot%20Chat%20Files/Gdynia%202025.pdf" TargetMode="External"/><Relationship Id="rId152" Type="http://schemas.openxmlformats.org/officeDocument/2006/relationships/hyperlink" Target="https://slrgroup-my.sharepoint.com/personal/emma_craven_slrconsulting_com/Documents/Microsoft%20Copilot%20Chat%20Files/Iga%20Ko%C5%9Bci%C5%84ska-Shukla%202025%20-%20same%20content%20different%20first%20author.pdf" TargetMode="External"/><Relationship Id="rId173" Type="http://schemas.openxmlformats.org/officeDocument/2006/relationships/hyperlink" Target="https://slrgroup-my.sharepoint.com/personal/emma_craven_slrconsulting_com/Documents/Microsoft%20Copilot%20Chat%20Files/Modica%20J,%202023%20A%20systematic%20review%20of%20the%20potential%20consequences%20of%20abnormal%20serum%20level.pdf" TargetMode="External"/><Relationship Id="rId194" Type="http://schemas.openxmlformats.org/officeDocument/2006/relationships/hyperlink" Target="https://slrgroup-my.sharepoint.com/personal/emma_craven_slrconsulting_com/Documents/Microsoft%20Copilot%20Chat%20Files/Muhamade%202023.pdf" TargetMode="External"/><Relationship Id="rId208" Type="http://schemas.openxmlformats.org/officeDocument/2006/relationships/footer" Target="footer21.xml"/><Relationship Id="rId14" Type="http://schemas.openxmlformats.org/officeDocument/2006/relationships/header" Target="header3.xml"/><Relationship Id="rId35" Type="http://schemas.openxmlformats.org/officeDocument/2006/relationships/hyperlink" Target="https://doi.org/10.1016/j.ymgmr.2025.101224" TargetMode="External"/><Relationship Id="rId56" Type="http://schemas.openxmlformats.org/officeDocument/2006/relationships/header" Target="header7.xml"/><Relationship Id="rId77" Type="http://schemas.openxmlformats.org/officeDocument/2006/relationships/footer" Target="footer19.xml"/><Relationship Id="rId100" Type="http://schemas.openxmlformats.org/officeDocument/2006/relationships/hyperlink" Target="https://slrgroup-my.sharepoint.com/personal/emma_craven_slrconsulting_com/Documents/Microsoft%20Copilot%20Chat%20Files/Bossard%20V,%202022%20Problematic%20rise%20of%20vitamin%20B6%20supplementation%20overuse%20and%20potential.pdf" TargetMode="External"/><Relationship Id="rId8" Type="http://schemas.openxmlformats.org/officeDocument/2006/relationships/webSettings" Target="webSettings.xml"/><Relationship Id="rId51" Type="http://schemas.openxmlformats.org/officeDocument/2006/relationships/hyperlink" Target="https://www.vigiaccess.org/" TargetMode="External"/><Relationship Id="rId72" Type="http://schemas.openxmlformats.org/officeDocument/2006/relationships/header" Target="header15.xml"/><Relationship Id="rId93" Type="http://schemas.openxmlformats.org/officeDocument/2006/relationships/hyperlink" Target="https://slrgroup-my.sharepoint.com/personal/emma_craven_slrconsulting_com/_layouts/15/Doc.aspx?sourcedoc=%7B80F018D2-2C09-4B8F-AB02-0FE435BC0D82%7D&amp;file=Vit%20B6%20starter%20meeting%20.docx&amp;action=default&amp;mobileredirect=true" TargetMode="External"/><Relationship Id="rId98" Type="http://schemas.openxmlformats.org/officeDocument/2006/relationships/hyperlink" Target="https://slrgroup-my.sharepoint.com/personal/emma_craven_slrconsulting_com/Documents/Microsoft%20Copilot%20Chat%20Files/Bossard%20V,%202022%20Problematic%20rise%20of%20vitamin%20B6%20supplementation%20overuse%20and%20potential.pdf" TargetMode="External"/><Relationship Id="rId121" Type="http://schemas.openxmlformats.org/officeDocument/2006/relationships/hyperlink" Target="https://slrgroup-my.sharepoint.com/personal/emma_craven_slrconsulting_com/Documents/Microsoft%20Copilot%20Chat%20Files/Brands%202026.pdf" TargetMode="External"/><Relationship Id="rId142" Type="http://schemas.openxmlformats.org/officeDocument/2006/relationships/hyperlink" Target="https://slrgroup-my.sharepoint.com/personal/emma_craven_slrconsulting_com/Documents/Microsoft%20Copilot%20Chat%20Files/He%20L,%202024%20The%20potential%20hazards%20of%20high%20doses%20of%20vitamin%20B6%20in%20treating%20nausea%20and%20vomi.pdf" TargetMode="External"/><Relationship Id="rId163" Type="http://schemas.openxmlformats.org/officeDocument/2006/relationships/hyperlink" Target="https://slrgroup-my.sharepoint.com/personal/emma_craven_slrconsulting_com/Documents/Microsoft%20Copilot%20Chat%20Files/Lee%202025.pdf" TargetMode="External"/><Relationship Id="rId184" Type="http://schemas.openxmlformats.org/officeDocument/2006/relationships/hyperlink" Target="https://slrgroup-my.sharepoint.com/personal/emma_craven_slrconsulting_com/Documents/Microsoft%20Copilot%20Chat%20Files/Morris%202025.pdf" TargetMode="External"/><Relationship Id="rId189" Type="http://schemas.openxmlformats.org/officeDocument/2006/relationships/hyperlink" Target="https://slrgroup-my.sharepoint.com/personal/emma_craven_slrconsulting_com/Documents/Microsoft%20Copilot%20Chat%20Files/Muhamade%202023.pdf" TargetMode="External"/><Relationship Id="rId219" Type="http://schemas.openxmlformats.org/officeDocument/2006/relationships/fontTable" Target="fontTable.xml"/><Relationship Id="rId3" Type="http://schemas.openxmlformats.org/officeDocument/2006/relationships/customXml" Target="../customXml/item3.xml"/><Relationship Id="rId214" Type="http://schemas.openxmlformats.org/officeDocument/2006/relationships/footer" Target="footer24.xml"/><Relationship Id="rId25" Type="http://schemas.openxmlformats.org/officeDocument/2006/relationships/hyperlink" Target="https://doi.org/10.1055/a-2773-6076" TargetMode="External"/><Relationship Id="rId46" Type="http://schemas.openxmlformats.org/officeDocument/2006/relationships/hyperlink" Target="https://doi.org/10.1177/01926233231180179" TargetMode="External"/><Relationship Id="rId67" Type="http://schemas.openxmlformats.org/officeDocument/2006/relationships/footer" Target="footer14.xml"/><Relationship Id="rId116" Type="http://schemas.openxmlformats.org/officeDocument/2006/relationships/hyperlink" Target="https://slrgroup-my.sharepoint.com/personal/emma_craven_slrconsulting_com/Documents/Microsoft%20Copilot%20Chat%20Files/Brands%202026.pdf" TargetMode="External"/><Relationship Id="rId137" Type="http://schemas.openxmlformats.org/officeDocument/2006/relationships/hyperlink" Target="https://slrgroup-my.sharepoint.com/personal/emma_craven_slrconsulting_com/Documents/Microsoft%20Copilot%20Chat%20Files/Gdynia%202025.pdf" TargetMode="External"/><Relationship Id="rId158" Type="http://schemas.openxmlformats.org/officeDocument/2006/relationships/hyperlink" Target="https://slrgroup-my.sharepoint.com/personal/emma_craven_slrconsulting_com/Documents/Microsoft%20Copilot%20Chat%20Files/Lee%202025.pdf" TargetMode="External"/><Relationship Id="rId20" Type="http://schemas.openxmlformats.org/officeDocument/2006/relationships/footer" Target="footer6.xml"/><Relationship Id="rId41" Type="http://schemas.openxmlformats.org/officeDocument/2006/relationships/hyperlink" Target="https://doi.org/10.1093/toxsci/kfab122" TargetMode="External"/><Relationship Id="rId62" Type="http://schemas.openxmlformats.org/officeDocument/2006/relationships/header" Target="header10.xml"/><Relationship Id="rId83" Type="http://schemas.openxmlformats.org/officeDocument/2006/relationships/hyperlink" Target="https://slrgroup-my.sharepoint.com/personal/emma_craven_slrconsulting_com/_layouts/15/Doc.aspx?sourcedoc=%7B80F018D2-2C09-4B8F-AB02-0FE435BC0D82%7D&amp;file=Vit%20B6%20starter%20meeting%20.docx&amp;action=default&amp;mobileredirect=true" TargetMode="External"/><Relationship Id="rId88" Type="http://schemas.openxmlformats.org/officeDocument/2006/relationships/hyperlink" Target="https://slrgroup-my.sharepoint.com/personal/emma_craven_slrconsulting_com/_layouts/15/Doc.aspx?sourcedoc=%7B80F018D2-2C09-4B8F-AB02-0FE435BC0D82%7D&amp;file=Vit%20B6%20starter%20meeting%20.docx&amp;action=default&amp;mobileredirect=true" TargetMode="External"/><Relationship Id="rId111" Type="http://schemas.openxmlformats.org/officeDocument/2006/relationships/hyperlink" Target="https://slrgroup-my.sharepoint.com/personal/emma_craven_slrconsulting_com/Documents/Microsoft%20Copilot%20Chat%20Files/Bossard%20V,%202022%20Problematic%20rise%20of%20vitamin%20B6%20supplementation%20overuse%20and%20potential.pdf" TargetMode="External"/><Relationship Id="rId132" Type="http://schemas.openxmlformats.org/officeDocument/2006/relationships/hyperlink" Target="https://slrgroup-my.sharepoint.com/personal/emma_craven_slrconsulting_com/Documents/Microsoft%20Copilot%20Chat%20Files/Gdynia%202025.pdf" TargetMode="External"/><Relationship Id="rId153" Type="http://schemas.openxmlformats.org/officeDocument/2006/relationships/hyperlink" Target="https://slrgroup-my.sharepoint.com/personal/emma_craven_slrconsulting_com/Documents/Microsoft%20Copilot%20Chat%20Files/Iga%20Ko%C5%9Bci%C5%84ska-Shukla%202025%20-%20same%20content%20different%20first%20author.pdf" TargetMode="External"/><Relationship Id="rId174" Type="http://schemas.openxmlformats.org/officeDocument/2006/relationships/hyperlink" Target="https://slrgroup-my.sharepoint.com/personal/emma_craven_slrconsulting_com/Documents/Microsoft%20Copilot%20Chat%20Files/Modica%20J,%202023%20A%20systematic%20review%20of%20the%20potential%20consequences%20of%20abnormal%20serum%20level.pdf" TargetMode="External"/><Relationship Id="rId179" Type="http://schemas.openxmlformats.org/officeDocument/2006/relationships/hyperlink" Target="https://slrgroup-my.sharepoint.com/personal/emma_craven_slrconsulting_com/Documents/Microsoft%20Copilot%20Chat%20Files/Morris%202025.pdf" TargetMode="External"/><Relationship Id="rId195" Type="http://schemas.openxmlformats.org/officeDocument/2006/relationships/hyperlink" Target="https://slrgroup-my.sharepoint.com/personal/emma_craven_slrconsulting_com/Documents/Microsoft%20Copilot%20Chat%20Files/Muhamade%202023.pdf" TargetMode="External"/><Relationship Id="rId209" Type="http://schemas.openxmlformats.org/officeDocument/2006/relationships/header" Target="header21.xml"/><Relationship Id="rId190" Type="http://schemas.openxmlformats.org/officeDocument/2006/relationships/hyperlink" Target="https://slrgroup-my.sharepoint.com/personal/emma_craven_slrconsulting_com/Documents/Microsoft%20Copilot%20Chat%20Files/Muhamade%202023.pdf" TargetMode="External"/><Relationship Id="rId204" Type="http://schemas.openxmlformats.org/officeDocument/2006/relationships/hyperlink" Target="https://doi.org/10.1002/jmd2.70067" TargetMode="External"/><Relationship Id="rId220" Type="http://schemas.openxmlformats.org/officeDocument/2006/relationships/glossaryDocument" Target="glossary/document.xml"/><Relationship Id="rId15" Type="http://schemas.openxmlformats.org/officeDocument/2006/relationships/footer" Target="footer2.xml"/><Relationship Id="rId36" Type="http://schemas.openxmlformats.org/officeDocument/2006/relationships/hyperlink" Target="https://doi.org/10.1016/j.jns.2023.120690" TargetMode="External"/><Relationship Id="rId57" Type="http://schemas.openxmlformats.org/officeDocument/2006/relationships/footer" Target="footer9.xml"/><Relationship Id="rId106" Type="http://schemas.openxmlformats.org/officeDocument/2006/relationships/hyperlink" Target="https://slrgroup-my.sharepoint.com/personal/emma_craven_slrconsulting_com/Documents/Microsoft%20Copilot%20Chat%20Files/Bossard%20V,%202022%20Problematic%20rise%20of%20vitamin%20B6%20supplementation%20overuse%20and%20potential.pdf" TargetMode="External"/><Relationship Id="rId127" Type="http://schemas.openxmlformats.org/officeDocument/2006/relationships/hyperlink" Target="https://slrgroup-my.sharepoint.com/personal/emma_craven_slrconsulting_com/Documents/Microsoft%20Copilot%20Chat%20Files/Gdynia%202025.pdf" TargetMode="External"/><Relationship Id="rId10" Type="http://schemas.openxmlformats.org/officeDocument/2006/relationships/endnotes" Target="endnotes.xml"/><Relationship Id="rId31" Type="http://schemas.openxmlformats.org/officeDocument/2006/relationships/hyperlink" Target="https://fis.fda.gov/sense/app/95239e26-e0be-42d9-a960-9a5f7f1c25ee/sheet/45beeb74-30ab-46be-8267-5756582633b4/state/analysishttps" TargetMode="External"/><Relationship Id="rId52" Type="http://schemas.openxmlformats.org/officeDocument/2006/relationships/hyperlink" Target="https://doi.org/10.1016/j.bone.2024.117033" TargetMode="External"/><Relationship Id="rId73" Type="http://schemas.openxmlformats.org/officeDocument/2006/relationships/footer" Target="footer17.xml"/><Relationship Id="rId78" Type="http://schemas.openxmlformats.org/officeDocument/2006/relationships/header" Target="header18.xml"/><Relationship Id="rId94" Type="http://schemas.openxmlformats.org/officeDocument/2006/relationships/hyperlink" Target="https://slrgroup-my.sharepoint.com/personal/emma_craven_slrconsulting_com/_layouts/15/Doc.aspx?sourcedoc=%7B80F018D2-2C09-4B8F-AB02-0FE435BC0D82%7D&amp;file=Vit%20B6%20starter%20meeting%20.docx&amp;action=default&amp;mobileredirect=true" TargetMode="External"/><Relationship Id="rId99" Type="http://schemas.openxmlformats.org/officeDocument/2006/relationships/hyperlink" Target="https://slrgroup-my.sharepoint.com/personal/emma_craven_slrconsulting_com/Documents/Microsoft%20Copilot%20Chat%20Files/Bossard%20V,%202022%20Problematic%20rise%20of%20vitamin%20B6%20supplementation%20overuse%20and%20potential.pdf" TargetMode="External"/><Relationship Id="rId101" Type="http://schemas.openxmlformats.org/officeDocument/2006/relationships/hyperlink" Target="https://slrgroup-my.sharepoint.com/personal/emma_craven_slrconsulting_com/Documents/Microsoft%20Copilot%20Chat%20Files/Bossard%20V,%202022%20Problematic%20rise%20of%20vitamin%20B6%20supplementation%20overuse%20and%20potential.pdf" TargetMode="External"/><Relationship Id="rId122" Type="http://schemas.openxmlformats.org/officeDocument/2006/relationships/hyperlink" Target="https://slrgroup-my.sharepoint.com/personal/emma_craven_slrconsulting_com/Documents/Microsoft%20Copilot%20Chat%20Files/Brands%202026.pdf" TargetMode="External"/><Relationship Id="rId143" Type="http://schemas.openxmlformats.org/officeDocument/2006/relationships/hyperlink" Target="https://slrgroup-my.sharepoint.com/personal/emma_craven_slrconsulting_com/Documents/Microsoft%20Copilot%20Chat%20Files/He%20L,%202024%20The%20potential%20hazards%20of%20high%20doses%20of%20vitamin%20B6%20in%20treating%20nausea%20and%20vomi.pdf" TargetMode="External"/><Relationship Id="rId148" Type="http://schemas.openxmlformats.org/officeDocument/2006/relationships/hyperlink" Target="https://slrgroup-my.sharepoint.com/personal/emma_craven_slrconsulting_com/Documents/Microsoft%20Copilot%20Chat%20Files/Iga%20Ko%C5%9Bci%C5%84ska-Shukla%202025%20-%20same%20content%20different%20first%20author.pdf" TargetMode="External"/><Relationship Id="rId164" Type="http://schemas.openxmlformats.org/officeDocument/2006/relationships/hyperlink" Target="https://slrgroup-my.sharepoint.com/personal/emma_craven_slrconsulting_com/Documents/Microsoft%20Copilot%20Chat%20Files/Lee%202025.pdf" TargetMode="External"/><Relationship Id="rId169" Type="http://schemas.openxmlformats.org/officeDocument/2006/relationships/hyperlink" Target="https://slrgroup-my.sharepoint.com/personal/emma_craven_slrconsulting_com/Documents/Microsoft%20Copilot%20Chat%20Files/Modica%20J,%202023%20A%20systematic%20review%20of%20the%20potential%20consequences%20of%20abnormal%20serum%20level.pdf" TargetMode="External"/><Relationship Id="rId185" Type="http://schemas.openxmlformats.org/officeDocument/2006/relationships/hyperlink" Target="https://slrgroup-my.sharepoint.com/personal/emma_craven_slrconsulting_com/Documents/Microsoft%20Copilot%20Chat%20Files/Morris%202025.pdf"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slrgroup-my.sharepoint.com/personal/emma_craven_slrconsulting_com/Documents/Microsoft%20Copilot%20Chat%20Files/Morris%202025.pdf" TargetMode="External"/><Relationship Id="rId210" Type="http://schemas.openxmlformats.org/officeDocument/2006/relationships/footer" Target="footer22.xml"/><Relationship Id="rId215" Type="http://schemas.openxmlformats.org/officeDocument/2006/relationships/header" Target="header24.xml"/><Relationship Id="rId26" Type="http://schemas.openxmlformats.org/officeDocument/2006/relationships/hyperlink" Target="https://doi.org/10.1136/bmj.l6890" TargetMode="External"/><Relationship Id="rId47" Type="http://schemas.openxmlformats.org/officeDocument/2006/relationships/hyperlink" Target="https://www.tga.gov.au/news/safety-updates/peripheral-neuropathy-supplementary-vitamin-b6-pyridoxine" TargetMode="External"/><Relationship Id="rId68" Type="http://schemas.openxmlformats.org/officeDocument/2006/relationships/header" Target="header13.xml"/><Relationship Id="rId89" Type="http://schemas.openxmlformats.org/officeDocument/2006/relationships/hyperlink" Target="https://slrgroup-my.sharepoint.com/personal/emma_craven_slrconsulting_com/_layouts/15/Doc.aspx?sourcedoc=%7B80F018D2-2C09-4B8F-AB02-0FE435BC0D82%7D&amp;file=Vit%20B6%20starter%20meeting%20.docx&amp;action=default&amp;mobileredirect=true" TargetMode="External"/><Relationship Id="rId112" Type="http://schemas.openxmlformats.org/officeDocument/2006/relationships/hyperlink" Target="https://slrgroup-my.sharepoint.com/personal/emma_craven_slrconsulting_com/Documents/Microsoft%20Copilot%20Chat%20Files/Bossard%20V,%202022%20Problematic%20rise%20of%20vitamin%20B6%20supplementation%20overuse%20and%20potential.pdf" TargetMode="External"/><Relationship Id="rId133" Type="http://schemas.openxmlformats.org/officeDocument/2006/relationships/hyperlink" Target="https://slrgroup-my.sharepoint.com/personal/emma_craven_slrconsulting_com/Documents/Microsoft%20Copilot%20Chat%20Files/Gdynia%202025.pdf" TargetMode="External"/><Relationship Id="rId154" Type="http://schemas.openxmlformats.org/officeDocument/2006/relationships/hyperlink" Target="https://slrgroup-my.sharepoint.com/personal/emma_craven_slrconsulting_com/Documents/Microsoft%20Copilot%20Chat%20Files/Iga%20Ko%C5%9Bci%C5%84ska-Shukla%202025%20-%20same%20content%20different%20first%20author.pdf" TargetMode="External"/><Relationship Id="rId175" Type="http://schemas.openxmlformats.org/officeDocument/2006/relationships/hyperlink" Target="https://slrgroup-my.sharepoint.com/personal/emma_craven_slrconsulting_com/Documents/Microsoft%20Copilot%20Chat%20Files/Modica%20J,%202023%20A%20systematic%20review%20of%20the%20potential%20consequences%20of%20abnormal%20serum%20level.pdf" TargetMode="External"/><Relationship Id="rId196" Type="http://schemas.openxmlformats.org/officeDocument/2006/relationships/hyperlink" Target="https://slrgroup-my.sharepoint.com/personal/emma_craven_slrconsulting_com/Documents/Microsoft%20Copilot%20Chat%20Files/Muhamade%202023.pdf" TargetMode="External"/><Relationship Id="rId200" Type="http://schemas.openxmlformats.org/officeDocument/2006/relationships/hyperlink" Target="https://doi.org/10.1002/jimd.70074" TargetMode="External"/><Relationship Id="rId16" Type="http://schemas.openxmlformats.org/officeDocument/2006/relationships/header" Target="header4.xml"/><Relationship Id="rId221" Type="http://schemas.openxmlformats.org/officeDocument/2006/relationships/theme" Target="theme/theme1.xml"/><Relationship Id="rId37" Type="http://schemas.openxmlformats.org/officeDocument/2006/relationships/hyperlink" Target="https://doi.org/10.1002/jimd.12844" TargetMode="External"/><Relationship Id="rId58" Type="http://schemas.openxmlformats.org/officeDocument/2006/relationships/header" Target="header8.xml"/><Relationship Id="rId79" Type="http://schemas.openxmlformats.org/officeDocument/2006/relationships/footer" Target="footer20.xml"/><Relationship Id="rId102" Type="http://schemas.openxmlformats.org/officeDocument/2006/relationships/hyperlink" Target="https://slrgroup-my.sharepoint.com/personal/emma_craven_slrconsulting_com/Documents/Microsoft%20Copilot%20Chat%20Files/Bossard%20V,%202022%20Problematic%20rise%20of%20vitamin%20B6%20supplementation%20overuse%20and%20potential.pdf" TargetMode="External"/><Relationship Id="rId123" Type="http://schemas.openxmlformats.org/officeDocument/2006/relationships/hyperlink" Target="https://slrgroup-my.sharepoint.com/personal/emma_craven_slrconsulting_com/Documents/Microsoft%20Copilot%20Chat%20Files/Gdynia%202025.pdf" TargetMode="External"/><Relationship Id="rId144" Type="http://schemas.openxmlformats.org/officeDocument/2006/relationships/hyperlink" Target="https://slrgroup-my.sharepoint.com/personal/emma_craven_slrconsulting_com/Documents/Microsoft%20Copilot%20Chat%20Files/He%20L,%202024%20The%20potential%20hazards%20of%20high%20doses%20of%20vitamin%20B6%20in%20treating%20nausea%20and%20vomi.pdf" TargetMode="External"/><Relationship Id="rId90" Type="http://schemas.openxmlformats.org/officeDocument/2006/relationships/hyperlink" Target="https://slrgroup-my.sharepoint.com/personal/emma_craven_slrconsulting_com/_layouts/15/Doc.aspx?sourcedoc=%7B80F018D2-2C09-4B8F-AB02-0FE435BC0D82%7D&amp;file=Vit%20B6%20starter%20meeting%20.docx&amp;action=default&amp;mobileredirect=true" TargetMode="External"/><Relationship Id="rId165" Type="http://schemas.openxmlformats.org/officeDocument/2006/relationships/hyperlink" Target="https://slrgroup-my.sharepoint.com/personal/emma_craven_slrconsulting_com/Documents/Microsoft%20Copilot%20Chat%20Files/Lee%202025.pdf" TargetMode="External"/><Relationship Id="rId186" Type="http://schemas.openxmlformats.org/officeDocument/2006/relationships/hyperlink" Target="https://slrgroup-my.sharepoint.com/personal/emma_craven_slrconsulting_com/Documents/Microsoft%20Copilot%20Chat%20Files/Morris%202025.pdf" TargetMode="External"/><Relationship Id="rId211" Type="http://schemas.openxmlformats.org/officeDocument/2006/relationships/header" Target="header22.xml"/><Relationship Id="rId27" Type="http://schemas.openxmlformats.org/officeDocument/2006/relationships/hyperlink" Target="https://cvp-pcv.hc-sc.gc.ca/arq-rei/search-recherche" TargetMode="External"/><Relationship Id="rId48" Type="http://schemas.openxmlformats.org/officeDocument/2006/relationships/hyperlink" Target="https://www.tga.gov.au/sites/default/files/2025-06/notice-interim-decision-amend-or-not-amend-current-poisons-standard-pyridoxine-pyridoxal-pyridoxamine-vitaminb6.pdf" TargetMode="External"/><Relationship Id="rId69" Type="http://schemas.openxmlformats.org/officeDocument/2006/relationships/footer" Target="footer15.xml"/><Relationship Id="rId113" Type="http://schemas.openxmlformats.org/officeDocument/2006/relationships/hyperlink" Target="https://slrgroup-my.sharepoint.com/personal/emma_craven_slrconsulting_com/Documents/Microsoft%20Copilot%20Chat%20Files/Bossard%20V,%202022%20Problematic%20rise%20of%20vitamin%20B6%20supplementation%20overuse%20and%20potential.pdf" TargetMode="External"/><Relationship Id="rId134" Type="http://schemas.openxmlformats.org/officeDocument/2006/relationships/hyperlink" Target="https://slrgroup-my.sharepoint.com/personal/emma_craven_slrconsulting_com/Documents/Microsoft%20Copilot%20Chat%20Files/Gdynia%202025.pdf" TargetMode="External"/><Relationship Id="rId80" Type="http://schemas.openxmlformats.org/officeDocument/2006/relationships/header" Target="header19.xml"/><Relationship Id="rId155" Type="http://schemas.openxmlformats.org/officeDocument/2006/relationships/hyperlink" Target="https://slrgroup-my.sharepoint.com/personal/emma_craven_slrconsulting_com/Documents/Microsoft%20Copilot%20Chat%20Files/Iga%20Ko%C5%9Bci%C5%84ska-Shukla%202025%20-%20same%20content%20different%20first%20author.pdf" TargetMode="External"/><Relationship Id="rId176" Type="http://schemas.openxmlformats.org/officeDocument/2006/relationships/hyperlink" Target="https://slrgroup-my.sharepoint.com/personal/emma_craven_slrconsulting_com/Documents/Microsoft%20Copilot%20Chat%20Files/Modica%20J,%202023%20A%20systematic%20review%20of%20the%20potential%20consequences%20of%20abnormal%20serum%20level.pdf" TargetMode="External"/><Relationship Id="rId197" Type="http://schemas.openxmlformats.org/officeDocument/2006/relationships/hyperlink" Target="https://slrgroup-my.sharepoint.com/personal/emma_craven_slrconsulting_com/Documents/Microsoft%20Copilot%20Chat%20Files/Muhamade%202023.pdf" TargetMode="External"/><Relationship Id="rId201" Type="http://schemas.openxmlformats.org/officeDocument/2006/relationships/hyperlink" Target="https://doi.org/10.1155/bn/7888243" TargetMode="External"/><Relationship Id="rId222" Type="http://schemas.openxmlformats.org/officeDocument/2006/relationships/customXml" Target="../customXml/item5.xml"/><Relationship Id="rId17" Type="http://schemas.openxmlformats.org/officeDocument/2006/relationships/footer" Target="footer3.xml"/><Relationship Id="rId38" Type="http://schemas.openxmlformats.org/officeDocument/2006/relationships/hyperlink" Target="https://doi.org/10.3390/nu15132823" TargetMode="External"/><Relationship Id="rId59" Type="http://schemas.openxmlformats.org/officeDocument/2006/relationships/footer" Target="footer10.xml"/><Relationship Id="rId103" Type="http://schemas.openxmlformats.org/officeDocument/2006/relationships/hyperlink" Target="https://slrgroup-my.sharepoint.com/personal/emma_craven_slrconsulting_com/Documents/Microsoft%20Copilot%20Chat%20Files/Bossard%20V,%202022%20Problematic%20rise%20of%20vitamin%20B6%20supplementation%20overuse%20and%20potential.pdf" TargetMode="External"/><Relationship Id="rId124" Type="http://schemas.openxmlformats.org/officeDocument/2006/relationships/hyperlink" Target="https://slrgroup-my.sharepoint.com/personal/emma_craven_slrconsulting_com/Documents/Microsoft%20Copilot%20Chat%20Files/Gdynia%202025.pdf" TargetMode="External"/><Relationship Id="rId70" Type="http://schemas.openxmlformats.org/officeDocument/2006/relationships/header" Target="header14.xml"/><Relationship Id="rId91" Type="http://schemas.openxmlformats.org/officeDocument/2006/relationships/hyperlink" Target="https://slrgroup-my.sharepoint.com/personal/emma_craven_slrconsulting_com/_layouts/15/Doc.aspx?sourcedoc=%7B80F018D2-2C09-4B8F-AB02-0FE435BC0D82%7D&amp;file=Vit%20B6%20starter%20meeting%20.docx&amp;action=default&amp;mobileredirect=true" TargetMode="External"/><Relationship Id="rId145" Type="http://schemas.openxmlformats.org/officeDocument/2006/relationships/hyperlink" Target="https://slrgroup-my.sharepoint.com/personal/emma_craven_slrconsulting_com/Documents/Microsoft%20Copilot%20Chat%20Files/He%20L,%202024%20The%20potential%20hazards%20of%20high%20doses%20of%20vitamin%20B6%20in%20treating%20nausea%20and%20vomi.pdf" TargetMode="External"/><Relationship Id="rId166" Type="http://schemas.openxmlformats.org/officeDocument/2006/relationships/hyperlink" Target="https://slrgroup-my.sharepoint.com/personal/emma_craven_slrconsulting_com/Documents/Microsoft%20Copilot%20Chat%20Files/Modica%20J,%202023%20A%20systematic%20review%20of%20the%20potential%20consequences%20of%20abnormal%20serum%20level.pdf" TargetMode="External"/><Relationship Id="rId187" Type="http://schemas.openxmlformats.org/officeDocument/2006/relationships/hyperlink" Target="https://slrgroup-my.sharepoint.com/personal/emma_craven_slrconsulting_com/Documents/Microsoft%20Copilot%20Chat%20Files/Morris%202025.pdf" TargetMode="External"/><Relationship Id="rId1" Type="http://schemas.openxmlformats.org/officeDocument/2006/relationships/customXml" Target="../customXml/item1.xml"/><Relationship Id="rId212" Type="http://schemas.openxmlformats.org/officeDocument/2006/relationships/footer" Target="footer23.xml"/><Relationship Id="rId28" Type="http://schemas.openxmlformats.org/officeDocument/2006/relationships/hyperlink" Target="https://aems.tga.gov.au/daen-medicines-search/" TargetMode="External"/><Relationship Id="rId49" Type="http://schemas.openxmlformats.org/officeDocument/2006/relationships/hyperlink" Target="https://doi.org/10.1002/pds.70108" TargetMode="External"/><Relationship Id="rId114" Type="http://schemas.openxmlformats.org/officeDocument/2006/relationships/hyperlink" Target="https://slrgroup-my.sharepoint.com/personal/emma_craven_slrconsulting_com/Documents/Microsoft%20Copilot%20Chat%20Files/Bossard%20V,%202022%20Problematic%20rise%20of%20vitamin%20B6%20supplementation%20overuse%20and%20potential.pdf" TargetMode="External"/><Relationship Id="rId60" Type="http://schemas.openxmlformats.org/officeDocument/2006/relationships/header" Target="header9.xml"/><Relationship Id="rId81" Type="http://schemas.openxmlformats.org/officeDocument/2006/relationships/hyperlink" Target="https://slrgroup-my.sharepoint.com/personal/emma_craven_slrconsulting_com/_layouts/15/Doc.aspx?sourcedoc=%7B80F018D2-2C09-4B8F-AB02-0FE435BC0D82%7D&amp;file=Vit%20B6%20starter%20meeting%20.docx&amp;action=default&amp;mobileredirect=true" TargetMode="External"/><Relationship Id="rId135" Type="http://schemas.openxmlformats.org/officeDocument/2006/relationships/hyperlink" Target="https://slrgroup-my.sharepoint.com/personal/emma_craven_slrconsulting_com/Documents/Microsoft%20Copilot%20Chat%20Files/Gdynia%202025.pdf" TargetMode="External"/><Relationship Id="rId156" Type="http://schemas.openxmlformats.org/officeDocument/2006/relationships/hyperlink" Target="https://slrgroup-my.sharepoint.com/personal/emma_craven_slrconsulting_com/Documents/Microsoft%20Copilot%20Chat%20Files/Iga%20Ko%C5%9Bci%C5%84ska-Shukla%202025%20-%20same%20content%20different%20first%20author.pdf" TargetMode="External"/><Relationship Id="rId177" Type="http://schemas.openxmlformats.org/officeDocument/2006/relationships/hyperlink" Target="https://slrgroup-my.sharepoint.com/personal/emma_craven_slrconsulting_com/Documents/Microsoft%20Copilot%20Chat%20Files/Morris%202025.pdf" TargetMode="External"/><Relationship Id="rId198" Type="http://schemas.openxmlformats.org/officeDocument/2006/relationships/hyperlink" Target="https://doi.org/10.1093/toxsci/kfab122" TargetMode="External"/><Relationship Id="rId202" Type="http://schemas.openxmlformats.org/officeDocument/2006/relationships/hyperlink" Target="https://doi.org/10.1177/01926233231180179" TargetMode="External"/><Relationship Id="rId18" Type="http://schemas.openxmlformats.org/officeDocument/2006/relationships/footer" Target="footer4.xml"/><Relationship Id="rId39" Type="http://schemas.openxmlformats.org/officeDocument/2006/relationships/hyperlink" Target="https://doi.org/10.7759/cureus.48792" TargetMode="External"/><Relationship Id="rId50" Type="http://schemas.openxmlformats.org/officeDocument/2006/relationships/hyperlink" Target="https://doi.org/10.1002/jmd2.70067" TargetMode="External"/><Relationship Id="rId104" Type="http://schemas.openxmlformats.org/officeDocument/2006/relationships/hyperlink" Target="https://slrgroup-my.sharepoint.com/personal/emma_craven_slrconsulting_com/Documents/Microsoft%20Copilot%20Chat%20Files/Bossard%20V,%202022%20Problematic%20rise%20of%20vitamin%20B6%20supplementation%20overuse%20and%20potential.pdf" TargetMode="External"/><Relationship Id="rId125" Type="http://schemas.openxmlformats.org/officeDocument/2006/relationships/hyperlink" Target="https://slrgroup-my.sharepoint.com/personal/emma_craven_slrconsulting_com/Documents/Microsoft%20Copilot%20Chat%20Files/Gdynia%202025.pdf" TargetMode="External"/><Relationship Id="rId146" Type="http://schemas.openxmlformats.org/officeDocument/2006/relationships/hyperlink" Target="https://slrgroup-my.sharepoint.com/personal/emma_craven_slrconsulting_com/Documents/Microsoft%20Copilot%20Chat%20Files/He%20L,%202024%20The%20potential%20hazards%20of%20high%20doses%20of%20vitamin%20B6%20in%20treating%20nausea%20and%20vomi.pdf" TargetMode="External"/><Relationship Id="rId167" Type="http://schemas.openxmlformats.org/officeDocument/2006/relationships/hyperlink" Target="https://slrgroup-my.sharepoint.com/personal/emma_craven_slrconsulting_com/Documents/Microsoft%20Copilot%20Chat%20Files/Modica%20J,%202023%20A%20systematic%20review%20of%20the%20potential%20consequences%20of%20abnormal%20serum%20level.pdf" TargetMode="External"/><Relationship Id="rId188" Type="http://schemas.openxmlformats.org/officeDocument/2006/relationships/hyperlink" Target="https://slrgroup-my.sharepoint.com/personal/emma_craven_slrconsulting_com/Documents/Microsoft%20Copilot%20Chat%20Files/Muhamade%202023.pdf" TargetMode="External"/><Relationship Id="rId71" Type="http://schemas.openxmlformats.org/officeDocument/2006/relationships/footer" Target="footer16.xml"/><Relationship Id="rId92" Type="http://schemas.openxmlformats.org/officeDocument/2006/relationships/hyperlink" Target="https://slrgroup-my.sharepoint.com/personal/emma_craven_slrconsulting_com/_layouts/15/Doc.aspx?sourcedoc=%7B80F018D2-2C09-4B8F-AB02-0FE435BC0D82%7D&amp;file=Vit%20B6%20starter%20meeting%20.docx&amp;action=default&amp;mobileredirect=true" TargetMode="External"/><Relationship Id="rId213" Type="http://schemas.openxmlformats.org/officeDocument/2006/relationships/header" Target="header23.xml"/><Relationship Id="rId2" Type="http://schemas.openxmlformats.org/officeDocument/2006/relationships/customXml" Target="../customXml/item2.xml"/><Relationship Id="rId29" Type="http://schemas.openxmlformats.org/officeDocument/2006/relationships/hyperlink" Target="https://doi.org/10.2903/j.efsa.2023.8006" TargetMode="External"/><Relationship Id="rId40" Type="http://schemas.openxmlformats.org/officeDocument/2006/relationships/hyperlink" Target="https://doi.org/10.1016/0041-008X(78)90194-1" TargetMode="External"/><Relationship Id="rId115" Type="http://schemas.openxmlformats.org/officeDocument/2006/relationships/hyperlink" Target="https://slrgroup-my.sharepoint.com/personal/emma_craven_slrconsulting_com/Documents/Microsoft%20Copilot%20Chat%20Files/Brands%202026.pdf" TargetMode="External"/><Relationship Id="rId136" Type="http://schemas.openxmlformats.org/officeDocument/2006/relationships/hyperlink" Target="https://slrgroup-my.sharepoint.com/personal/emma_craven_slrconsulting_com/Documents/Microsoft%20Copilot%20Chat%20Files/Gdynia%202025.pdf" TargetMode="External"/><Relationship Id="rId157" Type="http://schemas.openxmlformats.org/officeDocument/2006/relationships/hyperlink" Target="https://slrgroup-my.sharepoint.com/personal/emma_craven_slrconsulting_com/Documents/Microsoft%20Copilot%20Chat%20Files/Lee%202025.pdf" TargetMode="External"/><Relationship Id="rId178" Type="http://schemas.openxmlformats.org/officeDocument/2006/relationships/hyperlink" Target="https://slrgroup-my.sharepoint.com/personal/emma_craven_slrconsulting_com/Documents/Microsoft%20Copilot%20Chat%20Files/Morris%202025.pdf" TargetMode="External"/><Relationship Id="rId61" Type="http://schemas.openxmlformats.org/officeDocument/2006/relationships/footer" Target="footer11.xml"/><Relationship Id="rId82" Type="http://schemas.openxmlformats.org/officeDocument/2006/relationships/hyperlink" Target="https://slrgroup-my.sharepoint.com/personal/emma_craven_slrconsulting_com/_layouts/15/Doc.aspx?sourcedoc=%7B80F018D2-2C09-4B8F-AB02-0FE435BC0D82%7D&amp;file=Vit%20B6%20starter%20meeting%20.docx&amp;action=default&amp;mobileredirect=true" TargetMode="External"/><Relationship Id="rId199" Type="http://schemas.openxmlformats.org/officeDocument/2006/relationships/hyperlink" Target="https://doi.org/10.2147/DHPS.S499941" TargetMode="External"/><Relationship Id="rId203" Type="http://schemas.openxmlformats.org/officeDocument/2006/relationships/hyperlink" Target="https://doi.org/10.1002/pds.70108" TargetMode="External"/><Relationship Id="rId19" Type="http://schemas.openxmlformats.org/officeDocument/2006/relationships/footer" Target="footer5.xml"/><Relationship Id="rId30" Type="http://schemas.openxmlformats.org/officeDocument/2006/relationships/hyperlink" Target="https://www.adrreports.eu/en/search_subst.html" TargetMode="External"/><Relationship Id="rId105" Type="http://schemas.openxmlformats.org/officeDocument/2006/relationships/hyperlink" Target="https://slrgroup-my.sharepoint.com/personal/emma_craven_slrconsulting_com/Documents/Microsoft%20Copilot%20Chat%20Files/Bossard%20V,%202022%20Problematic%20rise%20of%20vitamin%20B6%20supplementation%20overuse%20and%20potential.pdf" TargetMode="External"/><Relationship Id="rId126" Type="http://schemas.openxmlformats.org/officeDocument/2006/relationships/hyperlink" Target="https://slrgroup-my.sharepoint.com/personal/emma_craven_slrconsulting_com/Documents/Microsoft%20Copilot%20Chat%20Files/Gdynia%202025.pdf" TargetMode="External"/><Relationship Id="rId147" Type="http://schemas.openxmlformats.org/officeDocument/2006/relationships/hyperlink" Target="https://slrgroup-my.sharepoint.com/personal/emma_craven_slrconsulting_com/Documents/Microsoft%20Copilot%20Chat%20Files/Iga%20Ko%C5%9Bci%C5%84ska-Shukla%202025%20-%20same%20content%20different%20first%20author.pdf" TargetMode="External"/><Relationship Id="rId168" Type="http://schemas.openxmlformats.org/officeDocument/2006/relationships/hyperlink" Target="https://slrgroup-my.sharepoint.com/personal/emma_craven_slrconsulting_com/Documents/Microsoft%20Copilot%20Chat%20Files/Modica%20J,%202023%20A%20systematic%20review%20of%20the%20potential%20consequences%20of%20abnormal%20serum%20level.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11.xml.rels><?xml version="1.0" encoding="UTF-8" standalone="yes"?>
<Relationships xmlns="http://schemas.openxmlformats.org/package/2006/relationships"><Relationship Id="rId1" Type="http://schemas.openxmlformats.org/officeDocument/2006/relationships/image" Target="media/image4.png"/></Relationships>
</file>

<file path=word/_rels/footer13.xml.rels><?xml version="1.0" encoding="UTF-8" standalone="yes"?>
<Relationships xmlns="http://schemas.openxmlformats.org/package/2006/relationships"><Relationship Id="rId1" Type="http://schemas.openxmlformats.org/officeDocument/2006/relationships/image" Target="media/image1.png"/></Relationships>
</file>

<file path=word/_rels/footer14.xml.rels><?xml version="1.0" encoding="UTF-8" standalone="yes"?>
<Relationships xmlns="http://schemas.openxmlformats.org/package/2006/relationships"><Relationship Id="rId1" Type="http://schemas.openxmlformats.org/officeDocument/2006/relationships/image" Target="media/image4.png"/></Relationships>
</file>

<file path=word/_rels/footer16.xml.rels><?xml version="1.0" encoding="UTF-8" standalone="yes"?>
<Relationships xmlns="http://schemas.openxmlformats.org/package/2006/relationships"><Relationship Id="rId1" Type="http://schemas.openxmlformats.org/officeDocument/2006/relationships/image" Target="media/image1.png"/></Relationships>
</file>

<file path=word/_rels/footer17.xml.rels><?xml version="1.0" encoding="UTF-8" standalone="yes"?>
<Relationships xmlns="http://schemas.openxmlformats.org/package/2006/relationships"><Relationship Id="rId1" Type="http://schemas.openxmlformats.org/officeDocument/2006/relationships/image" Target="media/image1.png"/></Relationships>
</file>

<file path=word/_rels/footer18.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20.xml.rels><?xml version="1.0" encoding="UTF-8" standalone="yes"?>
<Relationships xmlns="http://schemas.openxmlformats.org/package/2006/relationships"><Relationship Id="rId1" Type="http://schemas.openxmlformats.org/officeDocument/2006/relationships/image" Target="media/image1.png"/></Relationships>
</file>

<file path=word/_rels/footer21.xml.rels><?xml version="1.0" encoding="UTF-8" standalone="yes"?>
<Relationships xmlns="http://schemas.openxmlformats.org/package/2006/relationships"><Relationship Id="rId1" Type="http://schemas.openxmlformats.org/officeDocument/2006/relationships/image" Target="media/image1.png"/></Relationships>
</file>

<file path=word/_rels/footer22.xml.rels><?xml version="1.0" encoding="UTF-8" standalone="yes"?>
<Relationships xmlns="http://schemas.openxmlformats.org/package/2006/relationships"><Relationship Id="rId1" Type="http://schemas.openxmlformats.org/officeDocument/2006/relationships/image" Target="media/image4.png"/></Relationships>
</file>

<file path=word/_rels/footer23.xml.rels><?xml version="1.0" encoding="UTF-8" standalone="yes"?>
<Relationships xmlns="http://schemas.openxmlformats.org/package/2006/relationships"><Relationship Id="rId1" Type="http://schemas.openxmlformats.org/officeDocument/2006/relationships/image" Target="media/image1.png"/></Relationships>
</file>

<file path=word/_rels/footer24.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4.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6.xml.rels><?xml version="1.0" encoding="UTF-8" standalone="yes"?>
<Relationships xmlns="http://schemas.openxmlformats.org/package/2006/relationships"><Relationship Id="rId1" Type="http://schemas.openxmlformats.org/officeDocument/2006/relationships/image" Target="media/image3.png"/></Relationships>
</file>

<file path=word/_rels/header19.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21.xml.rels><?xml version="1.0" encoding="UTF-8" standalone="yes"?>
<Relationships xmlns="http://schemas.openxmlformats.org/package/2006/relationships"><Relationship Id="rId1" Type="http://schemas.openxmlformats.org/officeDocument/2006/relationships/image" Target="media/image3.png"/></Relationships>
</file>

<file path=word/_rels/header26.xml.rels><?xml version="1.0" encoding="UTF-8" standalone="yes"?>
<Relationships xmlns="http://schemas.openxmlformats.org/package/2006/relationships"><Relationship Id="rId1" Type="http://schemas.openxmlformats.org/officeDocument/2006/relationships/image" Target="media/image5.jp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9414699D984EB79B3D734CCD7D1BF2"/>
        <w:category>
          <w:name w:val="General"/>
          <w:gallery w:val="placeholder"/>
        </w:category>
        <w:types>
          <w:type w:val="bbPlcHdr"/>
        </w:types>
        <w:behaviors>
          <w:behavior w:val="content"/>
        </w:behaviors>
        <w:guid w:val="{3527E77B-2A02-4AD2-9280-3B5DD23C4D7C}"/>
      </w:docPartPr>
      <w:docPartBody>
        <w:p w:rsidR="005E2433" w:rsidRDefault="005E2433">
          <w:pPr>
            <w:pStyle w:val="BD9414699D984EB79B3D734CCD7D1BF2"/>
          </w:pPr>
          <w:r w:rsidRPr="00804AED">
            <w:rPr>
              <w:rStyle w:val="PlaceholderText"/>
            </w:rPr>
            <w:t>[Title]</w:t>
          </w:r>
        </w:p>
      </w:docPartBody>
    </w:docPart>
    <w:docPart>
      <w:docPartPr>
        <w:name w:val="CCEB2A1EA1014B6E950C4FF2956F0096"/>
        <w:category>
          <w:name w:val="General"/>
          <w:gallery w:val="placeholder"/>
        </w:category>
        <w:types>
          <w:type w:val="bbPlcHdr"/>
        </w:types>
        <w:behaviors>
          <w:behavior w:val="content"/>
        </w:behaviors>
        <w:guid w:val="{1693935B-DB2C-4C58-8607-24B4C1232AAC}"/>
      </w:docPartPr>
      <w:docPartBody>
        <w:p w:rsidR="005E2433" w:rsidRDefault="005E2433">
          <w:pPr>
            <w:pStyle w:val="CCEB2A1EA1014B6E950C4FF2956F0096"/>
          </w:pPr>
          <w:r w:rsidRPr="00E4512D">
            <w:rPr>
              <w:rStyle w:val="PlaceholderText"/>
            </w:rPr>
            <w:t>[Subject]</w:t>
          </w:r>
        </w:p>
      </w:docPartBody>
    </w:docPart>
    <w:docPart>
      <w:docPartPr>
        <w:name w:val="88FF17C49EF64BCA8CB3728295C74B56"/>
        <w:category>
          <w:name w:val="General"/>
          <w:gallery w:val="placeholder"/>
        </w:category>
        <w:types>
          <w:type w:val="bbPlcHdr"/>
        </w:types>
        <w:behaviors>
          <w:behavior w:val="content"/>
        </w:behaviors>
        <w:guid w:val="{DB7F5A8A-7DE2-4303-8F3B-B674BDF2CF30}"/>
      </w:docPartPr>
      <w:docPartBody>
        <w:p w:rsidR="005E2433" w:rsidRDefault="005E2433">
          <w:pPr>
            <w:pStyle w:val="88FF17C49EF64BCA8CB3728295C74B56"/>
          </w:pPr>
          <w:r w:rsidRPr="00B50A8A">
            <w:t xml:space="preserve">Select </w:t>
          </w:r>
          <w:r>
            <w:t>SLR</w:t>
          </w:r>
          <w:r w:rsidRPr="00B50A8A">
            <w:t xml:space="preserve"> entity.</w:t>
          </w:r>
        </w:p>
      </w:docPartBody>
    </w:docPart>
    <w:docPart>
      <w:docPartPr>
        <w:name w:val="CA6675340CEF41D4892D99B070488EC8"/>
        <w:category>
          <w:name w:val="General"/>
          <w:gallery w:val="placeholder"/>
        </w:category>
        <w:types>
          <w:type w:val="bbPlcHdr"/>
        </w:types>
        <w:behaviors>
          <w:behavior w:val="content"/>
        </w:behaviors>
        <w:guid w:val="{86C19807-0B7A-408B-9045-33753CE95ED8}"/>
      </w:docPartPr>
      <w:docPartBody>
        <w:p w:rsidR="005E2433" w:rsidRDefault="005E2433">
          <w:pPr>
            <w:pStyle w:val="CA6675340CEF41D4892D99B070488EC8"/>
          </w:pPr>
          <w:r w:rsidRPr="007A3E3C">
            <w:rPr>
              <w:rStyle w:val="PlaceholderText"/>
            </w:rPr>
            <w:t>Click or tap here to enter text.</w:t>
          </w:r>
        </w:p>
      </w:docPartBody>
    </w:docPart>
    <w:docPart>
      <w:docPartPr>
        <w:name w:val="F97CA52EA44E4739B596F17E850F734B"/>
        <w:category>
          <w:name w:val="General"/>
          <w:gallery w:val="placeholder"/>
        </w:category>
        <w:types>
          <w:type w:val="bbPlcHdr"/>
        </w:types>
        <w:behaviors>
          <w:behavior w:val="content"/>
        </w:behaviors>
        <w:guid w:val="{E64E6957-055C-4742-ACFF-0562A8116088}"/>
      </w:docPartPr>
      <w:docPartBody>
        <w:p w:rsidR="005E2433" w:rsidRDefault="005E2433">
          <w:pPr>
            <w:pStyle w:val="F97CA52EA44E4739B596F17E850F734B"/>
          </w:pPr>
          <w:r w:rsidRPr="00B5333F">
            <w:rPr>
              <w:rStyle w:val="PlaceholderText"/>
            </w:rPr>
            <w:t>Click or tap here to enter text.</w:t>
          </w:r>
        </w:p>
      </w:docPartBody>
    </w:docPart>
    <w:docPart>
      <w:docPartPr>
        <w:name w:val="7157B9425ABE4EB585C0B7D42FFB39D5"/>
        <w:category>
          <w:name w:val="General"/>
          <w:gallery w:val="placeholder"/>
        </w:category>
        <w:types>
          <w:type w:val="bbPlcHdr"/>
        </w:types>
        <w:behaviors>
          <w:behavior w:val="content"/>
        </w:behaviors>
        <w:guid w:val="{B4C21FA4-42D6-4BF2-BE00-06D3151B82C7}"/>
      </w:docPartPr>
      <w:docPartBody>
        <w:p w:rsidR="005E2433" w:rsidRDefault="005E2433">
          <w:pPr>
            <w:pStyle w:val="7157B9425ABE4EB585C0B7D42FFB39D5"/>
          </w:pPr>
          <w:r w:rsidRPr="000B223D">
            <w:rPr>
              <w:rStyle w:val="PlaceholderText"/>
            </w:rPr>
            <w:t>Click or tap to enter a date.</w:t>
          </w:r>
        </w:p>
      </w:docPartBody>
    </w:docPart>
    <w:docPart>
      <w:docPartPr>
        <w:name w:val="4EA39CE908FB45AAAEBDBD0031FF27B9"/>
        <w:category>
          <w:name w:val="General"/>
          <w:gallery w:val="placeholder"/>
        </w:category>
        <w:types>
          <w:type w:val="bbPlcHdr"/>
        </w:types>
        <w:behaviors>
          <w:behavior w:val="content"/>
        </w:behaviors>
        <w:guid w:val="{608CEC2C-FE9D-4A33-8A55-E19C86C6A641}"/>
      </w:docPartPr>
      <w:docPartBody>
        <w:p w:rsidR="00DB5261" w:rsidRDefault="00933B00" w:rsidP="00933B00">
          <w:pPr>
            <w:pStyle w:val="4EA39CE908FB45AAAEBDBD0031FF27B9"/>
          </w:pPr>
          <w:r w:rsidRPr="00A549AB">
            <w:rPr>
              <w:rStyle w:val="PlaceholderText"/>
            </w:rPr>
            <w:t>Click to enter a date.</w:t>
          </w:r>
        </w:p>
      </w:docPartBody>
    </w:docPart>
    <w:docPart>
      <w:docPartPr>
        <w:name w:val="4ABE2F5BFDD74EC980E574DAC5B13DBD"/>
        <w:category>
          <w:name w:val="General"/>
          <w:gallery w:val="placeholder"/>
        </w:category>
        <w:types>
          <w:type w:val="bbPlcHdr"/>
        </w:types>
        <w:behaviors>
          <w:behavior w:val="content"/>
        </w:behaviors>
        <w:guid w:val="{767A7318-0FFD-4FDB-A3EB-A70F393287C8}"/>
      </w:docPartPr>
      <w:docPartBody>
        <w:p w:rsidR="009F451B" w:rsidRDefault="00AD59F3" w:rsidP="00AD59F3">
          <w:pPr>
            <w:pStyle w:val="4ABE2F5BFDD74EC980E574DAC5B13DBD"/>
          </w:pPr>
          <w:r w:rsidRPr="00A549AB">
            <w:rPr>
              <w:rStyle w:val="PlaceholderText"/>
            </w:rPr>
            <w:t>Click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igtree">
    <w:panose1 w:val="00000000000000000000"/>
    <w:charset w:val="00"/>
    <w:family w:val="auto"/>
    <w:pitch w:val="variable"/>
    <w:sig w:usb0="A000006F" w:usb1="0000007B" w:usb2="00000000" w:usb3="00000000" w:csb0="00000093"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lbra Light">
    <w:panose1 w:val="00000000000000000000"/>
    <w:charset w:val="00"/>
    <w:family w:val="auto"/>
    <w:pitch w:val="variable"/>
    <w:sig w:usb0="0000000B"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433"/>
    <w:rsid w:val="00005133"/>
    <w:rsid w:val="00032C2C"/>
    <w:rsid w:val="00046D0B"/>
    <w:rsid w:val="00080030"/>
    <w:rsid w:val="000E2B96"/>
    <w:rsid w:val="000F065C"/>
    <w:rsid w:val="000F0ACF"/>
    <w:rsid w:val="0014156C"/>
    <w:rsid w:val="00162E06"/>
    <w:rsid w:val="001651DC"/>
    <w:rsid w:val="00193CD9"/>
    <w:rsid w:val="001C1EC6"/>
    <w:rsid w:val="001F1716"/>
    <w:rsid w:val="002077C2"/>
    <w:rsid w:val="00215781"/>
    <w:rsid w:val="00225D53"/>
    <w:rsid w:val="002429CE"/>
    <w:rsid w:val="00263893"/>
    <w:rsid w:val="002B4834"/>
    <w:rsid w:val="002C285C"/>
    <w:rsid w:val="003110E9"/>
    <w:rsid w:val="003172B4"/>
    <w:rsid w:val="0035316D"/>
    <w:rsid w:val="003563BC"/>
    <w:rsid w:val="00360ECF"/>
    <w:rsid w:val="003A0AD7"/>
    <w:rsid w:val="003D41B4"/>
    <w:rsid w:val="003E20FE"/>
    <w:rsid w:val="003F3951"/>
    <w:rsid w:val="00406DB5"/>
    <w:rsid w:val="00417762"/>
    <w:rsid w:val="004C331A"/>
    <w:rsid w:val="004C4EC1"/>
    <w:rsid w:val="004F368F"/>
    <w:rsid w:val="00527D3A"/>
    <w:rsid w:val="00534632"/>
    <w:rsid w:val="005552D8"/>
    <w:rsid w:val="005768CB"/>
    <w:rsid w:val="00584CAA"/>
    <w:rsid w:val="00587174"/>
    <w:rsid w:val="005A391E"/>
    <w:rsid w:val="005A516E"/>
    <w:rsid w:val="005B188D"/>
    <w:rsid w:val="005E2433"/>
    <w:rsid w:val="005F7A7E"/>
    <w:rsid w:val="006736F9"/>
    <w:rsid w:val="006B2728"/>
    <w:rsid w:val="006D33D8"/>
    <w:rsid w:val="00702035"/>
    <w:rsid w:val="00703C7D"/>
    <w:rsid w:val="007561F3"/>
    <w:rsid w:val="007908CF"/>
    <w:rsid w:val="00796E58"/>
    <w:rsid w:val="007B2F0A"/>
    <w:rsid w:val="007F0C30"/>
    <w:rsid w:val="0080435A"/>
    <w:rsid w:val="00860C46"/>
    <w:rsid w:val="0087212C"/>
    <w:rsid w:val="008721EC"/>
    <w:rsid w:val="00893463"/>
    <w:rsid w:val="008A3482"/>
    <w:rsid w:val="008F1B6A"/>
    <w:rsid w:val="00933B00"/>
    <w:rsid w:val="00971AFE"/>
    <w:rsid w:val="00983F10"/>
    <w:rsid w:val="009C5096"/>
    <w:rsid w:val="009F451B"/>
    <w:rsid w:val="00A238D8"/>
    <w:rsid w:val="00AD59F3"/>
    <w:rsid w:val="00BD54E8"/>
    <w:rsid w:val="00BE7AFF"/>
    <w:rsid w:val="00BF4079"/>
    <w:rsid w:val="00BF50A6"/>
    <w:rsid w:val="00C15503"/>
    <w:rsid w:val="00C1580E"/>
    <w:rsid w:val="00CA239D"/>
    <w:rsid w:val="00CB4E2A"/>
    <w:rsid w:val="00CE6E60"/>
    <w:rsid w:val="00D01FF5"/>
    <w:rsid w:val="00D40B2D"/>
    <w:rsid w:val="00D44192"/>
    <w:rsid w:val="00D51914"/>
    <w:rsid w:val="00D57C53"/>
    <w:rsid w:val="00D72A3B"/>
    <w:rsid w:val="00D73F64"/>
    <w:rsid w:val="00DA19B1"/>
    <w:rsid w:val="00DB5261"/>
    <w:rsid w:val="00DC4264"/>
    <w:rsid w:val="00DC59A2"/>
    <w:rsid w:val="00E01078"/>
    <w:rsid w:val="00E137D5"/>
    <w:rsid w:val="00E27001"/>
    <w:rsid w:val="00E37BAD"/>
    <w:rsid w:val="00E940A1"/>
    <w:rsid w:val="00EA24D8"/>
    <w:rsid w:val="00EE7DD0"/>
    <w:rsid w:val="00F122C9"/>
    <w:rsid w:val="00F35C4D"/>
    <w:rsid w:val="00F47770"/>
    <w:rsid w:val="00F56744"/>
    <w:rsid w:val="00FA3A95"/>
    <w:rsid w:val="00FE1858"/>
    <w:rsid w:val="00FE43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59F3"/>
    <w:rPr>
      <w:color w:val="808080"/>
    </w:rPr>
  </w:style>
  <w:style w:type="paragraph" w:customStyle="1" w:styleId="BD9414699D984EB79B3D734CCD7D1BF2">
    <w:name w:val="BD9414699D984EB79B3D734CCD7D1BF2"/>
  </w:style>
  <w:style w:type="paragraph" w:customStyle="1" w:styleId="CCEB2A1EA1014B6E950C4FF2956F0096">
    <w:name w:val="CCEB2A1EA1014B6E950C4FF2956F0096"/>
  </w:style>
  <w:style w:type="paragraph" w:customStyle="1" w:styleId="88FF17C49EF64BCA8CB3728295C74B56">
    <w:name w:val="88FF17C49EF64BCA8CB3728295C74B56"/>
  </w:style>
  <w:style w:type="paragraph" w:customStyle="1" w:styleId="CA6675340CEF41D4892D99B070488EC8">
    <w:name w:val="CA6675340CEF41D4892D99B070488EC8"/>
  </w:style>
  <w:style w:type="paragraph" w:customStyle="1" w:styleId="F97CA52EA44E4739B596F17E850F734B">
    <w:name w:val="F97CA52EA44E4739B596F17E850F734B"/>
  </w:style>
  <w:style w:type="paragraph" w:customStyle="1" w:styleId="7157B9425ABE4EB585C0B7D42FFB39D5">
    <w:name w:val="7157B9425ABE4EB585C0B7D42FFB39D5"/>
  </w:style>
  <w:style w:type="paragraph" w:customStyle="1" w:styleId="4EA39CE908FB45AAAEBDBD0031FF27B9">
    <w:name w:val="4EA39CE908FB45AAAEBDBD0031FF27B9"/>
    <w:rsid w:val="00933B00"/>
  </w:style>
  <w:style w:type="paragraph" w:customStyle="1" w:styleId="4ABE2F5BFDD74EC980E574DAC5B13DBD">
    <w:name w:val="4ABE2F5BFDD74EC980E574DAC5B13DBD"/>
    <w:rsid w:val="00AD59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LR 2023 Colours">
      <a:dk1>
        <a:srgbClr val="1E1E1E"/>
      </a:dk1>
      <a:lt1>
        <a:srgbClr val="FFFFFF"/>
      </a:lt1>
      <a:dk2>
        <a:srgbClr val="3C533C"/>
      </a:dk2>
      <a:lt2>
        <a:srgbClr val="F6F6F2"/>
      </a:lt2>
      <a:accent1>
        <a:srgbClr val="3C533C"/>
      </a:accent1>
      <a:accent2>
        <a:srgbClr val="A9C272"/>
      </a:accent2>
      <a:accent3>
        <a:srgbClr val="667545"/>
      </a:accent3>
      <a:accent4>
        <a:srgbClr val="263326"/>
      </a:accent4>
      <a:accent5>
        <a:srgbClr val="D6F591"/>
      </a:accent5>
      <a:accent6>
        <a:srgbClr val="EEF7DB"/>
      </a:accent6>
      <a:hlink>
        <a:srgbClr val="92B2F5"/>
      </a:hlink>
      <a:folHlink>
        <a:srgbClr val="717568"/>
      </a:folHlink>
    </a:clrScheme>
    <a:fontScheme name="SLR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4994564-c68c-4417-8c9c-13eb9ecde3d6">
      <Terms xmlns="http://schemas.microsoft.com/office/infopath/2007/PartnerControls"/>
    </lcf76f155ced4ddcb4097134ff3c332f>
    <Comments xmlns="f4994564-c68c-4417-8c9c-13eb9ecde3d6" xsi:nil="true"/>
    <_ip_UnifiedCompliancePolicyProperties xmlns="http://schemas.microsoft.com/sharepoint/v3" xsi:nil="true"/>
    <Status xmlns="f4994564-c68c-4417-8c9c-13eb9ecde3d6" xsi:nil="true"/>
    <person xmlns="f4994564-c68c-4417-8c9c-13eb9ecde3d6">
      <UserInfo>
        <DisplayName/>
        <AccountId xsi:nil="true"/>
        <AccountType/>
      </UserInfo>
    </person>
    <TaxCatchAll xmlns="ef8499da-f70f-48c9-a6de-e578977a26c0" xsi:nil="true"/>
    <_dlc_DocId xmlns="ef8499da-f70f-48c9-a6de-e578977a26c0">RESTRANS-1864802524-206773</_dlc_DocId>
    <_dlc_DocIdUrl xmlns="ef8499da-f70f-48c9-a6de-e578977a26c0">
      <Url>https://nhmrc.sharepoint.com/sites/restrans/_layouts/15/DocIdRedir.aspx?ID=RESTRANS-1864802524-206773</Url>
      <Description>RESTRANS-1864802524-206773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4" ma:contentTypeDescription="Create a new document." ma:contentTypeScope="" ma:versionID="15dbadcc652152cf822d9ba4db337924">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521f5fce8a076de9b4dee074152eaf9c"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Version="1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E19D133-44CD-4267-B135-D7538E3AB7C9}">
  <ds:schemaRefs>
    <ds:schemaRef ds:uri="http://schemas.microsoft.com/office/2006/metadata/properties"/>
    <ds:schemaRef ds:uri="http://schemas.microsoft.com/office/infopath/2007/PartnerControls"/>
    <ds:schemaRef ds:uri="04275ebd-48af-4361-b40e-097e78a7ca7f"/>
  </ds:schemaRefs>
</ds:datastoreItem>
</file>

<file path=customXml/itemProps2.xml><?xml version="1.0" encoding="utf-8"?>
<ds:datastoreItem xmlns:ds="http://schemas.openxmlformats.org/officeDocument/2006/customXml" ds:itemID="{5454FBA2-30C9-4D74-8AA9-267AD8592FCC}"/>
</file>

<file path=customXml/itemProps3.xml><?xml version="1.0" encoding="utf-8"?>
<ds:datastoreItem xmlns:ds="http://schemas.openxmlformats.org/officeDocument/2006/customXml" ds:itemID="{69D587C8-0A84-4BD7-805B-043C142C54BD}">
  <ds:schemaRefs>
    <ds:schemaRef ds:uri="http://schemas.microsoft.com/sharepoint/v3/contenttype/forms"/>
  </ds:schemaRefs>
</ds:datastoreItem>
</file>

<file path=customXml/itemProps4.xml><?xml version="1.0" encoding="utf-8"?>
<ds:datastoreItem xmlns:ds="http://schemas.openxmlformats.org/officeDocument/2006/customXml" ds:itemID="{DB80E79D-F110-4947-8777-DD6B64FCF9DB}">
  <ds:schemaRefs>
    <ds:schemaRef ds:uri="http://schemas.openxmlformats.org/officeDocument/2006/bibliography"/>
  </ds:schemaRefs>
</ds:datastoreItem>
</file>

<file path=customXml/itemProps5.xml><?xml version="1.0" encoding="utf-8"?>
<ds:datastoreItem xmlns:ds="http://schemas.openxmlformats.org/officeDocument/2006/customXml" ds:itemID="{7957B919-1C5F-41CE-8581-2FEAC20C5BBB}"/>
</file>

<file path=docProps/app.xml><?xml version="1.0" encoding="utf-8"?>
<Properties xmlns="http://schemas.openxmlformats.org/officeDocument/2006/extended-properties" xmlns:vt="http://schemas.openxmlformats.org/officeDocument/2006/docPropsVTypes">
  <Template>Normal</Template>
  <TotalTime>361</TotalTime>
  <Pages>226</Pages>
  <Words>66880</Words>
  <Characters>401285</Characters>
  <Application>Microsoft Office Word</Application>
  <DocSecurity>0</DocSecurity>
  <Lines>11802</Lines>
  <Paragraphs>6987</Paragraphs>
  <ScaleCrop>false</ScaleCrop>
  <HeadingPairs>
    <vt:vector size="2" baseType="variant">
      <vt:variant>
        <vt:lpstr>Title</vt:lpstr>
      </vt:variant>
      <vt:variant>
        <vt:i4>1</vt:i4>
      </vt:variant>
    </vt:vector>
  </HeadingPairs>
  <TitlesOfParts>
    <vt:vector size="1" baseType="lpstr">
      <vt:lpstr>Evidence Evaluations for Vitamin B6 Upper Level (UL)</vt:lpstr>
    </vt:vector>
  </TitlesOfParts>
  <Company>SLR Consulting</Company>
  <LinksUpToDate>false</LinksUpToDate>
  <CharactersWithSpaces>461178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Evidence Evaluations for Vitamin B6 Upper Level (UL)</dc:title>
  <dc:subject>Vitamin B6 Upper Level (UL) Technical Report</dc:subject>
  <dc:creator>Marsha Gibson</dc:creator>
  <cp:keywords>report, template, technical report</cp:keywords>
  <dc:description>r4.3 (remove 360)</dc:description>
  <cp:lastModifiedBy>Maryam Moslehi</cp:lastModifiedBy>
  <cp:revision>39</cp:revision>
  <cp:lastPrinted>2026-08-07T03:22:00Z</cp:lastPrinted>
  <dcterms:created xsi:type="dcterms:W3CDTF">2026-06-21T23:05:00Z</dcterms:created>
  <dcterms:modified xsi:type="dcterms:W3CDTF">2026-08-07T03:23:00Z</dcterms:modified>
  <cp:category>Template</cp:category>
  <cp:contentStatus>Current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Name">
    <vt:lpwstr>[Client Name]</vt:lpwstr>
  </property>
  <property fmtid="{D5CDD505-2E9C-101B-9397-08002B2CF9AE}" pid="3" name="ContentTypeId">
    <vt:lpwstr>0x01010018030A58EFCB05439C4C109195641468</vt:lpwstr>
  </property>
  <property fmtid="{D5CDD505-2E9C-101B-9397-08002B2CF9AE}" pid="4" name="_dlc_DocIdItemGuid">
    <vt:lpwstr>f15329de-df79-4a84-880b-88915e53cbe2</vt:lpwstr>
  </property>
  <property fmtid="{D5CDD505-2E9C-101B-9397-08002B2CF9AE}" pid="5" name="MediaServiceImageTags">
    <vt:lpwstr/>
  </property>
  <property fmtid="{D5CDD505-2E9C-101B-9397-08002B2CF9AE}" pid="7" name="docLang">
    <vt:lpwstr>en</vt:lpwstr>
  </property>
</Properties>
</file>