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4.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Report_Date" w:displacedByCustomXml="next"/>
    <w:bookmarkStart w:id="1" w:name="_Hlk132364252" w:displacedByCustomXml="next"/>
    <w:sdt>
      <w:sdtPr>
        <w:rPr>
          <w:rFonts w:cstheme="minorBidi"/>
          <w:b w:val="0"/>
          <w:color w:val="auto"/>
          <w:sz w:val="20"/>
          <w:szCs w:val="20"/>
        </w:rPr>
        <w:id w:val="113486750"/>
        <w:docPartObj>
          <w:docPartGallery w:val="Cover Pages"/>
          <w:docPartUnique/>
        </w:docPartObj>
      </w:sdtPr>
      <w:sdtEndPr>
        <w:rPr>
          <w:sz w:val="22"/>
        </w:rPr>
      </w:sdtEndPr>
      <w:sdtContent>
        <w:sdt>
          <w:sdtPr>
            <w:alias w:val="Title"/>
            <w:tag w:val=""/>
            <w:id w:val="248160412"/>
            <w:placeholder>
              <w:docPart w:val="FF52D31CE1D94A218B70DE68D52C04AF"/>
            </w:placeholder>
            <w:dataBinding w:prefixMappings="xmlns:ns0='http://purl.org/dc/elements/1.1/' xmlns:ns1='http://schemas.openxmlformats.org/package/2006/metadata/core-properties' " w:xpath="/ns1:coreProperties[1]/ns0:title[1]" w:storeItemID="{6C3C8BC8-F283-45AE-878A-BAB7291924A1}"/>
            <w:text/>
          </w:sdtPr>
          <w:sdtEndPr/>
          <w:sdtContent>
            <w:p w14:paraId="7F504B24" w14:textId="24F746E1" w:rsidR="002E4F6E" w:rsidRPr="008371FA" w:rsidRDefault="00377028" w:rsidP="00AF521C">
              <w:pPr>
                <w:pStyle w:val="CoverTitle"/>
              </w:pPr>
              <w:r>
                <w:t>Evidence Evaluations for Vitamin B6 Upper Level</w:t>
              </w:r>
            </w:p>
          </w:sdtContent>
        </w:sdt>
        <w:sdt>
          <w:sdtPr>
            <w:alias w:val="Subject"/>
            <w:tag w:val=""/>
            <w:id w:val="-1304070988"/>
            <w:placeholder>
              <w:docPart w:val="975E5289C61D451FB40319D0536286B4"/>
            </w:placeholder>
            <w:dataBinding w:prefixMappings="xmlns:ns0='http://purl.org/dc/elements/1.1/' xmlns:ns1='http://schemas.openxmlformats.org/package/2006/metadata/core-properties' " w:xpath="/ns1:coreProperties[1]/ns0:subject[1]" w:storeItemID="{6C3C8BC8-F283-45AE-878A-BAB7291924A1}"/>
            <w:text/>
          </w:sdtPr>
          <w:sdtEndPr/>
          <w:sdtContent>
            <w:p w14:paraId="465F91EC" w14:textId="22CFA29F" w:rsidR="002E4F6E" w:rsidRPr="008371FA" w:rsidRDefault="00F83CFC" w:rsidP="00FB47D4">
              <w:pPr>
                <w:pStyle w:val="CoverSubtitle"/>
              </w:pPr>
              <w:r>
                <w:t xml:space="preserve">Vitamin B6 </w:t>
              </w:r>
              <w:r w:rsidR="00F731BB">
                <w:t>Upper-Level</w:t>
              </w:r>
              <w:r w:rsidR="00C13E67" w:rsidRPr="00C13E67">
                <w:t xml:space="preserve"> Evaluation Report</w:t>
              </w:r>
            </w:p>
          </w:sdtContent>
        </w:sdt>
        <w:p w14:paraId="5B6DEFA9" w14:textId="7F8B427F" w:rsidR="002E4F6E" w:rsidRPr="008371FA" w:rsidRDefault="00C13E67" w:rsidP="00FB47D4">
          <w:pPr>
            <w:pStyle w:val="CoverClientName"/>
          </w:pPr>
          <w:r w:rsidRPr="00C13E67">
            <w:t>National Health and Medical Research Council</w:t>
          </w:r>
        </w:p>
        <w:p w14:paraId="6A3FC31C" w14:textId="77777777" w:rsidR="002E4F6E" w:rsidRPr="008371FA" w:rsidRDefault="002E4F6E" w:rsidP="00FB47D4">
          <w:pPr>
            <w:pStyle w:val="CoverBody"/>
          </w:pPr>
        </w:p>
        <w:bookmarkEnd w:id="0"/>
        <w:p w14:paraId="2B2CE87B" w14:textId="2989A30B" w:rsidR="002E4F6E" w:rsidRPr="008371FA" w:rsidRDefault="002E4F6E" w:rsidP="00FB47D4">
          <w:pPr>
            <w:pStyle w:val="CoverBody"/>
          </w:pPr>
          <w:r w:rsidRPr="008371FA">
            <w:t>Prepared by:</w:t>
          </w:r>
        </w:p>
        <w:sdt>
          <w:sdtPr>
            <w:alias w:val="Company"/>
            <w:tag w:val="Company"/>
            <w:id w:val="-566190103"/>
            <w:placeholder>
              <w:docPart w:val="7415926FB5D241649210902819051647"/>
            </w:placeholder>
            <w:dropDownList>
              <w:listItem w:displayText="Select SLR entity" w:value="Select SLR entity"/>
              <w:listItem w:displayText="SLR Consulting Australia Pty Ltd" w:value="SLR Consulting Australia Pty Ltd"/>
              <w:listItem w:displayText="SLR Consulting New Zealand Limited" w:value="SLR Consulting New Zealand Limited"/>
              <w:listItem w:displayText="SLR Holdings NZ Limited" w:value="SLR Holdings NZ Limited"/>
              <w:listItem w:displayText="SLR Consulting Singapore Pte Ltd" w:value="SLR Consulting Singapore Pte Ltd"/>
              <w:listItem w:displayText="Cumberland Ecology Pty Ltd" w:value="Cumberland Ecology Pty Ltd"/>
              <w:listItem w:displayText="Element Advisory Pty Ltd" w:value="Element Advisory Pty Ltd"/>
              <w:listItem w:displayText="Groundwork Plus Pty Ltd" w:value="Groundwork Plus Pty Ltd"/>
              <w:listItem w:displayText="IBIS Environmental &amp; Social Consulting Asia Pte Ltd" w:value="IBIS Environmental &amp; Social Consulting Asia Pte Ltd"/>
            </w:dropDownList>
          </w:sdtPr>
          <w:sdtEndPr/>
          <w:sdtContent>
            <w:p w14:paraId="74DF9251" w14:textId="34A09CD7" w:rsidR="002E4F6E" w:rsidRPr="009368CA" w:rsidRDefault="00C13E67" w:rsidP="009368CA">
              <w:pPr>
                <w:pStyle w:val="CoverSLRName"/>
              </w:pPr>
              <w:r>
                <w:t>SLR Consulting Australia Pty Ltd</w:t>
              </w:r>
            </w:p>
          </w:sdtContent>
        </w:sdt>
        <w:p w14:paraId="3FFD3340" w14:textId="77777777" w:rsidR="002E4F6E" w:rsidRPr="008371FA" w:rsidRDefault="002E4F6E" w:rsidP="00FB47D4">
          <w:pPr>
            <w:pStyle w:val="CoverBody"/>
          </w:pPr>
        </w:p>
        <w:p w14:paraId="6FA3E19C" w14:textId="63F1F557" w:rsidR="002E4F6E" w:rsidRPr="008371FA" w:rsidRDefault="002E4F6E" w:rsidP="00FB47D4">
          <w:pPr>
            <w:pStyle w:val="CoverProjectNumber"/>
          </w:pPr>
          <w:r w:rsidRPr="008371FA">
            <w:t xml:space="preserve">SLR Project No.: </w:t>
          </w:r>
          <w:sdt>
            <w:sdtPr>
              <w:id w:val="-1247808491"/>
              <w:placeholder>
                <w:docPart w:val="1C39AFE122204507B618A09407ED50DA"/>
              </w:placeholder>
            </w:sdtPr>
            <w:sdtEndPr/>
            <w:sdtContent>
              <w:r w:rsidR="00C13E67" w:rsidRPr="00C13E67">
                <w:t>640.032</w:t>
              </w:r>
              <w:r w:rsidR="00F83CFC">
                <w:t>359</w:t>
              </w:r>
              <w:r w:rsidR="00C13E67" w:rsidRPr="00C13E67">
                <w:t>.00</w:t>
              </w:r>
              <w:r w:rsidR="00C13E67">
                <w:t>0</w:t>
              </w:r>
              <w:r w:rsidR="00C13E67" w:rsidRPr="00C13E67">
                <w:t>01</w:t>
              </w:r>
            </w:sdtContent>
          </w:sdt>
        </w:p>
        <w:p w14:paraId="5D603AE2" w14:textId="7DE99F7A" w:rsidR="002E4F6E" w:rsidRPr="008371FA" w:rsidRDefault="00995E0D" w:rsidP="00FB47D4">
          <w:pPr>
            <w:pStyle w:val="CoverDate"/>
          </w:pPr>
          <w:sdt>
            <w:sdtPr>
              <w:alias w:val="Date"/>
              <w:tag w:val="Date"/>
              <w:id w:val="790936868"/>
              <w:placeholder>
                <w:docPart w:val="5E66F581392D4DC69B6BE84C1BDED13E"/>
              </w:placeholder>
              <w:date w:fullDate="2026-08-07T00:00:00Z">
                <w:dateFormat w:val="d MMMM yyyy"/>
                <w:lid w:val="en-US"/>
                <w:storeMappedDataAs w:val="dateTime"/>
                <w:calendar w:val="gregorian"/>
              </w:date>
            </w:sdtPr>
            <w:sdtEndPr/>
            <w:sdtContent>
              <w:r w:rsidR="00B37529">
                <w:rPr>
                  <w:lang w:val="en-US"/>
                </w:rPr>
                <w:t>7 August 2026</w:t>
              </w:r>
            </w:sdtContent>
          </w:sdt>
        </w:p>
        <w:p w14:paraId="4FBFCF09" w14:textId="4FE38F93" w:rsidR="00436332" w:rsidRPr="008371FA" w:rsidRDefault="00436332" w:rsidP="00FB47D4">
          <w:pPr>
            <w:pStyle w:val="CoverBody"/>
          </w:pPr>
          <w:r w:rsidRPr="008371FA">
            <w:t xml:space="preserve">Revision: </w:t>
          </w:r>
          <w:sdt>
            <w:sdtPr>
              <w:rPr>
                <w:rStyle w:val="CoverRevision"/>
              </w:rPr>
              <w:id w:val="-1408367239"/>
              <w:placeholder>
                <w:docPart w:val="5CB099D93724419DA1B596DBEB0D56F5"/>
              </w:placeholder>
            </w:sdtPr>
            <w:sdtEndPr>
              <w:rPr>
                <w:rStyle w:val="CoverRevision"/>
              </w:rPr>
            </w:sdtEndPr>
            <w:sdtContent>
              <w:r w:rsidR="00F03762">
                <w:rPr>
                  <w:rStyle w:val="CoverRevision"/>
                </w:rPr>
                <w:t>2</w:t>
              </w:r>
              <w:r w:rsidR="00383CB2">
                <w:rPr>
                  <w:rStyle w:val="CoverRevision"/>
                </w:rPr>
                <w:t>.0</w:t>
              </w:r>
            </w:sdtContent>
          </w:sdt>
        </w:p>
        <w:p w14:paraId="0C766B6F" w14:textId="77777777" w:rsidR="00BB2181" w:rsidRPr="008371FA" w:rsidRDefault="00BB2181" w:rsidP="00FB47D4">
          <w:pPr>
            <w:pStyle w:val="CoverBody"/>
          </w:pPr>
        </w:p>
        <w:p w14:paraId="360428AA" w14:textId="77777777" w:rsidR="002E4F6E" w:rsidRPr="008371FA" w:rsidRDefault="00995E0D" w:rsidP="00FB47D4">
          <w:pPr>
            <w:pStyle w:val="CoverBody"/>
            <w:sectPr w:rsidR="002E4F6E" w:rsidRPr="008371FA" w:rsidSect="00627CB4">
              <w:headerReference w:type="even" r:id="rId11"/>
              <w:footerReference w:type="even" r:id="rId12"/>
              <w:headerReference w:type="first" r:id="rId13"/>
              <w:pgSz w:w="11909" w:h="16834" w:code="9"/>
              <w:pgMar w:top="1440" w:right="1440" w:bottom="1440" w:left="1440" w:header="576" w:footer="576" w:gutter="0"/>
              <w:cols w:space="720"/>
              <w:titlePg/>
              <w:docGrid w:linePitch="360"/>
            </w:sectPr>
          </w:pPr>
        </w:p>
      </w:sdtContent>
    </w:sdt>
    <w:bookmarkEnd w:id="1" w:displacedByCustomXml="prev"/>
    <w:p w14:paraId="5898C318" w14:textId="77777777" w:rsidR="00875780" w:rsidRPr="008371FA" w:rsidRDefault="00875780" w:rsidP="00875780">
      <w:pPr>
        <w:pStyle w:val="Heading2NoNumber"/>
      </w:pPr>
      <w:bookmarkStart w:id="2" w:name="_Toc512850003"/>
      <w:r w:rsidRPr="008371FA">
        <w:lastRenderedPageBreak/>
        <w:t>Revision Record</w:t>
      </w:r>
      <w:bookmarkEnd w:id="2"/>
    </w:p>
    <w:tbl>
      <w:tblPr>
        <w:tblStyle w:val="SLROption1"/>
        <w:tblW w:w="0" w:type="auto"/>
        <w:tblLook w:val="04A0" w:firstRow="1" w:lastRow="0" w:firstColumn="1" w:lastColumn="0" w:noHBand="0" w:noVBand="1"/>
      </w:tblPr>
      <w:tblGrid>
        <w:gridCol w:w="1255"/>
        <w:gridCol w:w="2001"/>
        <w:gridCol w:w="2139"/>
        <w:gridCol w:w="1806"/>
        <w:gridCol w:w="1818"/>
      </w:tblGrid>
      <w:tr w:rsidR="00725B09" w:rsidRPr="008371FA" w14:paraId="56C6B7D3" w14:textId="77777777" w:rsidTr="00F67EDC">
        <w:trPr>
          <w:cnfStyle w:val="100000000000" w:firstRow="1" w:lastRow="0" w:firstColumn="0" w:lastColumn="0" w:oddVBand="0" w:evenVBand="0" w:oddHBand="0" w:evenHBand="0" w:firstRowFirstColumn="0" w:firstRowLastColumn="0" w:lastRowFirstColumn="0" w:lastRowLastColumn="0"/>
        </w:trPr>
        <w:tc>
          <w:tcPr>
            <w:tcW w:w="1255" w:type="dxa"/>
          </w:tcPr>
          <w:p w14:paraId="7781588A" w14:textId="77777777" w:rsidR="00725B09" w:rsidRPr="008371FA" w:rsidRDefault="004A2D1C" w:rsidP="00725B09">
            <w:pPr>
              <w:pStyle w:val="TableHeading"/>
            </w:pPr>
            <w:bookmarkStart w:id="3" w:name="_Hlk132806046"/>
            <w:r w:rsidRPr="008371FA">
              <w:t>Revision</w:t>
            </w:r>
          </w:p>
        </w:tc>
        <w:tc>
          <w:tcPr>
            <w:tcW w:w="2001" w:type="dxa"/>
          </w:tcPr>
          <w:p w14:paraId="382EAAC2" w14:textId="77777777" w:rsidR="00725B09" w:rsidRPr="008371FA" w:rsidRDefault="00725B09" w:rsidP="00725B09">
            <w:pPr>
              <w:pStyle w:val="TableHeading"/>
            </w:pPr>
            <w:r w:rsidRPr="008371FA">
              <w:t>Date</w:t>
            </w:r>
          </w:p>
        </w:tc>
        <w:tc>
          <w:tcPr>
            <w:tcW w:w="2139" w:type="dxa"/>
          </w:tcPr>
          <w:p w14:paraId="71599B6E" w14:textId="77777777" w:rsidR="00725B09" w:rsidRPr="008371FA" w:rsidRDefault="00725B09" w:rsidP="00725B09">
            <w:pPr>
              <w:pStyle w:val="TableHeading"/>
            </w:pPr>
            <w:r w:rsidRPr="008371FA">
              <w:t>Prepared By</w:t>
            </w:r>
          </w:p>
        </w:tc>
        <w:tc>
          <w:tcPr>
            <w:tcW w:w="1806" w:type="dxa"/>
          </w:tcPr>
          <w:p w14:paraId="15ACCBB1" w14:textId="77777777" w:rsidR="00725B09" w:rsidRPr="008371FA" w:rsidRDefault="00725B09" w:rsidP="00725B09">
            <w:pPr>
              <w:pStyle w:val="TableHeading"/>
            </w:pPr>
            <w:r w:rsidRPr="008371FA">
              <w:t>Checked By</w:t>
            </w:r>
          </w:p>
        </w:tc>
        <w:tc>
          <w:tcPr>
            <w:tcW w:w="1818" w:type="dxa"/>
          </w:tcPr>
          <w:p w14:paraId="210EFB2D" w14:textId="77777777" w:rsidR="00725B09" w:rsidRPr="008371FA" w:rsidRDefault="00725B09" w:rsidP="00725B09">
            <w:pPr>
              <w:pStyle w:val="TableHeading"/>
            </w:pPr>
            <w:r w:rsidRPr="008371FA">
              <w:t>Authori</w:t>
            </w:r>
            <w:r w:rsidR="00AE7A3D" w:rsidRPr="008371FA">
              <w:t>s</w:t>
            </w:r>
            <w:r w:rsidRPr="008371FA">
              <w:t>ed By</w:t>
            </w:r>
          </w:p>
        </w:tc>
      </w:tr>
      <w:tr w:rsidR="0067332F" w:rsidRPr="008371FA" w14:paraId="119C4A55" w14:textId="77777777" w:rsidTr="00F67EDC">
        <w:tc>
          <w:tcPr>
            <w:tcW w:w="1255" w:type="dxa"/>
          </w:tcPr>
          <w:p w14:paraId="4D1F7BC4" w14:textId="38E6B525" w:rsidR="0067332F" w:rsidRDefault="0067332F" w:rsidP="0067332F">
            <w:pPr>
              <w:pStyle w:val="TableText"/>
              <w:rPr>
                <w:lang w:val="en-AU"/>
              </w:rPr>
            </w:pPr>
            <w:r>
              <w:rPr>
                <w:lang w:val="en-AU"/>
              </w:rPr>
              <w:t>1.0</w:t>
            </w:r>
          </w:p>
        </w:tc>
        <w:tc>
          <w:tcPr>
            <w:tcW w:w="2001" w:type="dxa"/>
          </w:tcPr>
          <w:p w14:paraId="4BDBFF1F" w14:textId="52CD1F3A" w:rsidR="0067332F" w:rsidRDefault="0067332F" w:rsidP="0067332F">
            <w:pPr>
              <w:pStyle w:val="TableText"/>
              <w:rPr>
                <w:lang w:val="en-AU"/>
              </w:rPr>
            </w:pPr>
            <w:r>
              <w:rPr>
                <w:lang w:val="en-AU"/>
              </w:rPr>
              <w:t>22 June 2026</w:t>
            </w:r>
          </w:p>
        </w:tc>
        <w:tc>
          <w:tcPr>
            <w:tcW w:w="2139" w:type="dxa"/>
          </w:tcPr>
          <w:p w14:paraId="51D717D6" w14:textId="6D78CA8E" w:rsidR="0067332F" w:rsidRDefault="0067332F" w:rsidP="0067332F">
            <w:pPr>
              <w:pStyle w:val="TableText"/>
              <w:rPr>
                <w:lang w:val="en-AU"/>
              </w:rPr>
            </w:pPr>
            <w:r>
              <w:rPr>
                <w:lang w:val="en-AU"/>
              </w:rPr>
              <w:t>Maryam Moslehi, PhD RACTRA</w:t>
            </w:r>
          </w:p>
        </w:tc>
        <w:tc>
          <w:tcPr>
            <w:tcW w:w="1806" w:type="dxa"/>
          </w:tcPr>
          <w:p w14:paraId="4DFFA61E" w14:textId="77777777" w:rsidR="0067332F" w:rsidRDefault="0067332F" w:rsidP="0067332F">
            <w:pPr>
              <w:pStyle w:val="TableText"/>
              <w:rPr>
                <w:lang w:val="en-AU"/>
              </w:rPr>
            </w:pPr>
            <w:r w:rsidRPr="00F731BB">
              <w:rPr>
                <w:lang w:val="en-AU"/>
              </w:rPr>
              <w:t>Dr Rhian Cope PhD DABT DABVT FACTRA</w:t>
            </w:r>
          </w:p>
          <w:p w14:paraId="6394A28A" w14:textId="77777777" w:rsidR="0067332F" w:rsidRDefault="0067332F" w:rsidP="0067332F">
            <w:pPr>
              <w:pStyle w:val="TableText"/>
              <w:rPr>
                <w:lang w:val="en-AU"/>
              </w:rPr>
            </w:pPr>
          </w:p>
          <w:p w14:paraId="43BA42D6" w14:textId="582C7993" w:rsidR="0067332F" w:rsidRPr="00F731BB" w:rsidRDefault="0067332F" w:rsidP="0067332F">
            <w:pPr>
              <w:pStyle w:val="TableText"/>
              <w:rPr>
                <w:lang w:val="en-AU"/>
              </w:rPr>
            </w:pPr>
            <w:r>
              <w:rPr>
                <w:lang w:val="en-AU"/>
              </w:rPr>
              <w:t>Tarah Hagen MSc DABT FACTRA</w:t>
            </w:r>
          </w:p>
        </w:tc>
        <w:tc>
          <w:tcPr>
            <w:tcW w:w="1818" w:type="dxa"/>
          </w:tcPr>
          <w:p w14:paraId="5BA2DA44" w14:textId="3D40D664" w:rsidR="0067332F" w:rsidRPr="00F03762" w:rsidRDefault="0067332F" w:rsidP="0067332F">
            <w:pPr>
              <w:pStyle w:val="TableText"/>
              <w:rPr>
                <w:lang w:val="en-AU"/>
              </w:rPr>
            </w:pPr>
            <w:r w:rsidRPr="00F03762">
              <w:rPr>
                <w:lang w:val="en-AU"/>
              </w:rPr>
              <w:t>Tarah Hagen MSc DABT FACTRA</w:t>
            </w:r>
          </w:p>
        </w:tc>
      </w:tr>
      <w:tr w:rsidR="0067332F" w:rsidRPr="008371FA" w14:paraId="41AC0629" w14:textId="77777777" w:rsidTr="00F67EDC">
        <w:tc>
          <w:tcPr>
            <w:tcW w:w="1255" w:type="dxa"/>
          </w:tcPr>
          <w:p w14:paraId="208708A0" w14:textId="65AA4474" w:rsidR="0067332F" w:rsidRPr="008371FA" w:rsidRDefault="0067332F" w:rsidP="0067332F">
            <w:pPr>
              <w:pStyle w:val="TableText"/>
              <w:rPr>
                <w:lang w:val="en-AU"/>
              </w:rPr>
            </w:pPr>
            <w:r>
              <w:rPr>
                <w:lang w:val="en-AU"/>
              </w:rPr>
              <w:fldChar w:fldCharType="begin"/>
            </w:r>
            <w:r>
              <w:rPr>
                <w:lang w:val="en-AU"/>
              </w:rPr>
              <w:instrText xml:space="preserve"> STYLEREF  "Cover Revision"  \* MERGEFORMAT </w:instrText>
            </w:r>
            <w:r>
              <w:rPr>
                <w:lang w:val="en-AU"/>
              </w:rPr>
              <w:fldChar w:fldCharType="separate"/>
            </w:r>
            <w:r w:rsidR="0052675C">
              <w:rPr>
                <w:noProof/>
                <w:lang w:val="en-AU"/>
              </w:rPr>
              <w:t>2.0</w:t>
            </w:r>
            <w:r>
              <w:rPr>
                <w:lang w:val="en-AU"/>
              </w:rPr>
              <w:fldChar w:fldCharType="end"/>
            </w:r>
          </w:p>
        </w:tc>
        <w:sdt>
          <w:sdtPr>
            <w:rPr>
              <w:lang w:val="en-AU"/>
            </w:rPr>
            <w:id w:val="-1291117946"/>
            <w:placeholder>
              <w:docPart w:val="C7855C30550A4FA792C58E48D0B6416C"/>
            </w:placeholder>
            <w:date w:fullDate="2026-08-07T00:00:00Z">
              <w:dateFormat w:val="d MMMM yyyy"/>
              <w:lid w:val="en-US"/>
              <w:storeMappedDataAs w:val="dateTime"/>
              <w:calendar w:val="gregorian"/>
            </w:date>
          </w:sdtPr>
          <w:sdtEndPr/>
          <w:sdtContent>
            <w:tc>
              <w:tcPr>
                <w:tcW w:w="2001" w:type="dxa"/>
              </w:tcPr>
              <w:p w14:paraId="776295F9" w14:textId="4645A026" w:rsidR="0067332F" w:rsidRPr="008371FA" w:rsidRDefault="0067332F" w:rsidP="0067332F">
                <w:pPr>
                  <w:pStyle w:val="TableText"/>
                  <w:rPr>
                    <w:lang w:val="en-AU"/>
                  </w:rPr>
                </w:pPr>
                <w:r>
                  <w:rPr>
                    <w:lang w:val="en-US"/>
                  </w:rPr>
                  <w:t>7 August 2026</w:t>
                </w:r>
              </w:p>
            </w:tc>
          </w:sdtContent>
        </w:sdt>
        <w:tc>
          <w:tcPr>
            <w:tcW w:w="2139" w:type="dxa"/>
          </w:tcPr>
          <w:p w14:paraId="1C2065F9" w14:textId="360303F0" w:rsidR="0067332F" w:rsidRPr="008371FA" w:rsidRDefault="0067332F" w:rsidP="0067332F">
            <w:pPr>
              <w:pStyle w:val="TableText"/>
              <w:rPr>
                <w:lang w:val="en-AU"/>
              </w:rPr>
            </w:pPr>
            <w:r>
              <w:rPr>
                <w:lang w:val="en-AU"/>
              </w:rPr>
              <w:t>Maryam Moslehi, PhD RACTRA</w:t>
            </w:r>
          </w:p>
        </w:tc>
        <w:tc>
          <w:tcPr>
            <w:tcW w:w="1806" w:type="dxa"/>
          </w:tcPr>
          <w:p w14:paraId="32FA406D" w14:textId="77777777" w:rsidR="0067332F" w:rsidRDefault="0067332F" w:rsidP="0067332F">
            <w:pPr>
              <w:pStyle w:val="TableText"/>
              <w:rPr>
                <w:lang w:val="en-AU"/>
              </w:rPr>
            </w:pPr>
            <w:r w:rsidRPr="00F731BB">
              <w:rPr>
                <w:lang w:val="en-AU"/>
              </w:rPr>
              <w:t>Dr Rhian Cope PhD DABT DABVT FACTRA</w:t>
            </w:r>
          </w:p>
          <w:p w14:paraId="7D946747" w14:textId="77777777" w:rsidR="0067332F" w:rsidRDefault="0067332F" w:rsidP="0067332F">
            <w:pPr>
              <w:pStyle w:val="TableText"/>
              <w:rPr>
                <w:lang w:val="en-AU"/>
              </w:rPr>
            </w:pPr>
          </w:p>
          <w:p w14:paraId="21F4C651" w14:textId="2ED1D99C" w:rsidR="0067332F" w:rsidRPr="008371FA" w:rsidRDefault="0067332F" w:rsidP="0067332F">
            <w:pPr>
              <w:pStyle w:val="TableText"/>
              <w:rPr>
                <w:lang w:val="en-AU"/>
              </w:rPr>
            </w:pPr>
            <w:r>
              <w:rPr>
                <w:lang w:val="en-AU"/>
              </w:rPr>
              <w:t>Tarah Hagen MSc DABT FACTRA</w:t>
            </w:r>
          </w:p>
        </w:tc>
        <w:tc>
          <w:tcPr>
            <w:tcW w:w="1818" w:type="dxa"/>
          </w:tcPr>
          <w:p w14:paraId="4668E87E" w14:textId="1F0987EC" w:rsidR="0067332F" w:rsidRPr="008371FA" w:rsidRDefault="0067332F" w:rsidP="0067332F">
            <w:pPr>
              <w:pStyle w:val="TableText"/>
              <w:rPr>
                <w:lang w:val="en-AU"/>
              </w:rPr>
            </w:pPr>
            <w:r w:rsidRPr="00F03762">
              <w:rPr>
                <w:lang w:val="en-AU"/>
              </w:rPr>
              <w:t>Tarah Hagen MSc DABT FACTRA</w:t>
            </w:r>
          </w:p>
        </w:tc>
      </w:tr>
      <w:bookmarkEnd w:id="3"/>
    </w:tbl>
    <w:p w14:paraId="3F03F80B" w14:textId="77777777" w:rsidR="00875780" w:rsidRDefault="00875780" w:rsidP="00875780">
      <w:pPr>
        <w:pStyle w:val="TableText"/>
        <w:rPr>
          <w:lang w:val="en-AU"/>
        </w:rPr>
      </w:pPr>
    </w:p>
    <w:p w14:paraId="0378A156" w14:textId="77777777" w:rsidR="0047759C" w:rsidRPr="008371FA" w:rsidRDefault="007A332A" w:rsidP="003E7E85">
      <w:pPr>
        <w:pStyle w:val="Heading1NoNumber"/>
      </w:pPr>
      <w:bookmarkStart w:id="4" w:name="_Toc233031580"/>
      <w:r w:rsidRPr="008371FA">
        <w:t>Basis of Report</w:t>
      </w:r>
      <w:bookmarkEnd w:id="4"/>
    </w:p>
    <w:p w14:paraId="45D2136B" w14:textId="64B7C91E" w:rsidR="00271977" w:rsidRPr="008371FA" w:rsidRDefault="00271977" w:rsidP="00552949">
      <w:pPr>
        <w:pStyle w:val="BodyText"/>
      </w:pPr>
      <w:r w:rsidRPr="008371FA">
        <w:t xml:space="preserve">This report has been prepared by </w:t>
      </w:r>
      <w:fldSimple w:instr=" STYLEREF  &quot;Cover SLR Name&quot;  \* MERGEFORMAT ">
        <w:r w:rsidR="0052675C">
          <w:rPr>
            <w:noProof/>
          </w:rPr>
          <w:t>SLR Consulting Australia Pty Ltd</w:t>
        </w:r>
      </w:fldSimple>
      <w:r w:rsidRPr="008371FA">
        <w:t xml:space="preserve"> (SLR) with all reasonable skill, care and diligence, and taking account of the timescale and resources allocated to it by agreement with</w:t>
      </w:r>
      <w:r w:rsidR="00B54689" w:rsidRPr="008371FA">
        <w:t xml:space="preserve"> </w:t>
      </w:r>
      <w:fldSimple w:instr=" STYLEREF  &quot;Cover Client Name&quot;  \* MERGEFORMAT ">
        <w:r w:rsidR="0052675C">
          <w:rPr>
            <w:noProof/>
          </w:rPr>
          <w:t>National Health and Medical Research Council</w:t>
        </w:r>
      </w:fldSimple>
      <w:r w:rsidRPr="008371FA">
        <w:t xml:space="preserve"> (the Client).</w:t>
      </w:r>
      <w:r w:rsidR="00B54689" w:rsidRPr="008371FA">
        <w:t xml:space="preserve"> </w:t>
      </w:r>
      <w:r w:rsidRPr="008371FA">
        <w:t>Information reported herein is based on the interpretation of data collected, which has been accepted in good faith as being accurate and valid.</w:t>
      </w:r>
    </w:p>
    <w:p w14:paraId="273FCC09" w14:textId="77777777" w:rsidR="00271977" w:rsidRPr="008371FA" w:rsidRDefault="00271977" w:rsidP="00552949">
      <w:pPr>
        <w:pStyle w:val="BodyText"/>
      </w:pPr>
      <w:r w:rsidRPr="008371FA">
        <w:t>This report is for the exclusive use of the Client.</w:t>
      </w:r>
      <w:r w:rsidR="00B54689" w:rsidRPr="008371FA">
        <w:t xml:space="preserve"> </w:t>
      </w:r>
      <w:r w:rsidRPr="008371FA">
        <w:t>No warranties or guarantees are expressed or should be inferred by any third parties.</w:t>
      </w:r>
      <w:r w:rsidR="00B54689" w:rsidRPr="008371FA">
        <w:t xml:space="preserve"> </w:t>
      </w:r>
      <w:r w:rsidRPr="008371FA">
        <w:t>This report may not be relied upon by other parties without written consent from SLR.</w:t>
      </w:r>
    </w:p>
    <w:p w14:paraId="558338C7" w14:textId="77777777" w:rsidR="00BB2181" w:rsidRPr="008371FA" w:rsidRDefault="00271977" w:rsidP="00552949">
      <w:pPr>
        <w:pStyle w:val="BodyText"/>
      </w:pPr>
      <w:r w:rsidRPr="008371FA">
        <w:t>SLR disclaims any responsibility to the Client and others in respect of any matters outside the agreed scope of the work.</w:t>
      </w:r>
    </w:p>
    <w:p w14:paraId="26261D62" w14:textId="77777777" w:rsidR="00271977" w:rsidRPr="008371FA" w:rsidRDefault="00271977" w:rsidP="00552949">
      <w:pPr>
        <w:pStyle w:val="BodyText"/>
      </w:pPr>
    </w:p>
    <w:p w14:paraId="1F421271" w14:textId="77777777" w:rsidR="0047759C" w:rsidRPr="008371FA" w:rsidRDefault="0047759C" w:rsidP="00552949">
      <w:pPr>
        <w:pStyle w:val="BodyText"/>
        <w:sectPr w:rsidR="0047759C" w:rsidRPr="008371FA" w:rsidSect="00627CB4">
          <w:headerReference w:type="default" r:id="rId14"/>
          <w:footerReference w:type="default" r:id="rId15"/>
          <w:headerReference w:type="first" r:id="rId16"/>
          <w:footerReference w:type="first" r:id="rId17"/>
          <w:pgSz w:w="11909" w:h="16834" w:code="9"/>
          <w:pgMar w:top="1440" w:right="1440" w:bottom="1440" w:left="1440" w:header="576" w:footer="576" w:gutter="0"/>
          <w:pgNumType w:fmt="lowerRoman" w:start="1"/>
          <w:cols w:space="720"/>
          <w:docGrid w:linePitch="360"/>
        </w:sectPr>
      </w:pPr>
    </w:p>
    <w:p w14:paraId="44CA4AB9" w14:textId="77777777" w:rsidR="00EF61D5" w:rsidRPr="008371FA" w:rsidRDefault="00E8237E" w:rsidP="00B33D79">
      <w:pPr>
        <w:pStyle w:val="Heading1NoNumber"/>
      </w:pPr>
      <w:bookmarkStart w:id="5" w:name="_Toc520815126"/>
      <w:bookmarkStart w:id="6" w:name="_Toc233031581"/>
      <w:r w:rsidRPr="00E735FA">
        <w:lastRenderedPageBreak/>
        <w:t>Executive Summary</w:t>
      </w:r>
      <w:bookmarkEnd w:id="5"/>
      <w:bookmarkEnd w:id="6"/>
    </w:p>
    <w:p w14:paraId="70C24058" w14:textId="04541606" w:rsidR="005F6EE0" w:rsidRDefault="005F6EE0" w:rsidP="002C4972">
      <w:pPr>
        <w:pStyle w:val="BodyText"/>
        <w:rPr>
          <w:rFonts w:eastAsiaTheme="majorEastAsia"/>
        </w:rPr>
      </w:pPr>
      <w:r w:rsidRPr="005F6EE0">
        <w:rPr>
          <w:rFonts w:eastAsiaTheme="majorEastAsia"/>
        </w:rPr>
        <w:t>The National Health and Medical Research Council (NHMRC) engaged SLR Consulting Australia Pty Ltd to evaluate existing guidance and new primary evidence for the Upper Level (UL) of vitamin B6, as part of the review of the Nutrient Reference Values (NRVs) for Australia and New Zealand.</w:t>
      </w:r>
    </w:p>
    <w:p w14:paraId="23AE2968" w14:textId="0A7C9D39" w:rsidR="005F6EE0" w:rsidRDefault="004850D9" w:rsidP="002C4972">
      <w:pPr>
        <w:pStyle w:val="BodyText"/>
        <w:rPr>
          <w:rFonts w:eastAsiaTheme="majorEastAsia"/>
        </w:rPr>
      </w:pPr>
      <w:r w:rsidRPr="004850D9">
        <w:rPr>
          <w:rFonts w:eastAsiaTheme="majorEastAsia"/>
        </w:rPr>
        <w:t>A targeted search found EFSA (2023) to be the only guidance document that met the pre-defined credibility criteria (93.8%, above the 80% threshold) and the only reassessment of the vitamin B6 UL since 2006</w:t>
      </w:r>
      <w:r w:rsidR="005F6EE0" w:rsidRPr="005F6EE0">
        <w:rPr>
          <w:rFonts w:eastAsiaTheme="majorEastAsia"/>
        </w:rPr>
        <w:t>. EFSA derived an adult UL of 12 mg/day (applicable also to pregnant and lactating women), based on peripheral neuropathy as the critical effect. EFSA's reference point of 50 mg/day is not derived from a single study but reflects a weight-of-evidence</w:t>
      </w:r>
      <w:r>
        <w:rPr>
          <w:rFonts w:eastAsiaTheme="majorEastAsia"/>
        </w:rPr>
        <w:t xml:space="preserve"> (WoE)</w:t>
      </w:r>
      <w:r w:rsidR="005F6EE0" w:rsidRPr="005F6EE0">
        <w:rPr>
          <w:rFonts w:eastAsiaTheme="majorEastAsia"/>
        </w:rPr>
        <w:t xml:space="preserve"> assessment across multiple converging lines of evidence, anchored by the Dalton &amp; Dalton (1987) case-control study and supported by a positive rechallenge case, additional case reports, and Dutch and French nutrivigilance data. </w:t>
      </w:r>
      <w:r w:rsidR="00F03762" w:rsidRPr="005F6EE0">
        <w:rPr>
          <w:rFonts w:eastAsiaTheme="majorEastAsia"/>
        </w:rPr>
        <w:t>Th</w:t>
      </w:r>
      <w:r w:rsidR="00F03762">
        <w:rPr>
          <w:rFonts w:eastAsiaTheme="majorEastAsia"/>
        </w:rPr>
        <w:t xml:space="preserve">e EFSA </w:t>
      </w:r>
      <w:r w:rsidR="00F03762" w:rsidRPr="005F6EE0">
        <w:rPr>
          <w:rFonts w:eastAsiaTheme="majorEastAsia"/>
        </w:rPr>
        <w:t>human-based derivation (</w:t>
      </w:r>
      <w:r w:rsidR="00F03762">
        <w:rPr>
          <w:rFonts w:eastAsiaTheme="majorEastAsia"/>
        </w:rPr>
        <w:t>uncertainty factor (UF)</w:t>
      </w:r>
      <w:r w:rsidR="00F03762" w:rsidRPr="005F6EE0">
        <w:rPr>
          <w:rFonts w:eastAsiaTheme="majorEastAsia"/>
        </w:rPr>
        <w:t xml:space="preserve"> of 4</w:t>
      </w:r>
      <w:r w:rsidR="00F03762">
        <w:rPr>
          <w:rStyle w:val="FootnoteReference"/>
          <w:rFonts w:eastAsiaTheme="majorEastAsia"/>
        </w:rPr>
        <w:footnoteReference w:id="1"/>
      </w:r>
      <w:r w:rsidR="00F03762" w:rsidRPr="005F6EE0">
        <w:rPr>
          <w:rFonts w:eastAsiaTheme="majorEastAsia"/>
        </w:rPr>
        <w:t>, giving 12.5 mg/day) was cross-checked against an independent animal-based derivation (Phillips et al. 1978</w:t>
      </w:r>
      <w:r w:rsidR="00F03762">
        <w:rPr>
          <w:rFonts w:eastAsiaTheme="majorEastAsia"/>
        </w:rPr>
        <w:t>,</w:t>
      </w:r>
      <w:r w:rsidR="00F03762" w:rsidRPr="005F6EE0">
        <w:rPr>
          <w:rFonts w:eastAsiaTheme="majorEastAsia"/>
        </w:rPr>
        <w:t xml:space="preserve"> dog LOAEL of 50 mg/kg bw/day, </w:t>
      </w:r>
      <w:r w:rsidR="00F03762" w:rsidRPr="00E735FA">
        <w:rPr>
          <w:rFonts w:eastAsiaTheme="majorEastAsia"/>
        </w:rPr>
        <w:t>uncertainty factor (UF</w:t>
      </w:r>
      <w:r w:rsidR="00F03762">
        <w:rPr>
          <w:rFonts w:eastAsiaTheme="majorEastAsia"/>
        </w:rPr>
        <w:t>)</w:t>
      </w:r>
      <w:r w:rsidR="00F03762" w:rsidRPr="005F6EE0">
        <w:rPr>
          <w:rFonts w:eastAsiaTheme="majorEastAsia"/>
        </w:rPr>
        <w:t xml:space="preserve"> of 300</w:t>
      </w:r>
      <w:r w:rsidR="00F03762">
        <w:rPr>
          <w:rStyle w:val="FootnoteReference"/>
          <w:rFonts w:eastAsiaTheme="majorEastAsia"/>
        </w:rPr>
        <w:footnoteReference w:id="2"/>
      </w:r>
      <w:r w:rsidR="00F03762" w:rsidRPr="005F6EE0">
        <w:rPr>
          <w:rFonts w:eastAsiaTheme="majorEastAsia"/>
        </w:rPr>
        <w:t xml:space="preserve">, giving 11.7 mg/day); the </w:t>
      </w:r>
      <w:r w:rsidR="00F03762">
        <w:rPr>
          <w:rFonts w:eastAsiaTheme="majorEastAsia"/>
        </w:rPr>
        <w:t>agreement</w:t>
      </w:r>
      <w:r w:rsidR="00F03762" w:rsidRPr="005F6EE0">
        <w:rPr>
          <w:rFonts w:eastAsiaTheme="majorEastAsia"/>
        </w:rPr>
        <w:t xml:space="preserve"> between these values increased confidence in the final UL of 12 mg/day. This represents an approximately 4-fold reduction </w:t>
      </w:r>
      <w:r w:rsidR="00F03762">
        <w:rPr>
          <w:rFonts w:eastAsiaTheme="majorEastAsia"/>
        </w:rPr>
        <w:t xml:space="preserve">compared with </w:t>
      </w:r>
      <w:r w:rsidR="00F03762" w:rsidRPr="005F6EE0">
        <w:rPr>
          <w:rFonts w:eastAsiaTheme="majorEastAsia"/>
        </w:rPr>
        <w:t xml:space="preserve"> the current </w:t>
      </w:r>
      <w:r w:rsidR="00F03762">
        <w:rPr>
          <w:rFonts w:eastAsiaTheme="majorEastAsia"/>
        </w:rPr>
        <w:t xml:space="preserve">Australian </w:t>
      </w:r>
      <w:r w:rsidR="00F03762" w:rsidRPr="005F6EE0">
        <w:rPr>
          <w:rFonts w:eastAsiaTheme="majorEastAsia"/>
        </w:rPr>
        <w:t>NHMRC (2006) UL of 50 mg/day, derived from different underlying studies (Bernstein &amp; Lobitz 1988; Del Tredici et al. 1985).</w:t>
      </w:r>
    </w:p>
    <w:p w14:paraId="3A550FC2" w14:textId="6DCFC0ED" w:rsidR="005F6EE0" w:rsidRDefault="00BC0F6F" w:rsidP="002C4972">
      <w:pPr>
        <w:pStyle w:val="BodyText"/>
        <w:rPr>
          <w:rFonts w:eastAsiaTheme="majorEastAsia"/>
        </w:rPr>
      </w:pPr>
      <w:r>
        <w:rPr>
          <w:rFonts w:eastAsiaTheme="majorEastAsia"/>
        </w:rPr>
        <w:t>A</w:t>
      </w:r>
      <w:r w:rsidR="00E735FA" w:rsidRPr="00E735FA">
        <w:rPr>
          <w:rFonts w:eastAsiaTheme="majorEastAsia"/>
        </w:rPr>
        <w:t xml:space="preserve">ssessment of the key historical studies found that the human studies underpinning both candidate guidance values, Dalton &amp; Dalton (1987) for EFSA, and Bernstein &amp; Lobitz (1988) and Del Tredici et al. (1985) for </w:t>
      </w:r>
      <w:r w:rsidR="00F03762">
        <w:rPr>
          <w:rFonts w:eastAsiaTheme="majorEastAsia"/>
        </w:rPr>
        <w:t xml:space="preserve">Australian </w:t>
      </w:r>
      <w:r w:rsidR="00E735FA" w:rsidRPr="00E735FA">
        <w:rPr>
          <w:rFonts w:eastAsiaTheme="majorEastAsia"/>
        </w:rPr>
        <w:t xml:space="preserve">NHMRC, </w:t>
      </w:r>
      <w:r>
        <w:rPr>
          <w:rFonts w:eastAsiaTheme="majorEastAsia"/>
        </w:rPr>
        <w:t>showed</w:t>
      </w:r>
      <w:r w:rsidR="00E735FA" w:rsidRPr="00E735FA">
        <w:rPr>
          <w:rFonts w:eastAsiaTheme="majorEastAsia"/>
        </w:rPr>
        <w:t xml:space="preserve"> </w:t>
      </w:r>
      <w:r w:rsidR="00E735FA">
        <w:rPr>
          <w:rFonts w:eastAsiaTheme="majorEastAsia"/>
        </w:rPr>
        <w:t>h</w:t>
      </w:r>
      <w:r w:rsidR="00E735FA" w:rsidRPr="00E735FA">
        <w:rPr>
          <w:rFonts w:eastAsiaTheme="majorEastAsia"/>
        </w:rPr>
        <w:t>igh risk of bias, reflecting self-report</w:t>
      </w:r>
      <w:r w:rsidR="00F03762">
        <w:rPr>
          <w:rFonts w:eastAsiaTheme="majorEastAsia"/>
        </w:rPr>
        <w:t>ing</w:t>
      </w:r>
      <w:r w:rsidR="00E735FA" w:rsidRPr="00E735FA">
        <w:rPr>
          <w:rFonts w:eastAsiaTheme="majorEastAsia"/>
        </w:rPr>
        <w:t>, lack of blinding or randomisation, absent or inadequate control groups, non-representative study populations</w:t>
      </w:r>
      <w:r w:rsidR="004850D9">
        <w:rPr>
          <w:rFonts w:eastAsiaTheme="majorEastAsia"/>
        </w:rPr>
        <w:t xml:space="preserve"> and inherent risk of bias based on study designs</w:t>
      </w:r>
      <w:r w:rsidR="00F51FC4">
        <w:rPr>
          <w:rFonts w:eastAsiaTheme="majorEastAsia"/>
        </w:rPr>
        <w:t xml:space="preserve"> (which rank low on the hierarchy of evidence)</w:t>
      </w:r>
      <w:r w:rsidR="00E735FA" w:rsidRPr="00E735FA">
        <w:rPr>
          <w:rFonts w:eastAsiaTheme="majorEastAsia"/>
        </w:rPr>
        <w:t xml:space="preserve">. </w:t>
      </w:r>
      <w:r w:rsidR="004850D9">
        <w:rPr>
          <w:rFonts w:eastAsiaTheme="majorEastAsia"/>
        </w:rPr>
        <w:t>T</w:t>
      </w:r>
      <w:r w:rsidR="00E735FA" w:rsidRPr="00E735FA">
        <w:rPr>
          <w:rFonts w:eastAsiaTheme="majorEastAsia"/>
        </w:rPr>
        <w:t>he animal study underpinning EFSA's</w:t>
      </w:r>
      <w:r w:rsidR="004850D9">
        <w:rPr>
          <w:rFonts w:eastAsiaTheme="majorEastAsia"/>
        </w:rPr>
        <w:t xml:space="preserve"> UL</w:t>
      </w:r>
      <w:r w:rsidR="00E735FA" w:rsidRPr="00E735FA">
        <w:rPr>
          <w:rFonts w:eastAsiaTheme="majorEastAsia"/>
        </w:rPr>
        <w:t xml:space="preserve"> (Phillips et al. 1978) was rated Low risk of bias</w:t>
      </w:r>
      <w:r w:rsidR="00134A0D">
        <w:rPr>
          <w:rFonts w:eastAsiaTheme="majorEastAsia"/>
        </w:rPr>
        <w:t xml:space="preserve"> (however, it is a non-guideline, non-GLP peer review published study that lacks the level of study reporting associated with regulatory quality studies)</w:t>
      </w:r>
      <w:r w:rsidR="00E735FA" w:rsidRPr="00E735FA">
        <w:rPr>
          <w:rFonts w:eastAsiaTheme="majorEastAsia"/>
        </w:rPr>
        <w:t>. This pattern is a key consideration in interpreting the reliability of the vitamin B6 UL regardless of which guidance value is adopted.</w:t>
      </w:r>
    </w:p>
    <w:p w14:paraId="34B0043B" w14:textId="77F92528" w:rsidR="005F6EE0" w:rsidRDefault="00E735FA" w:rsidP="002C4972">
      <w:pPr>
        <w:pStyle w:val="BodyText"/>
        <w:rPr>
          <w:rFonts w:eastAsiaTheme="majorEastAsia"/>
        </w:rPr>
      </w:pPr>
      <w:r w:rsidRPr="00E735FA">
        <w:rPr>
          <w:rFonts w:eastAsiaTheme="majorEastAsia"/>
        </w:rPr>
        <w:t xml:space="preserve">An evidence </w:t>
      </w:r>
      <w:r w:rsidR="00984394">
        <w:rPr>
          <w:rFonts w:eastAsiaTheme="majorEastAsia"/>
        </w:rPr>
        <w:t>review</w:t>
      </w:r>
      <w:r w:rsidRPr="00E735FA">
        <w:rPr>
          <w:rFonts w:eastAsiaTheme="majorEastAsia"/>
        </w:rPr>
        <w:t xml:space="preserve"> of recent literature (2022 onwards) identified primary studies across health outcome categories. Six studies relevant to peripheral neuropathy were assessed for </w:t>
      </w:r>
      <w:r w:rsidR="00984394">
        <w:rPr>
          <w:rFonts w:eastAsiaTheme="majorEastAsia"/>
        </w:rPr>
        <w:t>risk of bias (</w:t>
      </w:r>
      <w:r w:rsidRPr="00E735FA">
        <w:rPr>
          <w:rFonts w:eastAsiaTheme="majorEastAsia"/>
        </w:rPr>
        <w:t>RoB</w:t>
      </w:r>
      <w:r w:rsidR="00984394">
        <w:rPr>
          <w:rFonts w:eastAsiaTheme="majorEastAsia"/>
        </w:rPr>
        <w:t>)</w:t>
      </w:r>
      <w:r w:rsidRPr="00E735FA">
        <w:rPr>
          <w:rFonts w:eastAsiaTheme="majorEastAsia"/>
        </w:rPr>
        <w:t xml:space="preserve"> and GRADE-informed confidence: four human studies (Gdynia </w:t>
      </w:r>
      <w:r w:rsidR="00A26F96">
        <w:rPr>
          <w:rFonts w:eastAsiaTheme="majorEastAsia"/>
        </w:rPr>
        <w:t xml:space="preserve">et al. </w:t>
      </w:r>
      <w:r w:rsidRPr="00E735FA">
        <w:rPr>
          <w:rFonts w:eastAsiaTheme="majorEastAsia"/>
        </w:rPr>
        <w:t xml:space="preserve">2025; Paluszny </w:t>
      </w:r>
      <w:r w:rsidR="00A26F96">
        <w:rPr>
          <w:rFonts w:eastAsiaTheme="majorEastAsia"/>
        </w:rPr>
        <w:t xml:space="preserve">and Qiu </w:t>
      </w:r>
      <w:r w:rsidRPr="00E735FA">
        <w:rPr>
          <w:rFonts w:eastAsiaTheme="majorEastAsia"/>
        </w:rPr>
        <w:t>2023; Stewart 2022; van Hunsel</w:t>
      </w:r>
      <w:r w:rsidR="00A26F96">
        <w:rPr>
          <w:rFonts w:eastAsiaTheme="majorEastAsia"/>
        </w:rPr>
        <w:t xml:space="preserve"> et al.</w:t>
      </w:r>
      <w:r w:rsidRPr="00E735FA">
        <w:rPr>
          <w:rFonts w:eastAsiaTheme="majorEastAsia"/>
        </w:rPr>
        <w:t xml:space="preserve"> 2025) received Low to Very Low final confidence, reflecting case-based or cross-sectional designs and self-reported exposure; two controlled animal studies (Sano </w:t>
      </w:r>
      <w:r w:rsidR="00A26F96">
        <w:rPr>
          <w:rFonts w:eastAsiaTheme="majorEastAsia"/>
        </w:rPr>
        <w:t xml:space="preserve">et al. </w:t>
      </w:r>
      <w:r w:rsidRPr="00E735FA">
        <w:rPr>
          <w:rFonts w:eastAsiaTheme="majorEastAsia"/>
        </w:rPr>
        <w:t>202</w:t>
      </w:r>
      <w:r w:rsidR="00A26F96">
        <w:rPr>
          <w:rFonts w:eastAsiaTheme="majorEastAsia"/>
        </w:rPr>
        <w:t>2</w:t>
      </w:r>
      <w:r w:rsidRPr="00E735FA">
        <w:rPr>
          <w:rFonts w:eastAsiaTheme="majorEastAsia"/>
        </w:rPr>
        <w:t xml:space="preserve">; Theil </w:t>
      </w:r>
      <w:r w:rsidR="00A26F96">
        <w:rPr>
          <w:rFonts w:eastAsiaTheme="majorEastAsia"/>
        </w:rPr>
        <w:t xml:space="preserve">et al. </w:t>
      </w:r>
      <w:r w:rsidRPr="00E735FA">
        <w:rPr>
          <w:rFonts w:eastAsiaTheme="majorEastAsia"/>
        </w:rPr>
        <w:t xml:space="preserve">2023) received </w:t>
      </w:r>
      <w:r w:rsidR="003404A1">
        <w:rPr>
          <w:rFonts w:eastAsiaTheme="majorEastAsia"/>
        </w:rPr>
        <w:t xml:space="preserve">Moderate </w:t>
      </w:r>
      <w:r w:rsidRPr="00E735FA">
        <w:rPr>
          <w:rFonts w:eastAsiaTheme="majorEastAsia"/>
        </w:rPr>
        <w:t xml:space="preserve">confidence and remain consistent with EFSA's existing dose range. The human studies provide a qualitative signal that neuropathy may occur in some individuals at intakes below EFSA's </w:t>
      </w:r>
      <w:r w:rsidR="00F8770D">
        <w:rPr>
          <w:rFonts w:eastAsiaTheme="majorEastAsia"/>
        </w:rPr>
        <w:t>Reference Point (RP)</w:t>
      </w:r>
      <w:r w:rsidR="00F8770D" w:rsidRPr="00E735FA">
        <w:rPr>
          <w:rFonts w:eastAsiaTheme="majorEastAsia"/>
        </w:rPr>
        <w:t xml:space="preserve"> </w:t>
      </w:r>
      <w:r w:rsidRPr="00E735FA">
        <w:rPr>
          <w:rFonts w:eastAsiaTheme="majorEastAsia"/>
        </w:rPr>
        <w:t>and UL, but this evidence is not considered sufficiently reliable to revise the existing derivation.</w:t>
      </w:r>
    </w:p>
    <w:p w14:paraId="11EE0207" w14:textId="2DCC2CEA" w:rsidR="00E735FA" w:rsidRDefault="00984394" w:rsidP="002C4972">
      <w:pPr>
        <w:pStyle w:val="BodyText"/>
        <w:rPr>
          <w:rFonts w:eastAsiaTheme="majorEastAsia"/>
        </w:rPr>
      </w:pPr>
      <w:r>
        <w:rPr>
          <w:rFonts w:eastAsiaTheme="majorEastAsia"/>
        </w:rPr>
        <w:lastRenderedPageBreak/>
        <w:t>H</w:t>
      </w:r>
      <w:r w:rsidR="00E735FA" w:rsidRPr="00E735FA">
        <w:rPr>
          <w:rFonts w:eastAsiaTheme="majorEastAsia"/>
        </w:rPr>
        <w:t>epatotoxicity and hepatocellular carcinoma</w:t>
      </w:r>
      <w:r w:rsidR="00E735FA">
        <w:rPr>
          <w:rFonts w:eastAsiaTheme="majorEastAsia"/>
        </w:rPr>
        <w:t xml:space="preserve"> study</w:t>
      </w:r>
      <w:r w:rsidR="00E735FA" w:rsidRPr="00E735FA">
        <w:rPr>
          <w:rFonts w:eastAsiaTheme="majorEastAsia"/>
        </w:rPr>
        <w:t xml:space="preserve"> in patients with </w:t>
      </w:r>
      <w:r w:rsidRPr="00984394">
        <w:rPr>
          <w:rFonts w:eastAsiaTheme="majorEastAsia"/>
        </w:rPr>
        <w:t xml:space="preserve">Pyridox(am)ine 5’-phosphate oxidase </w:t>
      </w:r>
      <w:r>
        <w:rPr>
          <w:rFonts w:eastAsiaTheme="majorEastAsia"/>
        </w:rPr>
        <w:t>(</w:t>
      </w:r>
      <w:r w:rsidR="00E735FA" w:rsidRPr="00E735FA">
        <w:rPr>
          <w:rFonts w:eastAsiaTheme="majorEastAsia"/>
        </w:rPr>
        <w:t>PNPO</w:t>
      </w:r>
      <w:r>
        <w:rPr>
          <w:rFonts w:eastAsiaTheme="majorEastAsia"/>
        </w:rPr>
        <w:t>)</w:t>
      </w:r>
      <w:r w:rsidR="00E735FA" w:rsidRPr="00E735FA">
        <w:rPr>
          <w:rFonts w:eastAsiaTheme="majorEastAsia"/>
        </w:rPr>
        <w:t xml:space="preserve"> deficiency receiving very high-dose therapeutic pyridoxal-5'-phosphate, was identified but is not relevant to</w:t>
      </w:r>
      <w:r w:rsidRPr="00984394">
        <w:t xml:space="preserve"> </w:t>
      </w:r>
      <w:r>
        <w:rPr>
          <w:rFonts w:eastAsiaTheme="majorEastAsia"/>
        </w:rPr>
        <w:t>the</w:t>
      </w:r>
      <w:r w:rsidRPr="00984394">
        <w:rPr>
          <w:rFonts w:eastAsiaTheme="majorEastAsia"/>
        </w:rPr>
        <w:t xml:space="preserve"> supplement/dietary intake of vitamin B6</w:t>
      </w:r>
      <w:r>
        <w:rPr>
          <w:rFonts w:eastAsiaTheme="majorEastAsia"/>
        </w:rPr>
        <w:t xml:space="preserve"> and</w:t>
      </w:r>
      <w:r w:rsidR="00E735FA" w:rsidRPr="00E735FA">
        <w:rPr>
          <w:rFonts w:eastAsiaTheme="majorEastAsia"/>
        </w:rPr>
        <w:t xml:space="preserve"> general-population UL derivation</w:t>
      </w:r>
      <w:r>
        <w:rPr>
          <w:rFonts w:eastAsiaTheme="majorEastAsia"/>
        </w:rPr>
        <w:t xml:space="preserve"> </w:t>
      </w:r>
      <w:r w:rsidR="00E735FA" w:rsidRPr="00E735FA">
        <w:rPr>
          <w:rFonts w:eastAsiaTheme="majorEastAsia"/>
        </w:rPr>
        <w:t>consistent with the NHMRC Final NRV Methodological Framework's exclusion of non-representative clinical sub-populations from point of departure derivation</w:t>
      </w:r>
      <w:r>
        <w:rPr>
          <w:rFonts w:eastAsiaTheme="majorEastAsia"/>
        </w:rPr>
        <w:t xml:space="preserve"> (Brands 2026; Webster 2026)</w:t>
      </w:r>
      <w:r w:rsidR="00E735FA" w:rsidRPr="00E735FA">
        <w:rPr>
          <w:rFonts w:eastAsiaTheme="majorEastAsia"/>
        </w:rPr>
        <w:t xml:space="preserve">. Similarly, studies involving high-dose therapeutic </w:t>
      </w:r>
      <w:r w:rsidRPr="00984394">
        <w:rPr>
          <w:rFonts w:eastAsiaTheme="majorEastAsia"/>
        </w:rPr>
        <w:t xml:space="preserve">Pyridoxal 5’-phosphate </w:t>
      </w:r>
      <w:r>
        <w:rPr>
          <w:rFonts w:eastAsiaTheme="majorEastAsia"/>
        </w:rPr>
        <w:t>(</w:t>
      </w:r>
      <w:r w:rsidR="00E735FA" w:rsidRPr="00E735FA">
        <w:rPr>
          <w:rFonts w:eastAsiaTheme="majorEastAsia"/>
        </w:rPr>
        <w:t>PLP</w:t>
      </w:r>
      <w:r>
        <w:rPr>
          <w:rFonts w:eastAsiaTheme="majorEastAsia"/>
        </w:rPr>
        <w:t>)</w:t>
      </w:r>
      <w:r w:rsidR="00E735FA" w:rsidRPr="00E735FA">
        <w:rPr>
          <w:rFonts w:eastAsiaTheme="majorEastAsia"/>
        </w:rPr>
        <w:t xml:space="preserve"> in other rare metabolic disorders (Arai 2023; Morris 2025) were excluded from </w:t>
      </w:r>
      <w:r>
        <w:rPr>
          <w:rFonts w:eastAsiaTheme="majorEastAsia"/>
        </w:rPr>
        <w:t>dose-response</w:t>
      </w:r>
      <w:r w:rsidR="00E735FA" w:rsidRPr="00E735FA">
        <w:rPr>
          <w:rFonts w:eastAsiaTheme="majorEastAsia"/>
        </w:rPr>
        <w:t xml:space="preserve"> assessment on the same grounds. Mechanistic evidence on individual susceptibility (Whyte</w:t>
      </w:r>
      <w:r w:rsidR="00A26F96">
        <w:rPr>
          <w:rFonts w:eastAsiaTheme="majorEastAsia"/>
        </w:rPr>
        <w:t xml:space="preserve"> et al.</w:t>
      </w:r>
      <w:r w:rsidR="00E735FA" w:rsidRPr="00E735FA">
        <w:rPr>
          <w:rFonts w:eastAsiaTheme="majorEastAsia"/>
        </w:rPr>
        <w:t xml:space="preserve"> 2024; Zervou </w:t>
      </w:r>
      <w:r w:rsidR="00A26F96">
        <w:rPr>
          <w:rFonts w:eastAsiaTheme="majorEastAsia"/>
        </w:rPr>
        <w:t xml:space="preserve">et al. </w:t>
      </w:r>
      <w:r w:rsidR="00E735FA" w:rsidRPr="00E735FA">
        <w:rPr>
          <w:rFonts w:eastAsiaTheme="majorEastAsia"/>
        </w:rPr>
        <w:t xml:space="preserve">2025) supports toxicokinetic variability in PLP clearance as relevant to the intraspecies component of EFSA's existing uncertainty factor, given that </w:t>
      </w:r>
      <w:r w:rsidRPr="00984394">
        <w:rPr>
          <w:rFonts w:eastAsiaTheme="majorEastAsia"/>
        </w:rPr>
        <w:t xml:space="preserve">Tissue-nonspecific alkaline phosphatase </w:t>
      </w:r>
      <w:r>
        <w:rPr>
          <w:rFonts w:eastAsiaTheme="majorEastAsia"/>
        </w:rPr>
        <w:t>(</w:t>
      </w:r>
      <w:r w:rsidR="00E735FA" w:rsidRPr="00E735FA">
        <w:rPr>
          <w:rFonts w:eastAsiaTheme="majorEastAsia"/>
        </w:rPr>
        <w:t>TNSALP</w:t>
      </w:r>
      <w:r>
        <w:rPr>
          <w:rFonts w:eastAsiaTheme="majorEastAsia"/>
        </w:rPr>
        <w:t>)</w:t>
      </w:r>
      <w:r w:rsidR="00E735FA" w:rsidRPr="00E735FA">
        <w:rPr>
          <w:rFonts w:eastAsiaTheme="majorEastAsia"/>
        </w:rPr>
        <w:t xml:space="preserve"> carrier frequency in the general population is not negligible (</w:t>
      </w:r>
      <w:r>
        <w:rPr>
          <w:rFonts w:eastAsiaTheme="majorEastAsia"/>
        </w:rPr>
        <w:t xml:space="preserve">approximately </w:t>
      </w:r>
      <w:r w:rsidR="00E735FA" w:rsidRPr="00E735FA">
        <w:rPr>
          <w:rFonts w:eastAsiaTheme="majorEastAsia"/>
        </w:rPr>
        <w:t>1/300), though it does not warrant a quantitative change to the UF.</w:t>
      </w:r>
    </w:p>
    <w:p w14:paraId="0CE0039F" w14:textId="7FC69BA5" w:rsidR="00612AD9" w:rsidRPr="008371FA" w:rsidRDefault="00F03762" w:rsidP="00B33D79">
      <w:pPr>
        <w:pStyle w:val="BodyText"/>
        <w:rPr>
          <w:rFonts w:eastAsiaTheme="majorEastAsia"/>
        </w:rPr>
        <w:sectPr w:rsidR="00612AD9" w:rsidRPr="008371FA" w:rsidSect="00117D14">
          <w:footerReference w:type="default" r:id="rId18"/>
          <w:pgSz w:w="11909" w:h="16834" w:code="9"/>
          <w:pgMar w:top="1440" w:right="1440" w:bottom="1440" w:left="1440" w:header="576" w:footer="576" w:gutter="0"/>
          <w:pgNumType w:fmt="lowerRoman"/>
          <w:cols w:space="720"/>
          <w:docGrid w:linePitch="360"/>
        </w:sectPr>
      </w:pPr>
      <w:r w:rsidRPr="00F03762">
        <w:rPr>
          <w:rFonts w:eastAsiaTheme="majorEastAsia"/>
        </w:rPr>
        <w:t xml:space="preserve">Overall, the new evidence identified in this review does not appear sufficient to warrant revision of EFSA's (2023) UL of 12 mg/day, which this evaluation has identified as the most appropriate current guidance value for </w:t>
      </w:r>
      <w:r w:rsidR="0067332F">
        <w:rPr>
          <w:rFonts w:eastAsiaTheme="majorEastAsia"/>
        </w:rPr>
        <w:t xml:space="preserve">potential </w:t>
      </w:r>
      <w:r w:rsidRPr="00F03762">
        <w:rPr>
          <w:rFonts w:eastAsiaTheme="majorEastAsia"/>
        </w:rPr>
        <w:t xml:space="preserve">adoption or adaptation in Australia and New Zealand, in place of the current NHMRC (2006) UL of 50 mg/day. </w:t>
      </w:r>
      <w:r w:rsidR="00F537BE" w:rsidRPr="00F537BE">
        <w:rPr>
          <w:rFonts w:eastAsiaTheme="majorEastAsia"/>
        </w:rPr>
        <w:t xml:space="preserve">The available evidence remains broadly consistent with the current weight-of-evidence basis for peripheral neuropathy as the critical endpoint, with support from both human and animal data. However, this conclusion should be considered </w:t>
      </w:r>
      <w:r w:rsidR="00651DBE">
        <w:rPr>
          <w:rFonts w:eastAsiaTheme="majorEastAsia"/>
        </w:rPr>
        <w:t xml:space="preserve">in view of </w:t>
      </w:r>
      <w:r w:rsidR="00F537BE" w:rsidRPr="00F537BE">
        <w:rPr>
          <w:rFonts w:eastAsiaTheme="majorEastAsia"/>
        </w:rPr>
        <w:t>the high risk of bias and generally low to very low reliability of the human evidence base, as well as ongoing uncertainties around individual susceptibility and the absence of an established mode of action.</w:t>
      </w:r>
    </w:p>
    <w:p w14:paraId="08F7A549" w14:textId="77777777" w:rsidR="00727910" w:rsidRPr="008371FA" w:rsidRDefault="00E8237E" w:rsidP="00B33D79">
      <w:pPr>
        <w:pStyle w:val="TOCHeading"/>
      </w:pPr>
      <w:r w:rsidRPr="008371FA">
        <w:lastRenderedPageBreak/>
        <w:t>Table of Contents</w:t>
      </w:r>
    </w:p>
    <w:p w14:paraId="73E43321" w14:textId="2E98F61F" w:rsidR="00383CB2" w:rsidRDefault="0001154A">
      <w:pPr>
        <w:pStyle w:val="TOC1"/>
        <w:rPr>
          <w:rFonts w:asciiTheme="minorHAnsi" w:eastAsiaTheme="minorEastAsia" w:hAnsiTheme="minorHAnsi"/>
          <w:b w:val="0"/>
          <w:kern w:val="2"/>
          <w:sz w:val="24"/>
          <w:szCs w:val="24"/>
          <w:lang w:eastAsia="en-AU"/>
          <w14:ligatures w14:val="standardContextual"/>
        </w:rPr>
      </w:pPr>
      <w:r w:rsidRPr="008371FA">
        <w:rPr>
          <w:caps/>
          <w:noProof w:val="0"/>
        </w:rPr>
        <w:fldChar w:fldCharType="begin"/>
      </w:r>
      <w:r w:rsidRPr="008371FA">
        <w:rPr>
          <w:caps/>
          <w:noProof w:val="0"/>
        </w:rPr>
        <w:instrText xml:space="preserve"> TOC \o "1-3" \h \z \t "Heading 1 No Number,1" </w:instrText>
      </w:r>
      <w:r w:rsidRPr="008371FA">
        <w:rPr>
          <w:caps/>
          <w:noProof w:val="0"/>
        </w:rPr>
        <w:fldChar w:fldCharType="separate"/>
      </w:r>
      <w:hyperlink w:anchor="_Toc233031580" w:history="1">
        <w:r w:rsidR="00383CB2" w:rsidRPr="00451CBB">
          <w:rPr>
            <w:rStyle w:val="Hyperlink"/>
            <w:rFonts w:eastAsiaTheme="minorHAnsi"/>
          </w:rPr>
          <w:t>Basis of Report</w:t>
        </w:r>
        <w:r w:rsidR="00383CB2">
          <w:rPr>
            <w:webHidden/>
          </w:rPr>
          <w:tab/>
        </w:r>
        <w:r w:rsidR="00383CB2">
          <w:rPr>
            <w:webHidden/>
          </w:rPr>
          <w:fldChar w:fldCharType="begin"/>
        </w:r>
        <w:r w:rsidR="00383CB2">
          <w:rPr>
            <w:webHidden/>
          </w:rPr>
          <w:instrText xml:space="preserve"> PAGEREF _Toc233031580 \h </w:instrText>
        </w:r>
        <w:r w:rsidR="00383CB2">
          <w:rPr>
            <w:webHidden/>
          </w:rPr>
        </w:r>
        <w:r w:rsidR="00383CB2">
          <w:rPr>
            <w:webHidden/>
          </w:rPr>
          <w:fldChar w:fldCharType="separate"/>
        </w:r>
        <w:r w:rsidR="0052675C">
          <w:rPr>
            <w:webHidden/>
          </w:rPr>
          <w:t>i</w:t>
        </w:r>
        <w:r w:rsidR="00383CB2">
          <w:rPr>
            <w:webHidden/>
          </w:rPr>
          <w:fldChar w:fldCharType="end"/>
        </w:r>
      </w:hyperlink>
    </w:p>
    <w:p w14:paraId="148A74B3" w14:textId="1453BEC5" w:rsidR="00383CB2" w:rsidRDefault="00383CB2">
      <w:pPr>
        <w:pStyle w:val="TOC1"/>
        <w:rPr>
          <w:rFonts w:asciiTheme="minorHAnsi" w:eastAsiaTheme="minorEastAsia" w:hAnsiTheme="minorHAnsi"/>
          <w:b w:val="0"/>
          <w:kern w:val="2"/>
          <w:sz w:val="24"/>
          <w:szCs w:val="24"/>
          <w:lang w:eastAsia="en-AU"/>
          <w14:ligatures w14:val="standardContextual"/>
        </w:rPr>
      </w:pPr>
      <w:hyperlink w:anchor="_Toc233031581" w:history="1">
        <w:r w:rsidRPr="00451CBB">
          <w:rPr>
            <w:rStyle w:val="Hyperlink"/>
            <w:rFonts w:eastAsiaTheme="minorHAnsi"/>
          </w:rPr>
          <w:t>Executive Summary</w:t>
        </w:r>
        <w:r>
          <w:rPr>
            <w:webHidden/>
          </w:rPr>
          <w:tab/>
        </w:r>
        <w:r>
          <w:rPr>
            <w:webHidden/>
          </w:rPr>
          <w:fldChar w:fldCharType="begin"/>
        </w:r>
        <w:r>
          <w:rPr>
            <w:webHidden/>
          </w:rPr>
          <w:instrText xml:space="preserve"> PAGEREF _Toc233031581 \h </w:instrText>
        </w:r>
        <w:r>
          <w:rPr>
            <w:webHidden/>
          </w:rPr>
        </w:r>
        <w:r>
          <w:rPr>
            <w:webHidden/>
          </w:rPr>
          <w:fldChar w:fldCharType="separate"/>
        </w:r>
        <w:r w:rsidR="0052675C">
          <w:rPr>
            <w:webHidden/>
          </w:rPr>
          <w:t>ii</w:t>
        </w:r>
        <w:r>
          <w:rPr>
            <w:webHidden/>
          </w:rPr>
          <w:fldChar w:fldCharType="end"/>
        </w:r>
      </w:hyperlink>
    </w:p>
    <w:p w14:paraId="1EABA64F" w14:textId="4B739D0D" w:rsidR="00383CB2" w:rsidRDefault="00383CB2">
      <w:pPr>
        <w:pStyle w:val="TOC1"/>
        <w:rPr>
          <w:rFonts w:asciiTheme="minorHAnsi" w:eastAsiaTheme="minorEastAsia" w:hAnsiTheme="minorHAnsi"/>
          <w:b w:val="0"/>
          <w:kern w:val="2"/>
          <w:sz w:val="24"/>
          <w:szCs w:val="24"/>
          <w:lang w:eastAsia="en-AU"/>
          <w14:ligatures w14:val="standardContextual"/>
        </w:rPr>
      </w:pPr>
      <w:hyperlink w:anchor="_Toc233031582" w:history="1">
        <w:r w:rsidRPr="00451CBB">
          <w:rPr>
            <w:rStyle w:val="Hyperlink"/>
            <w:rFonts w:eastAsiaTheme="minorHAnsi"/>
          </w:rPr>
          <w:t>Acronyms and Abbreviations</w:t>
        </w:r>
        <w:r>
          <w:rPr>
            <w:webHidden/>
          </w:rPr>
          <w:tab/>
        </w:r>
        <w:r>
          <w:rPr>
            <w:webHidden/>
          </w:rPr>
          <w:fldChar w:fldCharType="begin"/>
        </w:r>
        <w:r>
          <w:rPr>
            <w:webHidden/>
          </w:rPr>
          <w:instrText xml:space="preserve"> PAGEREF _Toc233031582 \h </w:instrText>
        </w:r>
        <w:r>
          <w:rPr>
            <w:webHidden/>
          </w:rPr>
        </w:r>
        <w:r>
          <w:rPr>
            <w:webHidden/>
          </w:rPr>
          <w:fldChar w:fldCharType="separate"/>
        </w:r>
        <w:r w:rsidR="0052675C">
          <w:rPr>
            <w:webHidden/>
          </w:rPr>
          <w:t>vi</w:t>
        </w:r>
        <w:r>
          <w:rPr>
            <w:webHidden/>
          </w:rPr>
          <w:fldChar w:fldCharType="end"/>
        </w:r>
      </w:hyperlink>
    </w:p>
    <w:p w14:paraId="3A17EFC7" w14:textId="5FB8AD1E" w:rsidR="00383CB2" w:rsidRDefault="00383CB2">
      <w:pPr>
        <w:pStyle w:val="TOC1"/>
        <w:rPr>
          <w:rFonts w:asciiTheme="minorHAnsi" w:eastAsiaTheme="minorEastAsia" w:hAnsiTheme="minorHAnsi"/>
          <w:b w:val="0"/>
          <w:kern w:val="2"/>
          <w:sz w:val="24"/>
          <w:szCs w:val="24"/>
          <w:lang w:eastAsia="en-AU"/>
          <w14:ligatures w14:val="standardContextual"/>
        </w:rPr>
      </w:pPr>
      <w:hyperlink w:anchor="_Toc233031583" w:history="1">
        <w:r w:rsidRPr="00451CBB">
          <w:rPr>
            <w:rStyle w:val="Hyperlink"/>
            <w:rFonts w:eastAsiaTheme="minorHAnsi"/>
          </w:rPr>
          <w:t>1.0</w:t>
        </w:r>
        <w:r>
          <w:rPr>
            <w:rFonts w:asciiTheme="minorHAnsi" w:eastAsiaTheme="minorEastAsia" w:hAnsiTheme="minorHAnsi"/>
            <w:b w:val="0"/>
            <w:kern w:val="2"/>
            <w:sz w:val="24"/>
            <w:szCs w:val="24"/>
            <w:lang w:eastAsia="en-AU"/>
            <w14:ligatures w14:val="standardContextual"/>
          </w:rPr>
          <w:tab/>
        </w:r>
        <w:r w:rsidRPr="00451CBB">
          <w:rPr>
            <w:rStyle w:val="Hyperlink"/>
            <w:rFonts w:eastAsiaTheme="minorHAnsi"/>
          </w:rPr>
          <w:t>Introduction and Background</w:t>
        </w:r>
        <w:r>
          <w:rPr>
            <w:webHidden/>
          </w:rPr>
          <w:tab/>
        </w:r>
        <w:r>
          <w:rPr>
            <w:webHidden/>
          </w:rPr>
          <w:fldChar w:fldCharType="begin"/>
        </w:r>
        <w:r>
          <w:rPr>
            <w:webHidden/>
          </w:rPr>
          <w:instrText xml:space="preserve"> PAGEREF _Toc233031583 \h </w:instrText>
        </w:r>
        <w:r>
          <w:rPr>
            <w:webHidden/>
          </w:rPr>
        </w:r>
        <w:r>
          <w:rPr>
            <w:webHidden/>
          </w:rPr>
          <w:fldChar w:fldCharType="separate"/>
        </w:r>
        <w:r w:rsidR="0052675C">
          <w:rPr>
            <w:webHidden/>
          </w:rPr>
          <w:t>1</w:t>
        </w:r>
        <w:r>
          <w:rPr>
            <w:webHidden/>
          </w:rPr>
          <w:fldChar w:fldCharType="end"/>
        </w:r>
      </w:hyperlink>
    </w:p>
    <w:p w14:paraId="43567F48" w14:textId="19248FF8" w:rsidR="00383CB2" w:rsidRDefault="00383CB2">
      <w:pPr>
        <w:pStyle w:val="TOC2"/>
        <w:rPr>
          <w:rFonts w:asciiTheme="minorHAnsi" w:eastAsiaTheme="minorEastAsia" w:hAnsiTheme="minorHAnsi"/>
          <w:kern w:val="2"/>
          <w:sz w:val="24"/>
          <w:szCs w:val="24"/>
          <w:lang w:eastAsia="en-AU"/>
          <w14:ligatures w14:val="standardContextual"/>
        </w:rPr>
      </w:pPr>
      <w:hyperlink w:anchor="_Toc233031584" w:history="1">
        <w:r w:rsidRPr="00451CBB">
          <w:rPr>
            <w:rStyle w:val="Hyperlink"/>
            <w:rFonts w:eastAsiaTheme="minorHAnsi"/>
          </w:rPr>
          <w:t>1.1</w:t>
        </w:r>
        <w:r>
          <w:rPr>
            <w:rFonts w:asciiTheme="minorHAnsi" w:eastAsiaTheme="minorEastAsia" w:hAnsiTheme="minorHAnsi"/>
            <w:kern w:val="2"/>
            <w:sz w:val="24"/>
            <w:szCs w:val="24"/>
            <w:lang w:eastAsia="en-AU"/>
            <w14:ligatures w14:val="standardContextual"/>
          </w:rPr>
          <w:tab/>
        </w:r>
        <w:r w:rsidRPr="00451CBB">
          <w:rPr>
            <w:rStyle w:val="Hyperlink"/>
            <w:rFonts w:eastAsiaTheme="minorHAnsi"/>
          </w:rPr>
          <w:t>Objectives</w:t>
        </w:r>
        <w:r>
          <w:rPr>
            <w:webHidden/>
          </w:rPr>
          <w:tab/>
        </w:r>
        <w:r>
          <w:rPr>
            <w:webHidden/>
          </w:rPr>
          <w:fldChar w:fldCharType="begin"/>
        </w:r>
        <w:r>
          <w:rPr>
            <w:webHidden/>
          </w:rPr>
          <w:instrText xml:space="preserve"> PAGEREF _Toc233031584 \h </w:instrText>
        </w:r>
        <w:r>
          <w:rPr>
            <w:webHidden/>
          </w:rPr>
        </w:r>
        <w:r>
          <w:rPr>
            <w:webHidden/>
          </w:rPr>
          <w:fldChar w:fldCharType="separate"/>
        </w:r>
        <w:r w:rsidR="0052675C">
          <w:rPr>
            <w:webHidden/>
          </w:rPr>
          <w:t>1</w:t>
        </w:r>
        <w:r>
          <w:rPr>
            <w:webHidden/>
          </w:rPr>
          <w:fldChar w:fldCharType="end"/>
        </w:r>
      </w:hyperlink>
    </w:p>
    <w:p w14:paraId="685DCCC3" w14:textId="50E7B09B" w:rsidR="00383CB2" w:rsidRDefault="00383CB2">
      <w:pPr>
        <w:pStyle w:val="TOC1"/>
        <w:rPr>
          <w:rFonts w:asciiTheme="minorHAnsi" w:eastAsiaTheme="minorEastAsia" w:hAnsiTheme="minorHAnsi"/>
          <w:b w:val="0"/>
          <w:kern w:val="2"/>
          <w:sz w:val="24"/>
          <w:szCs w:val="24"/>
          <w:lang w:eastAsia="en-AU"/>
          <w14:ligatures w14:val="standardContextual"/>
        </w:rPr>
      </w:pPr>
      <w:hyperlink w:anchor="_Toc233031585" w:history="1">
        <w:r w:rsidRPr="00451CBB">
          <w:rPr>
            <w:rStyle w:val="Hyperlink"/>
            <w:rFonts w:eastAsiaTheme="minorHAnsi"/>
          </w:rPr>
          <w:t>2.0</w:t>
        </w:r>
        <w:r>
          <w:rPr>
            <w:rFonts w:asciiTheme="minorHAnsi" w:eastAsiaTheme="minorEastAsia" w:hAnsiTheme="minorHAnsi"/>
            <w:b w:val="0"/>
            <w:kern w:val="2"/>
            <w:sz w:val="24"/>
            <w:szCs w:val="24"/>
            <w:lang w:eastAsia="en-AU"/>
            <w14:ligatures w14:val="standardContextual"/>
          </w:rPr>
          <w:tab/>
        </w:r>
        <w:r w:rsidRPr="00451CBB">
          <w:rPr>
            <w:rStyle w:val="Hyperlink"/>
            <w:rFonts w:eastAsiaTheme="minorHAnsi"/>
          </w:rPr>
          <w:t>Research Questions</w:t>
        </w:r>
        <w:r>
          <w:rPr>
            <w:webHidden/>
          </w:rPr>
          <w:tab/>
        </w:r>
        <w:r>
          <w:rPr>
            <w:webHidden/>
          </w:rPr>
          <w:fldChar w:fldCharType="begin"/>
        </w:r>
        <w:r>
          <w:rPr>
            <w:webHidden/>
          </w:rPr>
          <w:instrText xml:space="preserve"> PAGEREF _Toc233031585 \h </w:instrText>
        </w:r>
        <w:r>
          <w:rPr>
            <w:webHidden/>
          </w:rPr>
        </w:r>
        <w:r>
          <w:rPr>
            <w:webHidden/>
          </w:rPr>
          <w:fldChar w:fldCharType="separate"/>
        </w:r>
        <w:r w:rsidR="0052675C">
          <w:rPr>
            <w:webHidden/>
          </w:rPr>
          <w:t>2</w:t>
        </w:r>
        <w:r>
          <w:rPr>
            <w:webHidden/>
          </w:rPr>
          <w:fldChar w:fldCharType="end"/>
        </w:r>
      </w:hyperlink>
    </w:p>
    <w:p w14:paraId="71854C59" w14:textId="34B43AD7" w:rsidR="00383CB2" w:rsidRDefault="00383CB2">
      <w:pPr>
        <w:pStyle w:val="TOC1"/>
        <w:rPr>
          <w:rFonts w:asciiTheme="minorHAnsi" w:eastAsiaTheme="minorEastAsia" w:hAnsiTheme="minorHAnsi"/>
          <w:b w:val="0"/>
          <w:kern w:val="2"/>
          <w:sz w:val="24"/>
          <w:szCs w:val="24"/>
          <w:lang w:eastAsia="en-AU"/>
          <w14:ligatures w14:val="standardContextual"/>
        </w:rPr>
      </w:pPr>
      <w:hyperlink w:anchor="_Toc233031586" w:history="1">
        <w:r w:rsidRPr="00451CBB">
          <w:rPr>
            <w:rStyle w:val="Hyperlink"/>
            <w:rFonts w:eastAsiaTheme="minorHAnsi"/>
          </w:rPr>
          <w:t>3.0</w:t>
        </w:r>
        <w:r>
          <w:rPr>
            <w:rFonts w:asciiTheme="minorHAnsi" w:eastAsiaTheme="minorEastAsia" w:hAnsiTheme="minorHAnsi"/>
            <w:b w:val="0"/>
            <w:kern w:val="2"/>
            <w:sz w:val="24"/>
            <w:szCs w:val="24"/>
            <w:lang w:eastAsia="en-AU"/>
            <w14:ligatures w14:val="standardContextual"/>
          </w:rPr>
          <w:tab/>
        </w:r>
        <w:r w:rsidRPr="00451CBB">
          <w:rPr>
            <w:rStyle w:val="Hyperlink"/>
            <w:rFonts w:eastAsiaTheme="minorHAnsi"/>
          </w:rPr>
          <w:t>Methodology Overview</w:t>
        </w:r>
        <w:r>
          <w:rPr>
            <w:webHidden/>
          </w:rPr>
          <w:tab/>
        </w:r>
        <w:r>
          <w:rPr>
            <w:webHidden/>
          </w:rPr>
          <w:fldChar w:fldCharType="begin"/>
        </w:r>
        <w:r>
          <w:rPr>
            <w:webHidden/>
          </w:rPr>
          <w:instrText xml:space="preserve"> PAGEREF _Toc233031586 \h </w:instrText>
        </w:r>
        <w:r>
          <w:rPr>
            <w:webHidden/>
          </w:rPr>
        </w:r>
        <w:r>
          <w:rPr>
            <w:webHidden/>
          </w:rPr>
          <w:fldChar w:fldCharType="separate"/>
        </w:r>
        <w:r w:rsidR="0052675C">
          <w:rPr>
            <w:webHidden/>
          </w:rPr>
          <w:t>3</w:t>
        </w:r>
        <w:r>
          <w:rPr>
            <w:webHidden/>
          </w:rPr>
          <w:fldChar w:fldCharType="end"/>
        </w:r>
      </w:hyperlink>
    </w:p>
    <w:p w14:paraId="21CEE7AC" w14:textId="6027DB12" w:rsidR="00383CB2" w:rsidRDefault="00383CB2">
      <w:pPr>
        <w:pStyle w:val="TOC1"/>
        <w:rPr>
          <w:rFonts w:asciiTheme="minorHAnsi" w:eastAsiaTheme="minorEastAsia" w:hAnsiTheme="minorHAnsi"/>
          <w:b w:val="0"/>
          <w:kern w:val="2"/>
          <w:sz w:val="24"/>
          <w:szCs w:val="24"/>
          <w:lang w:eastAsia="en-AU"/>
          <w14:ligatures w14:val="standardContextual"/>
        </w:rPr>
      </w:pPr>
      <w:hyperlink w:anchor="_Toc233031587" w:history="1">
        <w:r w:rsidRPr="00451CBB">
          <w:rPr>
            <w:rStyle w:val="Hyperlink"/>
            <w:rFonts w:eastAsiaTheme="minorHAnsi"/>
          </w:rPr>
          <w:t>4.0</w:t>
        </w:r>
        <w:r>
          <w:rPr>
            <w:rFonts w:asciiTheme="minorHAnsi" w:eastAsiaTheme="minorEastAsia" w:hAnsiTheme="minorHAnsi"/>
            <w:b w:val="0"/>
            <w:kern w:val="2"/>
            <w:sz w:val="24"/>
            <w:szCs w:val="24"/>
            <w:lang w:eastAsia="en-AU"/>
            <w14:ligatures w14:val="standardContextual"/>
          </w:rPr>
          <w:tab/>
        </w:r>
        <w:r w:rsidRPr="00451CBB">
          <w:rPr>
            <w:rStyle w:val="Hyperlink"/>
            <w:rFonts w:eastAsiaTheme="minorHAnsi"/>
          </w:rPr>
          <w:t>Results</w:t>
        </w:r>
        <w:r>
          <w:rPr>
            <w:webHidden/>
          </w:rPr>
          <w:tab/>
        </w:r>
        <w:r>
          <w:rPr>
            <w:webHidden/>
          </w:rPr>
          <w:fldChar w:fldCharType="begin"/>
        </w:r>
        <w:r>
          <w:rPr>
            <w:webHidden/>
          </w:rPr>
          <w:instrText xml:space="preserve"> PAGEREF _Toc233031587 \h </w:instrText>
        </w:r>
        <w:r>
          <w:rPr>
            <w:webHidden/>
          </w:rPr>
        </w:r>
        <w:r>
          <w:rPr>
            <w:webHidden/>
          </w:rPr>
          <w:fldChar w:fldCharType="separate"/>
        </w:r>
        <w:r w:rsidR="0052675C">
          <w:rPr>
            <w:webHidden/>
          </w:rPr>
          <w:t>5</w:t>
        </w:r>
        <w:r>
          <w:rPr>
            <w:webHidden/>
          </w:rPr>
          <w:fldChar w:fldCharType="end"/>
        </w:r>
      </w:hyperlink>
    </w:p>
    <w:p w14:paraId="199A7659" w14:textId="0F9FF416" w:rsidR="00383CB2" w:rsidRDefault="00383CB2">
      <w:pPr>
        <w:pStyle w:val="TOC2"/>
        <w:rPr>
          <w:rFonts w:asciiTheme="minorHAnsi" w:eastAsiaTheme="minorEastAsia" w:hAnsiTheme="minorHAnsi"/>
          <w:kern w:val="2"/>
          <w:sz w:val="24"/>
          <w:szCs w:val="24"/>
          <w:lang w:eastAsia="en-AU"/>
          <w14:ligatures w14:val="standardContextual"/>
        </w:rPr>
      </w:pPr>
      <w:hyperlink w:anchor="_Toc233031588" w:history="1">
        <w:r w:rsidRPr="00451CBB">
          <w:rPr>
            <w:rStyle w:val="Hyperlink"/>
            <w:rFonts w:eastAsiaTheme="minorHAnsi"/>
          </w:rPr>
          <w:t>4.1</w:t>
        </w:r>
        <w:r>
          <w:rPr>
            <w:rFonts w:asciiTheme="minorHAnsi" w:eastAsiaTheme="minorEastAsia" w:hAnsiTheme="minorHAnsi"/>
            <w:kern w:val="2"/>
            <w:sz w:val="24"/>
            <w:szCs w:val="24"/>
            <w:lang w:eastAsia="en-AU"/>
            <w14:ligatures w14:val="standardContextual"/>
          </w:rPr>
          <w:tab/>
        </w:r>
        <w:r w:rsidRPr="00451CBB">
          <w:rPr>
            <w:rStyle w:val="Hyperlink"/>
            <w:rFonts w:eastAsiaTheme="minorHAnsi"/>
          </w:rPr>
          <w:t>Health-based guidance</w:t>
        </w:r>
        <w:r>
          <w:rPr>
            <w:webHidden/>
          </w:rPr>
          <w:tab/>
        </w:r>
        <w:r>
          <w:rPr>
            <w:webHidden/>
          </w:rPr>
          <w:fldChar w:fldCharType="begin"/>
        </w:r>
        <w:r>
          <w:rPr>
            <w:webHidden/>
          </w:rPr>
          <w:instrText xml:space="preserve"> PAGEREF _Toc233031588 \h </w:instrText>
        </w:r>
        <w:r>
          <w:rPr>
            <w:webHidden/>
          </w:rPr>
        </w:r>
        <w:r>
          <w:rPr>
            <w:webHidden/>
          </w:rPr>
          <w:fldChar w:fldCharType="separate"/>
        </w:r>
        <w:r w:rsidR="0052675C">
          <w:rPr>
            <w:webHidden/>
          </w:rPr>
          <w:t>5</w:t>
        </w:r>
        <w:r>
          <w:rPr>
            <w:webHidden/>
          </w:rPr>
          <w:fldChar w:fldCharType="end"/>
        </w:r>
      </w:hyperlink>
    </w:p>
    <w:p w14:paraId="55BAE509" w14:textId="35D3D7AA" w:rsidR="00383CB2" w:rsidRDefault="00383CB2">
      <w:pPr>
        <w:pStyle w:val="TOC2"/>
        <w:rPr>
          <w:rFonts w:asciiTheme="minorHAnsi" w:eastAsiaTheme="minorEastAsia" w:hAnsiTheme="minorHAnsi"/>
          <w:kern w:val="2"/>
          <w:sz w:val="24"/>
          <w:szCs w:val="24"/>
          <w:lang w:eastAsia="en-AU"/>
          <w14:ligatures w14:val="standardContextual"/>
        </w:rPr>
      </w:pPr>
      <w:hyperlink w:anchor="_Toc233031589" w:history="1">
        <w:r w:rsidRPr="00451CBB">
          <w:rPr>
            <w:rStyle w:val="Hyperlink"/>
            <w:rFonts w:eastAsiaTheme="minorHAnsi"/>
          </w:rPr>
          <w:t>4.2</w:t>
        </w:r>
        <w:r>
          <w:rPr>
            <w:rFonts w:asciiTheme="minorHAnsi" w:eastAsiaTheme="minorEastAsia" w:hAnsiTheme="minorHAnsi"/>
            <w:kern w:val="2"/>
            <w:sz w:val="24"/>
            <w:szCs w:val="24"/>
            <w:lang w:eastAsia="en-AU"/>
            <w14:ligatures w14:val="standardContextual"/>
          </w:rPr>
          <w:tab/>
        </w:r>
        <w:r w:rsidRPr="00451CBB">
          <w:rPr>
            <w:rStyle w:val="Hyperlink"/>
            <w:rFonts w:eastAsiaTheme="minorHAnsi"/>
          </w:rPr>
          <w:t>New evidence reviews</w:t>
        </w:r>
        <w:r>
          <w:rPr>
            <w:webHidden/>
          </w:rPr>
          <w:tab/>
        </w:r>
        <w:r>
          <w:rPr>
            <w:webHidden/>
          </w:rPr>
          <w:fldChar w:fldCharType="begin"/>
        </w:r>
        <w:r>
          <w:rPr>
            <w:webHidden/>
          </w:rPr>
          <w:instrText xml:space="preserve"> PAGEREF _Toc233031589 \h </w:instrText>
        </w:r>
        <w:r>
          <w:rPr>
            <w:webHidden/>
          </w:rPr>
        </w:r>
        <w:r>
          <w:rPr>
            <w:webHidden/>
          </w:rPr>
          <w:fldChar w:fldCharType="separate"/>
        </w:r>
        <w:r w:rsidR="0052675C">
          <w:rPr>
            <w:webHidden/>
          </w:rPr>
          <w:t>7</w:t>
        </w:r>
        <w:r>
          <w:rPr>
            <w:webHidden/>
          </w:rPr>
          <w:fldChar w:fldCharType="end"/>
        </w:r>
      </w:hyperlink>
    </w:p>
    <w:p w14:paraId="7DF166A7" w14:textId="3B062E88" w:rsidR="00383CB2" w:rsidRDefault="00383CB2">
      <w:pPr>
        <w:pStyle w:val="TOC2"/>
        <w:rPr>
          <w:rFonts w:asciiTheme="minorHAnsi" w:eastAsiaTheme="minorEastAsia" w:hAnsiTheme="minorHAnsi"/>
          <w:kern w:val="2"/>
          <w:sz w:val="24"/>
          <w:szCs w:val="24"/>
          <w:lang w:eastAsia="en-AU"/>
          <w14:ligatures w14:val="standardContextual"/>
        </w:rPr>
      </w:pPr>
      <w:hyperlink w:anchor="_Toc233031590" w:history="1">
        <w:r w:rsidRPr="00451CBB">
          <w:rPr>
            <w:rStyle w:val="Hyperlink"/>
            <w:rFonts w:eastAsiaTheme="minorHAnsi"/>
          </w:rPr>
          <w:t>4.3</w:t>
        </w:r>
        <w:r>
          <w:rPr>
            <w:rFonts w:asciiTheme="minorHAnsi" w:eastAsiaTheme="minorEastAsia" w:hAnsiTheme="minorHAnsi"/>
            <w:kern w:val="2"/>
            <w:sz w:val="24"/>
            <w:szCs w:val="24"/>
            <w:lang w:eastAsia="en-AU"/>
            <w14:ligatures w14:val="standardContextual"/>
          </w:rPr>
          <w:tab/>
        </w:r>
        <w:r w:rsidRPr="00451CBB">
          <w:rPr>
            <w:rStyle w:val="Hyperlink"/>
            <w:rFonts w:eastAsiaTheme="minorHAnsi"/>
          </w:rPr>
          <w:t>Health-based aspects</w:t>
        </w:r>
        <w:r>
          <w:rPr>
            <w:webHidden/>
          </w:rPr>
          <w:tab/>
        </w:r>
        <w:r>
          <w:rPr>
            <w:webHidden/>
          </w:rPr>
          <w:fldChar w:fldCharType="begin"/>
        </w:r>
        <w:r>
          <w:rPr>
            <w:webHidden/>
          </w:rPr>
          <w:instrText xml:space="preserve"> PAGEREF _Toc233031590 \h </w:instrText>
        </w:r>
        <w:r>
          <w:rPr>
            <w:webHidden/>
          </w:rPr>
        </w:r>
        <w:r>
          <w:rPr>
            <w:webHidden/>
          </w:rPr>
          <w:fldChar w:fldCharType="separate"/>
        </w:r>
        <w:r w:rsidR="0052675C">
          <w:rPr>
            <w:webHidden/>
          </w:rPr>
          <w:t>7</w:t>
        </w:r>
        <w:r>
          <w:rPr>
            <w:webHidden/>
          </w:rPr>
          <w:fldChar w:fldCharType="end"/>
        </w:r>
      </w:hyperlink>
    </w:p>
    <w:p w14:paraId="30FC1373" w14:textId="1B4B3723" w:rsidR="00383CB2" w:rsidRDefault="00383CB2">
      <w:pPr>
        <w:pStyle w:val="TOC2"/>
        <w:rPr>
          <w:rFonts w:asciiTheme="minorHAnsi" w:eastAsiaTheme="minorEastAsia" w:hAnsiTheme="minorHAnsi"/>
          <w:kern w:val="2"/>
          <w:sz w:val="24"/>
          <w:szCs w:val="24"/>
          <w:lang w:eastAsia="en-AU"/>
          <w14:ligatures w14:val="standardContextual"/>
        </w:rPr>
      </w:pPr>
      <w:hyperlink w:anchor="_Toc233031591" w:history="1">
        <w:r w:rsidRPr="00451CBB">
          <w:rPr>
            <w:rStyle w:val="Hyperlink"/>
            <w:rFonts w:eastAsiaTheme="minorHAnsi"/>
          </w:rPr>
          <w:t>4.4</w:t>
        </w:r>
        <w:r>
          <w:rPr>
            <w:rFonts w:asciiTheme="minorHAnsi" w:eastAsiaTheme="minorEastAsia" w:hAnsiTheme="minorHAnsi"/>
            <w:kern w:val="2"/>
            <w:sz w:val="24"/>
            <w:szCs w:val="24"/>
            <w:lang w:eastAsia="en-AU"/>
            <w14:ligatures w14:val="standardContextual"/>
          </w:rPr>
          <w:tab/>
        </w:r>
        <w:r w:rsidRPr="00451CBB">
          <w:rPr>
            <w:rStyle w:val="Hyperlink"/>
            <w:rFonts w:eastAsiaTheme="minorHAnsi"/>
          </w:rPr>
          <w:t>Adverse key event reports</w:t>
        </w:r>
        <w:r>
          <w:rPr>
            <w:webHidden/>
          </w:rPr>
          <w:tab/>
        </w:r>
        <w:r>
          <w:rPr>
            <w:webHidden/>
          </w:rPr>
          <w:fldChar w:fldCharType="begin"/>
        </w:r>
        <w:r>
          <w:rPr>
            <w:webHidden/>
          </w:rPr>
          <w:instrText xml:space="preserve"> PAGEREF _Toc233031591 \h </w:instrText>
        </w:r>
        <w:r>
          <w:rPr>
            <w:webHidden/>
          </w:rPr>
        </w:r>
        <w:r>
          <w:rPr>
            <w:webHidden/>
          </w:rPr>
          <w:fldChar w:fldCharType="separate"/>
        </w:r>
        <w:r w:rsidR="0052675C">
          <w:rPr>
            <w:webHidden/>
          </w:rPr>
          <w:t>34</w:t>
        </w:r>
        <w:r>
          <w:rPr>
            <w:webHidden/>
          </w:rPr>
          <w:fldChar w:fldCharType="end"/>
        </w:r>
      </w:hyperlink>
    </w:p>
    <w:p w14:paraId="5182E324" w14:textId="185F4BC9" w:rsidR="00383CB2" w:rsidRDefault="00383CB2">
      <w:pPr>
        <w:pStyle w:val="TOC1"/>
        <w:rPr>
          <w:rFonts w:asciiTheme="minorHAnsi" w:eastAsiaTheme="minorEastAsia" w:hAnsiTheme="minorHAnsi"/>
          <w:b w:val="0"/>
          <w:kern w:val="2"/>
          <w:sz w:val="24"/>
          <w:szCs w:val="24"/>
          <w:lang w:eastAsia="en-AU"/>
          <w14:ligatures w14:val="standardContextual"/>
        </w:rPr>
      </w:pPr>
      <w:hyperlink w:anchor="_Toc233031592" w:history="1">
        <w:r w:rsidRPr="00451CBB">
          <w:rPr>
            <w:rStyle w:val="Hyperlink"/>
            <w:rFonts w:eastAsiaTheme="minorHAnsi"/>
          </w:rPr>
          <w:t>5.0</w:t>
        </w:r>
        <w:r>
          <w:rPr>
            <w:rFonts w:asciiTheme="minorHAnsi" w:eastAsiaTheme="minorEastAsia" w:hAnsiTheme="minorHAnsi"/>
            <w:b w:val="0"/>
            <w:kern w:val="2"/>
            <w:sz w:val="24"/>
            <w:szCs w:val="24"/>
            <w:lang w:eastAsia="en-AU"/>
            <w14:ligatures w14:val="standardContextual"/>
          </w:rPr>
          <w:tab/>
        </w:r>
        <w:r w:rsidRPr="00451CBB">
          <w:rPr>
            <w:rStyle w:val="Hyperlink"/>
            <w:rFonts w:eastAsiaTheme="minorHAnsi"/>
          </w:rPr>
          <w:t>Discussion</w:t>
        </w:r>
        <w:r>
          <w:rPr>
            <w:webHidden/>
          </w:rPr>
          <w:tab/>
        </w:r>
        <w:r>
          <w:rPr>
            <w:webHidden/>
          </w:rPr>
          <w:fldChar w:fldCharType="begin"/>
        </w:r>
        <w:r>
          <w:rPr>
            <w:webHidden/>
          </w:rPr>
          <w:instrText xml:space="preserve"> PAGEREF _Toc233031592 \h </w:instrText>
        </w:r>
        <w:r>
          <w:rPr>
            <w:webHidden/>
          </w:rPr>
        </w:r>
        <w:r>
          <w:rPr>
            <w:webHidden/>
          </w:rPr>
          <w:fldChar w:fldCharType="separate"/>
        </w:r>
        <w:r w:rsidR="0052675C">
          <w:rPr>
            <w:webHidden/>
          </w:rPr>
          <w:t>34</w:t>
        </w:r>
        <w:r>
          <w:rPr>
            <w:webHidden/>
          </w:rPr>
          <w:fldChar w:fldCharType="end"/>
        </w:r>
      </w:hyperlink>
    </w:p>
    <w:p w14:paraId="2550B70B" w14:textId="4B3296F5" w:rsidR="00383CB2" w:rsidRDefault="00383CB2">
      <w:pPr>
        <w:pStyle w:val="TOC2"/>
        <w:rPr>
          <w:rFonts w:asciiTheme="minorHAnsi" w:eastAsiaTheme="minorEastAsia" w:hAnsiTheme="minorHAnsi"/>
          <w:kern w:val="2"/>
          <w:sz w:val="24"/>
          <w:szCs w:val="24"/>
          <w:lang w:eastAsia="en-AU"/>
          <w14:ligatures w14:val="standardContextual"/>
        </w:rPr>
      </w:pPr>
      <w:hyperlink w:anchor="_Toc233031593" w:history="1">
        <w:r w:rsidRPr="00451CBB">
          <w:rPr>
            <w:rStyle w:val="Hyperlink"/>
            <w:rFonts w:eastAsiaTheme="minorHAnsi"/>
          </w:rPr>
          <w:t>5.1</w:t>
        </w:r>
        <w:r>
          <w:rPr>
            <w:rFonts w:asciiTheme="minorHAnsi" w:eastAsiaTheme="minorEastAsia" w:hAnsiTheme="minorHAnsi"/>
            <w:kern w:val="2"/>
            <w:sz w:val="24"/>
            <w:szCs w:val="24"/>
            <w:lang w:eastAsia="en-AU"/>
            <w14:ligatures w14:val="standardContextual"/>
          </w:rPr>
          <w:tab/>
        </w:r>
        <w:r w:rsidRPr="00451CBB">
          <w:rPr>
            <w:rStyle w:val="Hyperlink"/>
            <w:rFonts w:eastAsiaTheme="minorHAnsi"/>
          </w:rPr>
          <w:t>Suitability of health-based guidance for adoption/adaptation</w:t>
        </w:r>
        <w:r>
          <w:rPr>
            <w:webHidden/>
          </w:rPr>
          <w:tab/>
        </w:r>
        <w:r>
          <w:rPr>
            <w:webHidden/>
          </w:rPr>
          <w:fldChar w:fldCharType="begin"/>
        </w:r>
        <w:r>
          <w:rPr>
            <w:webHidden/>
          </w:rPr>
          <w:instrText xml:space="preserve"> PAGEREF _Toc233031593 \h </w:instrText>
        </w:r>
        <w:r>
          <w:rPr>
            <w:webHidden/>
          </w:rPr>
        </w:r>
        <w:r>
          <w:rPr>
            <w:webHidden/>
          </w:rPr>
          <w:fldChar w:fldCharType="separate"/>
        </w:r>
        <w:r w:rsidR="0052675C">
          <w:rPr>
            <w:webHidden/>
          </w:rPr>
          <w:t>34</w:t>
        </w:r>
        <w:r>
          <w:rPr>
            <w:webHidden/>
          </w:rPr>
          <w:fldChar w:fldCharType="end"/>
        </w:r>
      </w:hyperlink>
    </w:p>
    <w:p w14:paraId="248AE81B" w14:textId="2668B61B" w:rsidR="00383CB2" w:rsidRDefault="00383CB2">
      <w:pPr>
        <w:pStyle w:val="TOC2"/>
        <w:rPr>
          <w:rFonts w:asciiTheme="minorHAnsi" w:eastAsiaTheme="minorEastAsia" w:hAnsiTheme="minorHAnsi"/>
          <w:kern w:val="2"/>
          <w:sz w:val="24"/>
          <w:szCs w:val="24"/>
          <w:lang w:eastAsia="en-AU"/>
          <w14:ligatures w14:val="standardContextual"/>
        </w:rPr>
      </w:pPr>
      <w:hyperlink w:anchor="_Toc233031594" w:history="1">
        <w:r w:rsidRPr="00451CBB">
          <w:rPr>
            <w:rStyle w:val="Hyperlink"/>
            <w:rFonts w:eastAsiaTheme="minorHAnsi"/>
          </w:rPr>
          <w:t>5.2</w:t>
        </w:r>
        <w:r>
          <w:rPr>
            <w:rFonts w:asciiTheme="minorHAnsi" w:eastAsiaTheme="minorEastAsia" w:hAnsiTheme="minorHAnsi"/>
            <w:kern w:val="2"/>
            <w:sz w:val="24"/>
            <w:szCs w:val="24"/>
            <w:lang w:eastAsia="en-AU"/>
            <w14:ligatures w14:val="standardContextual"/>
          </w:rPr>
          <w:tab/>
        </w:r>
        <w:r w:rsidRPr="00451CBB">
          <w:rPr>
            <w:rStyle w:val="Hyperlink"/>
            <w:rFonts w:eastAsiaTheme="minorHAnsi"/>
          </w:rPr>
          <w:t>Overview of new evidence</w:t>
        </w:r>
        <w:r>
          <w:rPr>
            <w:webHidden/>
          </w:rPr>
          <w:tab/>
        </w:r>
        <w:r>
          <w:rPr>
            <w:webHidden/>
          </w:rPr>
          <w:fldChar w:fldCharType="begin"/>
        </w:r>
        <w:r>
          <w:rPr>
            <w:webHidden/>
          </w:rPr>
          <w:instrText xml:space="preserve"> PAGEREF _Toc233031594 \h </w:instrText>
        </w:r>
        <w:r>
          <w:rPr>
            <w:webHidden/>
          </w:rPr>
        </w:r>
        <w:r>
          <w:rPr>
            <w:webHidden/>
          </w:rPr>
          <w:fldChar w:fldCharType="separate"/>
        </w:r>
        <w:r w:rsidR="0052675C">
          <w:rPr>
            <w:webHidden/>
          </w:rPr>
          <w:t>38</w:t>
        </w:r>
        <w:r>
          <w:rPr>
            <w:webHidden/>
          </w:rPr>
          <w:fldChar w:fldCharType="end"/>
        </w:r>
      </w:hyperlink>
    </w:p>
    <w:p w14:paraId="7FF715BE" w14:textId="30F8DEB4" w:rsidR="00383CB2" w:rsidRDefault="00383CB2">
      <w:pPr>
        <w:pStyle w:val="TOC3"/>
        <w:rPr>
          <w:rFonts w:asciiTheme="minorHAnsi" w:eastAsiaTheme="minorEastAsia" w:hAnsiTheme="minorHAnsi"/>
          <w:kern w:val="2"/>
          <w:sz w:val="24"/>
          <w:szCs w:val="24"/>
          <w:lang w:eastAsia="en-AU"/>
          <w14:ligatures w14:val="standardContextual"/>
        </w:rPr>
      </w:pPr>
      <w:hyperlink w:anchor="_Toc233031595" w:history="1">
        <w:r w:rsidRPr="00451CBB">
          <w:rPr>
            <w:rStyle w:val="Hyperlink"/>
            <w:rFonts w:eastAsiaTheme="minorHAnsi"/>
          </w:rPr>
          <w:t>5.2.1</w:t>
        </w:r>
        <w:r>
          <w:rPr>
            <w:rFonts w:asciiTheme="minorHAnsi" w:eastAsiaTheme="minorEastAsia" w:hAnsiTheme="minorHAnsi"/>
            <w:kern w:val="2"/>
            <w:sz w:val="24"/>
            <w:szCs w:val="24"/>
            <w:lang w:eastAsia="en-AU"/>
            <w14:ligatures w14:val="standardContextual"/>
          </w:rPr>
          <w:tab/>
        </w:r>
        <w:r w:rsidRPr="00451CBB">
          <w:rPr>
            <w:rStyle w:val="Hyperlink"/>
            <w:rFonts w:eastAsiaTheme="minorHAnsi"/>
          </w:rPr>
          <w:t>Dose response and overall confidence by health outcomes</w:t>
        </w:r>
        <w:r>
          <w:rPr>
            <w:webHidden/>
          </w:rPr>
          <w:tab/>
        </w:r>
        <w:r>
          <w:rPr>
            <w:webHidden/>
          </w:rPr>
          <w:fldChar w:fldCharType="begin"/>
        </w:r>
        <w:r>
          <w:rPr>
            <w:webHidden/>
          </w:rPr>
          <w:instrText xml:space="preserve"> PAGEREF _Toc233031595 \h </w:instrText>
        </w:r>
        <w:r>
          <w:rPr>
            <w:webHidden/>
          </w:rPr>
        </w:r>
        <w:r>
          <w:rPr>
            <w:webHidden/>
          </w:rPr>
          <w:fldChar w:fldCharType="separate"/>
        </w:r>
        <w:r w:rsidR="0052675C">
          <w:rPr>
            <w:webHidden/>
          </w:rPr>
          <w:t>38</w:t>
        </w:r>
        <w:r>
          <w:rPr>
            <w:webHidden/>
          </w:rPr>
          <w:fldChar w:fldCharType="end"/>
        </w:r>
      </w:hyperlink>
    </w:p>
    <w:p w14:paraId="450A143B" w14:textId="335F5BC7" w:rsidR="00383CB2" w:rsidRDefault="00383CB2">
      <w:pPr>
        <w:pStyle w:val="TOC2"/>
        <w:rPr>
          <w:rFonts w:asciiTheme="minorHAnsi" w:eastAsiaTheme="minorEastAsia" w:hAnsiTheme="minorHAnsi"/>
          <w:kern w:val="2"/>
          <w:sz w:val="24"/>
          <w:szCs w:val="24"/>
          <w:lang w:eastAsia="en-AU"/>
          <w14:ligatures w14:val="standardContextual"/>
        </w:rPr>
      </w:pPr>
      <w:hyperlink w:anchor="_Toc233031596" w:history="1">
        <w:r w:rsidRPr="00451CBB">
          <w:rPr>
            <w:rStyle w:val="Hyperlink"/>
            <w:rFonts w:eastAsiaTheme="minorHAnsi"/>
          </w:rPr>
          <w:t>5.3</w:t>
        </w:r>
        <w:r>
          <w:rPr>
            <w:rFonts w:asciiTheme="minorHAnsi" w:eastAsiaTheme="minorEastAsia" w:hAnsiTheme="minorHAnsi"/>
            <w:kern w:val="2"/>
            <w:sz w:val="24"/>
            <w:szCs w:val="24"/>
            <w:lang w:eastAsia="en-AU"/>
            <w14:ligatures w14:val="standardContextual"/>
          </w:rPr>
          <w:tab/>
        </w:r>
        <w:r w:rsidRPr="00451CBB">
          <w:rPr>
            <w:rStyle w:val="Hyperlink"/>
            <w:rFonts w:eastAsiaTheme="minorHAnsi"/>
          </w:rPr>
          <w:t>Studies excluded from RoB assessment or from further assessment due to being out of scope</w:t>
        </w:r>
        <w:r>
          <w:rPr>
            <w:webHidden/>
          </w:rPr>
          <w:tab/>
        </w:r>
        <w:r>
          <w:rPr>
            <w:webHidden/>
          </w:rPr>
          <w:fldChar w:fldCharType="begin"/>
        </w:r>
        <w:r>
          <w:rPr>
            <w:webHidden/>
          </w:rPr>
          <w:instrText xml:space="preserve"> PAGEREF _Toc233031596 \h </w:instrText>
        </w:r>
        <w:r>
          <w:rPr>
            <w:webHidden/>
          </w:rPr>
        </w:r>
        <w:r>
          <w:rPr>
            <w:webHidden/>
          </w:rPr>
          <w:fldChar w:fldCharType="separate"/>
        </w:r>
        <w:r w:rsidR="0052675C">
          <w:rPr>
            <w:webHidden/>
          </w:rPr>
          <w:t>40</w:t>
        </w:r>
        <w:r>
          <w:rPr>
            <w:webHidden/>
          </w:rPr>
          <w:fldChar w:fldCharType="end"/>
        </w:r>
      </w:hyperlink>
    </w:p>
    <w:p w14:paraId="2EB6FF2A" w14:textId="70785566" w:rsidR="00383CB2" w:rsidRDefault="00383CB2">
      <w:pPr>
        <w:pStyle w:val="TOC3"/>
        <w:rPr>
          <w:rFonts w:asciiTheme="minorHAnsi" w:eastAsiaTheme="minorEastAsia" w:hAnsiTheme="minorHAnsi"/>
          <w:kern w:val="2"/>
          <w:sz w:val="24"/>
          <w:szCs w:val="24"/>
          <w:lang w:eastAsia="en-AU"/>
          <w14:ligatures w14:val="standardContextual"/>
        </w:rPr>
      </w:pPr>
      <w:hyperlink w:anchor="_Toc233031597" w:history="1">
        <w:r w:rsidRPr="00451CBB">
          <w:rPr>
            <w:rStyle w:val="Hyperlink"/>
            <w:rFonts w:eastAsiaTheme="minorHAnsi"/>
          </w:rPr>
          <w:t>5.3.1</w:t>
        </w:r>
        <w:r>
          <w:rPr>
            <w:rFonts w:asciiTheme="minorHAnsi" w:eastAsiaTheme="minorEastAsia" w:hAnsiTheme="minorHAnsi"/>
            <w:kern w:val="2"/>
            <w:sz w:val="24"/>
            <w:szCs w:val="24"/>
            <w:lang w:eastAsia="en-AU"/>
            <w14:ligatures w14:val="standardContextual"/>
          </w:rPr>
          <w:tab/>
        </w:r>
        <w:r w:rsidRPr="00451CBB">
          <w:rPr>
            <w:rStyle w:val="Hyperlink"/>
            <w:rFonts w:eastAsiaTheme="minorHAnsi"/>
          </w:rPr>
          <w:t>Excluded due to therapeutic/pharmaceutical use in non-representative clinical populations</w:t>
        </w:r>
        <w:r>
          <w:rPr>
            <w:webHidden/>
          </w:rPr>
          <w:tab/>
        </w:r>
        <w:r>
          <w:rPr>
            <w:webHidden/>
          </w:rPr>
          <w:fldChar w:fldCharType="begin"/>
        </w:r>
        <w:r>
          <w:rPr>
            <w:webHidden/>
          </w:rPr>
          <w:instrText xml:space="preserve"> PAGEREF _Toc233031597 \h </w:instrText>
        </w:r>
        <w:r>
          <w:rPr>
            <w:webHidden/>
          </w:rPr>
        </w:r>
        <w:r>
          <w:rPr>
            <w:webHidden/>
          </w:rPr>
          <w:fldChar w:fldCharType="separate"/>
        </w:r>
        <w:r w:rsidR="0052675C">
          <w:rPr>
            <w:webHidden/>
          </w:rPr>
          <w:t>41</w:t>
        </w:r>
        <w:r>
          <w:rPr>
            <w:webHidden/>
          </w:rPr>
          <w:fldChar w:fldCharType="end"/>
        </w:r>
      </w:hyperlink>
    </w:p>
    <w:p w14:paraId="3D67BF08" w14:textId="3757F8C2" w:rsidR="00383CB2" w:rsidRDefault="00383CB2">
      <w:pPr>
        <w:pStyle w:val="TOC3"/>
        <w:rPr>
          <w:rFonts w:asciiTheme="minorHAnsi" w:eastAsiaTheme="minorEastAsia" w:hAnsiTheme="minorHAnsi"/>
          <w:kern w:val="2"/>
          <w:sz w:val="24"/>
          <w:szCs w:val="24"/>
          <w:lang w:eastAsia="en-AU"/>
          <w14:ligatures w14:val="standardContextual"/>
        </w:rPr>
      </w:pPr>
      <w:hyperlink w:anchor="_Toc233031598" w:history="1">
        <w:r w:rsidRPr="00451CBB">
          <w:rPr>
            <w:rStyle w:val="Hyperlink"/>
            <w:rFonts w:eastAsiaTheme="minorHAnsi"/>
          </w:rPr>
          <w:t>5.3.2</w:t>
        </w:r>
        <w:r>
          <w:rPr>
            <w:rFonts w:asciiTheme="minorHAnsi" w:eastAsiaTheme="minorEastAsia" w:hAnsiTheme="minorHAnsi"/>
            <w:kern w:val="2"/>
            <w:sz w:val="24"/>
            <w:szCs w:val="24"/>
            <w:lang w:eastAsia="en-AU"/>
            <w14:ligatures w14:val="standardContextual"/>
          </w:rPr>
          <w:tab/>
        </w:r>
        <w:r w:rsidRPr="00451CBB">
          <w:rPr>
            <w:rStyle w:val="Hyperlink"/>
            <w:rFonts w:eastAsiaTheme="minorHAnsi"/>
          </w:rPr>
          <w:t>Excluded from the RoB-weighted dose-response assessment but retained as mechanistic or uncertainty-factor-relevant evidence</w:t>
        </w:r>
        <w:r>
          <w:rPr>
            <w:webHidden/>
          </w:rPr>
          <w:tab/>
        </w:r>
        <w:r>
          <w:rPr>
            <w:webHidden/>
          </w:rPr>
          <w:fldChar w:fldCharType="begin"/>
        </w:r>
        <w:r>
          <w:rPr>
            <w:webHidden/>
          </w:rPr>
          <w:instrText xml:space="preserve"> PAGEREF _Toc233031598 \h </w:instrText>
        </w:r>
        <w:r>
          <w:rPr>
            <w:webHidden/>
          </w:rPr>
        </w:r>
        <w:r>
          <w:rPr>
            <w:webHidden/>
          </w:rPr>
          <w:fldChar w:fldCharType="separate"/>
        </w:r>
        <w:r w:rsidR="0052675C">
          <w:rPr>
            <w:webHidden/>
          </w:rPr>
          <w:t>41</w:t>
        </w:r>
        <w:r>
          <w:rPr>
            <w:webHidden/>
          </w:rPr>
          <w:fldChar w:fldCharType="end"/>
        </w:r>
      </w:hyperlink>
    </w:p>
    <w:p w14:paraId="50186867" w14:textId="20B08729" w:rsidR="00383CB2" w:rsidRDefault="00383CB2">
      <w:pPr>
        <w:pStyle w:val="TOC3"/>
        <w:rPr>
          <w:rFonts w:asciiTheme="minorHAnsi" w:eastAsiaTheme="minorEastAsia" w:hAnsiTheme="minorHAnsi"/>
          <w:kern w:val="2"/>
          <w:sz w:val="24"/>
          <w:szCs w:val="24"/>
          <w:lang w:eastAsia="en-AU"/>
          <w14:ligatures w14:val="standardContextual"/>
        </w:rPr>
      </w:pPr>
      <w:hyperlink w:anchor="_Toc233031599" w:history="1">
        <w:r w:rsidRPr="00451CBB">
          <w:rPr>
            <w:rStyle w:val="Hyperlink"/>
            <w:rFonts w:eastAsiaTheme="minorHAnsi"/>
          </w:rPr>
          <w:t>5.3.3</w:t>
        </w:r>
        <w:r>
          <w:rPr>
            <w:rFonts w:asciiTheme="minorHAnsi" w:eastAsiaTheme="minorEastAsia" w:hAnsiTheme="minorHAnsi"/>
            <w:kern w:val="2"/>
            <w:sz w:val="24"/>
            <w:szCs w:val="24"/>
            <w:lang w:eastAsia="en-AU"/>
            <w14:ligatures w14:val="standardContextual"/>
          </w:rPr>
          <w:tab/>
        </w:r>
        <w:r w:rsidRPr="00451CBB">
          <w:rPr>
            <w:rStyle w:val="Hyperlink"/>
            <w:rFonts w:eastAsiaTheme="minorHAnsi"/>
          </w:rPr>
          <w:t>Excluded as non-primary studies with no evidence to change the evaluation</w:t>
        </w:r>
        <w:r>
          <w:rPr>
            <w:webHidden/>
          </w:rPr>
          <w:tab/>
        </w:r>
        <w:r>
          <w:rPr>
            <w:webHidden/>
          </w:rPr>
          <w:fldChar w:fldCharType="begin"/>
        </w:r>
        <w:r>
          <w:rPr>
            <w:webHidden/>
          </w:rPr>
          <w:instrText xml:space="preserve"> PAGEREF _Toc233031599 \h </w:instrText>
        </w:r>
        <w:r>
          <w:rPr>
            <w:webHidden/>
          </w:rPr>
        </w:r>
        <w:r>
          <w:rPr>
            <w:webHidden/>
          </w:rPr>
          <w:fldChar w:fldCharType="separate"/>
        </w:r>
        <w:r w:rsidR="0052675C">
          <w:rPr>
            <w:webHidden/>
          </w:rPr>
          <w:t>41</w:t>
        </w:r>
        <w:r>
          <w:rPr>
            <w:webHidden/>
          </w:rPr>
          <w:fldChar w:fldCharType="end"/>
        </w:r>
      </w:hyperlink>
    </w:p>
    <w:p w14:paraId="536A10BB" w14:textId="76734C38" w:rsidR="00383CB2" w:rsidRDefault="00383CB2">
      <w:pPr>
        <w:pStyle w:val="TOC2"/>
        <w:rPr>
          <w:rFonts w:asciiTheme="minorHAnsi" w:eastAsiaTheme="minorEastAsia" w:hAnsiTheme="minorHAnsi"/>
          <w:kern w:val="2"/>
          <w:sz w:val="24"/>
          <w:szCs w:val="24"/>
          <w:lang w:eastAsia="en-AU"/>
          <w14:ligatures w14:val="standardContextual"/>
        </w:rPr>
      </w:pPr>
      <w:hyperlink w:anchor="_Toc233031600" w:history="1">
        <w:r w:rsidRPr="00451CBB">
          <w:rPr>
            <w:rStyle w:val="Hyperlink"/>
            <w:rFonts w:eastAsiaTheme="minorHAnsi"/>
          </w:rPr>
          <w:t>5.4</w:t>
        </w:r>
        <w:r>
          <w:rPr>
            <w:rFonts w:asciiTheme="minorHAnsi" w:eastAsiaTheme="minorEastAsia" w:hAnsiTheme="minorHAnsi"/>
            <w:kern w:val="2"/>
            <w:sz w:val="24"/>
            <w:szCs w:val="24"/>
            <w:lang w:eastAsia="en-AU"/>
            <w14:ligatures w14:val="standardContextual"/>
          </w:rPr>
          <w:tab/>
        </w:r>
        <w:r w:rsidRPr="00451CBB">
          <w:rPr>
            <w:rStyle w:val="Hyperlink"/>
            <w:rFonts w:eastAsiaTheme="minorHAnsi"/>
          </w:rPr>
          <w:t>Overall Evaluation</w:t>
        </w:r>
        <w:r>
          <w:rPr>
            <w:webHidden/>
          </w:rPr>
          <w:tab/>
        </w:r>
        <w:r>
          <w:rPr>
            <w:webHidden/>
          </w:rPr>
          <w:fldChar w:fldCharType="begin"/>
        </w:r>
        <w:r>
          <w:rPr>
            <w:webHidden/>
          </w:rPr>
          <w:instrText xml:space="preserve"> PAGEREF _Toc233031600 \h </w:instrText>
        </w:r>
        <w:r>
          <w:rPr>
            <w:webHidden/>
          </w:rPr>
        </w:r>
        <w:r>
          <w:rPr>
            <w:webHidden/>
          </w:rPr>
          <w:fldChar w:fldCharType="separate"/>
        </w:r>
        <w:r w:rsidR="0052675C">
          <w:rPr>
            <w:webHidden/>
          </w:rPr>
          <w:t>42</w:t>
        </w:r>
        <w:r>
          <w:rPr>
            <w:webHidden/>
          </w:rPr>
          <w:fldChar w:fldCharType="end"/>
        </w:r>
      </w:hyperlink>
    </w:p>
    <w:p w14:paraId="2710C38E" w14:textId="73DA5BBD" w:rsidR="00383CB2" w:rsidRDefault="00383CB2">
      <w:pPr>
        <w:pStyle w:val="TOC1"/>
        <w:rPr>
          <w:rFonts w:asciiTheme="minorHAnsi" w:eastAsiaTheme="minorEastAsia" w:hAnsiTheme="minorHAnsi"/>
          <w:b w:val="0"/>
          <w:kern w:val="2"/>
          <w:sz w:val="24"/>
          <w:szCs w:val="24"/>
          <w:lang w:eastAsia="en-AU"/>
          <w14:ligatures w14:val="standardContextual"/>
        </w:rPr>
      </w:pPr>
      <w:hyperlink w:anchor="_Toc233031601" w:history="1">
        <w:r w:rsidRPr="00451CBB">
          <w:rPr>
            <w:rStyle w:val="Hyperlink"/>
            <w:rFonts w:eastAsiaTheme="minorHAnsi"/>
          </w:rPr>
          <w:t>6.0</w:t>
        </w:r>
        <w:r>
          <w:rPr>
            <w:rFonts w:asciiTheme="minorHAnsi" w:eastAsiaTheme="minorEastAsia" w:hAnsiTheme="minorHAnsi"/>
            <w:b w:val="0"/>
            <w:kern w:val="2"/>
            <w:sz w:val="24"/>
            <w:szCs w:val="24"/>
            <w:lang w:eastAsia="en-AU"/>
            <w14:ligatures w14:val="standardContextual"/>
          </w:rPr>
          <w:tab/>
        </w:r>
        <w:r w:rsidRPr="00451CBB">
          <w:rPr>
            <w:rStyle w:val="Hyperlink"/>
            <w:rFonts w:eastAsiaTheme="minorHAnsi"/>
          </w:rPr>
          <w:t>Conclusions</w:t>
        </w:r>
        <w:r>
          <w:rPr>
            <w:webHidden/>
          </w:rPr>
          <w:tab/>
        </w:r>
        <w:r>
          <w:rPr>
            <w:webHidden/>
          </w:rPr>
          <w:fldChar w:fldCharType="begin"/>
        </w:r>
        <w:r>
          <w:rPr>
            <w:webHidden/>
          </w:rPr>
          <w:instrText xml:space="preserve"> PAGEREF _Toc233031601 \h </w:instrText>
        </w:r>
        <w:r>
          <w:rPr>
            <w:webHidden/>
          </w:rPr>
        </w:r>
        <w:r>
          <w:rPr>
            <w:webHidden/>
          </w:rPr>
          <w:fldChar w:fldCharType="separate"/>
        </w:r>
        <w:r w:rsidR="0052675C">
          <w:rPr>
            <w:webHidden/>
          </w:rPr>
          <w:t>49</w:t>
        </w:r>
        <w:r>
          <w:rPr>
            <w:webHidden/>
          </w:rPr>
          <w:fldChar w:fldCharType="end"/>
        </w:r>
      </w:hyperlink>
    </w:p>
    <w:p w14:paraId="492AEE76" w14:textId="27D87CD4" w:rsidR="00383CB2" w:rsidRDefault="00383CB2">
      <w:pPr>
        <w:pStyle w:val="TOC1"/>
        <w:rPr>
          <w:rFonts w:asciiTheme="minorHAnsi" w:eastAsiaTheme="minorEastAsia" w:hAnsiTheme="minorHAnsi"/>
          <w:b w:val="0"/>
          <w:kern w:val="2"/>
          <w:sz w:val="24"/>
          <w:szCs w:val="24"/>
          <w:lang w:eastAsia="en-AU"/>
          <w14:ligatures w14:val="standardContextual"/>
        </w:rPr>
      </w:pPr>
      <w:hyperlink w:anchor="_Toc233031602" w:history="1">
        <w:r w:rsidRPr="00451CBB">
          <w:rPr>
            <w:rStyle w:val="Hyperlink"/>
            <w:rFonts w:eastAsiaTheme="minorHAnsi"/>
          </w:rPr>
          <w:t>7.0</w:t>
        </w:r>
        <w:r>
          <w:rPr>
            <w:rFonts w:asciiTheme="minorHAnsi" w:eastAsiaTheme="minorEastAsia" w:hAnsiTheme="minorHAnsi"/>
            <w:b w:val="0"/>
            <w:kern w:val="2"/>
            <w:sz w:val="24"/>
            <w:szCs w:val="24"/>
            <w:lang w:eastAsia="en-AU"/>
            <w14:ligatures w14:val="standardContextual"/>
          </w:rPr>
          <w:tab/>
        </w:r>
        <w:r w:rsidRPr="00451CBB">
          <w:rPr>
            <w:rStyle w:val="Hyperlink"/>
            <w:rFonts w:eastAsiaTheme="minorHAnsi"/>
          </w:rPr>
          <w:t>Review Team</w:t>
        </w:r>
        <w:r>
          <w:rPr>
            <w:webHidden/>
          </w:rPr>
          <w:tab/>
        </w:r>
        <w:r>
          <w:rPr>
            <w:webHidden/>
          </w:rPr>
          <w:fldChar w:fldCharType="begin"/>
        </w:r>
        <w:r>
          <w:rPr>
            <w:webHidden/>
          </w:rPr>
          <w:instrText xml:space="preserve"> PAGEREF _Toc233031602 \h </w:instrText>
        </w:r>
        <w:r>
          <w:rPr>
            <w:webHidden/>
          </w:rPr>
        </w:r>
        <w:r>
          <w:rPr>
            <w:webHidden/>
          </w:rPr>
          <w:fldChar w:fldCharType="separate"/>
        </w:r>
        <w:r w:rsidR="0052675C">
          <w:rPr>
            <w:webHidden/>
          </w:rPr>
          <w:t>50</w:t>
        </w:r>
        <w:r>
          <w:rPr>
            <w:webHidden/>
          </w:rPr>
          <w:fldChar w:fldCharType="end"/>
        </w:r>
      </w:hyperlink>
    </w:p>
    <w:p w14:paraId="0F0AF079" w14:textId="3A4E05E1" w:rsidR="00383CB2" w:rsidRDefault="00383CB2">
      <w:pPr>
        <w:pStyle w:val="TOC1"/>
        <w:rPr>
          <w:rFonts w:asciiTheme="minorHAnsi" w:eastAsiaTheme="minorEastAsia" w:hAnsiTheme="minorHAnsi"/>
          <w:b w:val="0"/>
          <w:kern w:val="2"/>
          <w:sz w:val="24"/>
          <w:szCs w:val="24"/>
          <w:lang w:eastAsia="en-AU"/>
          <w14:ligatures w14:val="standardContextual"/>
        </w:rPr>
      </w:pPr>
      <w:hyperlink w:anchor="_Toc233031603" w:history="1">
        <w:r w:rsidRPr="00451CBB">
          <w:rPr>
            <w:rStyle w:val="Hyperlink"/>
            <w:rFonts w:eastAsiaTheme="minorHAnsi"/>
          </w:rPr>
          <w:t>8.0</w:t>
        </w:r>
        <w:r>
          <w:rPr>
            <w:rFonts w:asciiTheme="minorHAnsi" w:eastAsiaTheme="minorEastAsia" w:hAnsiTheme="minorHAnsi"/>
            <w:b w:val="0"/>
            <w:kern w:val="2"/>
            <w:sz w:val="24"/>
            <w:szCs w:val="24"/>
            <w:lang w:eastAsia="en-AU"/>
            <w14:ligatures w14:val="standardContextual"/>
          </w:rPr>
          <w:tab/>
        </w:r>
        <w:r w:rsidRPr="00451CBB">
          <w:rPr>
            <w:rStyle w:val="Hyperlink"/>
            <w:rFonts w:eastAsiaTheme="minorHAnsi"/>
          </w:rPr>
          <w:t>Declared Interests</w:t>
        </w:r>
        <w:r>
          <w:rPr>
            <w:webHidden/>
          </w:rPr>
          <w:tab/>
        </w:r>
        <w:r>
          <w:rPr>
            <w:webHidden/>
          </w:rPr>
          <w:fldChar w:fldCharType="begin"/>
        </w:r>
        <w:r>
          <w:rPr>
            <w:webHidden/>
          </w:rPr>
          <w:instrText xml:space="preserve"> PAGEREF _Toc233031603 \h </w:instrText>
        </w:r>
        <w:r>
          <w:rPr>
            <w:webHidden/>
          </w:rPr>
        </w:r>
        <w:r>
          <w:rPr>
            <w:webHidden/>
          </w:rPr>
          <w:fldChar w:fldCharType="separate"/>
        </w:r>
        <w:r w:rsidR="0052675C">
          <w:rPr>
            <w:webHidden/>
          </w:rPr>
          <w:t>50</w:t>
        </w:r>
        <w:r>
          <w:rPr>
            <w:webHidden/>
          </w:rPr>
          <w:fldChar w:fldCharType="end"/>
        </w:r>
      </w:hyperlink>
    </w:p>
    <w:p w14:paraId="31B81000" w14:textId="7DCC18DC" w:rsidR="00383CB2" w:rsidRDefault="00383CB2">
      <w:pPr>
        <w:pStyle w:val="TOC1"/>
        <w:rPr>
          <w:rFonts w:asciiTheme="minorHAnsi" w:eastAsiaTheme="minorEastAsia" w:hAnsiTheme="minorHAnsi"/>
          <w:b w:val="0"/>
          <w:kern w:val="2"/>
          <w:sz w:val="24"/>
          <w:szCs w:val="24"/>
          <w:lang w:eastAsia="en-AU"/>
          <w14:ligatures w14:val="standardContextual"/>
        </w:rPr>
      </w:pPr>
      <w:hyperlink w:anchor="_Toc233031604" w:history="1">
        <w:r w:rsidRPr="00451CBB">
          <w:rPr>
            <w:rStyle w:val="Hyperlink"/>
            <w:rFonts w:eastAsiaTheme="minorHAnsi"/>
          </w:rPr>
          <w:t>9.0</w:t>
        </w:r>
        <w:r>
          <w:rPr>
            <w:rFonts w:asciiTheme="minorHAnsi" w:eastAsiaTheme="minorEastAsia" w:hAnsiTheme="minorHAnsi"/>
            <w:b w:val="0"/>
            <w:kern w:val="2"/>
            <w:sz w:val="24"/>
            <w:szCs w:val="24"/>
            <w:lang w:eastAsia="en-AU"/>
            <w14:ligatures w14:val="standardContextual"/>
          </w:rPr>
          <w:tab/>
        </w:r>
        <w:r w:rsidRPr="00451CBB">
          <w:rPr>
            <w:rStyle w:val="Hyperlink"/>
            <w:rFonts w:eastAsiaTheme="minorHAnsi"/>
          </w:rPr>
          <w:t>References</w:t>
        </w:r>
        <w:r>
          <w:rPr>
            <w:webHidden/>
          </w:rPr>
          <w:tab/>
        </w:r>
        <w:r>
          <w:rPr>
            <w:webHidden/>
          </w:rPr>
          <w:fldChar w:fldCharType="begin"/>
        </w:r>
        <w:r>
          <w:rPr>
            <w:webHidden/>
          </w:rPr>
          <w:instrText xml:space="preserve"> PAGEREF _Toc233031604 \h </w:instrText>
        </w:r>
        <w:r>
          <w:rPr>
            <w:webHidden/>
          </w:rPr>
        </w:r>
        <w:r>
          <w:rPr>
            <w:webHidden/>
          </w:rPr>
          <w:fldChar w:fldCharType="separate"/>
        </w:r>
        <w:r w:rsidR="0052675C">
          <w:rPr>
            <w:webHidden/>
          </w:rPr>
          <w:t>50</w:t>
        </w:r>
        <w:r>
          <w:rPr>
            <w:webHidden/>
          </w:rPr>
          <w:fldChar w:fldCharType="end"/>
        </w:r>
      </w:hyperlink>
    </w:p>
    <w:p w14:paraId="682820B9" w14:textId="7D4A92C2" w:rsidR="00F727E1" w:rsidRPr="008371FA" w:rsidRDefault="0001154A" w:rsidP="00D002F6">
      <w:pPr>
        <w:pStyle w:val="BodyText"/>
        <w:ind w:right="29"/>
      </w:pPr>
      <w:r w:rsidRPr="008371FA">
        <w:rPr>
          <w:b/>
          <w:caps/>
          <w:szCs w:val="22"/>
        </w:rPr>
        <w:fldChar w:fldCharType="end"/>
      </w:r>
    </w:p>
    <w:p w14:paraId="667C4254" w14:textId="77777777" w:rsidR="009E7921" w:rsidRPr="008371FA" w:rsidRDefault="00E8237E" w:rsidP="00B33D79">
      <w:pPr>
        <w:pStyle w:val="TOCHeading"/>
      </w:pPr>
      <w:r w:rsidRPr="008371FA">
        <w:t>Tables</w:t>
      </w:r>
    </w:p>
    <w:p w14:paraId="54686CF0" w14:textId="2912A75F" w:rsidR="00383CB2" w:rsidRPr="00651DBE" w:rsidRDefault="009B3165">
      <w:pPr>
        <w:pStyle w:val="TableofFigures"/>
        <w:rPr>
          <w:rFonts w:asciiTheme="minorHAnsi" w:eastAsiaTheme="minorEastAsia" w:hAnsiTheme="minorHAnsi"/>
          <w:kern w:val="2"/>
          <w:sz w:val="24"/>
          <w:szCs w:val="24"/>
          <w:lang w:eastAsia="en-AU"/>
          <w14:ligatures w14:val="standardContextual"/>
        </w:rPr>
      </w:pPr>
      <w:r w:rsidRPr="008371FA">
        <w:rPr>
          <w:noProof w:val="0"/>
        </w:rPr>
        <w:fldChar w:fldCharType="begin"/>
      </w:r>
      <w:r w:rsidRPr="008371FA">
        <w:rPr>
          <w:noProof w:val="0"/>
        </w:rPr>
        <w:instrText xml:space="preserve"> TOC \h \z \t "Table Title,1" \c "Table" </w:instrText>
      </w:r>
      <w:r w:rsidRPr="008371FA">
        <w:rPr>
          <w:noProof w:val="0"/>
        </w:rPr>
        <w:fldChar w:fldCharType="separate"/>
      </w:r>
      <w:hyperlink w:anchor="_Toc233031605" w:history="1">
        <w:r w:rsidR="00383CB2" w:rsidRPr="00651DBE">
          <w:rPr>
            <w:rStyle w:val="Hyperlink"/>
            <w:rFonts w:eastAsiaTheme="majorEastAsia"/>
          </w:rPr>
          <w:t>Table 1 Research Questions for Evidence Evaluation of Vitamin B6 Upper Level (UL) Review</w:t>
        </w:r>
        <w:r w:rsidR="00383CB2" w:rsidRPr="00651DBE">
          <w:rPr>
            <w:webHidden/>
          </w:rPr>
          <w:tab/>
        </w:r>
        <w:r w:rsidR="00383CB2" w:rsidRPr="00651DBE">
          <w:rPr>
            <w:webHidden/>
          </w:rPr>
          <w:fldChar w:fldCharType="begin"/>
        </w:r>
        <w:r w:rsidR="00383CB2" w:rsidRPr="00651DBE">
          <w:rPr>
            <w:webHidden/>
          </w:rPr>
          <w:instrText xml:space="preserve"> PAGEREF _Toc233031605 \h </w:instrText>
        </w:r>
        <w:r w:rsidR="00383CB2" w:rsidRPr="00651DBE">
          <w:rPr>
            <w:webHidden/>
          </w:rPr>
        </w:r>
        <w:r w:rsidR="00383CB2" w:rsidRPr="00651DBE">
          <w:rPr>
            <w:webHidden/>
          </w:rPr>
          <w:fldChar w:fldCharType="separate"/>
        </w:r>
        <w:r w:rsidR="0052675C">
          <w:rPr>
            <w:webHidden/>
          </w:rPr>
          <w:t>2</w:t>
        </w:r>
        <w:r w:rsidR="00383CB2" w:rsidRPr="00651DBE">
          <w:rPr>
            <w:webHidden/>
          </w:rPr>
          <w:fldChar w:fldCharType="end"/>
        </w:r>
      </w:hyperlink>
    </w:p>
    <w:p w14:paraId="4528175E" w14:textId="1323398A" w:rsidR="00383CB2" w:rsidRPr="00651DBE" w:rsidRDefault="00383CB2">
      <w:pPr>
        <w:pStyle w:val="TableofFigures"/>
        <w:rPr>
          <w:rFonts w:asciiTheme="minorHAnsi" w:eastAsiaTheme="minorEastAsia" w:hAnsiTheme="minorHAnsi"/>
          <w:kern w:val="2"/>
          <w:sz w:val="24"/>
          <w:szCs w:val="24"/>
          <w:lang w:eastAsia="en-AU"/>
          <w14:ligatures w14:val="standardContextual"/>
        </w:rPr>
      </w:pPr>
      <w:hyperlink w:anchor="_Toc233031606" w:history="1">
        <w:r w:rsidRPr="00400348">
          <w:rPr>
            <w:rStyle w:val="Hyperlink"/>
            <w:rFonts w:eastAsiaTheme="majorEastAsia"/>
          </w:rPr>
          <w:t>Table 2</w:t>
        </w:r>
        <w:r w:rsidRPr="00651DBE">
          <w:rPr>
            <w:rFonts w:asciiTheme="minorHAnsi" w:eastAsiaTheme="minorEastAsia" w:hAnsiTheme="minorHAnsi"/>
            <w:kern w:val="2"/>
            <w:sz w:val="24"/>
            <w:szCs w:val="24"/>
            <w:lang w:eastAsia="en-AU"/>
            <w14:ligatures w14:val="standardContextual"/>
          </w:rPr>
          <w:tab/>
        </w:r>
        <w:r w:rsidRPr="00400348">
          <w:rPr>
            <w:rStyle w:val="Hyperlink"/>
            <w:rFonts w:eastAsiaTheme="majorEastAsia"/>
          </w:rPr>
          <w:t>Summary of agreement and disagreement among guidance document based on research questions</w:t>
        </w:r>
        <w:r w:rsidRPr="00651DBE">
          <w:rPr>
            <w:webHidden/>
          </w:rPr>
          <w:tab/>
        </w:r>
        <w:r w:rsidRPr="00651DBE">
          <w:rPr>
            <w:webHidden/>
          </w:rPr>
          <w:fldChar w:fldCharType="begin"/>
        </w:r>
        <w:r w:rsidRPr="00651DBE">
          <w:rPr>
            <w:webHidden/>
          </w:rPr>
          <w:instrText xml:space="preserve"> PAGEREF _Toc233031606 \h </w:instrText>
        </w:r>
        <w:r w:rsidRPr="00651DBE">
          <w:rPr>
            <w:webHidden/>
          </w:rPr>
        </w:r>
        <w:r w:rsidRPr="00651DBE">
          <w:rPr>
            <w:webHidden/>
          </w:rPr>
          <w:fldChar w:fldCharType="separate"/>
        </w:r>
        <w:r w:rsidR="0052675C">
          <w:rPr>
            <w:webHidden/>
          </w:rPr>
          <w:t>8</w:t>
        </w:r>
        <w:r w:rsidRPr="00651DBE">
          <w:rPr>
            <w:webHidden/>
          </w:rPr>
          <w:fldChar w:fldCharType="end"/>
        </w:r>
      </w:hyperlink>
    </w:p>
    <w:p w14:paraId="2E15455F" w14:textId="7B5879F8" w:rsidR="00383CB2" w:rsidRPr="00651DBE" w:rsidRDefault="00383CB2">
      <w:pPr>
        <w:pStyle w:val="TableofFigures"/>
        <w:rPr>
          <w:rFonts w:asciiTheme="minorHAnsi" w:eastAsiaTheme="minorEastAsia" w:hAnsiTheme="minorHAnsi"/>
          <w:kern w:val="2"/>
          <w:sz w:val="24"/>
          <w:szCs w:val="24"/>
          <w:lang w:eastAsia="en-AU"/>
          <w14:ligatures w14:val="standardContextual"/>
        </w:rPr>
      </w:pPr>
      <w:hyperlink w:anchor="_Toc233031607" w:history="1">
        <w:r w:rsidRPr="00400348">
          <w:rPr>
            <w:rStyle w:val="Hyperlink"/>
            <w:rFonts w:eastAsiaTheme="majorEastAsia"/>
          </w:rPr>
          <w:t>Table 3</w:t>
        </w:r>
        <w:r w:rsidRPr="00651DBE">
          <w:rPr>
            <w:rFonts w:asciiTheme="minorHAnsi" w:eastAsiaTheme="minorEastAsia" w:hAnsiTheme="minorHAnsi"/>
            <w:kern w:val="2"/>
            <w:sz w:val="24"/>
            <w:szCs w:val="24"/>
            <w:lang w:eastAsia="en-AU"/>
            <w14:ligatures w14:val="standardContextual"/>
          </w:rPr>
          <w:tab/>
        </w:r>
        <w:r w:rsidRPr="00400348">
          <w:rPr>
            <w:rStyle w:val="Hyperlink"/>
            <w:rFonts w:eastAsiaTheme="majorEastAsia"/>
          </w:rPr>
          <w:t>Summary of findings from data extraction for health-based research questions – EFSA 2023</w:t>
        </w:r>
        <w:r w:rsidRPr="00651DBE">
          <w:rPr>
            <w:webHidden/>
          </w:rPr>
          <w:tab/>
        </w:r>
        <w:r w:rsidRPr="00651DBE">
          <w:rPr>
            <w:webHidden/>
          </w:rPr>
          <w:fldChar w:fldCharType="begin"/>
        </w:r>
        <w:r w:rsidRPr="00651DBE">
          <w:rPr>
            <w:webHidden/>
          </w:rPr>
          <w:instrText xml:space="preserve"> PAGEREF _Toc233031607 \h </w:instrText>
        </w:r>
        <w:r w:rsidRPr="00651DBE">
          <w:rPr>
            <w:webHidden/>
          </w:rPr>
        </w:r>
        <w:r w:rsidRPr="00651DBE">
          <w:rPr>
            <w:webHidden/>
          </w:rPr>
          <w:fldChar w:fldCharType="separate"/>
        </w:r>
        <w:r w:rsidR="0052675C">
          <w:rPr>
            <w:webHidden/>
          </w:rPr>
          <w:t>15</w:t>
        </w:r>
        <w:r w:rsidRPr="00651DBE">
          <w:rPr>
            <w:webHidden/>
          </w:rPr>
          <w:fldChar w:fldCharType="end"/>
        </w:r>
      </w:hyperlink>
    </w:p>
    <w:p w14:paraId="01130749" w14:textId="5BECBFE0" w:rsidR="00383CB2" w:rsidRPr="00651DBE" w:rsidRDefault="00383CB2">
      <w:pPr>
        <w:pStyle w:val="TableofFigures"/>
        <w:rPr>
          <w:rFonts w:asciiTheme="minorHAnsi" w:eastAsiaTheme="minorEastAsia" w:hAnsiTheme="minorHAnsi"/>
          <w:kern w:val="2"/>
          <w:sz w:val="24"/>
          <w:szCs w:val="24"/>
          <w:lang w:eastAsia="en-AU"/>
          <w14:ligatures w14:val="standardContextual"/>
        </w:rPr>
      </w:pPr>
      <w:hyperlink w:anchor="_Toc233031608" w:history="1">
        <w:r w:rsidRPr="00400348">
          <w:rPr>
            <w:rStyle w:val="Hyperlink"/>
            <w:rFonts w:eastAsiaTheme="majorEastAsia"/>
          </w:rPr>
          <w:t>Table 4</w:t>
        </w:r>
        <w:r w:rsidRPr="00651DBE">
          <w:rPr>
            <w:rFonts w:asciiTheme="minorHAnsi" w:eastAsiaTheme="minorEastAsia" w:hAnsiTheme="minorHAnsi"/>
            <w:kern w:val="2"/>
            <w:sz w:val="24"/>
            <w:szCs w:val="24"/>
            <w:lang w:eastAsia="en-AU"/>
            <w14:ligatures w14:val="standardContextual"/>
          </w:rPr>
          <w:tab/>
        </w:r>
        <w:r w:rsidRPr="00400348">
          <w:rPr>
            <w:rStyle w:val="Hyperlink"/>
            <w:rFonts w:eastAsiaTheme="majorEastAsia"/>
          </w:rPr>
          <w:t>Summary of findings from data extraction for health-based research questions – new evidence review grouped based on health outcomes</w:t>
        </w:r>
        <w:r w:rsidRPr="00651DBE">
          <w:rPr>
            <w:webHidden/>
          </w:rPr>
          <w:tab/>
        </w:r>
        <w:r w:rsidRPr="00651DBE">
          <w:rPr>
            <w:webHidden/>
          </w:rPr>
          <w:fldChar w:fldCharType="begin"/>
        </w:r>
        <w:r w:rsidRPr="00651DBE">
          <w:rPr>
            <w:webHidden/>
          </w:rPr>
          <w:instrText xml:space="preserve"> PAGEREF _Toc233031608 \h </w:instrText>
        </w:r>
        <w:r w:rsidRPr="00651DBE">
          <w:rPr>
            <w:webHidden/>
          </w:rPr>
        </w:r>
        <w:r w:rsidRPr="00651DBE">
          <w:rPr>
            <w:webHidden/>
          </w:rPr>
          <w:fldChar w:fldCharType="separate"/>
        </w:r>
        <w:r w:rsidR="0052675C">
          <w:rPr>
            <w:webHidden/>
          </w:rPr>
          <w:t>26</w:t>
        </w:r>
        <w:r w:rsidRPr="00651DBE">
          <w:rPr>
            <w:webHidden/>
          </w:rPr>
          <w:fldChar w:fldCharType="end"/>
        </w:r>
      </w:hyperlink>
    </w:p>
    <w:p w14:paraId="520B30B8" w14:textId="56627E05" w:rsidR="00383CB2" w:rsidRPr="00651DBE" w:rsidRDefault="00383CB2">
      <w:pPr>
        <w:pStyle w:val="TableofFigures"/>
        <w:rPr>
          <w:rFonts w:asciiTheme="minorHAnsi" w:eastAsiaTheme="minorEastAsia" w:hAnsiTheme="minorHAnsi"/>
          <w:kern w:val="2"/>
          <w:sz w:val="24"/>
          <w:szCs w:val="24"/>
          <w:lang w:eastAsia="en-AU"/>
          <w14:ligatures w14:val="standardContextual"/>
        </w:rPr>
      </w:pPr>
      <w:hyperlink w:anchor="_Toc233031609" w:history="1">
        <w:r w:rsidRPr="00400348">
          <w:rPr>
            <w:rStyle w:val="Hyperlink"/>
            <w:rFonts w:eastAsiaTheme="majorEastAsia"/>
          </w:rPr>
          <w:t>Table 5</w:t>
        </w:r>
        <w:r w:rsidRPr="00651DBE">
          <w:rPr>
            <w:rFonts w:asciiTheme="minorHAnsi" w:eastAsiaTheme="minorEastAsia" w:hAnsiTheme="minorHAnsi"/>
            <w:kern w:val="2"/>
            <w:sz w:val="24"/>
            <w:szCs w:val="24"/>
            <w:lang w:eastAsia="en-AU"/>
            <w14:ligatures w14:val="standardContextual"/>
          </w:rPr>
          <w:tab/>
        </w:r>
        <w:r w:rsidRPr="00400348">
          <w:rPr>
            <w:rStyle w:val="Hyperlink"/>
            <w:rFonts w:eastAsiaTheme="majorEastAsia"/>
          </w:rPr>
          <w:t>Summary of assessment of key studies underpinning the guidance ULs for vitamin B6</w:t>
        </w:r>
        <w:r w:rsidRPr="00651DBE">
          <w:rPr>
            <w:webHidden/>
          </w:rPr>
          <w:tab/>
        </w:r>
        <w:r w:rsidRPr="00651DBE">
          <w:rPr>
            <w:webHidden/>
          </w:rPr>
          <w:fldChar w:fldCharType="begin"/>
        </w:r>
        <w:r w:rsidRPr="00651DBE">
          <w:rPr>
            <w:webHidden/>
          </w:rPr>
          <w:instrText xml:space="preserve"> PAGEREF _Toc233031609 \h </w:instrText>
        </w:r>
        <w:r w:rsidRPr="00651DBE">
          <w:rPr>
            <w:webHidden/>
          </w:rPr>
        </w:r>
        <w:r w:rsidRPr="00651DBE">
          <w:rPr>
            <w:webHidden/>
          </w:rPr>
          <w:fldChar w:fldCharType="separate"/>
        </w:r>
        <w:r w:rsidR="0052675C">
          <w:rPr>
            <w:webHidden/>
          </w:rPr>
          <w:t>35</w:t>
        </w:r>
        <w:r w:rsidRPr="00651DBE">
          <w:rPr>
            <w:webHidden/>
          </w:rPr>
          <w:fldChar w:fldCharType="end"/>
        </w:r>
      </w:hyperlink>
    </w:p>
    <w:p w14:paraId="1258DB57" w14:textId="03E4B6A4" w:rsidR="00383CB2" w:rsidRPr="00651DBE" w:rsidRDefault="00383CB2">
      <w:pPr>
        <w:pStyle w:val="TableofFigures"/>
        <w:rPr>
          <w:rFonts w:asciiTheme="minorHAnsi" w:eastAsiaTheme="minorEastAsia" w:hAnsiTheme="minorHAnsi"/>
          <w:kern w:val="2"/>
          <w:sz w:val="24"/>
          <w:szCs w:val="24"/>
          <w:lang w:eastAsia="en-AU"/>
          <w14:ligatures w14:val="standardContextual"/>
        </w:rPr>
      </w:pPr>
      <w:hyperlink w:anchor="_Toc233031610" w:history="1">
        <w:r w:rsidRPr="00400348">
          <w:rPr>
            <w:rStyle w:val="Hyperlink"/>
            <w:rFonts w:eastAsiaTheme="majorEastAsia"/>
          </w:rPr>
          <w:t>Table 6</w:t>
        </w:r>
        <w:r w:rsidRPr="00651DBE">
          <w:rPr>
            <w:rFonts w:asciiTheme="minorHAnsi" w:eastAsiaTheme="minorEastAsia" w:hAnsiTheme="minorHAnsi"/>
            <w:kern w:val="2"/>
            <w:sz w:val="24"/>
            <w:szCs w:val="24"/>
            <w:lang w:eastAsia="en-AU"/>
            <w14:ligatures w14:val="standardContextual"/>
          </w:rPr>
          <w:tab/>
        </w:r>
        <w:r w:rsidRPr="00400348">
          <w:rPr>
            <w:rStyle w:val="Hyperlink"/>
            <w:rFonts w:eastAsiaTheme="majorEastAsia"/>
          </w:rPr>
          <w:t>Summary of risk of bias (RoB) assessment for new primary studies</w:t>
        </w:r>
        <w:r w:rsidRPr="00651DBE">
          <w:rPr>
            <w:webHidden/>
          </w:rPr>
          <w:tab/>
        </w:r>
        <w:r w:rsidRPr="00651DBE">
          <w:rPr>
            <w:webHidden/>
          </w:rPr>
          <w:fldChar w:fldCharType="begin"/>
        </w:r>
        <w:r w:rsidRPr="00651DBE">
          <w:rPr>
            <w:webHidden/>
          </w:rPr>
          <w:instrText xml:space="preserve"> PAGEREF _Toc233031610 \h </w:instrText>
        </w:r>
        <w:r w:rsidRPr="00651DBE">
          <w:rPr>
            <w:webHidden/>
          </w:rPr>
        </w:r>
        <w:r w:rsidRPr="00651DBE">
          <w:rPr>
            <w:webHidden/>
          </w:rPr>
          <w:fldChar w:fldCharType="separate"/>
        </w:r>
        <w:r w:rsidR="0052675C">
          <w:rPr>
            <w:webHidden/>
          </w:rPr>
          <w:t>44</w:t>
        </w:r>
        <w:r w:rsidRPr="00651DBE">
          <w:rPr>
            <w:webHidden/>
          </w:rPr>
          <w:fldChar w:fldCharType="end"/>
        </w:r>
      </w:hyperlink>
    </w:p>
    <w:p w14:paraId="75E34509" w14:textId="3453AD67" w:rsidR="00383CB2" w:rsidRPr="00651DBE" w:rsidRDefault="00383CB2">
      <w:pPr>
        <w:pStyle w:val="TableofFigures"/>
        <w:rPr>
          <w:rFonts w:asciiTheme="minorHAnsi" w:eastAsiaTheme="minorEastAsia" w:hAnsiTheme="minorHAnsi"/>
          <w:kern w:val="2"/>
          <w:sz w:val="24"/>
          <w:szCs w:val="24"/>
          <w:lang w:eastAsia="en-AU"/>
          <w14:ligatures w14:val="standardContextual"/>
        </w:rPr>
      </w:pPr>
      <w:hyperlink w:anchor="_Toc233031611" w:history="1">
        <w:r w:rsidRPr="00400348">
          <w:rPr>
            <w:rStyle w:val="Hyperlink"/>
            <w:rFonts w:eastAsiaTheme="majorEastAsia"/>
          </w:rPr>
          <w:t>Table 7</w:t>
        </w:r>
        <w:r w:rsidRPr="00651DBE">
          <w:rPr>
            <w:rFonts w:asciiTheme="minorHAnsi" w:eastAsiaTheme="minorEastAsia" w:hAnsiTheme="minorHAnsi"/>
            <w:kern w:val="2"/>
            <w:sz w:val="24"/>
            <w:szCs w:val="24"/>
            <w:lang w:eastAsia="en-AU"/>
            <w14:ligatures w14:val="standardContextual"/>
          </w:rPr>
          <w:tab/>
        </w:r>
        <w:r w:rsidRPr="00400348">
          <w:rPr>
            <w:rStyle w:val="Hyperlink"/>
            <w:rFonts w:eastAsiaTheme="majorEastAsia"/>
          </w:rPr>
          <w:t>Summary of initial confidence rating for new primary studies</w:t>
        </w:r>
        <w:r w:rsidRPr="00651DBE">
          <w:rPr>
            <w:webHidden/>
          </w:rPr>
          <w:tab/>
        </w:r>
        <w:r w:rsidRPr="00651DBE">
          <w:rPr>
            <w:webHidden/>
          </w:rPr>
          <w:fldChar w:fldCharType="begin"/>
        </w:r>
        <w:r w:rsidRPr="00651DBE">
          <w:rPr>
            <w:webHidden/>
          </w:rPr>
          <w:instrText xml:space="preserve"> PAGEREF _Toc233031611 \h </w:instrText>
        </w:r>
        <w:r w:rsidRPr="00651DBE">
          <w:rPr>
            <w:webHidden/>
          </w:rPr>
        </w:r>
        <w:r w:rsidRPr="00651DBE">
          <w:rPr>
            <w:webHidden/>
          </w:rPr>
          <w:fldChar w:fldCharType="separate"/>
        </w:r>
        <w:r w:rsidR="0052675C">
          <w:rPr>
            <w:webHidden/>
          </w:rPr>
          <w:t>46</w:t>
        </w:r>
        <w:r w:rsidRPr="00651DBE">
          <w:rPr>
            <w:webHidden/>
          </w:rPr>
          <w:fldChar w:fldCharType="end"/>
        </w:r>
      </w:hyperlink>
    </w:p>
    <w:p w14:paraId="2ADC5F76" w14:textId="1700CB41" w:rsidR="00383CB2" w:rsidRPr="00651DBE" w:rsidRDefault="00383CB2">
      <w:pPr>
        <w:pStyle w:val="TableofFigures"/>
        <w:rPr>
          <w:rFonts w:asciiTheme="minorHAnsi" w:eastAsiaTheme="minorEastAsia" w:hAnsiTheme="minorHAnsi"/>
          <w:kern w:val="2"/>
          <w:sz w:val="24"/>
          <w:szCs w:val="24"/>
          <w:lang w:eastAsia="en-AU"/>
          <w14:ligatures w14:val="standardContextual"/>
        </w:rPr>
      </w:pPr>
      <w:hyperlink w:anchor="_Toc233031612" w:history="1">
        <w:r w:rsidRPr="00400348">
          <w:rPr>
            <w:rStyle w:val="Hyperlink"/>
            <w:rFonts w:eastAsiaTheme="majorEastAsia"/>
          </w:rPr>
          <w:t>Table 8</w:t>
        </w:r>
        <w:r w:rsidRPr="00651DBE">
          <w:rPr>
            <w:rFonts w:asciiTheme="minorHAnsi" w:eastAsiaTheme="minorEastAsia" w:hAnsiTheme="minorHAnsi"/>
            <w:kern w:val="2"/>
            <w:sz w:val="24"/>
            <w:szCs w:val="24"/>
            <w:lang w:eastAsia="en-AU"/>
            <w14:ligatures w14:val="standardContextual"/>
          </w:rPr>
          <w:tab/>
        </w:r>
        <w:r w:rsidRPr="00400348">
          <w:rPr>
            <w:rStyle w:val="Hyperlink"/>
            <w:rFonts w:eastAsiaTheme="majorEastAsia"/>
          </w:rPr>
          <w:t>Final confidence rating in the body of evidence</w:t>
        </w:r>
        <w:r w:rsidRPr="00651DBE">
          <w:rPr>
            <w:webHidden/>
          </w:rPr>
          <w:tab/>
        </w:r>
        <w:r w:rsidRPr="00651DBE">
          <w:rPr>
            <w:webHidden/>
          </w:rPr>
          <w:fldChar w:fldCharType="begin"/>
        </w:r>
        <w:r w:rsidRPr="00651DBE">
          <w:rPr>
            <w:webHidden/>
          </w:rPr>
          <w:instrText xml:space="preserve"> PAGEREF _Toc233031612 \h </w:instrText>
        </w:r>
        <w:r w:rsidRPr="00651DBE">
          <w:rPr>
            <w:webHidden/>
          </w:rPr>
        </w:r>
        <w:r w:rsidRPr="00651DBE">
          <w:rPr>
            <w:webHidden/>
          </w:rPr>
          <w:fldChar w:fldCharType="separate"/>
        </w:r>
        <w:r w:rsidR="0052675C">
          <w:rPr>
            <w:webHidden/>
          </w:rPr>
          <w:t>47</w:t>
        </w:r>
        <w:r w:rsidRPr="00651DBE">
          <w:rPr>
            <w:webHidden/>
          </w:rPr>
          <w:fldChar w:fldCharType="end"/>
        </w:r>
      </w:hyperlink>
    </w:p>
    <w:p w14:paraId="222F8433" w14:textId="6346E8A3" w:rsidR="00FF3DA1" w:rsidRDefault="009B3165" w:rsidP="00B33D79">
      <w:pPr>
        <w:pStyle w:val="BodyText"/>
        <w:rPr>
          <w:rFonts w:eastAsiaTheme="majorEastAsia"/>
        </w:rPr>
      </w:pPr>
      <w:r w:rsidRPr="008371FA">
        <w:rPr>
          <w:rFonts w:eastAsiaTheme="majorEastAsia"/>
        </w:rPr>
        <w:fldChar w:fldCharType="end"/>
      </w:r>
    </w:p>
    <w:p w14:paraId="7E2763A9" w14:textId="77777777" w:rsidR="00C470D3" w:rsidRPr="008371FA" w:rsidRDefault="00C470D3" w:rsidP="00B33D79">
      <w:pPr>
        <w:pStyle w:val="BodyText"/>
        <w:rPr>
          <w:rFonts w:eastAsiaTheme="majorEastAsia"/>
        </w:rPr>
      </w:pPr>
    </w:p>
    <w:p w14:paraId="13EF6EC6" w14:textId="77777777" w:rsidR="009E7921" w:rsidRPr="008371FA" w:rsidRDefault="00E8237E" w:rsidP="00B33D79">
      <w:pPr>
        <w:pStyle w:val="TOCHeading"/>
      </w:pPr>
      <w:r w:rsidRPr="008371FA">
        <w:t>Figures</w:t>
      </w:r>
    </w:p>
    <w:p w14:paraId="67BAEABF" w14:textId="636A1DC8" w:rsidR="00383CB2" w:rsidRDefault="009B3165">
      <w:pPr>
        <w:pStyle w:val="TableofFigures"/>
        <w:rPr>
          <w:rFonts w:asciiTheme="minorHAnsi" w:eastAsiaTheme="minorEastAsia" w:hAnsiTheme="minorHAnsi"/>
          <w:kern w:val="2"/>
          <w:sz w:val="24"/>
          <w:szCs w:val="24"/>
          <w:lang w:eastAsia="en-AU"/>
          <w14:ligatures w14:val="standardContextual"/>
        </w:rPr>
      </w:pPr>
      <w:r w:rsidRPr="008371FA">
        <w:rPr>
          <w:noProof w:val="0"/>
        </w:rPr>
        <w:fldChar w:fldCharType="begin"/>
      </w:r>
      <w:r w:rsidRPr="008371FA">
        <w:rPr>
          <w:noProof w:val="0"/>
        </w:rPr>
        <w:instrText xml:space="preserve"> TOC \h \z \t "Figure Title,1" \c "Figure" </w:instrText>
      </w:r>
      <w:r w:rsidRPr="008371FA">
        <w:rPr>
          <w:noProof w:val="0"/>
        </w:rPr>
        <w:fldChar w:fldCharType="separate"/>
      </w:r>
      <w:hyperlink w:anchor="_Toc233031613" w:history="1">
        <w:r w:rsidR="00383CB2" w:rsidRPr="005A73E1">
          <w:rPr>
            <w:rStyle w:val="Hyperlink"/>
            <w:rFonts w:eastAsiaTheme="majorEastAsia"/>
          </w:rPr>
          <w:t>Figure 1</w:t>
        </w:r>
        <w:r w:rsidR="00383CB2">
          <w:rPr>
            <w:rFonts w:asciiTheme="minorHAnsi" w:eastAsiaTheme="minorEastAsia" w:hAnsiTheme="minorHAnsi"/>
            <w:kern w:val="2"/>
            <w:sz w:val="24"/>
            <w:szCs w:val="24"/>
            <w:lang w:eastAsia="en-AU"/>
            <w14:ligatures w14:val="standardContextual"/>
          </w:rPr>
          <w:tab/>
        </w:r>
        <w:r w:rsidR="00383CB2" w:rsidRPr="005A73E1">
          <w:rPr>
            <w:rStyle w:val="Hyperlink"/>
            <w:rFonts w:eastAsiaTheme="majorEastAsia"/>
          </w:rPr>
          <w:t>Overview of literature search process followed for Vitamin B6 UL (*Risk of Bias analysis was not undertaken for studies which were reviews/meta-analyses)</w:t>
        </w:r>
        <w:r w:rsidR="00383CB2">
          <w:rPr>
            <w:webHidden/>
          </w:rPr>
          <w:tab/>
        </w:r>
        <w:r w:rsidR="00383CB2">
          <w:rPr>
            <w:webHidden/>
          </w:rPr>
          <w:fldChar w:fldCharType="begin"/>
        </w:r>
        <w:r w:rsidR="00383CB2">
          <w:rPr>
            <w:webHidden/>
          </w:rPr>
          <w:instrText xml:space="preserve"> PAGEREF _Toc233031613 \h </w:instrText>
        </w:r>
        <w:r w:rsidR="00383CB2">
          <w:rPr>
            <w:webHidden/>
          </w:rPr>
        </w:r>
        <w:r w:rsidR="00383CB2">
          <w:rPr>
            <w:webHidden/>
          </w:rPr>
          <w:fldChar w:fldCharType="separate"/>
        </w:r>
        <w:r w:rsidR="0052675C">
          <w:rPr>
            <w:webHidden/>
          </w:rPr>
          <w:t>5</w:t>
        </w:r>
        <w:r w:rsidR="00383CB2">
          <w:rPr>
            <w:webHidden/>
          </w:rPr>
          <w:fldChar w:fldCharType="end"/>
        </w:r>
      </w:hyperlink>
    </w:p>
    <w:p w14:paraId="4132E3ED" w14:textId="08CC7CBA" w:rsidR="0056068B" w:rsidRPr="008371FA" w:rsidRDefault="009B3165" w:rsidP="00B33D79">
      <w:pPr>
        <w:pStyle w:val="BodyText"/>
      </w:pPr>
      <w:r w:rsidRPr="008371FA">
        <w:fldChar w:fldCharType="end"/>
      </w:r>
    </w:p>
    <w:p w14:paraId="377E7334" w14:textId="77777777" w:rsidR="00AB37C8" w:rsidRPr="008371FA" w:rsidRDefault="00AB37C8" w:rsidP="00B33D79">
      <w:pPr>
        <w:pStyle w:val="BodyText"/>
      </w:pPr>
    </w:p>
    <w:p w14:paraId="09165C5F" w14:textId="77777777" w:rsidR="007544F4" w:rsidRPr="008371FA" w:rsidRDefault="007544F4" w:rsidP="00B33D79">
      <w:pPr>
        <w:pStyle w:val="BodyText"/>
        <w:sectPr w:rsidR="007544F4" w:rsidRPr="008371FA" w:rsidSect="00627CB4">
          <w:footerReference w:type="default" r:id="rId19"/>
          <w:pgSz w:w="11909" w:h="16834" w:code="9"/>
          <w:pgMar w:top="1440" w:right="1440" w:bottom="1440" w:left="1440" w:header="576" w:footer="576" w:gutter="0"/>
          <w:pgNumType w:fmt="lowerRoman"/>
          <w:cols w:space="720"/>
          <w:docGrid w:linePitch="360"/>
        </w:sectPr>
      </w:pPr>
    </w:p>
    <w:p w14:paraId="39E2711E" w14:textId="77777777" w:rsidR="00EF61D5" w:rsidRPr="008371FA" w:rsidRDefault="000F3767" w:rsidP="00B33D79">
      <w:pPr>
        <w:pStyle w:val="Heading1NoNumber"/>
      </w:pPr>
      <w:bookmarkStart w:id="7" w:name="_Toc233031582"/>
      <w:r w:rsidRPr="008371FA">
        <w:lastRenderedPageBreak/>
        <w:t>Acronyms and Abbreviations</w:t>
      </w:r>
      <w:bookmarkEnd w:id="7"/>
    </w:p>
    <w:tbl>
      <w:tblPr>
        <w:tblStyle w:val="SLROption1"/>
        <w:tblW w:w="0" w:type="auto"/>
        <w:tblLook w:val="0480" w:firstRow="0" w:lastRow="0" w:firstColumn="1" w:lastColumn="0" w:noHBand="0" w:noVBand="1"/>
      </w:tblPr>
      <w:tblGrid>
        <w:gridCol w:w="2091"/>
        <w:gridCol w:w="6928"/>
      </w:tblGrid>
      <w:tr w:rsidR="00B5364A" w:rsidRPr="008371FA" w14:paraId="5BA69FCD" w14:textId="77777777" w:rsidTr="00B5364A">
        <w:tc>
          <w:tcPr>
            <w:tcW w:w="2091" w:type="dxa"/>
            <w:tcBorders>
              <w:right w:val="single" w:sz="4" w:space="0" w:color="FFFFFF" w:themeColor="background1"/>
            </w:tcBorders>
            <w:shd w:val="clear" w:color="auto" w:fill="3C533C" w:themeFill="accent1"/>
          </w:tcPr>
          <w:p w14:paraId="209532C8" w14:textId="5271A614" w:rsidR="00B5364A" w:rsidRPr="00B5364A" w:rsidRDefault="00B5364A" w:rsidP="00B5364A">
            <w:pPr>
              <w:pStyle w:val="TableHeading"/>
              <w:jc w:val="left"/>
              <w:rPr>
                <w:color w:val="FFFFFF" w:themeColor="background1"/>
              </w:rPr>
            </w:pPr>
            <w:r w:rsidRPr="00B5364A">
              <w:rPr>
                <w:color w:val="FFFFFF" w:themeColor="background1"/>
              </w:rPr>
              <w:t>Acronym</w:t>
            </w:r>
          </w:p>
        </w:tc>
        <w:tc>
          <w:tcPr>
            <w:tcW w:w="6928" w:type="dxa"/>
            <w:tcBorders>
              <w:left w:val="single" w:sz="4" w:space="0" w:color="FFFFFF" w:themeColor="background1"/>
            </w:tcBorders>
            <w:shd w:val="clear" w:color="auto" w:fill="3C533C" w:themeFill="accent1"/>
          </w:tcPr>
          <w:p w14:paraId="16C9ED70" w14:textId="6CFD28E7" w:rsidR="00B5364A" w:rsidRPr="00B5364A" w:rsidRDefault="00B5364A" w:rsidP="00B5364A">
            <w:pPr>
              <w:pStyle w:val="TableHeading"/>
              <w:jc w:val="left"/>
              <w:rPr>
                <w:color w:val="FFFFFF" w:themeColor="background1"/>
              </w:rPr>
            </w:pPr>
            <w:r w:rsidRPr="00B5364A">
              <w:rPr>
                <w:color w:val="FFFFFF" w:themeColor="background1"/>
              </w:rPr>
              <w:t>Definition</w:t>
            </w:r>
          </w:p>
        </w:tc>
      </w:tr>
      <w:tr w:rsidR="00C6253B" w:rsidRPr="008371FA" w14:paraId="1F0E08B9" w14:textId="77777777" w:rsidTr="00C6253B">
        <w:tc>
          <w:tcPr>
            <w:tcW w:w="2091" w:type="dxa"/>
          </w:tcPr>
          <w:p w14:paraId="3F1A661D" w14:textId="60DEC559" w:rsidR="00C6253B" w:rsidRPr="008371FA" w:rsidRDefault="00D663FA" w:rsidP="00C6253B">
            <w:pPr>
              <w:pStyle w:val="TableText"/>
              <w:rPr>
                <w:lang w:val="en-AU"/>
              </w:rPr>
            </w:pPr>
            <w:r w:rsidRPr="00D663FA">
              <w:rPr>
                <w:lang w:val="en-AU"/>
              </w:rPr>
              <w:t>AU/NZ</w:t>
            </w:r>
          </w:p>
        </w:tc>
        <w:tc>
          <w:tcPr>
            <w:tcW w:w="6928" w:type="dxa"/>
          </w:tcPr>
          <w:p w14:paraId="72CC34AF" w14:textId="296C9EFB" w:rsidR="00C6253B" w:rsidRPr="008371FA" w:rsidRDefault="00D663FA" w:rsidP="00C6253B">
            <w:pPr>
              <w:pStyle w:val="TableText"/>
              <w:rPr>
                <w:lang w:val="en-AU"/>
              </w:rPr>
            </w:pPr>
            <w:r w:rsidRPr="00D663FA">
              <w:rPr>
                <w:lang w:val="en-AU"/>
              </w:rPr>
              <w:t>Australia and New Zealand</w:t>
            </w:r>
          </w:p>
        </w:tc>
      </w:tr>
      <w:tr w:rsidR="00C6253B" w:rsidRPr="008371FA" w14:paraId="15851372" w14:textId="77777777" w:rsidTr="00C6253B">
        <w:tc>
          <w:tcPr>
            <w:tcW w:w="2091" w:type="dxa"/>
          </w:tcPr>
          <w:p w14:paraId="78717174" w14:textId="3427F6A5" w:rsidR="00C6253B" w:rsidRPr="008371FA" w:rsidRDefault="00D663FA" w:rsidP="00C6253B">
            <w:pPr>
              <w:pStyle w:val="TableText"/>
              <w:rPr>
                <w:lang w:val="en-AU"/>
              </w:rPr>
            </w:pPr>
            <w:r w:rsidRPr="00D663FA">
              <w:rPr>
                <w:lang w:val="en-AU"/>
              </w:rPr>
              <w:t>bw</w:t>
            </w:r>
          </w:p>
        </w:tc>
        <w:tc>
          <w:tcPr>
            <w:tcW w:w="6928" w:type="dxa"/>
          </w:tcPr>
          <w:p w14:paraId="331A5D96" w14:textId="7F71D7C9" w:rsidR="00C6253B" w:rsidRPr="008371FA" w:rsidRDefault="00D663FA" w:rsidP="00C6253B">
            <w:pPr>
              <w:pStyle w:val="TableText"/>
              <w:rPr>
                <w:lang w:val="en-AU"/>
              </w:rPr>
            </w:pPr>
            <w:r w:rsidRPr="00D663FA">
              <w:rPr>
                <w:lang w:val="en-AU"/>
              </w:rPr>
              <w:t>Body weight</w:t>
            </w:r>
          </w:p>
        </w:tc>
      </w:tr>
      <w:tr w:rsidR="00C6253B" w:rsidRPr="008371FA" w14:paraId="3666DB7F" w14:textId="77777777" w:rsidTr="00C6253B">
        <w:tc>
          <w:tcPr>
            <w:tcW w:w="2091" w:type="dxa"/>
          </w:tcPr>
          <w:p w14:paraId="2D47A8A0" w14:textId="5DCFF4C2" w:rsidR="00C6253B" w:rsidRPr="008371FA" w:rsidRDefault="00D663FA" w:rsidP="00C6253B">
            <w:pPr>
              <w:pStyle w:val="TableText"/>
              <w:rPr>
                <w:lang w:val="en-AU"/>
              </w:rPr>
            </w:pPr>
            <w:r w:rsidRPr="00D663FA">
              <w:rPr>
                <w:lang w:val="en-AU"/>
              </w:rPr>
              <w:t>CBS</w:t>
            </w:r>
          </w:p>
        </w:tc>
        <w:tc>
          <w:tcPr>
            <w:tcW w:w="6928" w:type="dxa"/>
          </w:tcPr>
          <w:p w14:paraId="311CBC0C" w14:textId="14D5DD93" w:rsidR="00C6253B" w:rsidRPr="008371FA" w:rsidRDefault="00D663FA" w:rsidP="00C6253B">
            <w:pPr>
              <w:pStyle w:val="TableText"/>
              <w:rPr>
                <w:lang w:val="en-AU"/>
              </w:rPr>
            </w:pPr>
            <w:r w:rsidRPr="00D663FA">
              <w:rPr>
                <w:lang w:val="en-AU"/>
              </w:rPr>
              <w:t>Cystathionine beta-synthase</w:t>
            </w:r>
          </w:p>
        </w:tc>
      </w:tr>
      <w:tr w:rsidR="00C6253B" w:rsidRPr="008371FA" w14:paraId="701DE128" w14:textId="77777777" w:rsidTr="00C6253B">
        <w:tc>
          <w:tcPr>
            <w:tcW w:w="2091" w:type="dxa"/>
          </w:tcPr>
          <w:p w14:paraId="22FF6763" w14:textId="5C782E90" w:rsidR="00C6253B" w:rsidRPr="008371FA" w:rsidRDefault="00D663FA" w:rsidP="00C6253B">
            <w:pPr>
              <w:pStyle w:val="TableText"/>
              <w:rPr>
                <w:lang w:val="en-AU"/>
              </w:rPr>
            </w:pPr>
            <w:r w:rsidRPr="00D663FA">
              <w:rPr>
                <w:lang w:val="en-AU"/>
              </w:rPr>
              <w:t>CIAP</w:t>
            </w:r>
          </w:p>
        </w:tc>
        <w:tc>
          <w:tcPr>
            <w:tcW w:w="6928" w:type="dxa"/>
          </w:tcPr>
          <w:p w14:paraId="3B2E090C" w14:textId="21B65999" w:rsidR="00C6253B" w:rsidRPr="008371FA" w:rsidRDefault="00D663FA" w:rsidP="00C6253B">
            <w:pPr>
              <w:pStyle w:val="TableText"/>
              <w:rPr>
                <w:lang w:val="en-AU"/>
              </w:rPr>
            </w:pPr>
            <w:r w:rsidRPr="00D663FA">
              <w:rPr>
                <w:lang w:val="en-AU"/>
              </w:rPr>
              <w:t>Chronic idiopathic axonal polyneuropathy</w:t>
            </w:r>
          </w:p>
        </w:tc>
      </w:tr>
      <w:tr w:rsidR="00C6253B" w:rsidRPr="008371FA" w14:paraId="6B99B06C" w14:textId="77777777" w:rsidTr="00C6253B">
        <w:tc>
          <w:tcPr>
            <w:tcW w:w="2091" w:type="dxa"/>
          </w:tcPr>
          <w:p w14:paraId="4553A687" w14:textId="28E19B2F" w:rsidR="00C6253B" w:rsidRPr="008371FA" w:rsidRDefault="00D663FA" w:rsidP="00C6253B">
            <w:pPr>
              <w:pStyle w:val="TableText"/>
              <w:rPr>
                <w:lang w:val="en-AU"/>
              </w:rPr>
            </w:pPr>
            <w:r w:rsidRPr="00D663FA">
              <w:rPr>
                <w:lang w:val="en-AU"/>
              </w:rPr>
              <w:t>CNS</w:t>
            </w:r>
          </w:p>
        </w:tc>
        <w:tc>
          <w:tcPr>
            <w:tcW w:w="6928" w:type="dxa"/>
          </w:tcPr>
          <w:p w14:paraId="35287192" w14:textId="071F079F" w:rsidR="00C6253B" w:rsidRPr="008371FA" w:rsidRDefault="00D663FA" w:rsidP="00C6253B">
            <w:pPr>
              <w:pStyle w:val="TableText"/>
              <w:rPr>
                <w:lang w:val="en-AU"/>
              </w:rPr>
            </w:pPr>
            <w:r w:rsidRPr="00D663FA">
              <w:rPr>
                <w:lang w:val="en-AU"/>
              </w:rPr>
              <w:t>Central nervous system</w:t>
            </w:r>
          </w:p>
        </w:tc>
      </w:tr>
      <w:tr w:rsidR="00C6253B" w:rsidRPr="008371FA" w14:paraId="567DBB67" w14:textId="77777777" w:rsidTr="00C6253B">
        <w:tc>
          <w:tcPr>
            <w:tcW w:w="2091" w:type="dxa"/>
          </w:tcPr>
          <w:p w14:paraId="02121CE5" w14:textId="53C1A03E" w:rsidR="00C6253B" w:rsidRPr="008371FA" w:rsidRDefault="00D663FA" w:rsidP="00C6253B">
            <w:pPr>
              <w:pStyle w:val="TableText"/>
              <w:rPr>
                <w:lang w:val="en-AU"/>
              </w:rPr>
            </w:pPr>
            <w:r w:rsidRPr="00D663FA">
              <w:rPr>
                <w:lang w:val="en-AU"/>
              </w:rPr>
              <w:t>DAEN</w:t>
            </w:r>
          </w:p>
        </w:tc>
        <w:tc>
          <w:tcPr>
            <w:tcW w:w="6928" w:type="dxa"/>
          </w:tcPr>
          <w:p w14:paraId="0BEB21D6" w14:textId="11DE4289" w:rsidR="00C6253B" w:rsidRPr="008371FA" w:rsidRDefault="00D663FA" w:rsidP="00C6253B">
            <w:pPr>
              <w:pStyle w:val="TableText"/>
              <w:rPr>
                <w:lang w:val="en-AU"/>
              </w:rPr>
            </w:pPr>
            <w:r w:rsidRPr="00D663FA">
              <w:rPr>
                <w:lang w:val="en-AU"/>
              </w:rPr>
              <w:t>Database of Adverse Event Notifications (Australia)</w:t>
            </w:r>
          </w:p>
        </w:tc>
      </w:tr>
      <w:tr w:rsidR="00C6253B" w:rsidRPr="008371FA" w14:paraId="7F0C5F7C" w14:textId="77777777" w:rsidTr="00C6253B">
        <w:tc>
          <w:tcPr>
            <w:tcW w:w="2091" w:type="dxa"/>
          </w:tcPr>
          <w:p w14:paraId="308B32C7" w14:textId="710CB851" w:rsidR="00C6253B" w:rsidRPr="008371FA" w:rsidRDefault="00D663FA" w:rsidP="00C6253B">
            <w:pPr>
              <w:pStyle w:val="TableText"/>
              <w:rPr>
                <w:lang w:val="en-AU"/>
              </w:rPr>
            </w:pPr>
            <w:r w:rsidRPr="00D663FA">
              <w:rPr>
                <w:lang w:val="en-AU"/>
              </w:rPr>
              <w:t>EFSA</w:t>
            </w:r>
          </w:p>
        </w:tc>
        <w:tc>
          <w:tcPr>
            <w:tcW w:w="6928" w:type="dxa"/>
          </w:tcPr>
          <w:p w14:paraId="6727DB13" w14:textId="6B94BB85" w:rsidR="00C6253B" w:rsidRPr="008371FA" w:rsidRDefault="00D663FA" w:rsidP="00C6253B">
            <w:pPr>
              <w:pStyle w:val="TableText"/>
              <w:rPr>
                <w:lang w:val="en-AU"/>
              </w:rPr>
            </w:pPr>
            <w:r w:rsidRPr="00D663FA">
              <w:rPr>
                <w:lang w:val="en-AU"/>
              </w:rPr>
              <w:t>European Food Safety Authority</w:t>
            </w:r>
          </w:p>
        </w:tc>
      </w:tr>
      <w:tr w:rsidR="00C6253B" w:rsidRPr="008371FA" w14:paraId="19BC34AF" w14:textId="77777777" w:rsidTr="00C6253B">
        <w:tc>
          <w:tcPr>
            <w:tcW w:w="2091" w:type="dxa"/>
          </w:tcPr>
          <w:p w14:paraId="18B8145B" w14:textId="20ACA353" w:rsidR="00C6253B" w:rsidRPr="008371FA" w:rsidRDefault="00D663FA" w:rsidP="00C6253B">
            <w:pPr>
              <w:pStyle w:val="TableText"/>
              <w:rPr>
                <w:lang w:val="en-AU"/>
              </w:rPr>
            </w:pPr>
            <w:r w:rsidRPr="00D663FA">
              <w:rPr>
                <w:lang w:val="en-AU"/>
              </w:rPr>
              <w:t>EU</w:t>
            </w:r>
          </w:p>
        </w:tc>
        <w:tc>
          <w:tcPr>
            <w:tcW w:w="6928" w:type="dxa"/>
          </w:tcPr>
          <w:p w14:paraId="68F1A7B8" w14:textId="2C00FBF5" w:rsidR="00C6253B" w:rsidRPr="008371FA" w:rsidRDefault="00D663FA" w:rsidP="00C6253B">
            <w:pPr>
              <w:pStyle w:val="TableText"/>
              <w:rPr>
                <w:lang w:val="en-AU"/>
              </w:rPr>
            </w:pPr>
            <w:r w:rsidRPr="00D663FA">
              <w:rPr>
                <w:lang w:val="en-AU"/>
              </w:rPr>
              <w:t>European Union</w:t>
            </w:r>
          </w:p>
        </w:tc>
      </w:tr>
      <w:tr w:rsidR="00C6253B" w:rsidRPr="008371FA" w14:paraId="630CFC41" w14:textId="77777777" w:rsidTr="00C6253B">
        <w:tc>
          <w:tcPr>
            <w:tcW w:w="2091" w:type="dxa"/>
          </w:tcPr>
          <w:p w14:paraId="2F50015D" w14:textId="49DE5D0E" w:rsidR="00C6253B" w:rsidRPr="008371FA" w:rsidRDefault="00D663FA" w:rsidP="00C6253B">
            <w:pPr>
              <w:pStyle w:val="TableText"/>
              <w:rPr>
                <w:lang w:val="en-AU"/>
              </w:rPr>
            </w:pPr>
            <w:r w:rsidRPr="00D663FA">
              <w:rPr>
                <w:lang w:val="en-AU"/>
              </w:rPr>
              <w:t>EVM</w:t>
            </w:r>
          </w:p>
        </w:tc>
        <w:tc>
          <w:tcPr>
            <w:tcW w:w="6928" w:type="dxa"/>
          </w:tcPr>
          <w:p w14:paraId="2B512534" w14:textId="00B5C62E" w:rsidR="00C6253B" w:rsidRPr="008371FA" w:rsidRDefault="00D663FA" w:rsidP="00C6253B">
            <w:pPr>
              <w:pStyle w:val="TableText"/>
              <w:rPr>
                <w:lang w:val="en-AU"/>
              </w:rPr>
            </w:pPr>
            <w:r w:rsidRPr="00D663FA">
              <w:rPr>
                <w:lang w:val="en-AU"/>
              </w:rPr>
              <w:t>Expert Group on Vitamins and Minerals</w:t>
            </w:r>
          </w:p>
        </w:tc>
      </w:tr>
      <w:tr w:rsidR="00C6253B" w:rsidRPr="008371FA" w14:paraId="761EE11F" w14:textId="77777777" w:rsidTr="00C6253B">
        <w:tc>
          <w:tcPr>
            <w:tcW w:w="2091" w:type="dxa"/>
          </w:tcPr>
          <w:p w14:paraId="7C05C3B1" w14:textId="7CB99D4D" w:rsidR="00C6253B" w:rsidRPr="008371FA" w:rsidRDefault="00D663FA" w:rsidP="00C6253B">
            <w:pPr>
              <w:pStyle w:val="TableText"/>
              <w:rPr>
                <w:lang w:val="en-AU"/>
              </w:rPr>
            </w:pPr>
            <w:r w:rsidRPr="00D663FA">
              <w:rPr>
                <w:lang w:val="en-AU"/>
              </w:rPr>
              <w:t>FAO</w:t>
            </w:r>
          </w:p>
        </w:tc>
        <w:tc>
          <w:tcPr>
            <w:tcW w:w="6928" w:type="dxa"/>
          </w:tcPr>
          <w:p w14:paraId="043165E6" w14:textId="1A3C2F66" w:rsidR="00C6253B" w:rsidRPr="008371FA" w:rsidRDefault="00D663FA" w:rsidP="00C6253B">
            <w:pPr>
              <w:pStyle w:val="TableText"/>
              <w:rPr>
                <w:lang w:val="en-AU"/>
              </w:rPr>
            </w:pPr>
            <w:r w:rsidRPr="00D663FA">
              <w:rPr>
                <w:lang w:val="en-AU"/>
              </w:rPr>
              <w:t>Food and Agriculture Organization of the United Nations</w:t>
            </w:r>
          </w:p>
        </w:tc>
      </w:tr>
      <w:tr w:rsidR="00C6253B" w:rsidRPr="008371FA" w14:paraId="772626FD" w14:textId="77777777" w:rsidTr="00C6253B">
        <w:tc>
          <w:tcPr>
            <w:tcW w:w="2091" w:type="dxa"/>
          </w:tcPr>
          <w:p w14:paraId="05DBD673" w14:textId="190C9A0F" w:rsidR="00C6253B" w:rsidRPr="008371FA" w:rsidRDefault="00D663FA" w:rsidP="00C6253B">
            <w:pPr>
              <w:pStyle w:val="TableText"/>
              <w:rPr>
                <w:lang w:val="en-AU"/>
              </w:rPr>
            </w:pPr>
            <w:r w:rsidRPr="00D663FA">
              <w:rPr>
                <w:lang w:val="en-AU"/>
              </w:rPr>
              <w:t>FSANZ</w:t>
            </w:r>
          </w:p>
        </w:tc>
        <w:tc>
          <w:tcPr>
            <w:tcW w:w="6928" w:type="dxa"/>
          </w:tcPr>
          <w:p w14:paraId="5DBEAE00" w14:textId="174465F6" w:rsidR="00C6253B" w:rsidRPr="008371FA" w:rsidRDefault="00D663FA" w:rsidP="00C6253B">
            <w:pPr>
              <w:pStyle w:val="TableText"/>
              <w:rPr>
                <w:lang w:val="en-AU"/>
              </w:rPr>
            </w:pPr>
            <w:r w:rsidRPr="00D663FA">
              <w:rPr>
                <w:lang w:val="en-AU"/>
              </w:rPr>
              <w:t>Food Standards Australia New Zealand</w:t>
            </w:r>
          </w:p>
        </w:tc>
      </w:tr>
      <w:tr w:rsidR="00C6253B" w:rsidRPr="008371FA" w14:paraId="6A815BF0" w14:textId="77777777" w:rsidTr="00C6253B">
        <w:tc>
          <w:tcPr>
            <w:tcW w:w="2091" w:type="dxa"/>
          </w:tcPr>
          <w:p w14:paraId="70134A32" w14:textId="56F6608F" w:rsidR="00C6253B" w:rsidRPr="008371FA" w:rsidRDefault="00D663FA" w:rsidP="00C6253B">
            <w:pPr>
              <w:pStyle w:val="TableText"/>
              <w:rPr>
                <w:lang w:val="en-AU"/>
              </w:rPr>
            </w:pPr>
            <w:r w:rsidRPr="00D663FA">
              <w:rPr>
                <w:lang w:val="en-AU"/>
              </w:rPr>
              <w:t>GRADE</w:t>
            </w:r>
          </w:p>
        </w:tc>
        <w:tc>
          <w:tcPr>
            <w:tcW w:w="6928" w:type="dxa"/>
          </w:tcPr>
          <w:p w14:paraId="2F12422C" w14:textId="4324BCC9" w:rsidR="00C6253B" w:rsidRPr="008371FA" w:rsidRDefault="00D663FA" w:rsidP="00C6253B">
            <w:pPr>
              <w:pStyle w:val="TableText"/>
              <w:rPr>
                <w:lang w:val="en-AU"/>
              </w:rPr>
            </w:pPr>
            <w:r w:rsidRPr="00D663FA">
              <w:rPr>
                <w:lang w:val="en-AU"/>
              </w:rPr>
              <w:t>Grading of Recommendations, Assessment, Development and Evaluations</w:t>
            </w:r>
          </w:p>
        </w:tc>
      </w:tr>
      <w:tr w:rsidR="00C6253B" w:rsidRPr="008371FA" w14:paraId="16909500" w14:textId="77777777" w:rsidTr="00C6253B">
        <w:tc>
          <w:tcPr>
            <w:tcW w:w="2091" w:type="dxa"/>
          </w:tcPr>
          <w:p w14:paraId="1C64DF8B" w14:textId="0EBEF448" w:rsidR="00C6253B" w:rsidRPr="008371FA" w:rsidRDefault="00D663FA" w:rsidP="00C6253B">
            <w:pPr>
              <w:pStyle w:val="TableText"/>
              <w:rPr>
                <w:lang w:val="en-AU"/>
              </w:rPr>
            </w:pPr>
            <w:r w:rsidRPr="00D663FA">
              <w:rPr>
                <w:lang w:val="en-AU"/>
              </w:rPr>
              <w:t>HCC</w:t>
            </w:r>
          </w:p>
        </w:tc>
        <w:tc>
          <w:tcPr>
            <w:tcW w:w="6928" w:type="dxa"/>
          </w:tcPr>
          <w:p w14:paraId="64E093BD" w14:textId="0054E5E4" w:rsidR="00C6253B" w:rsidRPr="008371FA" w:rsidRDefault="00D663FA" w:rsidP="00C6253B">
            <w:pPr>
              <w:pStyle w:val="TableText"/>
              <w:rPr>
                <w:lang w:val="en-AU"/>
              </w:rPr>
            </w:pPr>
            <w:r w:rsidRPr="00D663FA">
              <w:rPr>
                <w:lang w:val="en-AU"/>
              </w:rPr>
              <w:t>Hepatocellular carcinoma</w:t>
            </w:r>
          </w:p>
        </w:tc>
      </w:tr>
      <w:tr w:rsidR="00C6253B" w:rsidRPr="008371FA" w14:paraId="1A0EC505" w14:textId="77777777" w:rsidTr="00C6253B">
        <w:tc>
          <w:tcPr>
            <w:tcW w:w="2091" w:type="dxa"/>
          </w:tcPr>
          <w:p w14:paraId="6F509A14" w14:textId="16BC05B2" w:rsidR="00C6253B" w:rsidRPr="008371FA" w:rsidRDefault="00D663FA" w:rsidP="00C6253B">
            <w:pPr>
              <w:pStyle w:val="TableText"/>
              <w:rPr>
                <w:lang w:val="en-AU"/>
              </w:rPr>
            </w:pPr>
            <w:r w:rsidRPr="00D663FA">
              <w:rPr>
                <w:lang w:val="en-AU"/>
              </w:rPr>
              <w:t>HPP</w:t>
            </w:r>
          </w:p>
        </w:tc>
        <w:tc>
          <w:tcPr>
            <w:tcW w:w="6928" w:type="dxa"/>
          </w:tcPr>
          <w:p w14:paraId="0233D8BF" w14:textId="74A9D7F3" w:rsidR="00C6253B" w:rsidRPr="008371FA" w:rsidRDefault="00D663FA" w:rsidP="00C6253B">
            <w:pPr>
              <w:pStyle w:val="TableText"/>
              <w:rPr>
                <w:lang w:val="en-AU"/>
              </w:rPr>
            </w:pPr>
            <w:r w:rsidRPr="00D663FA">
              <w:rPr>
                <w:lang w:val="en-AU"/>
              </w:rPr>
              <w:t>Hypophosphatasia</w:t>
            </w:r>
          </w:p>
        </w:tc>
      </w:tr>
      <w:tr w:rsidR="00C6253B" w:rsidRPr="008371FA" w14:paraId="3DE2E840" w14:textId="77777777" w:rsidTr="00C6253B">
        <w:tc>
          <w:tcPr>
            <w:tcW w:w="2091" w:type="dxa"/>
          </w:tcPr>
          <w:p w14:paraId="421A6A98" w14:textId="596FBDC4" w:rsidR="00C6253B" w:rsidRPr="008371FA" w:rsidRDefault="00D663FA" w:rsidP="00C6253B">
            <w:pPr>
              <w:pStyle w:val="TableText"/>
              <w:rPr>
                <w:lang w:val="en-AU"/>
              </w:rPr>
            </w:pPr>
            <w:r w:rsidRPr="00D663FA">
              <w:rPr>
                <w:lang w:val="en-AU"/>
              </w:rPr>
              <w:t>IOM</w:t>
            </w:r>
          </w:p>
        </w:tc>
        <w:tc>
          <w:tcPr>
            <w:tcW w:w="6928" w:type="dxa"/>
          </w:tcPr>
          <w:p w14:paraId="0A7822FD" w14:textId="34BA0F33" w:rsidR="00C6253B" w:rsidRPr="008371FA" w:rsidRDefault="00D663FA" w:rsidP="00C6253B">
            <w:pPr>
              <w:pStyle w:val="TableText"/>
              <w:rPr>
                <w:lang w:val="en-AU"/>
              </w:rPr>
            </w:pPr>
            <w:r w:rsidRPr="00D663FA">
              <w:rPr>
                <w:lang w:val="en-AU"/>
              </w:rPr>
              <w:t>Institute of Medicine</w:t>
            </w:r>
          </w:p>
        </w:tc>
      </w:tr>
      <w:tr w:rsidR="00C6253B" w:rsidRPr="008371FA" w14:paraId="64B6A7E8" w14:textId="77777777" w:rsidTr="00C6253B">
        <w:tc>
          <w:tcPr>
            <w:tcW w:w="2091" w:type="dxa"/>
          </w:tcPr>
          <w:p w14:paraId="01C53CAA" w14:textId="7A1815CB" w:rsidR="00C6253B" w:rsidRPr="008371FA" w:rsidRDefault="00D663FA" w:rsidP="00C6253B">
            <w:pPr>
              <w:pStyle w:val="TableText"/>
              <w:rPr>
                <w:lang w:val="en-AU"/>
              </w:rPr>
            </w:pPr>
            <w:r w:rsidRPr="00D663FA">
              <w:rPr>
                <w:lang w:val="en-AU"/>
              </w:rPr>
              <w:t>JECFA</w:t>
            </w:r>
          </w:p>
        </w:tc>
        <w:tc>
          <w:tcPr>
            <w:tcW w:w="6928" w:type="dxa"/>
          </w:tcPr>
          <w:p w14:paraId="06B4E4B5" w14:textId="09A6CF06" w:rsidR="00C6253B" w:rsidRPr="008371FA" w:rsidRDefault="00D663FA" w:rsidP="00C6253B">
            <w:pPr>
              <w:pStyle w:val="TableText"/>
              <w:rPr>
                <w:lang w:val="en-AU"/>
              </w:rPr>
            </w:pPr>
            <w:r w:rsidRPr="00D663FA">
              <w:rPr>
                <w:lang w:val="en-AU"/>
              </w:rPr>
              <w:t>Joint FAO/WHO Expert Committee on Food Additives</w:t>
            </w:r>
          </w:p>
        </w:tc>
      </w:tr>
      <w:tr w:rsidR="00C6253B" w:rsidRPr="008371FA" w14:paraId="2FB3BBC1" w14:textId="77777777" w:rsidTr="00C6253B">
        <w:tc>
          <w:tcPr>
            <w:tcW w:w="2091" w:type="dxa"/>
          </w:tcPr>
          <w:p w14:paraId="272AD024" w14:textId="75681B54" w:rsidR="00C6253B" w:rsidRPr="008371FA" w:rsidRDefault="00D663FA" w:rsidP="00C6253B">
            <w:pPr>
              <w:pStyle w:val="TableText"/>
              <w:rPr>
                <w:lang w:val="en-AU"/>
              </w:rPr>
            </w:pPr>
            <w:r w:rsidRPr="00D663FA">
              <w:rPr>
                <w:lang w:val="en-AU"/>
              </w:rPr>
              <w:t>LOAEL</w:t>
            </w:r>
          </w:p>
        </w:tc>
        <w:tc>
          <w:tcPr>
            <w:tcW w:w="6928" w:type="dxa"/>
          </w:tcPr>
          <w:p w14:paraId="307FBE49" w14:textId="0C1F5C23" w:rsidR="00C6253B" w:rsidRPr="008371FA" w:rsidRDefault="00D663FA" w:rsidP="00C6253B">
            <w:pPr>
              <w:pStyle w:val="TableText"/>
              <w:rPr>
                <w:lang w:val="en-AU"/>
              </w:rPr>
            </w:pPr>
            <w:r w:rsidRPr="00D663FA">
              <w:rPr>
                <w:lang w:val="en-AU"/>
              </w:rPr>
              <w:t>Lowest-observed-adverse-effect level</w:t>
            </w:r>
          </w:p>
        </w:tc>
      </w:tr>
      <w:tr w:rsidR="00C6253B" w:rsidRPr="008371FA" w14:paraId="754BA4FF" w14:textId="77777777" w:rsidTr="00C6253B">
        <w:tc>
          <w:tcPr>
            <w:tcW w:w="2091" w:type="dxa"/>
          </w:tcPr>
          <w:p w14:paraId="479C9A80" w14:textId="346718FD" w:rsidR="00C6253B" w:rsidRPr="008371FA" w:rsidRDefault="00D663FA" w:rsidP="00C6253B">
            <w:pPr>
              <w:pStyle w:val="TableText"/>
              <w:rPr>
                <w:lang w:val="en-AU"/>
              </w:rPr>
            </w:pPr>
            <w:r w:rsidRPr="00D663FA">
              <w:rPr>
                <w:lang w:val="en-AU"/>
              </w:rPr>
              <w:t>NHMRC</w:t>
            </w:r>
          </w:p>
        </w:tc>
        <w:tc>
          <w:tcPr>
            <w:tcW w:w="6928" w:type="dxa"/>
          </w:tcPr>
          <w:p w14:paraId="5DDFFF22" w14:textId="4E19DF72" w:rsidR="00C6253B" w:rsidRPr="008371FA" w:rsidRDefault="00D663FA" w:rsidP="00C6253B">
            <w:pPr>
              <w:pStyle w:val="TableText"/>
              <w:rPr>
                <w:lang w:val="en-AU"/>
              </w:rPr>
            </w:pPr>
            <w:r w:rsidRPr="00D663FA">
              <w:rPr>
                <w:lang w:val="en-AU"/>
              </w:rPr>
              <w:t>National Health and Medical Research Council</w:t>
            </w:r>
          </w:p>
        </w:tc>
      </w:tr>
      <w:tr w:rsidR="00DA448B" w:rsidRPr="008371FA" w14:paraId="7ED92957" w14:textId="77777777" w:rsidTr="00C6253B">
        <w:tc>
          <w:tcPr>
            <w:tcW w:w="2091" w:type="dxa"/>
          </w:tcPr>
          <w:p w14:paraId="2A478862" w14:textId="36805E38" w:rsidR="00DA448B" w:rsidRPr="00D663FA" w:rsidRDefault="00DA448B" w:rsidP="00C6253B">
            <w:pPr>
              <w:pStyle w:val="TableText"/>
              <w:rPr>
                <w:lang w:val="en-AU"/>
              </w:rPr>
            </w:pPr>
            <w:r>
              <w:rPr>
                <w:lang w:val="en-AU"/>
              </w:rPr>
              <w:t>NIEHS</w:t>
            </w:r>
          </w:p>
        </w:tc>
        <w:tc>
          <w:tcPr>
            <w:tcW w:w="6928" w:type="dxa"/>
          </w:tcPr>
          <w:p w14:paraId="1547CEE7" w14:textId="58CD9312" w:rsidR="00DA448B" w:rsidRPr="00D663FA" w:rsidRDefault="00DA448B" w:rsidP="00C6253B">
            <w:pPr>
              <w:pStyle w:val="TableText"/>
              <w:rPr>
                <w:lang w:val="en-AU"/>
              </w:rPr>
            </w:pPr>
            <w:r w:rsidRPr="00DA448B">
              <w:rPr>
                <w:lang w:val="en-AU"/>
              </w:rPr>
              <w:t>National Institute of Environmental Health Sciences</w:t>
            </w:r>
          </w:p>
        </w:tc>
      </w:tr>
      <w:tr w:rsidR="00C6253B" w:rsidRPr="008371FA" w14:paraId="73C3E577" w14:textId="77777777" w:rsidTr="00C6253B">
        <w:tc>
          <w:tcPr>
            <w:tcW w:w="2091" w:type="dxa"/>
          </w:tcPr>
          <w:p w14:paraId="78763709" w14:textId="65DCDBD5" w:rsidR="00C6253B" w:rsidRPr="008371FA" w:rsidRDefault="00D663FA" w:rsidP="00C6253B">
            <w:pPr>
              <w:pStyle w:val="TableText"/>
              <w:rPr>
                <w:lang w:val="en-AU"/>
              </w:rPr>
            </w:pPr>
            <w:r w:rsidRPr="00D663FA">
              <w:rPr>
                <w:lang w:val="en-AU"/>
              </w:rPr>
              <w:t>NOAEL</w:t>
            </w:r>
          </w:p>
        </w:tc>
        <w:tc>
          <w:tcPr>
            <w:tcW w:w="6928" w:type="dxa"/>
          </w:tcPr>
          <w:p w14:paraId="6A2A4C74" w14:textId="11DC599B" w:rsidR="00C6253B" w:rsidRPr="008371FA" w:rsidRDefault="00D663FA" w:rsidP="00C6253B">
            <w:pPr>
              <w:pStyle w:val="TableText"/>
              <w:rPr>
                <w:lang w:val="en-AU"/>
              </w:rPr>
            </w:pPr>
            <w:r w:rsidRPr="00D663FA">
              <w:rPr>
                <w:lang w:val="en-AU"/>
              </w:rPr>
              <w:t>No-observed-adverse-effect level</w:t>
            </w:r>
          </w:p>
        </w:tc>
      </w:tr>
      <w:tr w:rsidR="00C6253B" w:rsidRPr="008371FA" w14:paraId="714AFED3" w14:textId="77777777" w:rsidTr="00C6253B">
        <w:tc>
          <w:tcPr>
            <w:tcW w:w="2091" w:type="dxa"/>
          </w:tcPr>
          <w:p w14:paraId="35D01A67" w14:textId="694A32DC" w:rsidR="00C6253B" w:rsidRPr="008371FA" w:rsidRDefault="00D663FA" w:rsidP="00C6253B">
            <w:pPr>
              <w:pStyle w:val="TableText"/>
              <w:rPr>
                <w:lang w:val="en-AU"/>
              </w:rPr>
            </w:pPr>
            <w:r w:rsidRPr="00D663FA">
              <w:rPr>
                <w:lang w:val="en-AU"/>
              </w:rPr>
              <w:t>NRV</w:t>
            </w:r>
          </w:p>
        </w:tc>
        <w:tc>
          <w:tcPr>
            <w:tcW w:w="6928" w:type="dxa"/>
          </w:tcPr>
          <w:p w14:paraId="0B91BEA2" w14:textId="05E555D6" w:rsidR="00C6253B" w:rsidRPr="008371FA" w:rsidRDefault="00D663FA" w:rsidP="00C6253B">
            <w:pPr>
              <w:pStyle w:val="TableText"/>
              <w:rPr>
                <w:lang w:val="en-AU"/>
              </w:rPr>
            </w:pPr>
            <w:r w:rsidRPr="00D663FA">
              <w:rPr>
                <w:lang w:val="en-AU"/>
              </w:rPr>
              <w:t>Nutrient Reference Value</w:t>
            </w:r>
          </w:p>
        </w:tc>
      </w:tr>
      <w:tr w:rsidR="00C6253B" w:rsidRPr="008371FA" w14:paraId="5FFE0EC1" w14:textId="77777777" w:rsidTr="00C6253B">
        <w:tc>
          <w:tcPr>
            <w:tcW w:w="2091" w:type="dxa"/>
          </w:tcPr>
          <w:p w14:paraId="13CF2279" w14:textId="55B15E91" w:rsidR="00C6253B" w:rsidRPr="008371FA" w:rsidRDefault="00D663FA" w:rsidP="00C6253B">
            <w:pPr>
              <w:pStyle w:val="TableText"/>
              <w:rPr>
                <w:lang w:val="en-AU"/>
              </w:rPr>
            </w:pPr>
            <w:r w:rsidRPr="00D663FA">
              <w:rPr>
                <w:lang w:val="en-AU"/>
              </w:rPr>
              <w:t>OHAT</w:t>
            </w:r>
          </w:p>
        </w:tc>
        <w:tc>
          <w:tcPr>
            <w:tcW w:w="6928" w:type="dxa"/>
          </w:tcPr>
          <w:p w14:paraId="0C6A2AF1" w14:textId="0EDB9251" w:rsidR="00C6253B" w:rsidRPr="008371FA" w:rsidRDefault="00D663FA" w:rsidP="00C6253B">
            <w:pPr>
              <w:pStyle w:val="TableText"/>
              <w:rPr>
                <w:lang w:val="en-AU"/>
              </w:rPr>
            </w:pPr>
            <w:r w:rsidRPr="00D663FA">
              <w:rPr>
                <w:lang w:val="en-AU"/>
              </w:rPr>
              <w:t>Office of Health Assessment and Translation (NTP)</w:t>
            </w:r>
          </w:p>
        </w:tc>
      </w:tr>
      <w:tr w:rsidR="00C6253B" w:rsidRPr="008371FA" w14:paraId="0CFC9FA8" w14:textId="77777777" w:rsidTr="00C6253B">
        <w:tc>
          <w:tcPr>
            <w:tcW w:w="2091" w:type="dxa"/>
          </w:tcPr>
          <w:p w14:paraId="4E924493" w14:textId="11250A1D" w:rsidR="00C6253B" w:rsidRPr="008371FA" w:rsidRDefault="00D663FA" w:rsidP="00C6253B">
            <w:pPr>
              <w:pStyle w:val="TableText"/>
              <w:rPr>
                <w:lang w:val="en-AU"/>
              </w:rPr>
            </w:pPr>
            <w:r w:rsidRPr="00D663FA">
              <w:rPr>
                <w:lang w:val="en-AU"/>
              </w:rPr>
              <w:t>PLP</w:t>
            </w:r>
          </w:p>
        </w:tc>
        <w:tc>
          <w:tcPr>
            <w:tcW w:w="6928" w:type="dxa"/>
          </w:tcPr>
          <w:p w14:paraId="5C5D93D1" w14:textId="241D90AF" w:rsidR="00C6253B" w:rsidRPr="008371FA" w:rsidRDefault="00D663FA" w:rsidP="00C6253B">
            <w:pPr>
              <w:pStyle w:val="TableText"/>
              <w:rPr>
                <w:lang w:val="en-AU"/>
              </w:rPr>
            </w:pPr>
            <w:r w:rsidRPr="00D663FA">
              <w:rPr>
                <w:lang w:val="en-AU"/>
              </w:rPr>
              <w:t>Pyridoxal 5'-phosphate</w:t>
            </w:r>
          </w:p>
        </w:tc>
      </w:tr>
      <w:tr w:rsidR="00C6253B" w:rsidRPr="008371FA" w14:paraId="2A53405C" w14:textId="77777777" w:rsidTr="00C6253B">
        <w:tc>
          <w:tcPr>
            <w:tcW w:w="2091" w:type="dxa"/>
          </w:tcPr>
          <w:p w14:paraId="1D0E50EB" w14:textId="11A636B8" w:rsidR="00C6253B" w:rsidRPr="008371FA" w:rsidRDefault="00D663FA" w:rsidP="00C6253B">
            <w:pPr>
              <w:pStyle w:val="TableText"/>
              <w:rPr>
                <w:lang w:val="en-AU"/>
              </w:rPr>
            </w:pPr>
            <w:r w:rsidRPr="00D663FA">
              <w:rPr>
                <w:lang w:val="en-AU"/>
              </w:rPr>
              <w:t>PNPO</w:t>
            </w:r>
          </w:p>
        </w:tc>
        <w:tc>
          <w:tcPr>
            <w:tcW w:w="6928" w:type="dxa"/>
          </w:tcPr>
          <w:p w14:paraId="4942FF91" w14:textId="081FF1F5" w:rsidR="00C6253B" w:rsidRPr="008371FA" w:rsidRDefault="00D663FA" w:rsidP="00C6253B">
            <w:pPr>
              <w:pStyle w:val="TableText"/>
              <w:rPr>
                <w:lang w:val="en-AU"/>
              </w:rPr>
            </w:pPr>
            <w:r w:rsidRPr="00D663FA">
              <w:rPr>
                <w:lang w:val="en-AU"/>
              </w:rPr>
              <w:t>Pyridox(am)ine 5'-phosphate oxidase</w:t>
            </w:r>
          </w:p>
        </w:tc>
      </w:tr>
      <w:tr w:rsidR="00C6253B" w:rsidRPr="008371FA" w14:paraId="0312C5B2" w14:textId="77777777" w:rsidTr="00C6253B">
        <w:tc>
          <w:tcPr>
            <w:tcW w:w="2091" w:type="dxa"/>
          </w:tcPr>
          <w:p w14:paraId="7CD96CCA" w14:textId="4E1F4F86" w:rsidR="00C6253B" w:rsidRPr="008371FA" w:rsidRDefault="00D663FA" w:rsidP="00C6253B">
            <w:pPr>
              <w:pStyle w:val="TableText"/>
              <w:rPr>
                <w:lang w:val="en-AU"/>
              </w:rPr>
            </w:pPr>
            <w:r w:rsidRPr="00D663FA">
              <w:rPr>
                <w:lang w:val="en-AU"/>
              </w:rPr>
              <w:t>RoB</w:t>
            </w:r>
          </w:p>
        </w:tc>
        <w:tc>
          <w:tcPr>
            <w:tcW w:w="6928" w:type="dxa"/>
          </w:tcPr>
          <w:p w14:paraId="3C2F711A" w14:textId="55ABF8C4" w:rsidR="00C6253B" w:rsidRPr="008371FA" w:rsidRDefault="00D663FA" w:rsidP="00C6253B">
            <w:pPr>
              <w:pStyle w:val="TableText"/>
              <w:rPr>
                <w:lang w:val="en-AU"/>
              </w:rPr>
            </w:pPr>
            <w:r w:rsidRPr="00D663FA">
              <w:rPr>
                <w:lang w:val="en-AU"/>
              </w:rPr>
              <w:t>Risk of bias</w:t>
            </w:r>
          </w:p>
        </w:tc>
      </w:tr>
      <w:tr w:rsidR="00C6253B" w:rsidRPr="008371FA" w14:paraId="6C87C8CA" w14:textId="77777777" w:rsidTr="00C6253B">
        <w:tc>
          <w:tcPr>
            <w:tcW w:w="2091" w:type="dxa"/>
          </w:tcPr>
          <w:p w14:paraId="1FC3FDD1" w14:textId="622DD93F" w:rsidR="00C6253B" w:rsidRPr="008371FA" w:rsidRDefault="00D663FA" w:rsidP="00C6253B">
            <w:pPr>
              <w:pStyle w:val="TableText"/>
              <w:rPr>
                <w:lang w:val="en-AU"/>
              </w:rPr>
            </w:pPr>
            <w:r w:rsidRPr="00D663FA">
              <w:rPr>
                <w:lang w:val="en-AU"/>
              </w:rPr>
              <w:t>RP</w:t>
            </w:r>
          </w:p>
        </w:tc>
        <w:tc>
          <w:tcPr>
            <w:tcW w:w="6928" w:type="dxa"/>
          </w:tcPr>
          <w:p w14:paraId="3CED093A" w14:textId="74E4D36E" w:rsidR="00C6253B" w:rsidRPr="008371FA" w:rsidRDefault="00D663FA" w:rsidP="00C6253B">
            <w:pPr>
              <w:pStyle w:val="TableText"/>
              <w:rPr>
                <w:lang w:val="en-AU"/>
              </w:rPr>
            </w:pPr>
            <w:r w:rsidRPr="00D663FA">
              <w:rPr>
                <w:lang w:val="en-AU"/>
              </w:rPr>
              <w:t>Reference point</w:t>
            </w:r>
          </w:p>
        </w:tc>
      </w:tr>
      <w:tr w:rsidR="00C6253B" w:rsidRPr="008371FA" w14:paraId="71D01C53" w14:textId="77777777" w:rsidTr="00C6253B">
        <w:tc>
          <w:tcPr>
            <w:tcW w:w="2091" w:type="dxa"/>
          </w:tcPr>
          <w:p w14:paraId="45B58AAD" w14:textId="5D012E07" w:rsidR="00C6253B" w:rsidRPr="008371FA" w:rsidRDefault="00D663FA" w:rsidP="00C6253B">
            <w:pPr>
              <w:pStyle w:val="TableText"/>
              <w:rPr>
                <w:lang w:val="en-AU"/>
              </w:rPr>
            </w:pPr>
            <w:r w:rsidRPr="00D663FA">
              <w:rPr>
                <w:lang w:val="en-AU"/>
              </w:rPr>
              <w:t>SCF</w:t>
            </w:r>
          </w:p>
        </w:tc>
        <w:tc>
          <w:tcPr>
            <w:tcW w:w="6928" w:type="dxa"/>
          </w:tcPr>
          <w:p w14:paraId="6095E71D" w14:textId="46912BAD" w:rsidR="00C6253B" w:rsidRPr="008371FA" w:rsidRDefault="00D663FA" w:rsidP="00C6253B">
            <w:pPr>
              <w:pStyle w:val="TableText"/>
              <w:rPr>
                <w:lang w:val="en-AU"/>
              </w:rPr>
            </w:pPr>
            <w:r w:rsidRPr="00D663FA">
              <w:rPr>
                <w:lang w:val="en-AU"/>
              </w:rPr>
              <w:t>Scientific Committee on Food</w:t>
            </w:r>
          </w:p>
        </w:tc>
      </w:tr>
      <w:tr w:rsidR="00C6253B" w:rsidRPr="008371FA" w14:paraId="66E9F28D" w14:textId="77777777" w:rsidTr="00C6253B">
        <w:tc>
          <w:tcPr>
            <w:tcW w:w="2091" w:type="dxa"/>
          </w:tcPr>
          <w:p w14:paraId="56BE3342" w14:textId="09269FCD" w:rsidR="00C6253B" w:rsidRPr="008E48E2" w:rsidRDefault="00D663FA" w:rsidP="00C6253B">
            <w:pPr>
              <w:pStyle w:val="TableText"/>
            </w:pPr>
            <w:r w:rsidRPr="00D663FA">
              <w:t>TGA</w:t>
            </w:r>
          </w:p>
        </w:tc>
        <w:tc>
          <w:tcPr>
            <w:tcW w:w="6928" w:type="dxa"/>
          </w:tcPr>
          <w:p w14:paraId="59C147BD" w14:textId="7401E1B5" w:rsidR="00C6253B" w:rsidRPr="008E48E2" w:rsidRDefault="00D663FA" w:rsidP="00C6253B">
            <w:pPr>
              <w:pStyle w:val="TableText"/>
            </w:pPr>
            <w:r w:rsidRPr="00D663FA">
              <w:t>Therapeutic Goods Administration</w:t>
            </w:r>
          </w:p>
        </w:tc>
      </w:tr>
      <w:tr w:rsidR="00C6253B" w:rsidRPr="008371FA" w14:paraId="0CF5385A" w14:textId="77777777" w:rsidTr="00C6253B">
        <w:tc>
          <w:tcPr>
            <w:tcW w:w="2091" w:type="dxa"/>
          </w:tcPr>
          <w:p w14:paraId="2E06AFF8" w14:textId="086D91E1" w:rsidR="00C6253B" w:rsidRPr="008E48E2" w:rsidRDefault="00D663FA" w:rsidP="00C6253B">
            <w:pPr>
              <w:pStyle w:val="TableText"/>
            </w:pPr>
            <w:r w:rsidRPr="00D663FA">
              <w:t>UF</w:t>
            </w:r>
          </w:p>
        </w:tc>
        <w:tc>
          <w:tcPr>
            <w:tcW w:w="6928" w:type="dxa"/>
          </w:tcPr>
          <w:p w14:paraId="51999BA7" w14:textId="76AA5132" w:rsidR="00C6253B" w:rsidRPr="008E48E2" w:rsidRDefault="00D663FA" w:rsidP="00C6253B">
            <w:pPr>
              <w:pStyle w:val="TableText"/>
            </w:pPr>
            <w:r w:rsidRPr="00D663FA">
              <w:t>Uncertainty factor</w:t>
            </w:r>
          </w:p>
        </w:tc>
      </w:tr>
      <w:tr w:rsidR="00C6253B" w:rsidRPr="008371FA" w14:paraId="7C2E0346" w14:textId="77777777" w:rsidTr="00C6253B">
        <w:tc>
          <w:tcPr>
            <w:tcW w:w="2091" w:type="dxa"/>
          </w:tcPr>
          <w:p w14:paraId="7302B62E" w14:textId="0250BAB3" w:rsidR="00C6253B" w:rsidRPr="008E48E2" w:rsidRDefault="00D663FA" w:rsidP="00C6253B">
            <w:pPr>
              <w:pStyle w:val="TableText"/>
            </w:pPr>
            <w:r w:rsidRPr="00D663FA">
              <w:t>UL</w:t>
            </w:r>
          </w:p>
        </w:tc>
        <w:tc>
          <w:tcPr>
            <w:tcW w:w="6928" w:type="dxa"/>
          </w:tcPr>
          <w:p w14:paraId="4A13FF17" w14:textId="3BDA7D8D" w:rsidR="00C6253B" w:rsidRPr="008E48E2" w:rsidRDefault="00D663FA" w:rsidP="00C6253B">
            <w:pPr>
              <w:pStyle w:val="TableText"/>
            </w:pPr>
            <w:r w:rsidRPr="00D663FA">
              <w:t>Upper Level of Intake / Tolerable Upper Intake Level</w:t>
            </w:r>
          </w:p>
        </w:tc>
      </w:tr>
      <w:tr w:rsidR="00C6253B" w:rsidRPr="008371FA" w14:paraId="4082C199" w14:textId="77777777" w:rsidTr="00C6253B">
        <w:tc>
          <w:tcPr>
            <w:tcW w:w="2091" w:type="dxa"/>
          </w:tcPr>
          <w:p w14:paraId="1F0FD1DB" w14:textId="3A0CFC10" w:rsidR="00C6253B" w:rsidRPr="008E48E2" w:rsidRDefault="00D663FA" w:rsidP="00C6253B">
            <w:pPr>
              <w:pStyle w:val="TableText"/>
            </w:pPr>
            <w:r w:rsidRPr="00D663FA">
              <w:t>US FDA</w:t>
            </w:r>
          </w:p>
        </w:tc>
        <w:tc>
          <w:tcPr>
            <w:tcW w:w="6928" w:type="dxa"/>
          </w:tcPr>
          <w:p w14:paraId="3CF28FC8" w14:textId="3CB1B3D4" w:rsidR="00C6253B" w:rsidRPr="008E48E2" w:rsidRDefault="00D663FA" w:rsidP="00C6253B">
            <w:pPr>
              <w:pStyle w:val="TableText"/>
            </w:pPr>
            <w:r w:rsidRPr="00D663FA">
              <w:t>United States Food and Drug Administration</w:t>
            </w:r>
          </w:p>
        </w:tc>
      </w:tr>
      <w:tr w:rsidR="00D663FA" w:rsidRPr="008371FA" w14:paraId="2B5F7583" w14:textId="77777777" w:rsidTr="00C6253B">
        <w:tc>
          <w:tcPr>
            <w:tcW w:w="2091" w:type="dxa"/>
          </w:tcPr>
          <w:p w14:paraId="50D7935A" w14:textId="7F5FBCD4" w:rsidR="00D663FA" w:rsidRPr="00D663FA" w:rsidRDefault="00D663FA" w:rsidP="00C6253B">
            <w:pPr>
              <w:pStyle w:val="TableText"/>
            </w:pPr>
            <w:r w:rsidRPr="00D663FA">
              <w:t>WHO</w:t>
            </w:r>
          </w:p>
        </w:tc>
        <w:tc>
          <w:tcPr>
            <w:tcW w:w="6928" w:type="dxa"/>
          </w:tcPr>
          <w:p w14:paraId="793CC506" w14:textId="2D6B0C08" w:rsidR="00D663FA" w:rsidRPr="00D663FA" w:rsidRDefault="00D663FA" w:rsidP="00C6253B">
            <w:pPr>
              <w:pStyle w:val="TableText"/>
            </w:pPr>
            <w:r w:rsidRPr="00D663FA">
              <w:t>World Health Organization</w:t>
            </w:r>
          </w:p>
        </w:tc>
      </w:tr>
    </w:tbl>
    <w:p w14:paraId="33026BF7" w14:textId="77777777" w:rsidR="00B33D79" w:rsidRPr="008371FA" w:rsidRDefault="00B33D79" w:rsidP="00B33D79">
      <w:pPr>
        <w:pStyle w:val="BodyText"/>
      </w:pPr>
    </w:p>
    <w:p w14:paraId="7EF4A87C" w14:textId="77777777" w:rsidR="00CA3E88" w:rsidRPr="008371FA" w:rsidRDefault="00CA3E88" w:rsidP="00B33D79">
      <w:pPr>
        <w:pStyle w:val="BodyText"/>
      </w:pPr>
    </w:p>
    <w:p w14:paraId="0AF0A160" w14:textId="77777777" w:rsidR="008141A4" w:rsidRPr="008371FA" w:rsidRDefault="008141A4" w:rsidP="00B33D79">
      <w:pPr>
        <w:pStyle w:val="BodyText"/>
        <w:sectPr w:rsidR="008141A4" w:rsidRPr="008371FA" w:rsidSect="00627CB4">
          <w:pgSz w:w="11909" w:h="16834" w:code="9"/>
          <w:pgMar w:top="1440" w:right="1440" w:bottom="1440" w:left="1440" w:header="576" w:footer="576" w:gutter="0"/>
          <w:pgNumType w:fmt="lowerRoman"/>
          <w:cols w:space="720"/>
          <w:docGrid w:linePitch="360"/>
        </w:sectPr>
      </w:pPr>
    </w:p>
    <w:p w14:paraId="0A31CF6D" w14:textId="38CA49A8" w:rsidR="00C6253B" w:rsidRDefault="00C6253B" w:rsidP="00C6253B">
      <w:pPr>
        <w:pStyle w:val="Heading1"/>
      </w:pPr>
      <w:bookmarkStart w:id="8" w:name="_Toc233031583"/>
      <w:r>
        <w:lastRenderedPageBreak/>
        <w:t>Introduction and Background</w:t>
      </w:r>
      <w:bookmarkEnd w:id="8"/>
    </w:p>
    <w:p w14:paraId="107CD939" w14:textId="14C1C749" w:rsidR="00EF6A4E" w:rsidRDefault="00EF6A4E" w:rsidP="00EF6A4E">
      <w:bookmarkStart w:id="9" w:name="_Hlk219974344"/>
      <w:r w:rsidRPr="00E427BB">
        <w:t>The National Health and Medical Research Council (NHMRC) engaged SLR Consulting Australia Pty Ltd (SLR) to evaluate existing guidance, primary evidence and relevant supporting information for the Upper Level (UL) of vitamin B6 (pyridoxine) as part of the review of the Nutrient Reference Values (NRVs) for Australia and New Zealand. The review was undertaken in accordance with a Research Protocol</w:t>
      </w:r>
      <w:r>
        <w:t xml:space="preserve"> </w:t>
      </w:r>
      <w:r w:rsidRPr="00E427BB">
        <w:t>designed to support a transparent, systematic and quality-controlled approach to evaluating evidence for health-based guidance values for vitamin B6. For the vitamin B6 UL review, SLR was asked to</w:t>
      </w:r>
      <w:r w:rsidRPr="00FF418C">
        <w:t>:</w:t>
      </w:r>
    </w:p>
    <w:p w14:paraId="20A60FF7" w14:textId="77777777" w:rsidR="00EF6A4E" w:rsidRDefault="00EF6A4E" w:rsidP="00850EF9">
      <w:pPr>
        <w:pStyle w:val="ListParagraph"/>
        <w:numPr>
          <w:ilvl w:val="0"/>
          <w:numId w:val="12"/>
        </w:numPr>
      </w:pPr>
      <w:r w:rsidRPr="00E427BB">
        <w:t>Customise and apply the Research Protocol to address the agreed research questions for the vitamin B6 UL, including consideration of critical health effects, dose–response relationships, and the suitability of existing international guidance for adoption or adaptation in the Australian and New Zealand context.</w:t>
      </w:r>
    </w:p>
    <w:p w14:paraId="1DBF294F" w14:textId="77777777" w:rsidR="00EF6A4E" w:rsidRDefault="00EF6A4E" w:rsidP="00850EF9">
      <w:pPr>
        <w:pStyle w:val="ListParagraph"/>
        <w:numPr>
          <w:ilvl w:val="0"/>
          <w:numId w:val="12"/>
        </w:numPr>
      </w:pPr>
      <w:r w:rsidRPr="00E427BB">
        <w:t>Review and evaluate recent international guidance documents, primary human and animal health evidence, and relevant supporting information pertaining to adverse health effects associated with excess vitamin B6 intake, with a particular focus on peripheral neuropathy and other neurological outcomes.</w:t>
      </w:r>
    </w:p>
    <w:p w14:paraId="49A0867A" w14:textId="77777777" w:rsidR="00EF6A4E" w:rsidRDefault="00EF6A4E" w:rsidP="00850EF9">
      <w:pPr>
        <w:pStyle w:val="ListParagraph"/>
        <w:numPr>
          <w:ilvl w:val="0"/>
          <w:numId w:val="12"/>
        </w:numPr>
      </w:pPr>
      <w:r w:rsidRPr="00E427BB">
        <w:t>Collate contextual information relevant to interpretation of the UL review, including information from adverse event reporting systems in Australia, New Zealand and comparable jurisdictions, and data on vitamin B6 dietary and supplemental intake patterns in the Australian and New Zealand population.</w:t>
      </w:r>
    </w:p>
    <w:p w14:paraId="2E53DACD" w14:textId="77777777" w:rsidR="00EF6A4E" w:rsidRDefault="00EF6A4E" w:rsidP="00850EF9">
      <w:pPr>
        <w:pStyle w:val="ListParagraph"/>
        <w:numPr>
          <w:ilvl w:val="0"/>
          <w:numId w:val="12"/>
        </w:numPr>
      </w:pPr>
      <w:r w:rsidRPr="00E427BB">
        <w:t>Produce a Technical Report and an Evidence Evaluation Report</w:t>
      </w:r>
      <w:r>
        <w:t>:</w:t>
      </w:r>
    </w:p>
    <w:p w14:paraId="61FDB433" w14:textId="77777777" w:rsidR="00EF6A4E" w:rsidRDefault="00EF6A4E" w:rsidP="00850EF9">
      <w:pPr>
        <w:pStyle w:val="ListParagraph"/>
        <w:numPr>
          <w:ilvl w:val="1"/>
          <w:numId w:val="12"/>
        </w:numPr>
      </w:pPr>
      <w:r w:rsidRPr="00E427BB">
        <w:t>The Technical Report documents the detailed methods, evidence sources, data extraction, assessment processes, critical appraisal outputs and supporting analyses used in the review.</w:t>
      </w:r>
    </w:p>
    <w:p w14:paraId="5CF6FE8A" w14:textId="77777777" w:rsidR="00EF6A4E" w:rsidRDefault="00EF6A4E" w:rsidP="00850EF9">
      <w:pPr>
        <w:pStyle w:val="ListParagraph"/>
        <w:numPr>
          <w:ilvl w:val="1"/>
          <w:numId w:val="12"/>
        </w:numPr>
      </w:pPr>
      <w:r w:rsidRPr="00E427BB">
        <w:t>The Evidence Evaluation Report interprets, synthesises and summarises the findings of the evidence review, addresses the agreed research questions, and presents conclusions on the suitability of existing international guidance for adoption or adaptation, for consideration by NHMRC and the Vitamin B6 Expert Working Group.</w:t>
      </w:r>
    </w:p>
    <w:p w14:paraId="3DCFE4A5" w14:textId="014E0853" w:rsidR="00F67EDC" w:rsidRDefault="00EF6A4E" w:rsidP="00EF6A4E">
      <w:r w:rsidRPr="00E427BB">
        <w:t>These tasks were undertaken in collaboration with NHMRC and the Vitamin B6 Expert Working Group, with advice from the Working Group incorporated as required. Any amendments to the Research Protocol agreed with NHMRC and the Vitamin B6 Expert Working Group during the course of the review have been documented in th</w:t>
      </w:r>
      <w:r w:rsidR="00651DBE">
        <w:t>e</w:t>
      </w:r>
      <w:r w:rsidRPr="00E427BB">
        <w:t xml:space="preserve"> Technical Report</w:t>
      </w:r>
      <w:r w:rsidR="00F67EDC">
        <w:t xml:space="preserve">.  </w:t>
      </w:r>
      <w:bookmarkEnd w:id="9"/>
    </w:p>
    <w:p w14:paraId="2812911B" w14:textId="3CAD644E" w:rsidR="00651DBE" w:rsidRDefault="00651DBE" w:rsidP="00EF6A4E">
      <w:r>
        <w:t xml:space="preserve">The report herein is the Evaluation Report for this review. </w:t>
      </w:r>
    </w:p>
    <w:p w14:paraId="278EF00D" w14:textId="5901FC67" w:rsidR="00C6253B" w:rsidRDefault="00C6253B" w:rsidP="00C6253B">
      <w:pPr>
        <w:pStyle w:val="Heading2"/>
      </w:pPr>
      <w:bookmarkStart w:id="10" w:name="_Toc233031584"/>
      <w:r>
        <w:t>Objectives</w:t>
      </w:r>
      <w:bookmarkEnd w:id="10"/>
    </w:p>
    <w:p w14:paraId="6457014C" w14:textId="73F58D12" w:rsidR="00EF6A4E" w:rsidRDefault="00EF6A4E" w:rsidP="00EF6A4E">
      <w:pPr>
        <w:pStyle w:val="ListBullet"/>
        <w:numPr>
          <w:ilvl w:val="0"/>
          <w:numId w:val="0"/>
        </w:numPr>
      </w:pPr>
      <w:r w:rsidRPr="005200DB">
        <w:t>To identify and evaluate existing guidance and the evidence underpinning those guidance documents, together with recent scientific evidence relevant to the Upper Level (UL) for vitamin B6</w:t>
      </w:r>
      <w:r>
        <w:t>, and to determine whether existing international guidance particularly EFSA (2023) and other relevant jurisdictional assessments may be suitable for adoption or adaptation in the Australian and New Zealand context.</w:t>
      </w:r>
    </w:p>
    <w:p w14:paraId="73784F1B" w14:textId="29A2038A" w:rsidR="00EF6A4E" w:rsidRDefault="00EF6A4E" w:rsidP="00EF6A4E">
      <w:pPr>
        <w:pStyle w:val="ListBullet"/>
        <w:numPr>
          <w:ilvl w:val="0"/>
          <w:numId w:val="0"/>
        </w:numPr>
      </w:pPr>
      <w:r>
        <w:t xml:space="preserve">An evidence </w:t>
      </w:r>
      <w:r w:rsidR="00255EFA">
        <w:t>review</w:t>
      </w:r>
      <w:r>
        <w:t xml:space="preserve"> </w:t>
      </w:r>
      <w:r w:rsidR="00651DBE">
        <w:t xml:space="preserve">was </w:t>
      </w:r>
      <w:r>
        <w:t>also be undertaken to collate supporting and contextual information relevant to interpretation of the UL review, including information available from adverse event reporting systems.</w:t>
      </w:r>
    </w:p>
    <w:p w14:paraId="2B12C57A" w14:textId="1B0678B7" w:rsidR="00A61411" w:rsidRDefault="00A61411" w:rsidP="00EF6A4E">
      <w:pPr>
        <w:pStyle w:val="ListBullet"/>
        <w:numPr>
          <w:ilvl w:val="0"/>
          <w:numId w:val="0"/>
        </w:numPr>
      </w:pPr>
      <w:r w:rsidRPr="00A61411">
        <w:t>For the purposes of this review, 'general population' is defined in accordance with the NHMRC Final NRV Methodological Framework</w:t>
      </w:r>
      <w:r w:rsidR="00AF6D44">
        <w:t xml:space="preserve"> v2.0 (2015-2017)</w:t>
      </w:r>
      <w:r w:rsidRPr="00A61411">
        <w:t xml:space="preserve"> as the general healthy population, excluding individuals with genetic diseases or other conditions that predispose </w:t>
      </w:r>
      <w:r w:rsidRPr="00A61411">
        <w:lastRenderedPageBreak/>
        <w:t xml:space="preserve">them to adverse effects at intake levels below those relevant to the broader population. While evidence from potentially sensitive sub-populations including those with rare inborn errors of vitamin B6 metabolism such as </w:t>
      </w:r>
      <w:r w:rsidR="00651DBE" w:rsidRPr="00D663FA">
        <w:rPr>
          <w:lang w:val="en-AU"/>
        </w:rPr>
        <w:t>Pyridox(am)ine 5'-phosphate oxidase</w:t>
      </w:r>
      <w:r w:rsidR="00651DBE" w:rsidRPr="00A61411">
        <w:t xml:space="preserve"> </w:t>
      </w:r>
      <w:r w:rsidR="00651DBE">
        <w:t>(</w:t>
      </w:r>
      <w:r w:rsidRPr="00A61411">
        <w:t>PNPO</w:t>
      </w:r>
      <w:r w:rsidR="00651DBE">
        <w:t>)</w:t>
      </w:r>
      <w:r w:rsidRPr="00A61411">
        <w:t xml:space="preserve"> deficiency or hypophosphatasia was reviewed and is discussed where relevant, it was not used to inform the point of departure for UL derivation.</w:t>
      </w:r>
    </w:p>
    <w:p w14:paraId="3D9846A5" w14:textId="18FE3982" w:rsidR="00C6253B" w:rsidRDefault="00C6253B" w:rsidP="00C6253B">
      <w:pPr>
        <w:pStyle w:val="Heading1"/>
      </w:pPr>
      <w:bookmarkStart w:id="11" w:name="_Toc233031585"/>
      <w:r>
        <w:t>Research Questions</w:t>
      </w:r>
      <w:bookmarkEnd w:id="11"/>
    </w:p>
    <w:p w14:paraId="0B4D85B1" w14:textId="50A47689" w:rsidR="00C6253B" w:rsidRDefault="00EF6A4E" w:rsidP="00C6253B">
      <w:r w:rsidRPr="00EF6A4E">
        <w:t xml:space="preserve">Research questions for this review were drafted by SLR and peer reviewed and agreed upon by the NHMRC and the Vitamin B6 Expert Working Group prior to conducting the search. They are provided in </w:t>
      </w:r>
      <w:r w:rsidR="00A75D33" w:rsidRPr="00A75D33">
        <w:rPr>
          <w:b/>
          <w:bCs/>
        </w:rPr>
        <w:fldChar w:fldCharType="begin"/>
      </w:r>
      <w:r w:rsidR="00A75D33" w:rsidRPr="00A75D33">
        <w:rPr>
          <w:b/>
          <w:bCs/>
        </w:rPr>
        <w:instrText xml:space="preserve"> REF _Ref219975204 \h </w:instrText>
      </w:r>
      <w:r w:rsidR="00A75D33">
        <w:rPr>
          <w:b/>
          <w:bCs/>
        </w:rPr>
        <w:instrText xml:space="preserve"> \* MERGEFORMAT </w:instrText>
      </w:r>
      <w:r w:rsidR="00A75D33" w:rsidRPr="00A75D33">
        <w:rPr>
          <w:b/>
          <w:bCs/>
        </w:rPr>
      </w:r>
      <w:r w:rsidR="00A75D33" w:rsidRPr="00A75D33">
        <w:rPr>
          <w:b/>
          <w:bCs/>
        </w:rPr>
        <w:fldChar w:fldCharType="separate"/>
      </w:r>
      <w:r w:rsidR="0052675C" w:rsidRPr="0052675C">
        <w:rPr>
          <w:b/>
          <w:bCs/>
        </w:rPr>
        <w:t xml:space="preserve">Table </w:t>
      </w:r>
      <w:r w:rsidR="0052675C" w:rsidRPr="0052675C">
        <w:rPr>
          <w:b/>
          <w:bCs/>
          <w:noProof/>
        </w:rPr>
        <w:t>1</w:t>
      </w:r>
      <w:r w:rsidR="00A75D33" w:rsidRPr="00A75D33">
        <w:rPr>
          <w:b/>
          <w:bCs/>
        </w:rPr>
        <w:fldChar w:fldCharType="end"/>
      </w:r>
      <w:r w:rsidR="00C6253B">
        <w:t>.</w:t>
      </w:r>
    </w:p>
    <w:p w14:paraId="75AA66FB" w14:textId="208A5235" w:rsidR="00C6253B" w:rsidRDefault="00A75D33" w:rsidP="00A75D33">
      <w:pPr>
        <w:pStyle w:val="Caption"/>
      </w:pPr>
      <w:bookmarkStart w:id="12" w:name="_Ref219975204"/>
      <w:bookmarkStart w:id="13" w:name="_Toc233031605"/>
      <w:r>
        <w:t xml:space="preserve">Table </w:t>
      </w:r>
      <w:r>
        <w:fldChar w:fldCharType="begin"/>
      </w:r>
      <w:r>
        <w:instrText xml:space="preserve"> SEQ Table \* ARABIC </w:instrText>
      </w:r>
      <w:r>
        <w:fldChar w:fldCharType="separate"/>
      </w:r>
      <w:r w:rsidR="0052675C">
        <w:rPr>
          <w:noProof/>
        </w:rPr>
        <w:t>1</w:t>
      </w:r>
      <w:r>
        <w:fldChar w:fldCharType="end"/>
      </w:r>
      <w:bookmarkEnd w:id="12"/>
      <w:r w:rsidR="00EF6A4E">
        <w:t xml:space="preserve"> </w:t>
      </w:r>
      <w:r w:rsidR="00C6253B" w:rsidRPr="00C6253B">
        <w:t>Research Questions for Evidence</w:t>
      </w:r>
      <w:r w:rsidR="00EF6A4E">
        <w:t xml:space="preserve"> </w:t>
      </w:r>
      <w:r w:rsidR="00EF6A4E" w:rsidRPr="00EF6A4E">
        <w:t>Evaluation of Vitamin B6 Upper Level (UL) Review</w:t>
      </w:r>
      <w:bookmarkEnd w:id="13"/>
    </w:p>
    <w:p w14:paraId="58E26D61" w14:textId="476E7F21" w:rsidR="00B5364A" w:rsidRPr="00D90D74" w:rsidRDefault="00B5364A" w:rsidP="00F83CFC">
      <w:pPr>
        <w:pStyle w:val="BodyText"/>
        <w:rPr>
          <w:bCs/>
        </w:rPr>
      </w:pPr>
    </w:p>
    <w:tbl>
      <w:tblPr>
        <w:tblStyle w:val="SLROption2"/>
        <w:tblW w:w="5000" w:type="pct"/>
        <w:tblLook w:val="01A0" w:firstRow="1" w:lastRow="0" w:firstColumn="1" w:lastColumn="1" w:noHBand="0" w:noVBand="0"/>
      </w:tblPr>
      <w:tblGrid>
        <w:gridCol w:w="933"/>
        <w:gridCol w:w="8086"/>
      </w:tblGrid>
      <w:tr w:rsidR="001377BD" w:rsidRPr="008371FA" w14:paraId="381157D4" w14:textId="77777777" w:rsidTr="00C511CD">
        <w:trPr>
          <w:cnfStyle w:val="100000000000" w:firstRow="1" w:lastRow="0" w:firstColumn="0" w:lastColumn="0" w:oddVBand="0" w:evenVBand="0" w:oddHBand="0" w:evenHBand="0" w:firstRowFirstColumn="0" w:firstRowLastColumn="0" w:lastRowFirstColumn="0" w:lastRowLastColumn="0"/>
        </w:trPr>
        <w:tc>
          <w:tcPr>
            <w:tcW w:w="517" w:type="pct"/>
            <w:vAlign w:val="center"/>
          </w:tcPr>
          <w:p w14:paraId="6672795F" w14:textId="77777777" w:rsidR="001377BD" w:rsidRPr="008371FA" w:rsidRDefault="001377BD" w:rsidP="00C511CD">
            <w:pPr>
              <w:pStyle w:val="TableHeading"/>
            </w:pPr>
            <w:bookmarkStart w:id="14" w:name="_Toc48056857"/>
            <w:r>
              <w:t>Number</w:t>
            </w:r>
          </w:p>
        </w:tc>
        <w:tc>
          <w:tcPr>
            <w:tcW w:w="4483" w:type="pct"/>
            <w:vAlign w:val="center"/>
          </w:tcPr>
          <w:p w14:paraId="50A72A5F" w14:textId="77777777" w:rsidR="001377BD" w:rsidRPr="008371FA" w:rsidRDefault="001377BD" w:rsidP="00C511CD">
            <w:pPr>
              <w:pStyle w:val="TableHeading"/>
            </w:pPr>
            <w:r>
              <w:t>Research Questions</w:t>
            </w:r>
          </w:p>
        </w:tc>
      </w:tr>
      <w:tr w:rsidR="001377BD" w:rsidRPr="00767956" w14:paraId="6EA213F0" w14:textId="77777777" w:rsidTr="00C511CD">
        <w:tc>
          <w:tcPr>
            <w:tcW w:w="517" w:type="pct"/>
          </w:tcPr>
          <w:p w14:paraId="0C632747" w14:textId="77777777" w:rsidR="001377BD" w:rsidRPr="00767956" w:rsidRDefault="001377BD" w:rsidP="00C511CD">
            <w:pPr>
              <w:pStyle w:val="TableText"/>
              <w:jc w:val="center"/>
            </w:pPr>
            <w:r w:rsidRPr="004A03EB">
              <w:t>1</w:t>
            </w:r>
          </w:p>
        </w:tc>
        <w:tc>
          <w:tcPr>
            <w:tcW w:w="4483" w:type="pct"/>
          </w:tcPr>
          <w:p w14:paraId="52E6784D" w14:textId="77777777" w:rsidR="001377BD" w:rsidRPr="00767956" w:rsidRDefault="001377BD" w:rsidP="00C511CD">
            <w:pPr>
              <w:pStyle w:val="TableText"/>
            </w:pPr>
            <w:r w:rsidRPr="00DB5179">
              <w:t>Upper Level (UL)</w:t>
            </w:r>
            <w:r>
              <w:t xml:space="preserve"> question - </w:t>
            </w:r>
            <w:r w:rsidRPr="00DB5179">
              <w:t>What excess intake of vitamin B6 is associated with adverse health effects?</w:t>
            </w:r>
          </w:p>
        </w:tc>
      </w:tr>
      <w:tr w:rsidR="001377BD" w:rsidRPr="00767956" w14:paraId="7E7E87F3" w14:textId="77777777" w:rsidTr="00C511CD">
        <w:tc>
          <w:tcPr>
            <w:tcW w:w="517" w:type="pct"/>
          </w:tcPr>
          <w:p w14:paraId="5AE3C297" w14:textId="77777777" w:rsidR="001377BD" w:rsidRPr="00767956" w:rsidRDefault="001377BD" w:rsidP="00C511CD">
            <w:pPr>
              <w:pStyle w:val="TableText"/>
              <w:jc w:val="center"/>
            </w:pPr>
            <w:r w:rsidRPr="004A03EB">
              <w:t>2</w:t>
            </w:r>
          </w:p>
        </w:tc>
        <w:tc>
          <w:tcPr>
            <w:tcW w:w="4483" w:type="pct"/>
          </w:tcPr>
          <w:p w14:paraId="6EAD03FA" w14:textId="77777777" w:rsidR="001377BD" w:rsidRPr="00767956" w:rsidRDefault="001377BD" w:rsidP="00C511CD">
            <w:pPr>
              <w:pStyle w:val="TableText"/>
            </w:pPr>
            <w:r w:rsidRPr="00DB5179">
              <w:t>Upper Level (UL) question -</w:t>
            </w:r>
            <w:r>
              <w:t xml:space="preserve"> </w:t>
            </w:r>
            <w:r w:rsidRPr="00DB5179">
              <w:t>What is the critical human health endpoint that determines the UL, and what is the justification for selecting this endpoint?</w:t>
            </w:r>
          </w:p>
        </w:tc>
      </w:tr>
      <w:tr w:rsidR="001377BD" w:rsidRPr="00767956" w14:paraId="55F704F2" w14:textId="77777777" w:rsidTr="00C511CD">
        <w:tc>
          <w:tcPr>
            <w:tcW w:w="517" w:type="pct"/>
          </w:tcPr>
          <w:p w14:paraId="5732787A" w14:textId="77777777" w:rsidR="001377BD" w:rsidRPr="00767956" w:rsidRDefault="001377BD" w:rsidP="00C511CD">
            <w:pPr>
              <w:pStyle w:val="TableText"/>
              <w:jc w:val="center"/>
            </w:pPr>
            <w:r w:rsidRPr="004A03EB">
              <w:t>3</w:t>
            </w:r>
          </w:p>
        </w:tc>
        <w:tc>
          <w:tcPr>
            <w:tcW w:w="4483" w:type="pct"/>
          </w:tcPr>
          <w:p w14:paraId="4644BC42" w14:textId="77777777" w:rsidR="001377BD" w:rsidRPr="00767956" w:rsidRDefault="001377BD" w:rsidP="00C511CD">
            <w:pPr>
              <w:pStyle w:val="TableText"/>
            </w:pPr>
            <w:r w:rsidRPr="00DB5179">
              <w:t>Upper Level (UL) question - What recent ULs or equivalent health-based guidance values exist internationally (for excess vitamin B6 intake)? How were they derived, what assumptions and uncertainties were applied, and are they suitable to adopt or adapt for Australia and New Zealand?</w:t>
            </w:r>
          </w:p>
        </w:tc>
      </w:tr>
      <w:tr w:rsidR="001377BD" w:rsidRPr="00767956" w14:paraId="108E5782" w14:textId="77777777" w:rsidTr="00C511CD">
        <w:tc>
          <w:tcPr>
            <w:tcW w:w="517" w:type="pct"/>
          </w:tcPr>
          <w:p w14:paraId="00859102" w14:textId="77777777" w:rsidR="001377BD" w:rsidRPr="00767956" w:rsidRDefault="001377BD" w:rsidP="00C511CD">
            <w:pPr>
              <w:pStyle w:val="TableText"/>
              <w:jc w:val="center"/>
            </w:pPr>
            <w:r w:rsidRPr="004A03EB">
              <w:t>4</w:t>
            </w:r>
          </w:p>
        </w:tc>
        <w:tc>
          <w:tcPr>
            <w:tcW w:w="4483" w:type="pct"/>
          </w:tcPr>
          <w:p w14:paraId="1F18AC15" w14:textId="77777777" w:rsidR="001377BD" w:rsidRPr="00767956" w:rsidRDefault="001377BD" w:rsidP="00C511CD">
            <w:pPr>
              <w:pStyle w:val="TableText"/>
            </w:pPr>
            <w:r>
              <w:t xml:space="preserve">Health considerations - </w:t>
            </w:r>
            <w:r w:rsidRPr="00DB5179">
              <w:t>What are the key adverse health effects associated with excess vitamin B6 intake, particularly neurological outcomes such as peripheral neuropathy?</w:t>
            </w:r>
          </w:p>
        </w:tc>
      </w:tr>
      <w:tr w:rsidR="001377BD" w:rsidRPr="00767956" w14:paraId="4D7581DF" w14:textId="77777777" w:rsidTr="00C511CD">
        <w:tc>
          <w:tcPr>
            <w:tcW w:w="517" w:type="pct"/>
          </w:tcPr>
          <w:p w14:paraId="3FBFC5D8" w14:textId="77777777" w:rsidR="001377BD" w:rsidRPr="00767956" w:rsidRDefault="001377BD" w:rsidP="00C511CD">
            <w:pPr>
              <w:pStyle w:val="TableText"/>
              <w:jc w:val="center"/>
            </w:pPr>
            <w:r w:rsidRPr="004A03EB">
              <w:t>5</w:t>
            </w:r>
          </w:p>
        </w:tc>
        <w:tc>
          <w:tcPr>
            <w:tcW w:w="4483" w:type="pct"/>
          </w:tcPr>
          <w:p w14:paraId="3B15C6B9" w14:textId="77777777" w:rsidR="001377BD" w:rsidRPr="00767956" w:rsidRDefault="001377BD" w:rsidP="00C511CD">
            <w:pPr>
              <w:pStyle w:val="TableText"/>
            </w:pPr>
            <w:r>
              <w:t xml:space="preserve">Health considerations - </w:t>
            </w:r>
            <w:r w:rsidRPr="00DB5179">
              <w:t>What is the strength of evidence for a causal association for the key adverse health effects (including consideration of mode of action, dose–response relationships, and consistency of findings)? Where relevant, how do findings differ by study type (e.g. human and animal evidence) and by population group, including infants, children, pregnancy/lactation and older adults?</w:t>
            </w:r>
          </w:p>
        </w:tc>
      </w:tr>
      <w:tr w:rsidR="001377BD" w:rsidRPr="00767956" w14:paraId="37759311" w14:textId="77777777" w:rsidTr="00C511CD">
        <w:tc>
          <w:tcPr>
            <w:tcW w:w="517" w:type="pct"/>
          </w:tcPr>
          <w:p w14:paraId="3004199C" w14:textId="77777777" w:rsidR="001377BD" w:rsidRPr="00767956" w:rsidRDefault="001377BD" w:rsidP="00992ADA">
            <w:pPr>
              <w:pStyle w:val="TableText"/>
              <w:jc w:val="center"/>
            </w:pPr>
            <w:r w:rsidRPr="004A03EB">
              <w:t>6</w:t>
            </w:r>
          </w:p>
        </w:tc>
        <w:tc>
          <w:tcPr>
            <w:tcW w:w="4483" w:type="pct"/>
          </w:tcPr>
          <w:p w14:paraId="28574818" w14:textId="77777777" w:rsidR="001377BD" w:rsidRPr="00767956" w:rsidRDefault="001377BD" w:rsidP="00400348">
            <w:pPr>
              <w:spacing w:before="60" w:after="60" w:line="240" w:lineRule="atLeast"/>
            </w:pPr>
            <w:r w:rsidRPr="00DB5179">
              <w:rPr>
                <w:sz w:val="20"/>
                <w:szCs w:val="18"/>
              </w:rPr>
              <w:t>Health considerations - Are there sensitive subpopulations, exposure patterns or use scenarios that require specific consideration</w:t>
            </w:r>
            <w:r w:rsidRPr="00DB5179">
              <w:rPr>
                <w:rStyle w:val="FootnoteReference"/>
                <w:sz w:val="20"/>
                <w:szCs w:val="18"/>
              </w:rPr>
              <w:footnoteReference w:id="3"/>
            </w:r>
            <w:r w:rsidRPr="00DB5179">
              <w:rPr>
                <w:sz w:val="20"/>
                <w:szCs w:val="18"/>
              </w:rPr>
              <w:t>?</w:t>
            </w:r>
          </w:p>
        </w:tc>
      </w:tr>
      <w:tr w:rsidR="001377BD" w:rsidRPr="00767956" w14:paraId="1A46A41E" w14:textId="77777777" w:rsidTr="00C511CD">
        <w:tc>
          <w:tcPr>
            <w:tcW w:w="517" w:type="pct"/>
          </w:tcPr>
          <w:p w14:paraId="3497BE8E" w14:textId="77777777" w:rsidR="001377BD" w:rsidRPr="00767956" w:rsidRDefault="001377BD" w:rsidP="00C511CD">
            <w:pPr>
              <w:pStyle w:val="TableText"/>
              <w:jc w:val="center"/>
            </w:pPr>
            <w:r w:rsidRPr="004A03EB">
              <w:t>7</w:t>
            </w:r>
          </w:p>
        </w:tc>
        <w:tc>
          <w:tcPr>
            <w:tcW w:w="4483" w:type="pct"/>
          </w:tcPr>
          <w:p w14:paraId="3C761D16" w14:textId="77777777" w:rsidR="001377BD" w:rsidRPr="00767956" w:rsidRDefault="001377BD" w:rsidP="00C511CD">
            <w:pPr>
              <w:pStyle w:val="TableText"/>
            </w:pPr>
            <w:r w:rsidRPr="00DB5179">
              <w:t>Health considerations -</w:t>
            </w:r>
            <w:r>
              <w:t xml:space="preserve"> </w:t>
            </w:r>
            <w:r w:rsidRPr="00DB5179">
              <w:t>How are pregnancy and other potentially sensitive life stages considered in the derivation of the UL, and are different uncertainty factors or adjustments applied for specific subpopulations where appropriate?</w:t>
            </w:r>
          </w:p>
        </w:tc>
      </w:tr>
      <w:tr w:rsidR="001377BD" w:rsidRPr="00767956" w14:paraId="501340C4" w14:textId="77777777" w:rsidTr="00C511CD">
        <w:tc>
          <w:tcPr>
            <w:tcW w:w="517" w:type="pct"/>
          </w:tcPr>
          <w:p w14:paraId="2312E58C" w14:textId="77777777" w:rsidR="001377BD" w:rsidRPr="00767956" w:rsidRDefault="001377BD" w:rsidP="00C511CD">
            <w:pPr>
              <w:pStyle w:val="TableText"/>
              <w:jc w:val="center"/>
            </w:pPr>
            <w:r w:rsidRPr="004A03EB">
              <w:t>8</w:t>
            </w:r>
          </w:p>
        </w:tc>
        <w:tc>
          <w:tcPr>
            <w:tcW w:w="4483" w:type="pct"/>
          </w:tcPr>
          <w:p w14:paraId="26FCECC0" w14:textId="77777777" w:rsidR="001377BD" w:rsidRPr="00767956" w:rsidRDefault="001377BD" w:rsidP="00C511CD">
            <w:pPr>
              <w:pStyle w:val="TableText"/>
            </w:pPr>
            <w:r w:rsidRPr="00DB5179">
              <w:t>Australian and New Zealand intake profile</w:t>
            </w:r>
            <w:r>
              <w:t xml:space="preserve"> (</w:t>
            </w:r>
            <w:r w:rsidRPr="00DB5179">
              <w:t>where relevant to interpretation of risk in Australia and New Zealand</w:t>
            </w:r>
            <w:r>
              <w:t xml:space="preserve">) - </w:t>
            </w:r>
            <w:r w:rsidRPr="00DB5179">
              <w:t>What are the typical dietary and supplemental sources of vitamin B6 in Australia and New Zealand?</w:t>
            </w:r>
          </w:p>
        </w:tc>
      </w:tr>
      <w:tr w:rsidR="001377BD" w:rsidRPr="00767956" w14:paraId="7AD8D4F5" w14:textId="77777777" w:rsidTr="00C511CD">
        <w:tc>
          <w:tcPr>
            <w:tcW w:w="517" w:type="pct"/>
          </w:tcPr>
          <w:p w14:paraId="0DA86FD4" w14:textId="77777777" w:rsidR="001377BD" w:rsidRPr="00767956" w:rsidRDefault="001377BD" w:rsidP="00C511CD">
            <w:pPr>
              <w:pStyle w:val="TableText"/>
              <w:jc w:val="center"/>
            </w:pPr>
            <w:r w:rsidRPr="004A03EB">
              <w:t>9</w:t>
            </w:r>
          </w:p>
        </w:tc>
        <w:tc>
          <w:tcPr>
            <w:tcW w:w="4483" w:type="pct"/>
          </w:tcPr>
          <w:p w14:paraId="11D6DC94" w14:textId="77777777" w:rsidR="001377BD" w:rsidRPr="00767956" w:rsidRDefault="001377BD" w:rsidP="00C511CD">
            <w:pPr>
              <w:pStyle w:val="TableText"/>
            </w:pPr>
            <w:r w:rsidRPr="00DB5179">
              <w:t>Australian and New Zealand intake profile (where relevant to interpretation of risk in Australia and New Zealand) -</w:t>
            </w:r>
            <w:r>
              <w:t xml:space="preserve"> </w:t>
            </w:r>
            <w:r w:rsidRPr="00DB5179">
              <w:t>What are the typical dietary and supplementary intakes of vitamin B6 in the Australian and New Zealand population?</w:t>
            </w:r>
          </w:p>
        </w:tc>
      </w:tr>
      <w:bookmarkEnd w:id="14"/>
    </w:tbl>
    <w:p w14:paraId="49DE182E" w14:textId="77777777" w:rsidR="001377BD" w:rsidRDefault="001377BD" w:rsidP="00F83CFC">
      <w:pPr>
        <w:pStyle w:val="BodyText"/>
        <w:rPr>
          <w:b/>
          <w:bCs/>
        </w:rPr>
      </w:pPr>
    </w:p>
    <w:p w14:paraId="47CB6D1E" w14:textId="50D68668" w:rsidR="00C6253B" w:rsidRDefault="00C6253B" w:rsidP="00C6253B">
      <w:pPr>
        <w:pStyle w:val="Heading1"/>
      </w:pPr>
      <w:bookmarkStart w:id="15" w:name="_Toc233031586"/>
      <w:r>
        <w:lastRenderedPageBreak/>
        <w:t>Methodology Overview</w:t>
      </w:r>
      <w:bookmarkEnd w:id="15"/>
    </w:p>
    <w:p w14:paraId="6225F22F" w14:textId="77777777" w:rsidR="00C6253B" w:rsidRDefault="00C6253B" w:rsidP="00C6253B">
      <w:r>
        <w:t>As part of the review, a number of literature searches were undertaken to target specific information relevant to answering the research questions. They consisted of the following:</w:t>
      </w:r>
    </w:p>
    <w:p w14:paraId="49D2856B" w14:textId="455DE9CC" w:rsidR="005A09C8" w:rsidRDefault="005A09C8" w:rsidP="00C6253B">
      <w:pPr>
        <w:pStyle w:val="ListBullet"/>
      </w:pPr>
      <w:r w:rsidRPr="005A09C8">
        <w:t xml:space="preserve">A targeted literature search of existing health-based guidance for vitamin B6. Jurisdictions and agencies searched included EFSA, FSANZ, TGA, NHMRC, WHO/FAO (including JECFA), Health Canada, US FDA, and other relevant international agencies and expert bodies identified during the review. </w:t>
      </w:r>
    </w:p>
    <w:p w14:paraId="6D4D7B6D" w14:textId="7FA0F2BC" w:rsidR="005A09C8" w:rsidRDefault="005A09C8" w:rsidP="00C6253B">
      <w:pPr>
        <w:pStyle w:val="ListBullet"/>
      </w:pPr>
      <w:r w:rsidRPr="005A09C8">
        <w:t>An evidence scan of recent primary studies (published 2022 onwards, consistent with the evidence base underpinning EFSA 2023), with earlier pivotal studies included via backward citation searching where necessary to understand the basis of existing guidance values.</w:t>
      </w:r>
    </w:p>
    <w:p w14:paraId="3384F4B0" w14:textId="57620BED" w:rsidR="005A09C8" w:rsidRDefault="005A09C8" w:rsidP="00C6253B">
      <w:pPr>
        <w:pStyle w:val="ListBullet"/>
      </w:pPr>
      <w:r w:rsidRPr="005A09C8">
        <w:t>Consultation of identified guidance documents for supporting contextual information (e.g. dietary and supplemental sources, intake patterns, sensitive subpopulation considerations).</w:t>
      </w:r>
    </w:p>
    <w:p w14:paraId="5FC1E144" w14:textId="530A48F5" w:rsidR="005A09C8" w:rsidRDefault="005A09C8" w:rsidP="00C6253B">
      <w:pPr>
        <w:pStyle w:val="ListBullet"/>
      </w:pPr>
      <w:r w:rsidRPr="005A09C8">
        <w:t>A review of adverse event reporting databases relevant to Australia, New Zealand and comparable jurisdictions, including DAEN, WHO VigiAccess, FDA AEMS, EudraVigilance and Canada Vigilance, to identify potential safety signals associated with pyridoxine and vitamin B6-containing products.</w:t>
      </w:r>
    </w:p>
    <w:p w14:paraId="15DF1E6B" w14:textId="77777777" w:rsidR="00C6253B" w:rsidRDefault="00C6253B" w:rsidP="00C6253B">
      <w:pPr>
        <w:pStyle w:val="BodyText"/>
      </w:pPr>
      <w:r>
        <w:t>Results were subjected to the following steps in order to identify the most relevant information:</w:t>
      </w:r>
    </w:p>
    <w:p w14:paraId="3D66B023" w14:textId="77777777" w:rsidR="005A09C8" w:rsidRDefault="005A09C8" w:rsidP="00C6253B">
      <w:pPr>
        <w:pStyle w:val="ListBullet"/>
      </w:pPr>
      <w:r w:rsidRPr="005A09C8">
        <w:t>A preliminary title and abstract screen, conducted by a single researcher and verified by a content expert against pre-defined inclusion and exclusion criteria; and</w:t>
      </w:r>
    </w:p>
    <w:p w14:paraId="02846274" w14:textId="5414CF6F" w:rsidR="00C6253B" w:rsidRDefault="00C6253B" w:rsidP="00C6253B">
      <w:pPr>
        <w:pStyle w:val="ListBullet"/>
      </w:pPr>
      <w:r>
        <w:t xml:space="preserve">A content screen where full text content of reports/reviews/articles selected to be included from the preliminary title screen step were reviewed in relation to the research questions by a subject expert to determine which to include in data extraction. </w:t>
      </w:r>
    </w:p>
    <w:p w14:paraId="26C1F4BC" w14:textId="14562F55" w:rsidR="00F94A6C" w:rsidRDefault="00F94A6C" w:rsidP="00C6253B">
      <w:r w:rsidRPr="00F94A6C">
        <w:t>All searches and screening decisions were managed in Covidence. Relevant data were extracted by populating pre-constructed data extraction tables focused on the information needed to answer the research questions. Synthesis was conducted by presenting extracted data side-by-side in tabular format for each research question, grouped by health outcome for the recent evidence review. Risk of bias for key primary studies was assessed using a modified</w:t>
      </w:r>
      <w:r w:rsidR="00B43C84">
        <w:t xml:space="preserve"> NIEHS </w:t>
      </w:r>
      <w:r w:rsidR="00B43C84" w:rsidRPr="00073403">
        <w:t>Office of Health Assessment and Translation (</w:t>
      </w:r>
      <w:r w:rsidRPr="00F94A6C">
        <w:t>OHAT</w:t>
      </w:r>
      <w:r w:rsidR="00B43C84">
        <w:t>)</w:t>
      </w:r>
      <w:r w:rsidRPr="00F94A6C">
        <w:t xml:space="preserve"> risk-of-bias tool, with overall certainty of evidence for each relevant health outcome assessed using a GRADE-informed approach. Expert judgement was used to highlight areas of uncertainty or areas where an organisation's methods or interpretations may differ from Australian science policy.</w:t>
      </w:r>
    </w:p>
    <w:p w14:paraId="453F8844" w14:textId="750FEA97" w:rsidR="00F94A6C" w:rsidRDefault="00F94A6C" w:rsidP="00C6253B">
      <w:r w:rsidRPr="00F94A6C">
        <w:t>In addition, each candidate jurisdiction's guidance value for vitamin B6 considered for potential adoption/adaptation was evaluated against a defined set of administrative and technical credibility criteria (as set out in the Research Protocol, based on the NHMRC framework). Where a guidance document was found to meet the 80% threshold across combined 'must-have' and 'should-have' criteria, its data extractions, risk-of-bias ratings, critical effect, reference point and uncertainty factors could be relied upon directly, with review effort instead directed at identifying and synthesising new evidence published since that guidance's literature search cut-off and integrating this with its findings.</w:t>
      </w:r>
    </w:p>
    <w:p w14:paraId="7B6BE787" w14:textId="311E29C9" w:rsidR="00A61411" w:rsidRDefault="00A61411" w:rsidP="00C6253B">
      <w:r w:rsidRPr="00A61411">
        <w:t xml:space="preserve">It is noted that the scope of evidence review encompasses all identified primary studies irrespective of study population, consistent with the mandate to review all relevant evidence. However, consistent with the NHMRC Final NRV Methodological Framework, ULs are intended for the general healthy population and exclude sub-populations with genetic </w:t>
      </w:r>
      <w:r w:rsidRPr="00A61411">
        <w:lastRenderedPageBreak/>
        <w:t>disease or other conditions that predispose them to adverse effects at levels below those relevant to the general population. Accordingly, studies conducted in populations with rare inborn errors of vitamin B6 metabolism (e.g. PNPO deficiency, hypophosphatasia) or other conditions conferring atypical B6 handling were included in the evidence review and are discussed where relevant to characterising potentially sensitive sub-</w:t>
      </w:r>
      <w:r w:rsidR="00DA448B" w:rsidRPr="00A61411">
        <w:t>populations but</w:t>
      </w:r>
      <w:r w:rsidRPr="00A61411">
        <w:t xml:space="preserve"> were not used to inform the point of departure for UL derivation. </w:t>
      </w:r>
    </w:p>
    <w:p w14:paraId="5DCA949E" w14:textId="4B038967" w:rsidR="00C6253B" w:rsidRDefault="00A75D33" w:rsidP="00C6253B">
      <w:r w:rsidRPr="00F83CFC">
        <w:rPr>
          <w:b/>
          <w:bCs/>
        </w:rPr>
        <w:fldChar w:fldCharType="begin"/>
      </w:r>
      <w:r w:rsidRPr="00F83CFC">
        <w:rPr>
          <w:b/>
          <w:bCs/>
        </w:rPr>
        <w:instrText xml:space="preserve"> REF _Ref219975039 \h </w:instrText>
      </w:r>
      <w:r>
        <w:rPr>
          <w:b/>
          <w:bCs/>
        </w:rPr>
        <w:instrText xml:space="preserve"> \* MERGEFORMAT </w:instrText>
      </w:r>
      <w:r w:rsidRPr="00F83CFC">
        <w:rPr>
          <w:b/>
          <w:bCs/>
        </w:rPr>
      </w:r>
      <w:r w:rsidRPr="00F83CFC">
        <w:rPr>
          <w:b/>
          <w:bCs/>
        </w:rPr>
        <w:fldChar w:fldCharType="separate"/>
      </w:r>
      <w:r w:rsidR="0052675C" w:rsidRPr="0052675C">
        <w:rPr>
          <w:b/>
          <w:bCs/>
        </w:rPr>
        <w:t xml:space="preserve">Figure </w:t>
      </w:r>
      <w:r w:rsidR="0052675C" w:rsidRPr="0052675C">
        <w:rPr>
          <w:b/>
          <w:bCs/>
          <w:noProof/>
        </w:rPr>
        <w:t>1</w:t>
      </w:r>
      <w:r w:rsidRPr="00F83CFC">
        <w:rPr>
          <w:b/>
          <w:bCs/>
        </w:rPr>
        <w:fldChar w:fldCharType="end"/>
      </w:r>
      <w:r>
        <w:t xml:space="preserve"> </w:t>
      </w:r>
      <w:r w:rsidR="00C6253B">
        <w:t xml:space="preserve">shows an overview of the literature search process followed for </w:t>
      </w:r>
      <w:r w:rsidR="00F94A6C">
        <w:t>vitamin B6</w:t>
      </w:r>
      <w:r w:rsidR="00C6253B">
        <w:t>. This is presented as a PRISMA (Preferred Reporting Items for Systematic Reviews and Meta-Analyses) flow diagram that describes the study selection process and numbers of records at each stage of screening (Moher et al. 2009).</w:t>
      </w:r>
    </w:p>
    <w:p w14:paraId="57AD3498" w14:textId="77777777" w:rsidR="00A75D33" w:rsidRDefault="00A75D33" w:rsidP="00C6253B"/>
    <w:p w14:paraId="6621FFCE" w14:textId="6D78CFB3" w:rsidR="00C6253B" w:rsidRDefault="008B5244" w:rsidP="00A75D33">
      <w:pPr>
        <w:keepNext/>
      </w:pPr>
      <w:r>
        <w:rPr>
          <w:noProof/>
          <w:lang w:eastAsia="en-AU"/>
        </w:rPr>
        <w:lastRenderedPageBreak/>
        <mc:AlternateContent>
          <mc:Choice Requires="wpc">
            <w:drawing>
              <wp:inline distT="0" distB="0" distL="0" distR="0" wp14:anchorId="4EC4E868" wp14:editId="771350F3">
                <wp:extent cx="5733415" cy="5999480"/>
                <wp:effectExtent l="0" t="0" r="19685" b="20320"/>
                <wp:docPr id="13" name="Canvas 13" descr="The figure is a flow diagram illustrating the literature search process for vitamin B6 upper limit, structured according to PRISMA guidelines. It is divided into three vertical sections labelled on the left: Identification, Screening, and Included.&#10;Identification section (top):&#10;Two horizontally aligned green rounded rectangles represent sources of initial records:&#10;Targeted screening of existing health-based guidance (n = 1) on the left.&#10;Evidence review for recent health-based literature (n = 678) on the right.&#10;Thin connecting lines from each box converge downward into the next stage.&#10;Screening section (middle):&#10;A single green rounded rectangle labelled Preliminary title screen (n = 586) appears below, indicating the combined total from the identification stage.&#10;To the right of this box are grey rectangles labelled Records excluded (n = 539) and-deduplication (n = 93), connected by a horizontal arrow, showing the number of records removed at this step.&#10;Below, another green rounded rectangle labelled Content screen (n = 47) represents the next filtering stage.&#10;To its right, another grey rectangle labelled Records excluded total (n = 397) (consisting of n=318 irrelevant studies, n=64 excluded from full text review, n=23 excluded based on credible guidance).&#10;Included section (bottom):&#10;Two dark green rounded rectangles are arranged horizontally, each representing categories of included records after screening:&#10;Agency reviews with health information (n = 1) on the far left.&#10;Health-based peer-reviewed journal articles (n = 23) on the far right.&#10;Both boxes are connected upward to the content screen box by thin vertical lines.&#10;In the diagram, a blue box connected to the health-based peer-reviewed journal articles green box highlighting the total pool of studies selected for risk of bias assessment (n=7). &#10;The diagram uses green for active process steps and grey for excluded records. Arrows indicate the flow from identification through screening to inclusion. Numbers in parentheses show the count of records at each stage, highlighting progressive narrowing from 679 initial records to 24 included across categories."/>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4" name="Text Box 14"/>
                        <wps:cNvSpPr txBox="1"/>
                        <wps:spPr>
                          <a:xfrm>
                            <a:off x="88900" y="35999"/>
                            <a:ext cx="371958" cy="1708253"/>
                          </a:xfrm>
                          <a:prstGeom prst="rect">
                            <a:avLst/>
                          </a:prstGeom>
                          <a:solidFill>
                            <a:srgbClr val="FFFFFF">
                              <a:lumMod val="75000"/>
                            </a:srgbClr>
                          </a:solidFill>
                          <a:ln w="6350">
                            <a:solidFill>
                              <a:prstClr val="black"/>
                            </a:solidFill>
                          </a:ln>
                        </wps:spPr>
                        <wps:txbx>
                          <w:txbxContent>
                            <w:p w14:paraId="03F93B7C" w14:textId="77777777" w:rsidR="008B5244" w:rsidRPr="00767956" w:rsidRDefault="008B5244" w:rsidP="008B5244">
                              <w:pPr>
                                <w:spacing w:before="60" w:after="60"/>
                                <w:jc w:val="center"/>
                                <w:rPr>
                                  <w:b/>
                                  <w:bCs/>
                                  <w:sz w:val="20"/>
                                  <w:lang w:val="en-US"/>
                                </w:rPr>
                              </w:pPr>
                              <w:r w:rsidRPr="00767956">
                                <w:rPr>
                                  <w:b/>
                                  <w:bCs/>
                                  <w:sz w:val="20"/>
                                  <w:lang w:val="en-US"/>
                                </w:rPr>
                                <w:t>Identification</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15" name="Text Box 14"/>
                        <wps:cNvSpPr txBox="1"/>
                        <wps:spPr>
                          <a:xfrm>
                            <a:off x="88900" y="1859014"/>
                            <a:ext cx="371958" cy="2057400"/>
                          </a:xfrm>
                          <a:prstGeom prst="rect">
                            <a:avLst/>
                          </a:prstGeom>
                          <a:solidFill>
                            <a:srgbClr val="FFFFFF">
                              <a:lumMod val="75000"/>
                            </a:srgbClr>
                          </a:solidFill>
                          <a:ln w="6350">
                            <a:solidFill>
                              <a:prstClr val="black"/>
                            </a:solidFill>
                          </a:ln>
                        </wps:spPr>
                        <wps:txbx>
                          <w:txbxContent>
                            <w:p w14:paraId="0B6BC58A" w14:textId="77777777" w:rsidR="008B5244" w:rsidRPr="00767956" w:rsidRDefault="008B5244" w:rsidP="008B5244">
                              <w:pPr>
                                <w:spacing w:before="60" w:after="60"/>
                                <w:jc w:val="center"/>
                                <w:rPr>
                                  <w:b/>
                                  <w:bCs/>
                                  <w:sz w:val="20"/>
                                  <w:lang w:val="en-US"/>
                                </w:rPr>
                              </w:pPr>
                              <w:r w:rsidRPr="00767956">
                                <w:rPr>
                                  <w:b/>
                                  <w:bCs/>
                                  <w:sz w:val="20"/>
                                  <w:lang w:val="en-US"/>
                                </w:rPr>
                                <w:t>Screening</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16" name="Text Box 14"/>
                        <wps:cNvSpPr txBox="1"/>
                        <wps:spPr>
                          <a:xfrm>
                            <a:off x="88900" y="4052669"/>
                            <a:ext cx="371958" cy="1946833"/>
                          </a:xfrm>
                          <a:prstGeom prst="rect">
                            <a:avLst/>
                          </a:prstGeom>
                          <a:solidFill>
                            <a:srgbClr val="FFFFFF">
                              <a:lumMod val="75000"/>
                            </a:srgbClr>
                          </a:solidFill>
                          <a:ln w="6350">
                            <a:solidFill>
                              <a:prstClr val="black"/>
                            </a:solidFill>
                          </a:ln>
                        </wps:spPr>
                        <wps:txbx>
                          <w:txbxContent>
                            <w:p w14:paraId="4085E92B" w14:textId="77777777" w:rsidR="008B5244" w:rsidRPr="00767956" w:rsidRDefault="008B5244" w:rsidP="008B5244">
                              <w:pPr>
                                <w:spacing w:before="60" w:after="60"/>
                                <w:jc w:val="center"/>
                                <w:rPr>
                                  <w:b/>
                                  <w:bCs/>
                                  <w:sz w:val="20"/>
                                  <w:lang w:val="en-US"/>
                                </w:rPr>
                              </w:pPr>
                              <w:r w:rsidRPr="00767956">
                                <w:rPr>
                                  <w:b/>
                                  <w:bCs/>
                                  <w:sz w:val="20"/>
                                  <w:lang w:val="en-US"/>
                                </w:rPr>
                                <w:t>Included</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17" name="Flowchart: Alternate Process 17"/>
                        <wps:cNvSpPr/>
                        <wps:spPr>
                          <a:xfrm>
                            <a:off x="1115911" y="361493"/>
                            <a:ext cx="1557223" cy="908050"/>
                          </a:xfrm>
                          <a:prstGeom prst="flowChartAlternateProcess">
                            <a:avLst/>
                          </a:prstGeom>
                          <a:solidFill>
                            <a:srgbClr val="3C533C"/>
                          </a:solidFill>
                          <a:ln w="25400" cap="flat" cmpd="sng" algn="ctr">
                            <a:noFill/>
                            <a:prstDash val="solid"/>
                          </a:ln>
                          <a:effectLst/>
                        </wps:spPr>
                        <wps:txbx>
                          <w:txbxContent>
                            <w:p w14:paraId="6C4EECA3" w14:textId="77777777" w:rsidR="008B5244" w:rsidRPr="008B5244" w:rsidRDefault="008B5244" w:rsidP="008B5244">
                              <w:pPr>
                                <w:jc w:val="center"/>
                                <w:rPr>
                                  <w:color w:val="FFFFFF" w:themeColor="background1"/>
                                  <w:sz w:val="20"/>
                                  <w:lang w:val="en-US"/>
                                </w:rPr>
                              </w:pPr>
                              <w:r w:rsidRPr="008B5244">
                                <w:rPr>
                                  <w:color w:val="FFFFFF" w:themeColor="background1"/>
                                  <w:sz w:val="20"/>
                                  <w:lang w:val="en-US"/>
                                </w:rPr>
                                <w:t>Targeted screening of existing health-based guidance (n=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Flowchart: Alternate Process 19"/>
                        <wps:cNvSpPr/>
                        <wps:spPr>
                          <a:xfrm>
                            <a:off x="3406557" y="358491"/>
                            <a:ext cx="1666164" cy="908050"/>
                          </a:xfrm>
                          <a:prstGeom prst="flowChartAlternateProcess">
                            <a:avLst/>
                          </a:prstGeom>
                          <a:solidFill>
                            <a:srgbClr val="3C533C"/>
                          </a:solidFill>
                          <a:ln w="25400" cap="flat" cmpd="sng" algn="ctr">
                            <a:noFill/>
                            <a:prstDash val="solid"/>
                          </a:ln>
                          <a:effectLst/>
                        </wps:spPr>
                        <wps:txbx>
                          <w:txbxContent>
                            <w:p w14:paraId="2AD91723" w14:textId="77777777" w:rsidR="008B5244" w:rsidRPr="008B5244" w:rsidRDefault="008B5244" w:rsidP="008B5244">
                              <w:pPr>
                                <w:jc w:val="center"/>
                                <w:rPr>
                                  <w:color w:val="FFFFFF" w:themeColor="background1"/>
                                  <w:sz w:val="20"/>
                                  <w:lang w:val="en-US"/>
                                </w:rPr>
                              </w:pPr>
                              <w:r w:rsidRPr="008B5244">
                                <w:rPr>
                                  <w:color w:val="FFFFFF" w:themeColor="background1"/>
                                  <w:sz w:val="20"/>
                                  <w:lang w:val="en-US"/>
                                </w:rPr>
                                <w:t>Evidence scan for recent health-based literature (n= 678)</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Flowchart: Alternate Process 20"/>
                        <wps:cNvSpPr/>
                        <wps:spPr>
                          <a:xfrm>
                            <a:off x="2125640" y="1871498"/>
                            <a:ext cx="1879600" cy="908050"/>
                          </a:xfrm>
                          <a:prstGeom prst="flowChartAlternateProcess">
                            <a:avLst/>
                          </a:prstGeom>
                          <a:solidFill>
                            <a:srgbClr val="3C533C"/>
                          </a:solidFill>
                          <a:ln w="25400" cap="flat" cmpd="sng" algn="ctr">
                            <a:noFill/>
                            <a:prstDash val="solid"/>
                          </a:ln>
                          <a:effectLst/>
                        </wps:spPr>
                        <wps:txbx>
                          <w:txbxContent>
                            <w:p w14:paraId="65595F2C" w14:textId="77777777" w:rsidR="008B5244" w:rsidRPr="008B5244" w:rsidRDefault="008B5244" w:rsidP="008B5244">
                              <w:pPr>
                                <w:jc w:val="center"/>
                                <w:rPr>
                                  <w:color w:val="FFFFFF" w:themeColor="background1"/>
                                  <w:sz w:val="20"/>
                                  <w:lang w:val="en-US"/>
                                </w:rPr>
                              </w:pPr>
                              <w:r w:rsidRPr="008B5244">
                                <w:rPr>
                                  <w:color w:val="FFFFFF" w:themeColor="background1"/>
                                  <w:sz w:val="20"/>
                                  <w:lang w:val="en-US"/>
                                </w:rPr>
                                <w:t xml:space="preserve">Preliminary title screen </w:t>
                              </w:r>
                            </w:p>
                            <w:p w14:paraId="30A50370" w14:textId="1D4B1428" w:rsidR="008B5244" w:rsidRPr="008B5244" w:rsidRDefault="008B5244" w:rsidP="008B5244">
                              <w:pPr>
                                <w:jc w:val="center"/>
                                <w:rPr>
                                  <w:color w:val="FFFFFF" w:themeColor="background1"/>
                                  <w:sz w:val="20"/>
                                  <w:lang w:val="en-US"/>
                                </w:rPr>
                              </w:pPr>
                              <w:r w:rsidRPr="008B5244">
                                <w:rPr>
                                  <w:color w:val="FFFFFF" w:themeColor="background1"/>
                                  <w:sz w:val="20"/>
                                  <w:lang w:val="en-US"/>
                                </w:rPr>
                                <w:t>(n= 586)</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Flowchart: Alternate Process 21"/>
                        <wps:cNvSpPr/>
                        <wps:spPr>
                          <a:xfrm>
                            <a:off x="2125640" y="3046248"/>
                            <a:ext cx="1879600" cy="908050"/>
                          </a:xfrm>
                          <a:prstGeom prst="flowChartAlternateProcess">
                            <a:avLst/>
                          </a:prstGeom>
                          <a:solidFill>
                            <a:srgbClr val="3C533C"/>
                          </a:solidFill>
                          <a:ln w="25400" cap="flat" cmpd="sng" algn="ctr">
                            <a:noFill/>
                            <a:prstDash val="solid"/>
                          </a:ln>
                          <a:effectLst/>
                        </wps:spPr>
                        <wps:txbx>
                          <w:txbxContent>
                            <w:p w14:paraId="45819B1B" w14:textId="77777777" w:rsidR="008B5244" w:rsidRPr="008B5244" w:rsidRDefault="008B5244" w:rsidP="008B5244">
                              <w:pPr>
                                <w:jc w:val="center"/>
                                <w:rPr>
                                  <w:color w:val="FFFFFF" w:themeColor="background1"/>
                                  <w:sz w:val="20"/>
                                  <w:lang w:val="en-US"/>
                                </w:rPr>
                              </w:pPr>
                              <w:r w:rsidRPr="008B5244">
                                <w:rPr>
                                  <w:color w:val="FFFFFF" w:themeColor="background1"/>
                                  <w:sz w:val="20"/>
                                  <w:lang w:val="en-US"/>
                                </w:rPr>
                                <w:t>Content screen (n=47)</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 name="Connector: Elbow 22"/>
                        <wps:cNvCnPr>
                          <a:stCxn id="17" idx="2"/>
                          <a:endCxn id="20" idx="0"/>
                        </wps:cNvCnPr>
                        <wps:spPr>
                          <a:xfrm rot="16200000" flipH="1">
                            <a:off x="2179004" y="985061"/>
                            <a:ext cx="601955" cy="1170917"/>
                          </a:xfrm>
                          <a:prstGeom prst="bentConnector3">
                            <a:avLst/>
                          </a:prstGeom>
                          <a:noFill/>
                          <a:ln w="19050" cap="flat" cmpd="sng" algn="ctr">
                            <a:solidFill>
                              <a:srgbClr val="3C533C">
                                <a:shade val="95000"/>
                                <a:satMod val="105000"/>
                              </a:srgbClr>
                            </a:solidFill>
                            <a:prstDash val="solid"/>
                            <a:tailEnd type="triangle"/>
                          </a:ln>
                          <a:effectLst/>
                        </wps:spPr>
                        <wps:bodyPr/>
                      </wps:wsp>
                      <wps:wsp>
                        <wps:cNvPr id="24" name="Connector: Elbow 24"/>
                        <wps:cNvCnPr>
                          <a:stCxn id="19" idx="2"/>
                          <a:endCxn id="20" idx="0"/>
                        </wps:cNvCnPr>
                        <wps:spPr>
                          <a:xfrm rot="5400000">
                            <a:off x="3350062" y="981920"/>
                            <a:ext cx="604957" cy="1174199"/>
                          </a:xfrm>
                          <a:prstGeom prst="bentConnector3">
                            <a:avLst/>
                          </a:prstGeom>
                          <a:noFill/>
                          <a:ln w="19050" cap="flat" cmpd="sng" algn="ctr">
                            <a:solidFill>
                              <a:srgbClr val="3C533C">
                                <a:shade val="95000"/>
                                <a:satMod val="105000"/>
                              </a:srgbClr>
                            </a:solidFill>
                            <a:prstDash val="solid"/>
                            <a:tailEnd type="triangle"/>
                          </a:ln>
                          <a:effectLst/>
                        </wps:spPr>
                        <wps:bodyPr/>
                      </wps:wsp>
                      <wps:wsp>
                        <wps:cNvPr id="25" name="Flowchart: Process 25"/>
                        <wps:cNvSpPr/>
                        <wps:spPr>
                          <a:xfrm>
                            <a:off x="4640250" y="1926448"/>
                            <a:ext cx="1085850" cy="806450"/>
                          </a:xfrm>
                          <a:prstGeom prst="flowChartProcess">
                            <a:avLst/>
                          </a:prstGeom>
                          <a:solidFill>
                            <a:srgbClr val="1E1E1E">
                              <a:lumMod val="50000"/>
                              <a:lumOff val="50000"/>
                            </a:srgbClr>
                          </a:solidFill>
                          <a:ln w="25400" cap="flat" cmpd="sng" algn="ctr">
                            <a:solidFill>
                              <a:srgbClr val="1E1E1E"/>
                            </a:solidFill>
                            <a:prstDash val="solid"/>
                          </a:ln>
                          <a:effectLst/>
                        </wps:spPr>
                        <wps:txbx>
                          <w:txbxContent>
                            <w:p w14:paraId="18283639" w14:textId="77777777" w:rsidR="008B5244" w:rsidRPr="0037433D" w:rsidRDefault="008B5244" w:rsidP="008B5244">
                              <w:pPr>
                                <w:jc w:val="center"/>
                                <w:rPr>
                                  <w:sz w:val="20"/>
                                  <w:lang w:val="en-US"/>
                                </w:rPr>
                              </w:pPr>
                              <w:r w:rsidRPr="0037433D">
                                <w:rPr>
                                  <w:sz w:val="20"/>
                                  <w:lang w:val="en-US"/>
                                </w:rPr>
                                <w:t>Records excluded (n=</w:t>
                              </w:r>
                              <w:r>
                                <w:rPr>
                                  <w:sz w:val="20"/>
                                  <w:lang w:val="en-US"/>
                                </w:rPr>
                                <w:t>539</w:t>
                              </w:r>
                              <w:r w:rsidRPr="0037433D">
                                <w:rPr>
                                  <w:sz w:val="20"/>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lowchart: Process 26"/>
                        <wps:cNvSpPr/>
                        <wps:spPr>
                          <a:xfrm>
                            <a:off x="4640250" y="3065298"/>
                            <a:ext cx="1085850" cy="861400"/>
                          </a:xfrm>
                          <a:prstGeom prst="flowChartProcess">
                            <a:avLst/>
                          </a:prstGeom>
                          <a:solidFill>
                            <a:srgbClr val="1E1E1E">
                              <a:lumMod val="50000"/>
                              <a:lumOff val="50000"/>
                            </a:srgbClr>
                          </a:solidFill>
                          <a:ln w="25400" cap="flat" cmpd="sng" algn="ctr">
                            <a:solidFill>
                              <a:srgbClr val="1E1E1E"/>
                            </a:solidFill>
                            <a:prstDash val="solid"/>
                          </a:ln>
                          <a:effectLst/>
                        </wps:spPr>
                        <wps:txbx>
                          <w:txbxContent>
                            <w:p w14:paraId="59B4F342" w14:textId="77777777" w:rsidR="008B5244" w:rsidRPr="0037433D" w:rsidRDefault="008B5244" w:rsidP="008B5244">
                              <w:pPr>
                                <w:jc w:val="center"/>
                                <w:rPr>
                                  <w:sz w:val="20"/>
                                  <w:lang w:val="en-US"/>
                                </w:rPr>
                              </w:pPr>
                              <w:r w:rsidRPr="0037433D">
                                <w:rPr>
                                  <w:sz w:val="20"/>
                                  <w:lang w:val="en-US"/>
                                </w:rPr>
                                <w:t>Records excluded</w:t>
                              </w:r>
                            </w:p>
                            <w:p w14:paraId="0DE520EB" w14:textId="77777777" w:rsidR="008B5244" w:rsidRPr="0037433D" w:rsidRDefault="008B5244" w:rsidP="008B5244">
                              <w:pPr>
                                <w:jc w:val="center"/>
                                <w:rPr>
                                  <w:sz w:val="20"/>
                                  <w:lang w:val="en-US"/>
                                </w:rPr>
                              </w:pPr>
                              <w:r w:rsidRPr="0037433D">
                                <w:rPr>
                                  <w:sz w:val="20"/>
                                  <w:lang w:val="en-US"/>
                                </w:rPr>
                                <w:t>(n=</w:t>
                              </w:r>
                              <w:r>
                                <w:rPr>
                                  <w:sz w:val="20"/>
                                  <w:lang w:val="en-US"/>
                                </w:rPr>
                                <w:t>23</w:t>
                              </w:r>
                              <w:r w:rsidRPr="0037433D">
                                <w:rPr>
                                  <w:sz w:val="20"/>
                                  <w:lang w:val="en-US"/>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 name="Flowchart: Alternate Process 30"/>
                        <wps:cNvSpPr/>
                        <wps:spPr>
                          <a:xfrm>
                            <a:off x="962631" y="4718600"/>
                            <a:ext cx="1169518" cy="1201215"/>
                          </a:xfrm>
                          <a:prstGeom prst="flowChartAlternateProcess">
                            <a:avLst/>
                          </a:prstGeom>
                          <a:solidFill>
                            <a:srgbClr val="3C533C"/>
                          </a:solidFill>
                          <a:ln w="25400" cap="flat" cmpd="sng" algn="ctr">
                            <a:noFill/>
                            <a:prstDash val="solid"/>
                          </a:ln>
                          <a:effectLst/>
                        </wps:spPr>
                        <wps:txbx>
                          <w:txbxContent>
                            <w:p w14:paraId="2A2C871A" w14:textId="77777777" w:rsidR="008B5244" w:rsidRPr="008B5244" w:rsidRDefault="008B5244" w:rsidP="008B5244">
                              <w:pPr>
                                <w:jc w:val="center"/>
                                <w:rPr>
                                  <w:color w:val="FFFFFF" w:themeColor="background1"/>
                                  <w:sz w:val="20"/>
                                  <w:lang w:val="en-US"/>
                                </w:rPr>
                              </w:pPr>
                              <w:r w:rsidRPr="008B5244">
                                <w:rPr>
                                  <w:color w:val="FFFFFF" w:themeColor="background1"/>
                                  <w:sz w:val="20"/>
                                  <w:lang w:val="en-US"/>
                                </w:rPr>
                                <w:t>Agency reviews with health information (n=1)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 name="Flowchart: Alternate Process 35"/>
                        <wps:cNvSpPr/>
                        <wps:spPr>
                          <a:xfrm>
                            <a:off x="4014185" y="4718600"/>
                            <a:ext cx="1189406" cy="1180073"/>
                          </a:xfrm>
                          <a:prstGeom prst="flowChartAlternateProcess">
                            <a:avLst/>
                          </a:prstGeom>
                          <a:solidFill>
                            <a:srgbClr val="3C533C"/>
                          </a:solidFill>
                          <a:ln w="25400" cap="flat" cmpd="sng" algn="ctr">
                            <a:noFill/>
                            <a:prstDash val="solid"/>
                          </a:ln>
                          <a:effectLst/>
                        </wps:spPr>
                        <wps:txbx>
                          <w:txbxContent>
                            <w:p w14:paraId="0947BEF9" w14:textId="77777777" w:rsidR="008B5244" w:rsidRPr="008B5244" w:rsidRDefault="008B5244" w:rsidP="008B5244">
                              <w:pPr>
                                <w:jc w:val="center"/>
                                <w:rPr>
                                  <w:color w:val="FFFFFF" w:themeColor="background1"/>
                                  <w:sz w:val="20"/>
                                  <w:lang w:val="en-US"/>
                                </w:rPr>
                              </w:pPr>
                              <w:r w:rsidRPr="008B5244">
                                <w:rPr>
                                  <w:color w:val="FFFFFF" w:themeColor="background1"/>
                                  <w:sz w:val="20"/>
                                  <w:lang w:val="en-US"/>
                                </w:rPr>
                                <w:t>Health-based peer-reviewed journal articles (n=23)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 name="Connector: Elbow 36"/>
                        <wps:cNvCnPr>
                          <a:stCxn id="21" idx="2"/>
                          <a:endCxn id="30" idx="0"/>
                        </wps:cNvCnPr>
                        <wps:spPr>
                          <a:xfrm rot="5400000">
                            <a:off x="1924264" y="3577424"/>
                            <a:ext cx="764302" cy="1518050"/>
                          </a:xfrm>
                          <a:prstGeom prst="bentConnector3">
                            <a:avLst/>
                          </a:prstGeom>
                          <a:noFill/>
                          <a:ln w="19050" cap="flat" cmpd="sng" algn="ctr">
                            <a:solidFill>
                              <a:srgbClr val="3C533C">
                                <a:shade val="95000"/>
                                <a:satMod val="105000"/>
                              </a:srgbClr>
                            </a:solidFill>
                            <a:prstDash val="solid"/>
                            <a:tailEnd type="triangle"/>
                          </a:ln>
                          <a:effectLst/>
                        </wps:spPr>
                        <wps:bodyPr/>
                      </wps:wsp>
                      <wps:wsp>
                        <wps:cNvPr id="37" name="Straight Arrow Connector 37"/>
                        <wps:cNvCnPr>
                          <a:stCxn id="20" idx="2"/>
                          <a:endCxn id="21" idx="0"/>
                        </wps:cNvCnPr>
                        <wps:spPr>
                          <a:xfrm>
                            <a:off x="3065440" y="2779548"/>
                            <a:ext cx="0" cy="266700"/>
                          </a:xfrm>
                          <a:prstGeom prst="straightConnector1">
                            <a:avLst/>
                          </a:prstGeom>
                          <a:noFill/>
                          <a:ln w="19050" cap="flat" cmpd="sng" algn="ctr">
                            <a:solidFill>
                              <a:srgbClr val="3C533C">
                                <a:shade val="95000"/>
                                <a:satMod val="105000"/>
                              </a:srgbClr>
                            </a:solidFill>
                            <a:prstDash val="solid"/>
                            <a:tailEnd type="triangle"/>
                          </a:ln>
                          <a:effectLst/>
                        </wps:spPr>
                        <wps:bodyPr/>
                      </wps:wsp>
                      <wps:wsp>
                        <wps:cNvPr id="39" name="Straight Arrow Connector 39"/>
                        <wps:cNvCnPr>
                          <a:stCxn id="20" idx="3"/>
                          <a:endCxn id="25" idx="1"/>
                        </wps:cNvCnPr>
                        <wps:spPr>
                          <a:xfrm>
                            <a:off x="4005240" y="2325523"/>
                            <a:ext cx="635010" cy="4150"/>
                          </a:xfrm>
                          <a:prstGeom prst="straightConnector1">
                            <a:avLst/>
                          </a:prstGeom>
                          <a:noFill/>
                          <a:ln w="19050" cap="flat" cmpd="sng" algn="ctr">
                            <a:solidFill>
                              <a:srgbClr val="FFFFFF">
                                <a:lumMod val="50000"/>
                              </a:srgbClr>
                            </a:solidFill>
                            <a:prstDash val="solid"/>
                            <a:tailEnd type="triangle"/>
                          </a:ln>
                          <a:effectLst/>
                        </wps:spPr>
                        <wps:bodyPr/>
                      </wps:wsp>
                      <wps:wsp>
                        <wps:cNvPr id="40" name="Straight Arrow Connector 40"/>
                        <wps:cNvCnPr>
                          <a:stCxn id="21" idx="3"/>
                          <a:endCxn id="26" idx="1"/>
                        </wps:cNvCnPr>
                        <wps:spPr>
                          <a:xfrm flipV="1">
                            <a:off x="4005240" y="3495998"/>
                            <a:ext cx="635010" cy="4275"/>
                          </a:xfrm>
                          <a:prstGeom prst="straightConnector1">
                            <a:avLst/>
                          </a:prstGeom>
                          <a:noFill/>
                          <a:ln w="19050" cap="flat" cmpd="sng" algn="ctr">
                            <a:solidFill>
                              <a:srgbClr val="FFFFFF">
                                <a:lumMod val="50000"/>
                              </a:srgbClr>
                            </a:solidFill>
                            <a:prstDash val="solid"/>
                            <a:tailEnd type="triangle"/>
                          </a:ln>
                          <a:effectLst/>
                        </wps:spPr>
                        <wps:bodyPr/>
                      </wps:wsp>
                      <wps:wsp>
                        <wps:cNvPr id="43" name="Connector: Elbow 43"/>
                        <wps:cNvCnPr>
                          <a:stCxn id="21" idx="2"/>
                          <a:endCxn id="35" idx="0"/>
                        </wps:cNvCnPr>
                        <wps:spPr>
                          <a:xfrm rot="16200000" flipH="1">
                            <a:off x="3455013" y="3564725"/>
                            <a:ext cx="764302" cy="1543448"/>
                          </a:xfrm>
                          <a:prstGeom prst="bentConnector3">
                            <a:avLst/>
                          </a:prstGeom>
                          <a:noFill/>
                          <a:ln w="19050" cap="flat" cmpd="sng" algn="ctr">
                            <a:solidFill>
                              <a:srgbClr val="3C533C">
                                <a:shade val="95000"/>
                                <a:satMod val="105000"/>
                              </a:srgbClr>
                            </a:solidFill>
                            <a:prstDash val="solid"/>
                            <a:tailEnd type="triangle"/>
                          </a:ln>
                          <a:effectLst/>
                        </wps:spPr>
                        <wps:bodyPr/>
                      </wps:wsp>
                      <wps:wsp>
                        <wps:cNvPr id="888324755" name="Straight Arrow Connector 888324755"/>
                        <wps:cNvCnPr>
                          <a:endCxn id="1606280875" idx="1"/>
                        </wps:cNvCnPr>
                        <wps:spPr>
                          <a:xfrm>
                            <a:off x="3076190" y="1605836"/>
                            <a:ext cx="1564060" cy="55"/>
                          </a:xfrm>
                          <a:prstGeom prst="straightConnector1">
                            <a:avLst/>
                          </a:prstGeom>
                          <a:noFill/>
                          <a:ln w="19050" cap="flat" cmpd="sng" algn="ctr">
                            <a:solidFill>
                              <a:srgbClr val="FFFFFF">
                                <a:lumMod val="50000"/>
                              </a:srgbClr>
                            </a:solidFill>
                            <a:prstDash val="solid"/>
                            <a:tailEnd type="triangle"/>
                          </a:ln>
                          <a:effectLst/>
                        </wps:spPr>
                        <wps:bodyPr/>
                      </wps:wsp>
                      <wps:wsp>
                        <wps:cNvPr id="1606280875" name="Flowchart: Process 1606280875"/>
                        <wps:cNvSpPr/>
                        <wps:spPr>
                          <a:xfrm>
                            <a:off x="4640250" y="1363672"/>
                            <a:ext cx="1085850" cy="484549"/>
                          </a:xfrm>
                          <a:prstGeom prst="flowChartProcess">
                            <a:avLst/>
                          </a:prstGeom>
                          <a:solidFill>
                            <a:srgbClr val="1E1E1E">
                              <a:lumMod val="50000"/>
                              <a:lumOff val="50000"/>
                            </a:srgbClr>
                          </a:solidFill>
                          <a:ln w="25400" cap="flat" cmpd="sng" algn="ctr">
                            <a:solidFill>
                              <a:srgbClr val="1E1E1E"/>
                            </a:solidFill>
                            <a:prstDash val="solid"/>
                          </a:ln>
                          <a:effectLst/>
                        </wps:spPr>
                        <wps:txbx>
                          <w:txbxContent>
                            <w:p w14:paraId="207617B9" w14:textId="77777777" w:rsidR="008B5244" w:rsidRDefault="008B5244" w:rsidP="008B5244">
                              <w:pPr>
                                <w:jc w:val="center"/>
                                <w:rPr>
                                  <w:rFonts w:eastAsia="Arial"/>
                                  <w:sz w:val="20"/>
                                  <w:lang w:val="en-US"/>
                                </w:rPr>
                              </w:pPr>
                              <w:r>
                                <w:rPr>
                                  <w:rFonts w:eastAsia="Arial"/>
                                  <w:sz w:val="20"/>
                                  <w:lang w:val="en-US"/>
                                </w:rPr>
                                <w:t>Deduplication (n = 93)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00079333" name="Straight Arrow Connector 2000079333"/>
                        <wps:cNvCnPr>
                          <a:stCxn id="35" idx="1"/>
                          <a:endCxn id="285479427" idx="3"/>
                        </wps:cNvCnPr>
                        <wps:spPr>
                          <a:xfrm flipH="1">
                            <a:off x="3848276" y="5308637"/>
                            <a:ext cx="165909" cy="404158"/>
                          </a:xfrm>
                          <a:prstGeom prst="straightConnector1">
                            <a:avLst/>
                          </a:prstGeom>
                          <a:noFill/>
                          <a:ln w="19050" cap="flat" cmpd="sng" algn="ctr">
                            <a:solidFill>
                              <a:srgbClr val="0070C0"/>
                            </a:solidFill>
                            <a:prstDash val="solid"/>
                            <a:tailEnd type="triangle"/>
                          </a:ln>
                          <a:effectLst/>
                        </wps:spPr>
                        <wps:bodyPr/>
                      </wps:wsp>
                      <wps:wsp>
                        <wps:cNvPr id="285479427" name="Flowchart: Process 285479427"/>
                        <wps:cNvSpPr/>
                        <wps:spPr>
                          <a:xfrm>
                            <a:off x="2632668" y="5426110"/>
                            <a:ext cx="1215608" cy="573370"/>
                          </a:xfrm>
                          <a:prstGeom prst="flowChartProcess">
                            <a:avLst/>
                          </a:prstGeom>
                          <a:solidFill>
                            <a:srgbClr val="DDF6FF"/>
                          </a:solidFill>
                          <a:ln w="25400" cap="flat" cmpd="sng" algn="ctr">
                            <a:solidFill>
                              <a:srgbClr val="0070C0"/>
                            </a:solidFill>
                            <a:prstDash val="solid"/>
                          </a:ln>
                          <a:effectLst/>
                        </wps:spPr>
                        <wps:txbx>
                          <w:txbxContent>
                            <w:p w14:paraId="7FBB1E3F" w14:textId="79005E35" w:rsidR="008B5244" w:rsidRPr="008B5244" w:rsidRDefault="008B5244" w:rsidP="008B5244">
                              <w:pPr>
                                <w:jc w:val="center"/>
                                <w:rPr>
                                  <w:rFonts w:eastAsia="Arial"/>
                                  <w:sz w:val="18"/>
                                  <w:szCs w:val="18"/>
                                  <w:lang w:val="en-US"/>
                                </w:rPr>
                              </w:pPr>
                              <w:r w:rsidRPr="008B5244">
                                <w:rPr>
                                  <w:rFonts w:eastAsia="Arial"/>
                                  <w:sz w:val="18"/>
                                  <w:szCs w:val="18"/>
                                  <w:lang w:val="en-US"/>
                                </w:rPr>
                                <w:t>Risk of Bias assessment undertaken</w:t>
                              </w:r>
                              <w:r>
                                <w:rPr>
                                  <w:rFonts w:eastAsia="Arial"/>
                                  <w:sz w:val="18"/>
                                  <w:szCs w:val="18"/>
                                  <w:lang w:val="en-US"/>
                                </w:rPr>
                                <w:t xml:space="preserve"> (n=</w:t>
                              </w:r>
                              <w:r w:rsidR="00FB5DC4">
                                <w:rPr>
                                  <w:rFonts w:eastAsia="Arial"/>
                                  <w:sz w:val="18"/>
                                  <w:szCs w:val="18"/>
                                  <w:lang w:val="en-US"/>
                                </w:rPr>
                                <w:t>7</w:t>
                              </w:r>
                              <w:r>
                                <w:rPr>
                                  <w:rFonts w:eastAsia="Arial"/>
                                  <w:sz w:val="18"/>
                                  <w:szCs w:val="18"/>
                                  <w:lang w:val="en-US"/>
                                </w:rPr>
                                <w:t>)*</w:t>
                              </w:r>
                            </w:p>
                            <w:p w14:paraId="48844508" w14:textId="77777777" w:rsidR="008B5244" w:rsidRDefault="008B5244" w:rsidP="008B5244">
                              <w:pPr>
                                <w:jc w:val="center"/>
                                <w:rPr>
                                  <w:rFonts w:eastAsia="Arial"/>
                                  <w:sz w:val="20"/>
                                  <w:lang w:val="en-US"/>
                                </w:rPr>
                              </w:pPr>
                              <w:r>
                                <w:rPr>
                                  <w:rFonts w:eastAsia="Arial"/>
                                  <w:sz w:val="20"/>
                                  <w:lang w:val="en-US"/>
                                </w:rPr>
                                <w:t>(n=23)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4EC4E868" id="Canvas 13" o:spid="_x0000_s1026" editas="canvas" alt="The figure is a flow diagram illustrating the literature search process for vitamin B6 upper limit, structured according to PRISMA guidelines. It is divided into three vertical sections labelled on the left: Identification, Screening, and Included.&#10;Identification section (top):&#10;Two horizontally aligned green rounded rectangles represent sources of initial records:&#10;Targeted screening of existing health-based guidance (n = 1) on the left.&#10;Evidence review for recent health-based literature (n = 678) on the right.&#10;Thin connecting lines from each box converge downward into the next stage.&#10;Screening section (middle):&#10;A single green rounded rectangle labelled Preliminary title screen (n = 586) appears below, indicating the combined total from the identification stage.&#10;To the right of this box are grey rectangles labelled Records excluded (n = 539) and-deduplication (n = 93), connected by a horizontal arrow, showing the number of records removed at this step.&#10;Below, another green rounded rectangle labelled Content screen (n = 47) represents the next filtering stage.&#10;To its right, another grey rectangle labelled Records excluded total (n = 397) (consisting of n=318 irrelevant studies, n=64 excluded from full text review, n=23 excluded based on credible guidance).&#10;Included section (bottom):&#10;Two dark green rounded rectangles are arranged horizontally, each representing categories of included records after screening:&#10;Agency reviews with health information (n = 1) on the far left.&#10;Health-based peer-reviewed journal articles (n = 23) on the far right.&#10;Both boxes are connected upward to the content screen box by thin vertical lines.&#10;In the diagram, a blue box connected to the health-based peer-reviewed journal articles green box highlighting the total pool of studies selected for risk of bias assessment (n=7). &#10;The diagram uses green for active process steps and grey for excluded records. Arrows indicate the flow from identification through screening to inclusion. Numbers in parentheses show the count of records at each stage, highlighting progressive narrowing from 679 initial records to 24 included across categories." style="width:451.45pt;height:472.4pt;mso-position-horizontal-relative:char;mso-position-vertical-relative:line" coordsize="57334,5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The figure is a flow diagram illustrating the literature search process for vitamin B6 upper limit, structured according to PRISMA guidelines. It is divided into three vertical sections labelled on the left: Identification, Screening, and Included.&#10;Identification section (top):&#10;Two horizontally aligned green rounded rectangles represent sources of initial records:&#10;Targeted screening of existing health-based guidance (n = 1) on the left.&#10;Evidence review for recent health-based literature (n = 678) on the right.&#10;Thin connecting lines from each box converge downward into the next stage.&#10;Screening section (middle):&#10;A single green rounded rectangle labelled Preliminary title screen (n = 586) appears below, indicating the combined total from the identification stage.&#10;To the right of this box are grey rectangles labelled Records excluded (n = 539) and-deduplication (n = 93), connected by a horizontal arrow, showing the number of records removed at this step.&#10;Below, another green rounded rectangle labelled Content screen (n = 47) represents the next filtering stage.&#10;To its right, another grey rectangle labelled Records excluded total (n = 397) (consisting of n=318 irrelevant studies, n=64 excluded from full text review, n=23 excluded based on credible guidance).&#10;Included section (bottom):&#10;Two dark green rounded rectangles are arranged horizontally, each representing categories of included records after screening:&#10;Agency reviews with health information (n = 1) on the far left.&#10;Health-based peer-reviewed journal articles (n = 23) on the far right.&#10;Both boxes are connected upward to the content screen box by thin vertical lines.&#10;In the diagram, a blue box connected to the health-based peer-reviewed journal articles green box highlighting the total pool of studies selected for risk of bias assessment (n=7). &#10;The diagram uses green for active process steps and grey for excluded records. Arrows indicate the flow from identification through screening to inclusion. Numbers in parentheses show the count of records at each stage, highlighting progressive narrowing from 679 initial records to 24 included across categories." style="position:absolute;width:57334;height:59994;visibility:visible;mso-wrap-style:square" filled="t">
                  <v:fill o:detectmouseclick="t"/>
                  <v:path o:connecttype="none"/>
                </v:shape>
                <v:shapetype id="_x0000_t202" coordsize="21600,21600" o:spt="202" path="m,l,21600r21600,l21600,xe">
                  <v:stroke joinstyle="miter"/>
                  <v:path gradientshapeok="t" o:connecttype="rect"/>
                </v:shapetype>
                <v:shape id="Text Box 14" o:spid="_x0000_s1028" type="#_x0000_t202" style="position:absolute;left:889;top:359;width:3719;height:17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" fillcolor="#bfbfbf" strokeweight=".5pt">
                  <v:textbox style="layout-flow:vertical;mso-layout-flow-alt:bottom-to-top">
                    <w:txbxContent>
                      <w:p w14:paraId="03F93B7C" w14:textId="77777777" w:rsidR="008B5244" w:rsidRPr="00767956" w:rsidRDefault="008B5244" w:rsidP="008B5244">
                        <w:pPr>
                          <w:spacing w:before="60" w:after="60"/>
                          <w:jc w:val="center"/>
                          <w:rPr>
                            <w:b/>
                            <w:bCs/>
                            <w:sz w:val="20"/>
                            <w:lang w:val="en-US"/>
                          </w:rPr>
                        </w:pPr>
                        <w:r w:rsidRPr="00767956">
                          <w:rPr>
                            <w:b/>
                            <w:bCs/>
                            <w:sz w:val="20"/>
                            <w:lang w:val="en-US"/>
                          </w:rPr>
                          <w:t>Identification</w:t>
                        </w:r>
                      </w:p>
                    </w:txbxContent>
                  </v:textbox>
                </v:shape>
                <v:shape id="Text Box 14" o:spid="_x0000_s1029" type="#_x0000_t202" style="position:absolute;left:889;top:18590;width:3719;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" fillcolor="#bfbfbf" strokeweight=".5pt">
                  <v:textbox style="layout-flow:vertical;mso-layout-flow-alt:bottom-to-top">
                    <w:txbxContent>
                      <w:p w14:paraId="0B6BC58A" w14:textId="77777777" w:rsidR="008B5244" w:rsidRPr="00767956" w:rsidRDefault="008B5244" w:rsidP="008B5244">
                        <w:pPr>
                          <w:spacing w:before="60" w:after="60"/>
                          <w:jc w:val="center"/>
                          <w:rPr>
                            <w:b/>
                            <w:bCs/>
                            <w:sz w:val="20"/>
                            <w:lang w:val="en-US"/>
                          </w:rPr>
                        </w:pPr>
                        <w:r w:rsidRPr="00767956">
                          <w:rPr>
                            <w:b/>
                            <w:bCs/>
                            <w:sz w:val="20"/>
                            <w:lang w:val="en-US"/>
                          </w:rPr>
                          <w:t>Screening</w:t>
                        </w:r>
                      </w:p>
                    </w:txbxContent>
                  </v:textbox>
                </v:shape>
                <v:shape id="Text Box 14" o:spid="_x0000_s1030" type="#_x0000_t202" style="position:absolute;left:889;top:40526;width:3719;height:19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" fillcolor="#bfbfbf" strokeweight=".5pt">
                  <v:textbox style="layout-flow:vertical;mso-layout-flow-alt:bottom-to-top">
                    <w:txbxContent>
                      <w:p w14:paraId="4085E92B" w14:textId="77777777" w:rsidR="008B5244" w:rsidRPr="00767956" w:rsidRDefault="008B5244" w:rsidP="008B5244">
                        <w:pPr>
                          <w:spacing w:before="60" w:after="60"/>
                          <w:jc w:val="center"/>
                          <w:rPr>
                            <w:b/>
                            <w:bCs/>
                            <w:sz w:val="20"/>
                            <w:lang w:val="en-US"/>
                          </w:rPr>
                        </w:pPr>
                        <w:r w:rsidRPr="00767956">
                          <w:rPr>
                            <w:b/>
                            <w:bCs/>
                            <w:sz w:val="20"/>
                            <w:lang w:val="en-US"/>
                          </w:rPr>
                          <w:t>Included</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31" type="#_x0000_t176" style="position:absolute;left:11159;top:3614;width:15572;height:9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" fillcolor="#3c533c" stroked="f" strokeweight="2pt">
                  <v:textbox>
                    <w:txbxContent>
                      <w:p w14:paraId="6C4EECA3" w14:textId="77777777" w:rsidR="008B5244" w:rsidRPr="008B5244" w:rsidRDefault="008B5244" w:rsidP="008B5244">
                        <w:pPr>
                          <w:jc w:val="center"/>
                          <w:rPr>
                            <w:color w:val="FFFFFF" w:themeColor="background1"/>
                            <w:sz w:val="20"/>
                            <w:lang w:val="en-US"/>
                          </w:rPr>
                        </w:pPr>
                        <w:r w:rsidRPr="008B5244">
                          <w:rPr>
                            <w:color w:val="FFFFFF" w:themeColor="background1"/>
                            <w:sz w:val="20"/>
                            <w:lang w:val="en-US"/>
                          </w:rPr>
                          <w:t>Targeted screening of existing health-based guidance (n= 1)</w:t>
                        </w:r>
                      </w:p>
                    </w:txbxContent>
                  </v:textbox>
                </v:shape>
                <v:shape id="Flowchart: Alternate Process 19" o:spid="_x0000_s1032" type="#_x0000_t176" style="position:absolute;left:34065;top:3584;width:16662;height:9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" fillcolor="#3c533c" stroked="f" strokeweight="2pt">
                  <v:textbox>
                    <w:txbxContent>
                      <w:p w14:paraId="2AD91723" w14:textId="77777777" w:rsidR="008B5244" w:rsidRPr="008B5244" w:rsidRDefault="008B5244" w:rsidP="008B5244">
                        <w:pPr>
                          <w:jc w:val="center"/>
                          <w:rPr>
                            <w:color w:val="FFFFFF" w:themeColor="background1"/>
                            <w:sz w:val="20"/>
                            <w:lang w:val="en-US"/>
                          </w:rPr>
                        </w:pPr>
                        <w:r w:rsidRPr="008B5244">
                          <w:rPr>
                            <w:color w:val="FFFFFF" w:themeColor="background1"/>
                            <w:sz w:val="20"/>
                            <w:lang w:val="en-US"/>
                          </w:rPr>
                          <w:t>Evidence scan for recent health-based literature (n= 678)</w:t>
                        </w:r>
                      </w:p>
                    </w:txbxContent>
                  </v:textbox>
                </v:shape>
                <v:shape id="Flowchart: Alternate Process 20" o:spid="_x0000_s1033" type="#_x0000_t176" style="position:absolute;left:21256;top:18714;width:18796;height:9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" fillcolor="#3c533c" stroked="f" strokeweight="2pt">
                  <v:textbox>
                    <w:txbxContent>
                      <w:p w14:paraId="65595F2C" w14:textId="77777777" w:rsidR="008B5244" w:rsidRPr="008B5244" w:rsidRDefault="008B5244" w:rsidP="008B5244">
                        <w:pPr>
                          <w:jc w:val="center"/>
                          <w:rPr>
                            <w:color w:val="FFFFFF" w:themeColor="background1"/>
                            <w:sz w:val="20"/>
                            <w:lang w:val="en-US"/>
                          </w:rPr>
                        </w:pPr>
                        <w:r w:rsidRPr="008B5244">
                          <w:rPr>
                            <w:color w:val="FFFFFF" w:themeColor="background1"/>
                            <w:sz w:val="20"/>
                            <w:lang w:val="en-US"/>
                          </w:rPr>
                          <w:t xml:space="preserve">Preliminary title screen </w:t>
                        </w:r>
                      </w:p>
                      <w:p w14:paraId="30A50370" w14:textId="1D4B1428" w:rsidR="008B5244" w:rsidRPr="008B5244" w:rsidRDefault="008B5244" w:rsidP="008B5244">
                        <w:pPr>
                          <w:jc w:val="center"/>
                          <w:rPr>
                            <w:color w:val="FFFFFF" w:themeColor="background1"/>
                            <w:sz w:val="20"/>
                            <w:lang w:val="en-US"/>
                          </w:rPr>
                        </w:pPr>
                        <w:r w:rsidRPr="008B5244">
                          <w:rPr>
                            <w:color w:val="FFFFFF" w:themeColor="background1"/>
                            <w:sz w:val="20"/>
                            <w:lang w:val="en-US"/>
                          </w:rPr>
                          <w:t>(n= 586)</w:t>
                        </w:r>
                      </w:p>
                    </w:txbxContent>
                  </v:textbox>
                </v:shape>
                <v:shape id="Flowchart: Alternate Process 21" o:spid="_x0000_s1034" type="#_x0000_t176" style="position:absolute;left:21256;top:30462;width:18796;height:9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" fillcolor="#3c533c" stroked="f" strokeweight="2pt">
                  <v:textbox>
                    <w:txbxContent>
                      <w:p w14:paraId="45819B1B" w14:textId="77777777" w:rsidR="008B5244" w:rsidRPr="008B5244" w:rsidRDefault="008B5244" w:rsidP="008B5244">
                        <w:pPr>
                          <w:jc w:val="center"/>
                          <w:rPr>
                            <w:color w:val="FFFFFF" w:themeColor="background1"/>
                            <w:sz w:val="20"/>
                            <w:lang w:val="en-US"/>
                          </w:rPr>
                        </w:pPr>
                        <w:r w:rsidRPr="008B5244">
                          <w:rPr>
                            <w:color w:val="FFFFFF" w:themeColor="background1"/>
                            <w:sz w:val="20"/>
                            <w:lang w:val="en-US"/>
                          </w:rPr>
                          <w:t>Content screen (n=47)</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2" o:spid="_x0000_s1035" type="#_x0000_t34" style="position:absolute;left:21790;top:9850;width:6019;height:1170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" strokecolor="#3a523a" strokeweight="1.5pt">
                  <v:stroke endarrow="block"/>
                </v:shape>
                <v:shape id="Connector: Elbow 24" o:spid="_x0000_s1036" type="#_x0000_t34" style="position:absolute;left:33500;top:9819;width:6049;height:1174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" strokecolor="#3a523a" strokeweight="1.5pt">
                  <v:stroke endarrow="block"/>
                </v:shape>
                <v:shapetype id="_x0000_t109" coordsize="21600,21600" o:spt="109" path="m,l,21600r21600,l21600,xe">
                  <v:stroke joinstyle="miter"/>
                  <v:path gradientshapeok="t" o:connecttype="rect"/>
                </v:shapetype>
                <v:shape id="Flowchart: Process 25" o:spid="_x0000_s1037" type="#_x0000_t109" style="position:absolute;left:46402;top:19264;width:10859;height:8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" fillcolor="#8e8e8e" strokecolor="#1e1e1e" strokeweight="2pt">
                  <v:textbox>
                    <w:txbxContent>
                      <w:p w14:paraId="18283639" w14:textId="77777777" w:rsidR="008B5244" w:rsidRPr="0037433D" w:rsidRDefault="008B5244" w:rsidP="008B5244">
                        <w:pPr>
                          <w:jc w:val="center"/>
                          <w:rPr>
                            <w:sz w:val="20"/>
                            <w:lang w:val="en-US"/>
                          </w:rPr>
                        </w:pPr>
                        <w:r w:rsidRPr="0037433D">
                          <w:rPr>
                            <w:sz w:val="20"/>
                            <w:lang w:val="en-US"/>
                          </w:rPr>
                          <w:t>Records excluded (n=</w:t>
                        </w:r>
                        <w:r>
                          <w:rPr>
                            <w:sz w:val="20"/>
                            <w:lang w:val="en-US"/>
                          </w:rPr>
                          <w:t>539</w:t>
                        </w:r>
                        <w:r w:rsidRPr="0037433D">
                          <w:rPr>
                            <w:sz w:val="20"/>
                            <w:lang w:val="en-US"/>
                          </w:rPr>
                          <w:t>)</w:t>
                        </w:r>
                      </w:p>
                    </w:txbxContent>
                  </v:textbox>
                </v:shape>
                <v:shape id="Flowchart: Process 26" o:spid="_x0000_s1038" type="#_x0000_t109" style="position:absolute;left:46402;top:30652;width:10859;height:86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" fillcolor="#8e8e8e" strokecolor="#1e1e1e" strokeweight="2pt">
                  <v:textbox>
                    <w:txbxContent>
                      <w:p w14:paraId="59B4F342" w14:textId="77777777" w:rsidR="008B5244" w:rsidRPr="0037433D" w:rsidRDefault="008B5244" w:rsidP="008B5244">
                        <w:pPr>
                          <w:jc w:val="center"/>
                          <w:rPr>
                            <w:sz w:val="20"/>
                            <w:lang w:val="en-US"/>
                          </w:rPr>
                        </w:pPr>
                        <w:r w:rsidRPr="0037433D">
                          <w:rPr>
                            <w:sz w:val="20"/>
                            <w:lang w:val="en-US"/>
                          </w:rPr>
                          <w:t>Records excluded</w:t>
                        </w:r>
                      </w:p>
                      <w:p w14:paraId="0DE520EB" w14:textId="77777777" w:rsidR="008B5244" w:rsidRPr="0037433D" w:rsidRDefault="008B5244" w:rsidP="008B5244">
                        <w:pPr>
                          <w:jc w:val="center"/>
                          <w:rPr>
                            <w:sz w:val="20"/>
                            <w:lang w:val="en-US"/>
                          </w:rPr>
                        </w:pPr>
                        <w:r w:rsidRPr="0037433D">
                          <w:rPr>
                            <w:sz w:val="20"/>
                            <w:lang w:val="en-US"/>
                          </w:rPr>
                          <w:t>(n=</w:t>
                        </w:r>
                        <w:r>
                          <w:rPr>
                            <w:sz w:val="20"/>
                            <w:lang w:val="en-US"/>
                          </w:rPr>
                          <w:t>23</w:t>
                        </w:r>
                        <w:r w:rsidRPr="0037433D">
                          <w:rPr>
                            <w:sz w:val="20"/>
                            <w:lang w:val="en-US"/>
                          </w:rPr>
                          <w:t>)</w:t>
                        </w:r>
                      </w:p>
                    </w:txbxContent>
                  </v:textbox>
                </v:shape>
                <v:shape id="Flowchart: Alternate Process 30" o:spid="_x0000_s1039" type="#_x0000_t176" style="position:absolute;left:9626;top:47186;width:11695;height:120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" fillcolor="#3c533c" stroked="f" strokeweight="2pt">
                  <v:textbox>
                    <w:txbxContent>
                      <w:p w14:paraId="2A2C871A" w14:textId="77777777" w:rsidR="008B5244" w:rsidRPr="008B5244" w:rsidRDefault="008B5244" w:rsidP="008B5244">
                        <w:pPr>
                          <w:jc w:val="center"/>
                          <w:rPr>
                            <w:color w:val="FFFFFF" w:themeColor="background1"/>
                            <w:sz w:val="20"/>
                            <w:lang w:val="en-US"/>
                          </w:rPr>
                        </w:pPr>
                        <w:r w:rsidRPr="008B5244">
                          <w:rPr>
                            <w:color w:val="FFFFFF" w:themeColor="background1"/>
                            <w:sz w:val="20"/>
                            <w:lang w:val="en-US"/>
                          </w:rPr>
                          <w:t>Agency reviews with health information (n=1)</w:t>
                        </w:r>
                      </w:p>
                    </w:txbxContent>
                  </v:textbox>
                </v:shape>
                <v:shape id="Flowchart: Alternate Process 35" o:spid="_x0000_s1040" type="#_x0000_t176" style="position:absolute;left:40141;top:47186;width:11894;height:1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" fillcolor="#3c533c" stroked="f" strokeweight="2pt">
                  <v:textbox>
                    <w:txbxContent>
                      <w:p w14:paraId="0947BEF9" w14:textId="77777777" w:rsidR="008B5244" w:rsidRPr="008B5244" w:rsidRDefault="008B5244" w:rsidP="008B5244">
                        <w:pPr>
                          <w:jc w:val="center"/>
                          <w:rPr>
                            <w:color w:val="FFFFFF" w:themeColor="background1"/>
                            <w:sz w:val="20"/>
                            <w:lang w:val="en-US"/>
                          </w:rPr>
                        </w:pPr>
                        <w:r w:rsidRPr="008B5244">
                          <w:rPr>
                            <w:color w:val="FFFFFF" w:themeColor="background1"/>
                            <w:sz w:val="20"/>
                            <w:lang w:val="en-US"/>
                          </w:rPr>
                          <w:t>Health-based peer-reviewed journal articles (n=23)</w:t>
                        </w:r>
                      </w:p>
                    </w:txbxContent>
                  </v:textbox>
                </v:shape>
                <v:shape id="Connector: Elbow 36" o:spid="_x0000_s1041" type="#_x0000_t34" style="position:absolute;left:19242;top:35773;width:7644;height:1518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" strokecolor="#3a523a" strokeweight="1.5pt">
                  <v:stroke endarrow="block"/>
                </v:shape>
                <v:shapetype id="_x0000_t32" coordsize="21600,21600" o:spt="32" o:oned="t" path="m,l21600,21600e" filled="f">
                  <v:path arrowok="t" fillok="f" o:connecttype="none"/>
                  <o:lock v:ext="edit" shapetype="t"/>
                </v:shapetype>
                <v:shape id="Straight Arrow Connector 37" o:spid="_x0000_s1042" type="#_x0000_t32" style="position:absolute;left:30654;top:27795;width: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" strokecolor="#3a523a" strokeweight="1.5pt">
                  <v:stroke endarrow="block"/>
                </v:shape>
                <v:shape id="Straight Arrow Connector 39" o:spid="_x0000_s1043" type="#_x0000_t32" style="position:absolute;left:40052;top:23255;width:6350;height: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" strokecolor="#7f7f7f" strokeweight="1.5pt">
                  <v:stroke endarrow="block"/>
                </v:shape>
                <v:shape id="Straight Arrow Connector 40" o:spid="_x0000_s1044" type="#_x0000_t32" style="position:absolute;left:40052;top:34959;width:6350;height: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" strokecolor="#7f7f7f" strokeweight="1.5pt">
                  <v:stroke endarrow="block"/>
                </v:shape>
                <v:shape id="Connector: Elbow 43" o:spid="_x0000_s1045" type="#_x0000_t34" style="position:absolute;left:34549;top:35647;width:7644;height:1543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" strokecolor="#3a523a" strokeweight="1.5pt">
                  <v:stroke endarrow="block"/>
                </v:shape>
                <v:shape id="Straight Arrow Connector 888324755" o:spid="_x0000_s1046" type="#_x0000_t32" style="position:absolute;left:30761;top:16058;width:156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" strokecolor="#7f7f7f" strokeweight="1.5pt">
                  <v:stroke endarrow="block"/>
                </v:shape>
                <v:shape id="Flowchart: Process 1606280875" o:spid="_x0000_s1047" type="#_x0000_t109" style="position:absolute;left:46402;top:13636;width:10859;height:4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" fillcolor="#8e8e8e" strokecolor="#1e1e1e" strokeweight="2pt">
                  <v:textbox>
                    <w:txbxContent>
                      <w:p w14:paraId="207617B9" w14:textId="77777777" w:rsidR="008B5244" w:rsidRDefault="008B5244" w:rsidP="008B5244">
                        <w:pPr>
                          <w:jc w:val="center"/>
                          <w:rPr>
                            <w:rFonts w:eastAsia="Arial"/>
                            <w:sz w:val="20"/>
                            <w:lang w:val="en-US"/>
                          </w:rPr>
                        </w:pPr>
                        <w:r>
                          <w:rPr>
                            <w:rFonts w:eastAsia="Arial"/>
                            <w:sz w:val="20"/>
                            <w:lang w:val="en-US"/>
                          </w:rPr>
                          <w:t>Deduplication (n = 93)</w:t>
                        </w:r>
                      </w:p>
                    </w:txbxContent>
                  </v:textbox>
                </v:shape>
                <v:shape id="Straight Arrow Connector 2000079333" o:spid="_x0000_s1048" type="#_x0000_t32" style="position:absolute;left:38482;top:53086;width:1659;height:40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" strokecolor="#0070c0" strokeweight="1.5pt">
                  <v:stroke endarrow="block"/>
                </v:shape>
                <v:shape id="Flowchart: Process 285479427" o:spid="_x0000_s1049" type="#_x0000_t109" style="position:absolute;left:26326;top:54261;width:12156;height:5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" fillcolor="#ddf6ff" strokecolor="#0070c0" strokeweight="2pt">
                  <v:textbox>
                    <w:txbxContent>
                      <w:p w14:paraId="7FBB1E3F" w14:textId="79005E35" w:rsidR="008B5244" w:rsidRPr="008B5244" w:rsidRDefault="008B5244" w:rsidP="008B5244">
                        <w:pPr>
                          <w:jc w:val="center"/>
                          <w:rPr>
                            <w:rFonts w:eastAsia="Arial"/>
                            <w:sz w:val="18"/>
                            <w:szCs w:val="18"/>
                            <w:lang w:val="en-US"/>
                          </w:rPr>
                        </w:pPr>
                        <w:r w:rsidRPr="008B5244">
                          <w:rPr>
                            <w:rFonts w:eastAsia="Arial"/>
                            <w:sz w:val="18"/>
                            <w:szCs w:val="18"/>
                            <w:lang w:val="en-US"/>
                          </w:rPr>
                          <w:t>Risk of Bias assessment undertaken</w:t>
                        </w:r>
                        <w:r>
                          <w:rPr>
                            <w:rFonts w:eastAsia="Arial"/>
                            <w:sz w:val="18"/>
                            <w:szCs w:val="18"/>
                            <w:lang w:val="en-US"/>
                          </w:rPr>
                          <w:t xml:space="preserve"> (n=</w:t>
                        </w:r>
                        <w:r w:rsidR="00FB5DC4">
                          <w:rPr>
                            <w:rFonts w:eastAsia="Arial"/>
                            <w:sz w:val="18"/>
                            <w:szCs w:val="18"/>
                            <w:lang w:val="en-US"/>
                          </w:rPr>
                          <w:t>7</w:t>
                        </w:r>
                        <w:r>
                          <w:rPr>
                            <w:rFonts w:eastAsia="Arial"/>
                            <w:sz w:val="18"/>
                            <w:szCs w:val="18"/>
                            <w:lang w:val="en-US"/>
                          </w:rPr>
                          <w:t>)*</w:t>
                        </w:r>
                      </w:p>
                      <w:p w14:paraId="48844508" w14:textId="77777777" w:rsidR="008B5244" w:rsidRDefault="008B5244" w:rsidP="008B5244">
                        <w:pPr>
                          <w:jc w:val="center"/>
                          <w:rPr>
                            <w:rFonts w:eastAsia="Arial"/>
                            <w:sz w:val="20"/>
                            <w:lang w:val="en-US"/>
                          </w:rPr>
                        </w:pPr>
                        <w:r>
                          <w:rPr>
                            <w:rFonts w:eastAsia="Arial"/>
                            <w:sz w:val="20"/>
                            <w:lang w:val="en-US"/>
                          </w:rPr>
                          <w:t>(n=23)</w:t>
                        </w:r>
                      </w:p>
                    </w:txbxContent>
                  </v:textbox>
                </v:shape>
                <w10:anchorlock/>
              </v:group>
            </w:pict>
          </mc:Fallback>
        </mc:AlternateContent>
      </w:r>
    </w:p>
    <w:p w14:paraId="60BF477A" w14:textId="201D0028" w:rsidR="00C6253B" w:rsidRDefault="00A75D33" w:rsidP="00A75D33">
      <w:pPr>
        <w:pStyle w:val="Caption"/>
      </w:pPr>
      <w:bookmarkStart w:id="16" w:name="_Ref219975039"/>
      <w:bookmarkStart w:id="17" w:name="_Toc233031613"/>
      <w:r>
        <w:t xml:space="preserve">Figure </w:t>
      </w:r>
      <w:r>
        <w:fldChar w:fldCharType="begin"/>
      </w:r>
      <w:r>
        <w:instrText xml:space="preserve"> SEQ Figure \* ARABIC </w:instrText>
      </w:r>
      <w:r>
        <w:fldChar w:fldCharType="separate"/>
      </w:r>
      <w:r w:rsidR="0052675C">
        <w:rPr>
          <w:noProof/>
        </w:rPr>
        <w:t>1</w:t>
      </w:r>
      <w:r>
        <w:fldChar w:fldCharType="end"/>
      </w:r>
      <w:bookmarkEnd w:id="16"/>
      <w:r w:rsidR="00C6253B">
        <w:tab/>
      </w:r>
      <w:r w:rsidR="00C6253B" w:rsidRPr="00C6253B">
        <w:t xml:space="preserve">Overview of literature search process followed </w:t>
      </w:r>
      <w:r w:rsidR="008B5244" w:rsidRPr="008B5244">
        <w:t>for Vitamin B6 UL</w:t>
      </w:r>
      <w:r w:rsidR="008B5244">
        <w:t xml:space="preserve"> </w:t>
      </w:r>
      <w:r w:rsidR="008B5244" w:rsidRPr="008B5244">
        <w:rPr>
          <w:sz w:val="16"/>
          <w:szCs w:val="16"/>
        </w:rPr>
        <w:t>(*Risk of Bias analysis was not undertaken for studies which were reviews/meta-analyses)</w:t>
      </w:r>
      <w:bookmarkEnd w:id="17"/>
    </w:p>
    <w:p w14:paraId="708A7BFE" w14:textId="77777777" w:rsidR="00C6253B" w:rsidRDefault="00C6253B" w:rsidP="00C6253B"/>
    <w:p w14:paraId="058E2CF4" w14:textId="4E7374C4" w:rsidR="00C6253B" w:rsidRDefault="00C6253B" w:rsidP="00C6253B">
      <w:r>
        <w:t>This report provides the summary of the findings (</w:t>
      </w:r>
      <w:r w:rsidRPr="00A75D33">
        <w:rPr>
          <w:b/>
          <w:bCs/>
        </w:rPr>
        <w:t xml:space="preserve">Section </w:t>
      </w:r>
      <w:r w:rsidR="00C470D3" w:rsidRPr="00A75D33">
        <w:rPr>
          <w:b/>
          <w:bCs/>
        </w:rPr>
        <w:fldChar w:fldCharType="begin"/>
      </w:r>
      <w:r w:rsidR="00C470D3" w:rsidRPr="00A75D33">
        <w:rPr>
          <w:b/>
          <w:bCs/>
        </w:rPr>
        <w:instrText xml:space="preserve"> REF _Ref218672981 \r \h </w:instrText>
      </w:r>
      <w:r w:rsidR="00A75D33">
        <w:rPr>
          <w:b/>
          <w:bCs/>
        </w:rPr>
        <w:instrText xml:space="preserve"> \* MERGEFORMAT </w:instrText>
      </w:r>
      <w:r w:rsidR="00C470D3" w:rsidRPr="00A75D33">
        <w:rPr>
          <w:b/>
          <w:bCs/>
        </w:rPr>
      </w:r>
      <w:r w:rsidR="00C470D3" w:rsidRPr="00A75D33">
        <w:rPr>
          <w:b/>
          <w:bCs/>
        </w:rPr>
        <w:fldChar w:fldCharType="separate"/>
      </w:r>
      <w:r w:rsidR="0052675C">
        <w:rPr>
          <w:b/>
          <w:bCs/>
        </w:rPr>
        <w:t>4.0</w:t>
      </w:r>
      <w:r w:rsidR="00C470D3" w:rsidRPr="00A75D33">
        <w:rPr>
          <w:b/>
          <w:bCs/>
        </w:rPr>
        <w:fldChar w:fldCharType="end"/>
      </w:r>
      <w:r>
        <w:t>), a discussion of the results (</w:t>
      </w:r>
      <w:r w:rsidRPr="00A75D33">
        <w:rPr>
          <w:b/>
          <w:bCs/>
        </w:rPr>
        <w:t>Section</w:t>
      </w:r>
      <w:r w:rsidR="00992ADA">
        <w:rPr>
          <w:b/>
          <w:bCs/>
        </w:rPr>
        <w:t xml:space="preserve"> </w:t>
      </w:r>
      <w:r w:rsidR="00992ADA">
        <w:rPr>
          <w:b/>
          <w:bCs/>
        </w:rPr>
        <w:fldChar w:fldCharType="begin"/>
      </w:r>
      <w:r w:rsidR="00992ADA">
        <w:rPr>
          <w:b/>
          <w:bCs/>
        </w:rPr>
        <w:instrText xml:space="preserve"> REF _Ref233707052 \r \h </w:instrText>
      </w:r>
      <w:r w:rsidR="00992ADA">
        <w:rPr>
          <w:b/>
          <w:bCs/>
        </w:rPr>
      </w:r>
      <w:r w:rsidR="00992ADA">
        <w:rPr>
          <w:b/>
          <w:bCs/>
        </w:rPr>
        <w:fldChar w:fldCharType="separate"/>
      </w:r>
      <w:r w:rsidR="0052675C">
        <w:rPr>
          <w:b/>
          <w:bCs/>
        </w:rPr>
        <w:t>5.0</w:t>
      </w:r>
      <w:r w:rsidR="00992ADA">
        <w:rPr>
          <w:b/>
          <w:bCs/>
        </w:rPr>
        <w:fldChar w:fldCharType="end"/>
      </w:r>
      <w:r>
        <w:t>), and conclusion (</w:t>
      </w:r>
      <w:r w:rsidRPr="00A75D33">
        <w:rPr>
          <w:b/>
          <w:bCs/>
        </w:rPr>
        <w:t>Section</w:t>
      </w:r>
      <w:r w:rsidR="00992ADA">
        <w:rPr>
          <w:b/>
          <w:bCs/>
        </w:rPr>
        <w:t xml:space="preserve"> </w:t>
      </w:r>
      <w:r w:rsidR="00992ADA">
        <w:rPr>
          <w:b/>
          <w:bCs/>
        </w:rPr>
        <w:fldChar w:fldCharType="begin"/>
      </w:r>
      <w:r w:rsidR="00992ADA">
        <w:rPr>
          <w:b/>
          <w:bCs/>
        </w:rPr>
        <w:instrText xml:space="preserve"> REF _Ref233707062 \r \h </w:instrText>
      </w:r>
      <w:r w:rsidR="00992ADA">
        <w:rPr>
          <w:b/>
          <w:bCs/>
        </w:rPr>
      </w:r>
      <w:r w:rsidR="00992ADA">
        <w:rPr>
          <w:b/>
          <w:bCs/>
        </w:rPr>
        <w:fldChar w:fldCharType="separate"/>
      </w:r>
      <w:r w:rsidR="0052675C">
        <w:rPr>
          <w:b/>
          <w:bCs/>
        </w:rPr>
        <w:t>6.0</w:t>
      </w:r>
      <w:r w:rsidR="00992ADA">
        <w:rPr>
          <w:b/>
          <w:bCs/>
        </w:rPr>
        <w:fldChar w:fldCharType="end"/>
      </w:r>
      <w:r>
        <w:t xml:space="preserve">). </w:t>
      </w:r>
    </w:p>
    <w:p w14:paraId="3A5F3717" w14:textId="0DD8FCFB" w:rsidR="00C6253B" w:rsidRDefault="00C6253B" w:rsidP="00B424F5">
      <w:pPr>
        <w:pStyle w:val="Heading1"/>
      </w:pPr>
      <w:bookmarkStart w:id="18" w:name="_Ref218672981"/>
      <w:bookmarkStart w:id="19" w:name="_Ref218673029"/>
      <w:bookmarkStart w:id="20" w:name="_Ref218673040"/>
      <w:bookmarkStart w:id="21" w:name="_Toc233031587"/>
      <w:r>
        <w:t>Results</w:t>
      </w:r>
      <w:bookmarkEnd w:id="18"/>
      <w:bookmarkEnd w:id="19"/>
      <w:bookmarkEnd w:id="20"/>
      <w:bookmarkEnd w:id="21"/>
    </w:p>
    <w:p w14:paraId="15472C43" w14:textId="7D42BDE9" w:rsidR="00BC716F" w:rsidRDefault="00BC716F" w:rsidP="00BC716F">
      <w:pPr>
        <w:pStyle w:val="Heading2"/>
      </w:pPr>
      <w:bookmarkStart w:id="22" w:name="_Toc233031588"/>
      <w:r>
        <w:t>Health-based guidance</w:t>
      </w:r>
      <w:bookmarkEnd w:id="22"/>
    </w:p>
    <w:p w14:paraId="35805D1C" w14:textId="1DC47848" w:rsidR="00377C7B" w:rsidRDefault="00377C7B" w:rsidP="00377C7B">
      <w:r>
        <w:t xml:space="preserve">The targeted screening of existing health-based guidance identified EFSA (2023) as the most recent and relevant guidance document for the vitamin B6 UL review. Upon assessment against the credibility criteria (Research Protocol, Appendix B), EFSA (2023) met the 80% threshold for combined 'must-have' and 'should-have' criteria (93.8%) and was </w:t>
      </w:r>
      <w:r>
        <w:lastRenderedPageBreak/>
        <w:t>therefore identified as the candidate guidance for potential adoption/adaptation. On this basis, the guidance documents and key studies assessed within EFSA (2023) including SCF (2000), IOM (1998), EVM (2003), WHO/FAO (2004), and NHMRC (2006) were relied upon as part of the evidence base.</w:t>
      </w:r>
    </w:p>
    <w:p w14:paraId="1880C4AE" w14:textId="3E6AD90D" w:rsidR="00377C7B" w:rsidRDefault="00377C7B" w:rsidP="00377C7B">
      <w:r>
        <w:t xml:space="preserve">EFSA (2023) derived an adult UL of 12 mg/day using peripheral neuropathy as the critical effect. </w:t>
      </w:r>
      <w:r w:rsidR="00FD0453">
        <w:t>T</w:t>
      </w:r>
      <w:r>
        <w:t xml:space="preserve">he </w:t>
      </w:r>
      <w:r w:rsidR="003A5266">
        <w:t>reference point (</w:t>
      </w:r>
      <w:r>
        <w:t>RP</w:t>
      </w:r>
      <w:r w:rsidR="003A5266">
        <w:t>)</w:t>
      </w:r>
      <w:r>
        <w:t xml:space="preserve"> of 50 mg/day was not derived from any single study but reflects a weight-of-evidence assessment across multiple converging and independent lines of evidence, consistent with EFSA Scientific Committee guidance. These included a case-control study (Dalton &amp; Dalton 1987), in which neuropathy symptoms were reported in 48% of women consuming &lt;50 mg/day supplemental vitamin B6 for more than six months</w:t>
      </w:r>
      <w:r w:rsidR="00BC716F">
        <w:t xml:space="preserve"> for PMS treatment</w:t>
      </w:r>
      <w:r>
        <w:t>, with prevalence increasing dose-dependently at higher intakes; a positive rechallenge case in which neuropathy recurred following re-exposure to 50 mg/day after one year of recovery from neuropathy originally induced at 75 mg/day (Dalton &amp; Dalton 1987); additional case reports documenting neuropathy at intakes of 50–300 mg/day (Dalton 1985; Blackburn &amp; Warren 2017); Dutch nutrivigilance data comprising 33 confirmed cases with intakes at or below 50 mg/day; and French nutrivigilance data reporting cases at supplemental intakes below 25 mg/day. It was the convergence of these multiple independent lines of evidence</w:t>
      </w:r>
      <w:r w:rsidR="00B96AA3">
        <w:t>,</w:t>
      </w:r>
      <w:r>
        <w:t xml:space="preserve"> that led the EFSA Panel to conclude with sufficient certainty that peripheral neuropathy may occur at supplemental vitamin B6 intakes of 50 mg/day in some individuals.</w:t>
      </w:r>
    </w:p>
    <w:p w14:paraId="1F0601F5" w14:textId="1023D315" w:rsidR="00377C7B" w:rsidRDefault="00377C7B" w:rsidP="00377C7B">
      <w:r>
        <w:t>It is important to note, however, that the Dalton &amp; Dalton (1987) study</w:t>
      </w:r>
      <w:r w:rsidR="00A01E44">
        <w:t>,</w:t>
      </w:r>
      <w:r w:rsidR="007C2D20">
        <w:t xml:space="preserve"> considered </w:t>
      </w:r>
      <w:r>
        <w:t xml:space="preserve">the </w:t>
      </w:r>
      <w:r w:rsidR="00BC716F">
        <w:t>key</w:t>
      </w:r>
      <w:r>
        <w:t xml:space="preserve"> study in this body of evidence</w:t>
      </w:r>
      <w:r w:rsidR="00A01E44">
        <w:t>,</w:t>
      </w:r>
      <w:r>
        <w:t xml:space="preserve"> carries substantial methodological limitations that must be acknowledged and carried forward in any interpretation of the RP. As a case-control study, it occupies a relatively low position in the hierarchy of evidence for establishing cause and effect, sitting below cohort studies and above case series and reports, and is inherently limited in its capacity to control for confounding variables. Specific limitations acknowledged in the study itself and by the EFSA Panel include reliance on patient recall of supplement dose and duration, with the authors noting potential inaccuracy for periods exceeding five years; the difficulty of separating neurological symptoms attributable to vitamin B6 from those associated with the underlying PMS condition being treated; and rechallenge procedures that were not conducted under blinded conditions. The study has also not been independently replicated. The overall risk of bias of the human evidence base was assessed as moderate to high by EFSA. Passing GRADE or credibility criteria does not eliminate these limitations rather, they are explicitly reflected in the uncertainty factor </w:t>
      </w:r>
      <w:r w:rsidR="00BC716F">
        <w:t xml:space="preserve">(UF) </w:t>
      </w:r>
      <w:r>
        <w:t>applied.</w:t>
      </w:r>
    </w:p>
    <w:p w14:paraId="4485D711" w14:textId="77777777" w:rsidR="00377C7B" w:rsidRDefault="00377C7B" w:rsidP="00377C7B">
      <w:r>
        <w:t>A UF of 4 was applied to the human RP of 50 mg/day to derive the human-based UL of 12.5 mg/day. This composite UF comprised two components: a factor of 2 to account for the inverse dose-time relationship (i.e., uncertainty as to whether the exposure duration in Dalton &amp; Dalton 1987 was sufficient to capture the full range of responses, given that higher doses cause symptoms sooner); and a further factor of 2 to account for limited data and residual interindividual variability, including uncertainty about whether the RP represents a true threshold and whether sensitive subgroups were adequately represented. EFSA considered this UF of 4 sufficient to also cover background dietary vitamin B6 intake, since the RP was derived from supplemental intake data only.</w:t>
      </w:r>
    </w:p>
    <w:p w14:paraId="454C482A" w14:textId="065D0758" w:rsidR="007D282E" w:rsidRDefault="00377C7B" w:rsidP="007D282E">
      <w:r>
        <w:t xml:space="preserve">As an independent supporting derivation, EFSA also drew on a subchronic Beagle dog study (Phillips et al. 1978), in which groups of young dogs (7–8 months old; n=4–5 per group) received oral pyridoxine hydrochloride (PN-HCl) at doses of 0, 50, or 200 mg/kg bw/day for approximately 107 days. The critical effect in this study was peripheral neuropathy, specifically bilateral myelin loss in dorsal sensory nerve roots, observed in all dogs at the 50 mg/kg bw/day dose establishing this as the LOAEL. Notably, these lesions occurred in the absence of overt clinical signs at the lower dose, underscoring the sensitivity of histopathological assessment relative to clinical observation. A composite UF of 300 was </w:t>
      </w:r>
      <w:r>
        <w:lastRenderedPageBreak/>
        <w:t>applied to this LOAEL, comprising ×2 for interspecies toxicokinetics (reduced from the default of 4 based on evidence of shared vitamin B6 metabolism between dogs and humans); ×2.5 for interspecies toxicodynamics (default); ×10 for intraspecies variability in humans (default); ×2 for subchronic-to-chronic duration extrapolation; and ×3 to account for the absence of a NOAEL in this study. This gave an animal-based UL of 11.7 mg/day (50 mg/kg bw/day ÷ 300 × 70 kg). The close agreement between the human-derived value (12.5 mg/day) and the animal-derived value (11.7 mg/day) increased EFSA's confidence in the final UL of 12 mg/day, which was set as the midpoint rounded down.</w:t>
      </w:r>
    </w:p>
    <w:p w14:paraId="7B0D5E40" w14:textId="666CF561" w:rsidR="00BC716F" w:rsidRDefault="00BC716F" w:rsidP="00BC716F">
      <w:pPr>
        <w:pStyle w:val="Heading2"/>
      </w:pPr>
      <w:bookmarkStart w:id="23" w:name="_Toc233031589"/>
      <w:r>
        <w:t>New evidence reviews</w:t>
      </w:r>
      <w:bookmarkEnd w:id="23"/>
    </w:p>
    <w:p w14:paraId="0AFA900F" w14:textId="3C8D8906" w:rsidR="00063E92" w:rsidRDefault="00063E92" w:rsidP="00063E92">
      <w:r w:rsidRPr="00063E92">
        <w:t xml:space="preserve">In addition to the existing guidance review, an evidence </w:t>
      </w:r>
      <w:r>
        <w:t>review</w:t>
      </w:r>
      <w:r w:rsidRPr="00063E92">
        <w:t xml:space="preserve"> of recent literature (published 2022 onwards) identified studies for data extraction and synthesis. A </w:t>
      </w:r>
      <w:r w:rsidR="00FD0453">
        <w:t>key</w:t>
      </w:r>
      <w:r w:rsidRPr="00063E92">
        <w:t xml:space="preserve"> distinction must be drawn at the outset between evidence arising from dietary and general supplemental vitamin B6 exposure in the general healthy population which is directly relevant to UL derivation and evidence arising from pharmaceutical use of vitamin B6 under medical supervision, or from therapeutic administration in patients with rare inborn errors of B6 metabolism. </w:t>
      </w:r>
      <w:r w:rsidR="00FD0453" w:rsidRPr="00FD0453">
        <w:t>These exposure contexts are different. Evidence from therapeutic or clinical use should therefore not be directly used to derive a population-level dietary UL</w:t>
      </w:r>
      <w:r>
        <w:t>.</w:t>
      </w:r>
    </w:p>
    <w:p w14:paraId="3C90D332" w14:textId="3BE30C3C" w:rsidR="00063E92" w:rsidRDefault="00063E92" w:rsidP="00063E92">
      <w:r w:rsidRPr="00063E92">
        <w:t>Consistent with the NHMRC Final NRV Methodological Framework, the UL is intended for the general healthy population, and the primary evidence review was structured accordingly, with peripheral neuropathy in association with pyridoxine or supplemental vitamin B6 intake remaining the central focus.</w:t>
      </w:r>
      <w:r w:rsidR="00BC716F">
        <w:t xml:space="preserve"> </w:t>
      </w:r>
      <w:r w:rsidRPr="00063E92">
        <w:t xml:space="preserve">The evidence </w:t>
      </w:r>
      <w:r w:rsidR="005523DC">
        <w:t>reviews</w:t>
      </w:r>
      <w:r w:rsidRPr="00063E92">
        <w:t xml:space="preserve"> additionally identified studies that fall outside the scope of UL derivation for the general population but were retained in the review for </w:t>
      </w:r>
      <w:r w:rsidR="000F3581">
        <w:t>the potential contextual and mechanistic information</w:t>
      </w:r>
      <w:r w:rsidRPr="00063E92">
        <w:t xml:space="preserve"> and organised into two supplementary streams, each serving a distinct interpretive purpose.</w:t>
      </w:r>
    </w:p>
    <w:p w14:paraId="61EDE173" w14:textId="4B0C2B41" w:rsidR="00063E92" w:rsidRDefault="00063E92" w:rsidP="00063E92">
      <w:r w:rsidRPr="00063E92">
        <w:t>Detailed findings tables for each research question and health outcome category are provided in the Technical Report. In this Evaluation Report, findings are summarised to focus on their relevance to UL derivation, comparison with EFSA (2023) conclusions, and identified uncertainties.</w:t>
      </w:r>
    </w:p>
    <w:p w14:paraId="5D097C59" w14:textId="2E580D37" w:rsidR="00C6253B" w:rsidRDefault="00C6253B" w:rsidP="00B424F5">
      <w:pPr>
        <w:pStyle w:val="Heading2"/>
      </w:pPr>
      <w:bookmarkStart w:id="24" w:name="_Toc233031590"/>
      <w:r>
        <w:t>Health-based aspects</w:t>
      </w:r>
      <w:bookmarkEnd w:id="24"/>
    </w:p>
    <w:p w14:paraId="581F7BF6" w14:textId="26512954" w:rsidR="00A01E44" w:rsidRDefault="00FE449E">
      <w:r w:rsidRPr="00FE449E">
        <w:t xml:space="preserve">Research questions 1–9 all cover health-based aspects of the review; </w:t>
      </w:r>
      <w:r w:rsidR="00FB1C0A">
        <w:rPr>
          <w:b/>
          <w:bCs/>
        </w:rPr>
        <w:fldChar w:fldCharType="begin"/>
      </w:r>
      <w:r w:rsidR="00FB1C0A">
        <w:instrText xml:space="preserve"> REF _Ref232660889 \h </w:instrText>
      </w:r>
      <w:r w:rsidR="00FB1C0A">
        <w:rPr>
          <w:b/>
          <w:bCs/>
        </w:rPr>
      </w:r>
      <w:r w:rsidR="00FB1C0A">
        <w:rPr>
          <w:b/>
          <w:bCs/>
        </w:rPr>
        <w:fldChar w:fldCharType="separate"/>
      </w:r>
      <w:r w:rsidR="0052675C" w:rsidRPr="004474B5">
        <w:rPr>
          <w:b/>
        </w:rPr>
        <w:t xml:space="preserve">Table </w:t>
      </w:r>
      <w:r w:rsidR="0052675C">
        <w:rPr>
          <w:b/>
          <w:noProof/>
        </w:rPr>
        <w:t>2</w:t>
      </w:r>
      <w:r w:rsidR="00FB1C0A">
        <w:rPr>
          <w:b/>
          <w:bCs/>
        </w:rPr>
        <w:fldChar w:fldCharType="end"/>
      </w:r>
      <w:r w:rsidR="00C6253B">
        <w:t xml:space="preserve"> </w:t>
      </w:r>
      <w:r w:rsidRPr="00FE449E">
        <w:t>provides a</w:t>
      </w:r>
      <w:r w:rsidR="00761503">
        <w:t xml:space="preserve"> summary of the agreement and disagreement between EFSA 2023 and all the previous guidance before NHMRC 2006. </w:t>
      </w:r>
    </w:p>
    <w:p w14:paraId="0FBEE34B" w14:textId="77777777" w:rsidR="0052675C" w:rsidRDefault="00A01E44">
      <w:pPr>
        <w:rPr>
          <w:b/>
        </w:rPr>
      </w:pPr>
      <w:r>
        <w:fldChar w:fldCharType="begin"/>
      </w:r>
      <w:r>
        <w:instrText xml:space="preserve"> REF _Ref233708483 \h </w:instrText>
      </w:r>
      <w:r>
        <w:fldChar w:fldCharType="separate"/>
      </w:r>
      <w:r w:rsidR="0052675C" w:rsidRPr="004474B5">
        <w:rPr>
          <w:b/>
        </w:rPr>
        <w:t xml:space="preserve">Table </w:t>
      </w:r>
      <w:r w:rsidR="0052675C">
        <w:rPr>
          <w:b/>
          <w:noProof/>
        </w:rPr>
        <w:t>3</w:t>
      </w:r>
      <w:r>
        <w:fldChar w:fldCharType="end"/>
      </w:r>
      <w:r>
        <w:t xml:space="preserve"> and </w:t>
      </w:r>
      <w:r>
        <w:fldChar w:fldCharType="begin"/>
      </w:r>
      <w:r>
        <w:instrText xml:space="preserve"> REF _Ref232174065 \h </w:instrText>
      </w:r>
      <w:r>
        <w:fldChar w:fldCharType="separate"/>
      </w:r>
      <w:r w:rsidR="0052675C">
        <w:rPr>
          <w:b/>
        </w:rPr>
        <w:br w:type="page"/>
      </w:r>
    </w:p>
    <w:p w14:paraId="2713A21C" w14:textId="2A2B1C46" w:rsidR="004474B5" w:rsidRPr="00B37529" w:rsidRDefault="0052675C" w:rsidP="00A01E44">
      <w:pPr>
        <w:rPr>
          <w:b/>
        </w:rPr>
      </w:pPr>
      <w:r w:rsidRPr="004474B5">
        <w:rPr>
          <w:b/>
        </w:rPr>
        <w:lastRenderedPageBreak/>
        <w:t xml:space="preserve">Table </w:t>
      </w:r>
      <w:r>
        <w:rPr>
          <w:b/>
          <w:noProof/>
        </w:rPr>
        <w:t>4</w:t>
      </w:r>
      <w:r w:rsidR="00A01E44">
        <w:fldChar w:fldCharType="end"/>
      </w:r>
      <w:r w:rsidR="00A01E44">
        <w:t xml:space="preserve"> provide </w:t>
      </w:r>
      <w:r w:rsidR="00A01E44" w:rsidRPr="00FE449E">
        <w:t>synthesis of the results, drawing on EFSA (2023) and the recent evidence review, highlighting areas of consistency, uncertainty, or where interpretation may differ from Australian science policy</w:t>
      </w:r>
      <w:r w:rsidR="00A01E44">
        <w:t xml:space="preserve">.  </w:t>
      </w:r>
    </w:p>
    <w:p w14:paraId="3D1A74BB" w14:textId="77777777" w:rsidR="004474B5" w:rsidRDefault="004474B5" w:rsidP="004474B5">
      <w:pPr>
        <w:pStyle w:val="BodyText"/>
        <w:sectPr w:rsidR="004474B5" w:rsidSect="00C470D3">
          <w:footerReference w:type="default" r:id="rId20"/>
          <w:footerReference w:type="first" r:id="rId21"/>
          <w:pgSz w:w="11909" w:h="16834" w:code="9"/>
          <w:pgMar w:top="1440" w:right="1440" w:bottom="1276" w:left="1440" w:header="576" w:footer="576" w:gutter="0"/>
          <w:pgNumType w:start="1"/>
          <w:cols w:space="720"/>
          <w:docGrid w:linePitch="360"/>
        </w:sectPr>
      </w:pPr>
    </w:p>
    <w:p w14:paraId="4E95248A" w14:textId="4D8553C8" w:rsidR="00D41CB2" w:rsidRPr="004474B5" w:rsidRDefault="00D41CB2" w:rsidP="004474B5">
      <w:pPr>
        <w:pStyle w:val="BodyText"/>
        <w:rPr>
          <w:b/>
        </w:rPr>
      </w:pPr>
      <w:bookmarkStart w:id="25" w:name="_Ref232660889"/>
      <w:bookmarkStart w:id="26" w:name="_Toc233031606"/>
      <w:r w:rsidRPr="004474B5">
        <w:rPr>
          <w:b/>
        </w:rPr>
        <w:lastRenderedPageBreak/>
        <w:t xml:space="preserve">Table </w:t>
      </w:r>
      <w:r w:rsidRPr="004474B5">
        <w:rPr>
          <w:b/>
        </w:rPr>
        <w:fldChar w:fldCharType="begin"/>
      </w:r>
      <w:r w:rsidRPr="004474B5">
        <w:rPr>
          <w:b/>
        </w:rPr>
        <w:instrText xml:space="preserve"> SEQ Table \* ARABIC </w:instrText>
      </w:r>
      <w:r w:rsidRPr="004474B5">
        <w:rPr>
          <w:b/>
        </w:rPr>
        <w:fldChar w:fldCharType="separate"/>
      </w:r>
      <w:r w:rsidR="0052675C">
        <w:rPr>
          <w:b/>
          <w:noProof/>
        </w:rPr>
        <w:t>2</w:t>
      </w:r>
      <w:r w:rsidRPr="004474B5">
        <w:fldChar w:fldCharType="end"/>
      </w:r>
      <w:bookmarkEnd w:id="25"/>
      <w:r w:rsidRPr="004474B5">
        <w:rPr>
          <w:b/>
        </w:rPr>
        <w:tab/>
        <w:t xml:space="preserve">Summary of </w:t>
      </w:r>
      <w:r>
        <w:rPr>
          <w:b/>
        </w:rPr>
        <w:t>agreement and disagreement among guidance document based on research questions</w:t>
      </w:r>
      <w:bookmarkEnd w:id="26"/>
    </w:p>
    <w:tbl>
      <w:tblPr>
        <w:tblStyle w:val="SLROption2"/>
        <w:tblW w:w="0" w:type="auto"/>
        <w:tblLook w:val="04A0" w:firstRow="1" w:lastRow="0" w:firstColumn="1" w:lastColumn="0" w:noHBand="0" w:noVBand="1"/>
      </w:tblPr>
      <w:tblGrid>
        <w:gridCol w:w="900"/>
        <w:gridCol w:w="3064"/>
        <w:gridCol w:w="3812"/>
        <w:gridCol w:w="3038"/>
        <w:gridCol w:w="3294"/>
      </w:tblGrid>
      <w:tr w:rsidR="00D41CB2" w:rsidRPr="0070308F" w14:paraId="15029FD2" w14:textId="77777777" w:rsidTr="0070308F">
        <w:trPr>
          <w:cnfStyle w:val="100000000000" w:firstRow="1" w:lastRow="0" w:firstColumn="0" w:lastColumn="0" w:oddVBand="0" w:evenVBand="0" w:oddHBand="0" w:evenHBand="0" w:firstRowFirstColumn="0" w:firstRowLastColumn="0" w:lastRowFirstColumn="0" w:lastRowLastColumn="0"/>
          <w:cantSplit/>
        </w:trPr>
        <w:tc>
          <w:tcPr>
            <w:tcW w:w="0" w:type="auto"/>
          </w:tcPr>
          <w:p w14:paraId="70CF92FC" w14:textId="77777777" w:rsidR="00D41CB2" w:rsidRPr="0070308F" w:rsidRDefault="00D41CB2" w:rsidP="00072BD3">
            <w:pPr>
              <w:pStyle w:val="TableHeading"/>
              <w:rPr>
                <w:szCs w:val="20"/>
              </w:rPr>
            </w:pPr>
            <w:bookmarkStart w:id="27" w:name="_Ref232174063"/>
            <w:bookmarkStart w:id="28" w:name="_Ref218672985"/>
            <w:bookmarkStart w:id="29" w:name="_Ref218673016"/>
            <w:r w:rsidRPr="0070308F">
              <w:rPr>
                <w:szCs w:val="20"/>
              </w:rPr>
              <w:t>Number</w:t>
            </w:r>
          </w:p>
        </w:tc>
        <w:tc>
          <w:tcPr>
            <w:tcW w:w="3064" w:type="dxa"/>
          </w:tcPr>
          <w:p w14:paraId="6646CECC" w14:textId="77777777" w:rsidR="00D41CB2" w:rsidRPr="0070308F" w:rsidRDefault="00D41CB2" w:rsidP="00072BD3">
            <w:pPr>
              <w:pStyle w:val="TableHeading"/>
              <w:rPr>
                <w:szCs w:val="20"/>
              </w:rPr>
            </w:pPr>
            <w:r w:rsidRPr="0070308F">
              <w:rPr>
                <w:szCs w:val="20"/>
              </w:rPr>
              <w:t>Research Questions</w:t>
            </w:r>
          </w:p>
        </w:tc>
        <w:tc>
          <w:tcPr>
            <w:tcW w:w="3812" w:type="dxa"/>
          </w:tcPr>
          <w:p w14:paraId="45784EB0" w14:textId="77777777" w:rsidR="00D41CB2" w:rsidRPr="0070308F" w:rsidRDefault="00D41CB2" w:rsidP="00072BD3">
            <w:pPr>
              <w:pStyle w:val="TableHeading"/>
              <w:rPr>
                <w:szCs w:val="20"/>
              </w:rPr>
            </w:pPr>
            <w:r w:rsidRPr="0070308F">
              <w:rPr>
                <w:szCs w:val="20"/>
              </w:rPr>
              <w:t>Is there agreement between different jurisdictions?</w:t>
            </w:r>
          </w:p>
        </w:tc>
        <w:tc>
          <w:tcPr>
            <w:tcW w:w="0" w:type="auto"/>
          </w:tcPr>
          <w:p w14:paraId="336F82F7" w14:textId="77777777" w:rsidR="00D41CB2" w:rsidRPr="0070308F" w:rsidRDefault="00D41CB2" w:rsidP="00072BD3">
            <w:pPr>
              <w:pStyle w:val="TableHeading"/>
              <w:rPr>
                <w:szCs w:val="20"/>
              </w:rPr>
            </w:pPr>
            <w:r w:rsidRPr="0070308F">
              <w:rPr>
                <w:szCs w:val="20"/>
              </w:rPr>
              <w:t>Any disagreement or things to note?</w:t>
            </w:r>
          </w:p>
        </w:tc>
        <w:tc>
          <w:tcPr>
            <w:tcW w:w="0" w:type="auto"/>
          </w:tcPr>
          <w:p w14:paraId="58000D14" w14:textId="77777777" w:rsidR="00D41CB2" w:rsidRPr="0070308F" w:rsidRDefault="00D41CB2" w:rsidP="00072BD3">
            <w:pPr>
              <w:pStyle w:val="TableHeading"/>
              <w:rPr>
                <w:szCs w:val="20"/>
              </w:rPr>
            </w:pPr>
            <w:r w:rsidRPr="0070308F">
              <w:rPr>
                <w:szCs w:val="20"/>
              </w:rPr>
              <w:t>Any disagreement or things to note with NHMRC 2006?</w:t>
            </w:r>
          </w:p>
        </w:tc>
      </w:tr>
      <w:tr w:rsidR="00D41CB2" w:rsidRPr="0070308F" w14:paraId="5EF095A4" w14:textId="77777777" w:rsidTr="0070308F">
        <w:trPr>
          <w:cantSplit/>
        </w:trPr>
        <w:tc>
          <w:tcPr>
            <w:tcW w:w="0" w:type="auto"/>
          </w:tcPr>
          <w:p w14:paraId="20B9EFD1" w14:textId="77777777" w:rsidR="00D41CB2" w:rsidRPr="0070308F" w:rsidRDefault="00D41CB2" w:rsidP="00072BD3">
            <w:pPr>
              <w:pStyle w:val="TableText"/>
              <w:rPr>
                <w:highlight w:val="yellow"/>
                <w:lang w:eastAsia="en-AU"/>
              </w:rPr>
            </w:pPr>
            <w:r w:rsidRPr="0070308F">
              <w:rPr>
                <w:lang w:eastAsia="en-AU"/>
              </w:rPr>
              <w:t>1</w:t>
            </w:r>
          </w:p>
        </w:tc>
        <w:tc>
          <w:tcPr>
            <w:tcW w:w="3064" w:type="dxa"/>
          </w:tcPr>
          <w:p w14:paraId="1831E511" w14:textId="77777777" w:rsidR="00D41CB2" w:rsidRPr="0070308F" w:rsidRDefault="00D41CB2" w:rsidP="00072BD3">
            <w:pPr>
              <w:pStyle w:val="TableText"/>
              <w:rPr>
                <w:highlight w:val="yellow"/>
                <w:lang w:eastAsia="en-AU"/>
              </w:rPr>
            </w:pPr>
            <w:r w:rsidRPr="0070308F">
              <w:rPr>
                <w:lang w:eastAsia="en-AU"/>
              </w:rPr>
              <w:t>Upper Level (UL) question - What excess intake of vitamin B6 is associated with adverse health effects?</w:t>
            </w:r>
          </w:p>
        </w:tc>
        <w:tc>
          <w:tcPr>
            <w:tcW w:w="3812" w:type="dxa"/>
          </w:tcPr>
          <w:p w14:paraId="4D2D833C" w14:textId="77777777" w:rsidR="00D41CB2" w:rsidRPr="0070308F" w:rsidRDefault="00D41CB2" w:rsidP="00072BD3">
            <w:pPr>
              <w:pStyle w:val="TableText"/>
              <w:rPr>
                <w:rFonts w:eastAsia="Calibri"/>
                <w:lang w:eastAsia="en-AU"/>
              </w:rPr>
            </w:pPr>
            <w:r w:rsidRPr="0070308F">
              <w:rPr>
                <w:rFonts w:eastAsia="Calibri"/>
                <w:lang w:eastAsia="en-AU"/>
              </w:rPr>
              <w:t xml:space="preserve">SCF (2000), IOM (1998), EVM (2003), WHO/FAO (2004) and EFSA (2023) all agree that excess supplemental vitamin B6 (not dietary intake) causes peripheral (sensory) neuropathy. However, the specific intake levels considered to cause harm differ by jurisdiction, as each based its conclusions on different studies. </w:t>
            </w:r>
          </w:p>
          <w:p w14:paraId="66106844" w14:textId="77777777" w:rsidR="00D41CB2" w:rsidRPr="0070308F" w:rsidRDefault="00D41CB2" w:rsidP="00072BD3">
            <w:pPr>
              <w:rPr>
                <w:sz w:val="20"/>
                <w:lang w:val="en-GB" w:eastAsia="en-AU"/>
              </w:rPr>
            </w:pPr>
          </w:p>
          <w:p w14:paraId="1E7CDFE2" w14:textId="77777777" w:rsidR="00D41CB2" w:rsidRPr="0070308F" w:rsidRDefault="00D41CB2" w:rsidP="00072BD3">
            <w:pPr>
              <w:rPr>
                <w:sz w:val="20"/>
                <w:lang w:val="en-GB" w:eastAsia="en-AU"/>
              </w:rPr>
            </w:pPr>
          </w:p>
          <w:p w14:paraId="37A59926" w14:textId="77777777" w:rsidR="00D41CB2" w:rsidRPr="0070308F" w:rsidRDefault="00D41CB2" w:rsidP="00072BD3">
            <w:pPr>
              <w:rPr>
                <w:sz w:val="20"/>
                <w:lang w:val="en-GB" w:eastAsia="en-AU"/>
              </w:rPr>
            </w:pPr>
          </w:p>
          <w:p w14:paraId="66F11B8C" w14:textId="77777777" w:rsidR="00D41CB2" w:rsidRPr="0070308F" w:rsidRDefault="00D41CB2" w:rsidP="00072BD3">
            <w:pPr>
              <w:rPr>
                <w:sz w:val="20"/>
                <w:lang w:val="en-GB" w:eastAsia="en-AU"/>
              </w:rPr>
            </w:pPr>
          </w:p>
          <w:p w14:paraId="4ABAB468" w14:textId="77777777" w:rsidR="00D41CB2" w:rsidRPr="0070308F" w:rsidRDefault="00D41CB2" w:rsidP="00072BD3">
            <w:pPr>
              <w:rPr>
                <w:sz w:val="20"/>
                <w:lang w:val="en-GB" w:eastAsia="en-AU"/>
              </w:rPr>
            </w:pPr>
          </w:p>
          <w:p w14:paraId="77A7DEDB" w14:textId="77777777" w:rsidR="00D41CB2" w:rsidRPr="0070308F" w:rsidRDefault="00D41CB2" w:rsidP="00072BD3">
            <w:pPr>
              <w:rPr>
                <w:sz w:val="20"/>
                <w:lang w:val="en-GB" w:eastAsia="en-AU"/>
              </w:rPr>
            </w:pPr>
          </w:p>
          <w:p w14:paraId="7E1D7908" w14:textId="77777777" w:rsidR="00D41CB2" w:rsidRPr="0070308F" w:rsidRDefault="00D41CB2" w:rsidP="00072BD3">
            <w:pPr>
              <w:rPr>
                <w:sz w:val="20"/>
                <w:lang w:val="en-GB" w:eastAsia="en-AU"/>
              </w:rPr>
            </w:pPr>
          </w:p>
          <w:p w14:paraId="4BB92350" w14:textId="77777777" w:rsidR="00D41CB2" w:rsidRPr="0070308F" w:rsidRDefault="00D41CB2" w:rsidP="00072BD3">
            <w:pPr>
              <w:rPr>
                <w:sz w:val="20"/>
                <w:lang w:val="en-GB" w:eastAsia="en-AU"/>
              </w:rPr>
            </w:pPr>
          </w:p>
          <w:p w14:paraId="188C9433" w14:textId="77777777" w:rsidR="00D41CB2" w:rsidRPr="0070308F" w:rsidRDefault="00D41CB2" w:rsidP="00072BD3">
            <w:pPr>
              <w:rPr>
                <w:sz w:val="20"/>
                <w:lang w:val="en-GB" w:eastAsia="en-AU"/>
              </w:rPr>
            </w:pPr>
          </w:p>
          <w:p w14:paraId="641E1DB9" w14:textId="77777777" w:rsidR="00D41CB2" w:rsidRPr="0070308F" w:rsidRDefault="00D41CB2" w:rsidP="00072BD3">
            <w:pPr>
              <w:rPr>
                <w:sz w:val="20"/>
                <w:lang w:val="en-GB" w:eastAsia="en-AU"/>
              </w:rPr>
            </w:pPr>
          </w:p>
          <w:p w14:paraId="7267410F" w14:textId="77777777" w:rsidR="00D41CB2" w:rsidRPr="0070308F" w:rsidRDefault="00D41CB2" w:rsidP="00072BD3">
            <w:pPr>
              <w:rPr>
                <w:sz w:val="20"/>
                <w:lang w:val="en-GB" w:eastAsia="en-AU"/>
              </w:rPr>
            </w:pPr>
          </w:p>
          <w:p w14:paraId="7E37CA24" w14:textId="77777777" w:rsidR="00D41CB2" w:rsidRPr="0070308F" w:rsidRDefault="00D41CB2" w:rsidP="00072BD3">
            <w:pPr>
              <w:rPr>
                <w:sz w:val="20"/>
                <w:lang w:val="en-GB" w:eastAsia="en-AU"/>
              </w:rPr>
            </w:pPr>
          </w:p>
          <w:p w14:paraId="3D52C449" w14:textId="77777777" w:rsidR="00D41CB2" w:rsidRPr="0070308F" w:rsidRDefault="00D41CB2" w:rsidP="00072BD3">
            <w:pPr>
              <w:rPr>
                <w:sz w:val="20"/>
                <w:lang w:val="en-GB" w:eastAsia="en-AU"/>
              </w:rPr>
            </w:pPr>
          </w:p>
          <w:p w14:paraId="2B40EC14" w14:textId="77777777" w:rsidR="00D41CB2" w:rsidRPr="0070308F" w:rsidRDefault="00D41CB2" w:rsidP="00072BD3">
            <w:pPr>
              <w:rPr>
                <w:sz w:val="20"/>
                <w:lang w:val="en-GB" w:eastAsia="en-AU"/>
              </w:rPr>
            </w:pPr>
          </w:p>
          <w:p w14:paraId="74AD80A5" w14:textId="77777777" w:rsidR="00D41CB2" w:rsidRPr="0070308F" w:rsidRDefault="00D41CB2" w:rsidP="00072BD3">
            <w:pPr>
              <w:rPr>
                <w:sz w:val="20"/>
                <w:lang w:val="en-GB" w:eastAsia="en-AU"/>
              </w:rPr>
            </w:pPr>
          </w:p>
        </w:tc>
        <w:tc>
          <w:tcPr>
            <w:tcW w:w="0" w:type="auto"/>
          </w:tcPr>
          <w:p w14:paraId="3F2D41C9" w14:textId="2C1C4C37" w:rsidR="00D41CB2" w:rsidRPr="0070308F" w:rsidRDefault="00D41CB2" w:rsidP="00072BD3">
            <w:pPr>
              <w:pStyle w:val="TableText"/>
              <w:rPr>
                <w:lang w:eastAsia="en-AU"/>
              </w:rPr>
            </w:pPr>
            <w:r w:rsidRPr="0070308F">
              <w:rPr>
                <w:lang w:eastAsia="en-AU"/>
              </w:rPr>
              <w:t xml:space="preserve">SCF (2000) derived its RP of 100 mg/day primarily from the mean supplemental intake in the Dalton &amp; Dalton (1987) case-control study (women taking &lt;50–500 mg/day); EFSA (2023) revisited the same study but identified a lower RP of 50 mg/day based on the lowest dose group, supported by a weight-of-evidence assessment across additional converging lines of evidence available by 2023, including a positive rechallenge case, further case reports (Dalton 1985; Blackburn &amp; Warren 2017), and Dutch and French nutrivigilance data reporting neuropathy cases at or below 50 mg/day; IOM </w:t>
            </w:r>
            <w:r w:rsidR="00A01E44">
              <w:rPr>
                <w:lang w:eastAsia="en-AU"/>
              </w:rPr>
              <w:t xml:space="preserve">(1998) </w:t>
            </w:r>
            <w:r w:rsidRPr="0070308F">
              <w:rPr>
                <w:lang w:eastAsia="en-AU"/>
              </w:rPr>
              <w:t xml:space="preserve">and WHO/FAO </w:t>
            </w:r>
            <w:r w:rsidR="00A01E44">
              <w:rPr>
                <w:lang w:eastAsia="en-AU"/>
              </w:rPr>
              <w:t xml:space="preserve">(2004) </w:t>
            </w:r>
            <w:r w:rsidRPr="0070308F">
              <w:rPr>
                <w:lang w:eastAsia="en-AU"/>
              </w:rPr>
              <w:t xml:space="preserve">used studies in patients with diabetic neuropathy or carpal tunnel syndrome reporting no worsening at 100–300 mg/day (Bernstein &amp; Lobitz 1988; Del Tredici et al. 1985); EVM </w:t>
            </w:r>
            <w:r w:rsidR="00A01E44">
              <w:rPr>
                <w:lang w:eastAsia="en-AU"/>
              </w:rPr>
              <w:t xml:space="preserve">(2003) </w:t>
            </w:r>
            <w:r w:rsidRPr="0070308F">
              <w:rPr>
                <w:lang w:eastAsia="en-AU"/>
              </w:rPr>
              <w:t>used an animal study (dog LOAEL of 50 mg/kg bw/day; Phillips et al. 1978).</w:t>
            </w:r>
          </w:p>
        </w:tc>
        <w:tc>
          <w:tcPr>
            <w:tcW w:w="0" w:type="auto"/>
          </w:tcPr>
          <w:p w14:paraId="4641A1FF" w14:textId="77777777" w:rsidR="00D41CB2" w:rsidRPr="0070308F" w:rsidRDefault="00D41CB2" w:rsidP="00072BD3">
            <w:pPr>
              <w:pStyle w:val="TableText"/>
            </w:pPr>
            <w:r w:rsidRPr="0070308F">
              <w:t xml:space="preserve">NHMRC (2006) drew on the same studies as IOM (1998) (Bernstein &amp; Lobitz 1988; Del Tredici et al. 1985) but identified a higher NOAEL of 200 mg/day and applied a UF of 4 to account for the studies' limited exposure duration (5–6 months) relative to the latency period for neuropathy onset, yielding a UL of 50 mg/day.  </w:t>
            </w:r>
          </w:p>
        </w:tc>
      </w:tr>
      <w:tr w:rsidR="00D41CB2" w:rsidRPr="0070308F" w14:paraId="047BCA00" w14:textId="77777777" w:rsidTr="0070308F">
        <w:trPr>
          <w:cantSplit/>
        </w:trPr>
        <w:tc>
          <w:tcPr>
            <w:tcW w:w="0" w:type="auto"/>
          </w:tcPr>
          <w:p w14:paraId="4EA9A4E5" w14:textId="77777777" w:rsidR="00D41CB2" w:rsidRPr="0070308F" w:rsidRDefault="00D41CB2" w:rsidP="00072BD3">
            <w:pPr>
              <w:pStyle w:val="TableText"/>
              <w:rPr>
                <w:lang w:eastAsia="en-AU"/>
              </w:rPr>
            </w:pPr>
            <w:r w:rsidRPr="0070308F">
              <w:rPr>
                <w:lang w:eastAsia="en-AU"/>
              </w:rPr>
              <w:lastRenderedPageBreak/>
              <w:t>2</w:t>
            </w:r>
          </w:p>
        </w:tc>
        <w:tc>
          <w:tcPr>
            <w:tcW w:w="3064" w:type="dxa"/>
          </w:tcPr>
          <w:p w14:paraId="5D27C9BE" w14:textId="77777777" w:rsidR="00D41CB2" w:rsidRPr="0070308F" w:rsidRDefault="00D41CB2" w:rsidP="00072BD3">
            <w:pPr>
              <w:pStyle w:val="TableText"/>
              <w:rPr>
                <w:lang w:eastAsia="en-AU"/>
              </w:rPr>
            </w:pPr>
            <w:r w:rsidRPr="0070308F">
              <w:rPr>
                <w:lang w:eastAsia="en-AU"/>
              </w:rPr>
              <w:t>Upper Level (UL) question - What is the critical human health endpoint that determines the UL, and what is the justification for selecting this endpoint?</w:t>
            </w:r>
          </w:p>
        </w:tc>
        <w:tc>
          <w:tcPr>
            <w:tcW w:w="3812" w:type="dxa"/>
          </w:tcPr>
          <w:p w14:paraId="5A737515" w14:textId="77777777" w:rsidR="00D41CB2" w:rsidRPr="0070308F" w:rsidRDefault="00D41CB2" w:rsidP="00072BD3">
            <w:pPr>
              <w:pStyle w:val="TableText"/>
              <w:rPr>
                <w:highlight w:val="yellow"/>
                <w:lang w:eastAsia="en-AU"/>
              </w:rPr>
            </w:pPr>
            <w:r w:rsidRPr="0070308F">
              <w:rPr>
                <w:lang w:eastAsia="en-AU"/>
              </w:rPr>
              <w:t>Peripheral neuropathy is the critical endpoint for all assessments in guidance documents (SCF, IOM, EVM, WHO/FAO, EFSA).</w:t>
            </w:r>
          </w:p>
        </w:tc>
        <w:tc>
          <w:tcPr>
            <w:tcW w:w="0" w:type="auto"/>
          </w:tcPr>
          <w:p w14:paraId="1A5F9886" w14:textId="77777777" w:rsidR="00D41CB2" w:rsidRPr="0070308F" w:rsidRDefault="00D41CB2" w:rsidP="00072BD3">
            <w:pPr>
              <w:pStyle w:val="TableText"/>
              <w:rPr>
                <w:lang w:eastAsia="en-AU"/>
              </w:rPr>
            </w:pPr>
            <w:r w:rsidRPr="0070308F">
              <w:rPr>
                <w:lang w:eastAsia="en-AU"/>
              </w:rPr>
              <w:t>EFSA (2023) could not derive a formal LOAEL from the human data and instead established an RP of 50 mg/day through a weight-of-evidence assessment across multiple converging lines of evidence, as described above. EVM (2003) relied on an animal LOAEL of 50 mg/kg bw/day from a subchronic Beagle dog study (Phillips et al. 1978), where the critical effect was peripheral neuropathy (bilateral myelin loss in dorsal sensory nerve roots, observed in all five dogs at this dose after approximately 107 days), with a composite UF of 300 applied, giving a guidance value of approximately 10 mg/day.</w:t>
            </w:r>
          </w:p>
        </w:tc>
        <w:tc>
          <w:tcPr>
            <w:tcW w:w="0" w:type="auto"/>
          </w:tcPr>
          <w:p w14:paraId="606B03C0" w14:textId="63622392" w:rsidR="00D41CB2" w:rsidRPr="0070308F" w:rsidRDefault="00D41CB2" w:rsidP="00072BD3">
            <w:pPr>
              <w:pStyle w:val="TableText"/>
              <w:rPr>
                <w:lang w:eastAsia="en-AU"/>
              </w:rPr>
            </w:pPr>
            <w:r w:rsidRPr="0070308F">
              <w:rPr>
                <w:lang w:eastAsia="en-AU"/>
              </w:rPr>
              <w:t xml:space="preserve">NHMRC (2006) also selected peripheral neuropathy as </w:t>
            </w:r>
            <w:r w:rsidR="00A01E44">
              <w:rPr>
                <w:lang w:eastAsia="en-AU"/>
              </w:rPr>
              <w:t xml:space="preserve">the </w:t>
            </w:r>
            <w:r w:rsidRPr="0070308F">
              <w:rPr>
                <w:lang w:eastAsia="en-AU"/>
              </w:rPr>
              <w:t>critical endpoint, consistent with EFSA. However, NHMRC used a NOAEL of 200 mg/day (from Bernstein &amp; Lobitz 1988 and Del Tredici et al. 1985, diabetic neuropathy/CTS patients), a different point of departure type (NOAEL vs RP) and different underlying studies than EFSA's RP.</w:t>
            </w:r>
          </w:p>
        </w:tc>
      </w:tr>
      <w:tr w:rsidR="00D41CB2" w:rsidRPr="0070308F" w14:paraId="44FD3EC2" w14:textId="77777777" w:rsidTr="0070308F">
        <w:trPr>
          <w:cantSplit/>
        </w:trPr>
        <w:tc>
          <w:tcPr>
            <w:tcW w:w="0" w:type="auto"/>
          </w:tcPr>
          <w:p w14:paraId="1C010F09" w14:textId="77777777" w:rsidR="00D41CB2" w:rsidRPr="0070308F" w:rsidRDefault="00D41CB2" w:rsidP="00072BD3">
            <w:pPr>
              <w:pStyle w:val="TableText"/>
              <w:rPr>
                <w:lang w:eastAsia="en-AU"/>
              </w:rPr>
            </w:pPr>
            <w:r w:rsidRPr="0070308F">
              <w:rPr>
                <w:lang w:eastAsia="en-AU"/>
              </w:rPr>
              <w:lastRenderedPageBreak/>
              <w:t>3</w:t>
            </w:r>
          </w:p>
        </w:tc>
        <w:tc>
          <w:tcPr>
            <w:tcW w:w="3064" w:type="dxa"/>
          </w:tcPr>
          <w:p w14:paraId="6FAA861D" w14:textId="77777777" w:rsidR="00D41CB2" w:rsidRPr="0070308F" w:rsidRDefault="00D41CB2" w:rsidP="00072BD3">
            <w:pPr>
              <w:pStyle w:val="TableText"/>
              <w:rPr>
                <w:lang w:eastAsia="en-AU"/>
              </w:rPr>
            </w:pPr>
            <w:r w:rsidRPr="0070308F">
              <w:t>Upper Level (UL) question - What recent ULs or equivalent health-based guidance values exist internationally (for excess vitamin B6 intake)? How were they derived, what assumptions and uncertainties were applied, and are they suitable to adopt or adapt for Australia and New Zealand?</w:t>
            </w:r>
          </w:p>
        </w:tc>
        <w:tc>
          <w:tcPr>
            <w:tcW w:w="3812" w:type="dxa"/>
          </w:tcPr>
          <w:p w14:paraId="7BE7E910" w14:textId="49658E9F" w:rsidR="00D41CB2" w:rsidRPr="0070308F" w:rsidRDefault="00D41CB2" w:rsidP="00072BD3">
            <w:pPr>
              <w:pStyle w:val="TableText"/>
              <w:rPr>
                <w:lang w:eastAsia="en-GB"/>
              </w:rPr>
            </w:pPr>
            <w:r w:rsidRPr="0070308F">
              <w:rPr>
                <w:lang w:eastAsia="en-GB"/>
              </w:rPr>
              <w:t>Variation in adult UL: SCF 25 mg/day, IOM 100 mg/day, EVM 10 mg/day (0.17 mg/kg bw/day), WHO/FAO did not set a numeric UL. EFSA (2023) is the only post-2006 reassessment, setting UL = 12 mg/day for adults (incl</w:t>
            </w:r>
            <w:r w:rsidR="00A01E44">
              <w:rPr>
                <w:lang w:eastAsia="en-GB"/>
              </w:rPr>
              <w:t>uding</w:t>
            </w:r>
            <w:r w:rsidRPr="0070308F">
              <w:rPr>
                <w:lang w:eastAsia="en-GB"/>
              </w:rPr>
              <w:t xml:space="preserve"> pregnant/lactating).</w:t>
            </w:r>
          </w:p>
        </w:tc>
        <w:tc>
          <w:tcPr>
            <w:tcW w:w="0" w:type="auto"/>
          </w:tcPr>
          <w:p w14:paraId="0AE505A0" w14:textId="35E268CA" w:rsidR="00D41CB2" w:rsidRPr="0070308F" w:rsidRDefault="00D41CB2" w:rsidP="00072BD3">
            <w:pPr>
              <w:pStyle w:val="TableText"/>
              <w:rPr>
                <w:lang w:eastAsia="en-AU"/>
              </w:rPr>
            </w:pPr>
            <w:r w:rsidRPr="0070308F">
              <w:rPr>
                <w:lang w:val="en-AU" w:eastAsia="en-AU"/>
              </w:rPr>
              <w:t xml:space="preserve">EFSA's UL is derived </w:t>
            </w:r>
            <w:r w:rsidR="00A01E44">
              <w:rPr>
                <w:lang w:val="en-AU" w:eastAsia="en-AU"/>
              </w:rPr>
              <w:t xml:space="preserve">in </w:t>
            </w:r>
            <w:r w:rsidRPr="0070308F">
              <w:rPr>
                <w:lang w:val="en-AU" w:eastAsia="en-AU"/>
              </w:rPr>
              <w:t>two ways and averaged:</w:t>
            </w:r>
            <w:r w:rsidRPr="0070308F">
              <w:rPr>
                <w:lang w:val="en-AU" w:eastAsia="en-AU"/>
              </w:rPr>
              <w:br/>
              <w:t>(i) human-based: RP 50 mg/day ÷ UF 4 (×2 for inverse dose-time relationship; ×2 for limited data and interindividual variability) = 12.5 mg/day, where the RP reflects a weight-of-evidence assessment across multiple lines of evidence as described above, not a single study;</w:t>
            </w:r>
            <w:r w:rsidRPr="0070308F">
              <w:rPr>
                <w:lang w:val="en-AU" w:eastAsia="en-AU"/>
              </w:rPr>
              <w:br/>
              <w:t>(ii) animal-based: dog LOAEL 50 mg/kg bw/day ÷ UF 300 (×2 interspecies TK; ×2.5 interspecies TD; ×10 intraspecies variability; ×2 subchronic-to-chronic; ×3 absence of NOAEL) = 11.7 mg/day.</w:t>
            </w:r>
            <w:r w:rsidRPr="0070308F">
              <w:rPr>
                <w:lang w:val="en-AU" w:eastAsia="en-AU"/>
              </w:rPr>
              <w:br/>
              <w:t xml:space="preserve">Midpoint rounded down = 12 mg/day. EFSA notes that heterogeneity across agencies stems mainly from different critical studies and evidence bases used, rather than differing science policy </w:t>
            </w:r>
            <w:r w:rsidRPr="00400348">
              <w:rPr>
                <w:i/>
                <w:iCs/>
                <w:lang w:val="en-AU" w:eastAsia="en-AU"/>
              </w:rPr>
              <w:t>per se</w:t>
            </w:r>
            <w:r w:rsidRPr="0070308F">
              <w:rPr>
                <w:lang w:val="en-AU" w:eastAsia="en-AU"/>
              </w:rPr>
              <w:t>.</w:t>
            </w:r>
          </w:p>
        </w:tc>
        <w:tc>
          <w:tcPr>
            <w:tcW w:w="0" w:type="auto"/>
          </w:tcPr>
          <w:p w14:paraId="0F157384" w14:textId="77777777" w:rsidR="00D41CB2" w:rsidRPr="0070308F" w:rsidRDefault="00D41CB2" w:rsidP="00072BD3">
            <w:pPr>
              <w:pStyle w:val="TableText"/>
              <w:rPr>
                <w:lang w:eastAsia="en-AU"/>
              </w:rPr>
            </w:pPr>
            <w:r w:rsidRPr="0070308F">
              <w:rPr>
                <w:lang w:eastAsia="en-AU"/>
              </w:rPr>
              <w:t>NHMRC (2006) UL = 50 mg/day (NOAEL 200 mg/day ÷ UF 4), over 4× higher than EFSA's 12 mg/day. This is the key difference based on adopting different critical study and derivation approach.</w:t>
            </w:r>
          </w:p>
        </w:tc>
      </w:tr>
      <w:tr w:rsidR="00D41CB2" w:rsidRPr="0070308F" w14:paraId="4AB51D6B" w14:textId="77777777" w:rsidTr="0070308F">
        <w:trPr>
          <w:cantSplit/>
        </w:trPr>
        <w:tc>
          <w:tcPr>
            <w:tcW w:w="0" w:type="auto"/>
          </w:tcPr>
          <w:p w14:paraId="425D6DF8" w14:textId="77777777" w:rsidR="00D41CB2" w:rsidRPr="0070308F" w:rsidRDefault="00D41CB2" w:rsidP="00072BD3">
            <w:pPr>
              <w:pStyle w:val="TableText"/>
            </w:pPr>
            <w:r w:rsidRPr="0070308F">
              <w:t>4</w:t>
            </w:r>
          </w:p>
        </w:tc>
        <w:tc>
          <w:tcPr>
            <w:tcW w:w="3064" w:type="dxa"/>
          </w:tcPr>
          <w:p w14:paraId="1550A69A" w14:textId="77777777" w:rsidR="00D41CB2" w:rsidRPr="0070308F" w:rsidRDefault="00D41CB2" w:rsidP="00072BD3">
            <w:pPr>
              <w:pStyle w:val="TableText"/>
            </w:pPr>
            <w:r w:rsidRPr="0070308F">
              <w:t>Health considerations - What are the key adverse health effects associated with excess vitamin B6 intake, particularly neurological outcomes such as peripheral neuropathy?</w:t>
            </w:r>
          </w:p>
        </w:tc>
        <w:tc>
          <w:tcPr>
            <w:tcW w:w="3812" w:type="dxa"/>
          </w:tcPr>
          <w:p w14:paraId="52141DD0" w14:textId="77777777" w:rsidR="00D41CB2" w:rsidRPr="0070308F" w:rsidRDefault="00D41CB2" w:rsidP="00072BD3">
            <w:pPr>
              <w:pStyle w:val="TableText"/>
            </w:pPr>
            <w:r w:rsidRPr="0070308F">
              <w:t>Peripheral neuropathy is the consistently identified most sensitive key effect across all.</w:t>
            </w:r>
          </w:p>
        </w:tc>
        <w:tc>
          <w:tcPr>
            <w:tcW w:w="0" w:type="auto"/>
          </w:tcPr>
          <w:p w14:paraId="68C8936B" w14:textId="581D4C6C" w:rsidR="00D41CB2" w:rsidRPr="0070308F" w:rsidRDefault="00D41CB2" w:rsidP="00072BD3">
            <w:pPr>
              <w:pStyle w:val="TableText"/>
              <w:rPr>
                <w:highlight w:val="yellow"/>
              </w:rPr>
            </w:pPr>
            <w:r w:rsidRPr="0070308F">
              <w:t>N</w:t>
            </w:r>
            <w:r w:rsidR="00A01E44">
              <w:t>ot applicable</w:t>
            </w:r>
          </w:p>
        </w:tc>
        <w:tc>
          <w:tcPr>
            <w:tcW w:w="0" w:type="auto"/>
          </w:tcPr>
          <w:p w14:paraId="71CC6E6C" w14:textId="7709B568" w:rsidR="00D41CB2" w:rsidRPr="0070308F" w:rsidRDefault="00D41CB2" w:rsidP="00072BD3">
            <w:pPr>
              <w:pStyle w:val="TableText"/>
              <w:rPr>
                <w:highlight w:val="yellow"/>
              </w:rPr>
            </w:pPr>
            <w:r w:rsidRPr="0070308F">
              <w:t>N</w:t>
            </w:r>
            <w:r w:rsidR="00A01E44">
              <w:t>ot applicable</w:t>
            </w:r>
          </w:p>
        </w:tc>
      </w:tr>
      <w:tr w:rsidR="00D41CB2" w:rsidRPr="0070308F" w14:paraId="67725FA7" w14:textId="77777777" w:rsidTr="0070308F">
        <w:trPr>
          <w:cantSplit/>
        </w:trPr>
        <w:tc>
          <w:tcPr>
            <w:tcW w:w="0" w:type="auto"/>
          </w:tcPr>
          <w:p w14:paraId="21367933" w14:textId="77777777" w:rsidR="00D41CB2" w:rsidRPr="0070308F" w:rsidRDefault="00D41CB2" w:rsidP="00072BD3">
            <w:pPr>
              <w:pStyle w:val="TableText"/>
            </w:pPr>
            <w:r w:rsidRPr="0070308F">
              <w:lastRenderedPageBreak/>
              <w:t>5</w:t>
            </w:r>
          </w:p>
        </w:tc>
        <w:tc>
          <w:tcPr>
            <w:tcW w:w="3064" w:type="dxa"/>
          </w:tcPr>
          <w:p w14:paraId="41D45F83" w14:textId="77777777" w:rsidR="00D41CB2" w:rsidRPr="0070308F" w:rsidRDefault="00D41CB2" w:rsidP="00072BD3">
            <w:pPr>
              <w:pStyle w:val="TableText"/>
            </w:pPr>
            <w:r w:rsidRPr="0070308F">
              <w:t>Health considerations - What is the strength of evidence for a causal association for the key adverse health effects (including consideration of mode of action, dose–response relationships, and consistency of findings)? Where relevant, how do findings differ by study type (e.g. human and animal evidence) and by population group, including infants, children, pregnancy/lactation and older adults?</w:t>
            </w:r>
          </w:p>
        </w:tc>
        <w:tc>
          <w:tcPr>
            <w:tcW w:w="3812" w:type="dxa"/>
          </w:tcPr>
          <w:p w14:paraId="0B60F118" w14:textId="77777777" w:rsidR="00D41CB2" w:rsidRPr="0070308F" w:rsidRDefault="00D41CB2" w:rsidP="00072BD3">
            <w:pPr>
              <w:pStyle w:val="TableText"/>
            </w:pPr>
            <w:r w:rsidRPr="0070308F">
              <w:t>The association between high-dose pyridoxine intake and peripheral neuropathy is well accepted across both human and animal evidence, with a consistent dose-response relationship and improvement upon withdrawal supporting a causal interpretation under Bradford Hill criteria. However, the underlying mechanism of action has not been established. Several hypotheses have been proposed, including inhibition of pyridoxal kinase leading to functional PLP deficiency, disruption of axonal transport, and direct dorsal root ganglia neurotoxicity, but no internationally accepted mode of action for pyridoxine-induced peripheral neuropathy is currently available. EFSA (2023) explicitly acknowledges this uncertainty. While a defined mechanism is not an absolute requirement for causal inference, its absence limits biological coherence and represents a meaningful gap in the overall evidence base.</w:t>
            </w:r>
          </w:p>
        </w:tc>
        <w:tc>
          <w:tcPr>
            <w:tcW w:w="0" w:type="auto"/>
          </w:tcPr>
          <w:p w14:paraId="210DEAA8" w14:textId="77777777" w:rsidR="00D41CB2" w:rsidRPr="0070308F" w:rsidRDefault="00D41CB2" w:rsidP="00072BD3">
            <w:pPr>
              <w:pStyle w:val="TableText"/>
              <w:rPr>
                <w:highlight w:val="yellow"/>
              </w:rPr>
            </w:pPr>
            <w:r w:rsidRPr="0070308F">
              <w:t>EFSA notes that the human evidence base, while spanning multiple lines of evidence including case reports, a positive rechallenge case, additional case series, and Dutch and French nutrivigilance data, is nonetheless limited by study design constraints inherent to observational and case-based data, meaning a formal LOAEL could not be established from human data alone. The RP of 50 mg/day therefore reflects a weight-of-evidence judgement across these converging sources rather than a single study finding. The animal data from the Beagle dog study (Phillips et al. 1978) were used as an independent cross-check, with the close agreement between the human-derived (12.5 mg/day) and animal-derived (11.7 mg/day) values providing additional confidence in the final UL of 12 mg/day.</w:t>
            </w:r>
          </w:p>
        </w:tc>
        <w:tc>
          <w:tcPr>
            <w:tcW w:w="0" w:type="auto"/>
          </w:tcPr>
          <w:p w14:paraId="2DEFE6B4" w14:textId="77777777" w:rsidR="00D41CB2" w:rsidRPr="0070308F" w:rsidRDefault="00D41CB2" w:rsidP="00072BD3">
            <w:pPr>
              <w:pStyle w:val="TableText"/>
              <w:rPr>
                <w:highlight w:val="yellow"/>
              </w:rPr>
            </w:pPr>
            <w:r w:rsidRPr="0070308F">
              <w:t>NHMRC (2006) relied on a different pair of human studies (diabetic neuropathy/CTS patients, Bernstein &amp; Lobitz 1988; Del Tredici et al. 1985) than EFSA's case-control study; NHMRC's source population (patients with pre-existing neuropathy risk factors) may differ in applicability compared to EFSA's general PMS-treatment population (women).</w:t>
            </w:r>
          </w:p>
        </w:tc>
      </w:tr>
      <w:tr w:rsidR="00D41CB2" w:rsidRPr="0070308F" w14:paraId="23F1B3C4" w14:textId="77777777" w:rsidTr="0070308F">
        <w:trPr>
          <w:cantSplit/>
        </w:trPr>
        <w:tc>
          <w:tcPr>
            <w:tcW w:w="0" w:type="auto"/>
          </w:tcPr>
          <w:p w14:paraId="29CC88D3" w14:textId="77777777" w:rsidR="00D41CB2" w:rsidRPr="0070308F" w:rsidRDefault="00D41CB2" w:rsidP="00072BD3">
            <w:pPr>
              <w:pStyle w:val="TableText"/>
            </w:pPr>
            <w:r w:rsidRPr="0070308F">
              <w:lastRenderedPageBreak/>
              <w:t>6</w:t>
            </w:r>
          </w:p>
        </w:tc>
        <w:tc>
          <w:tcPr>
            <w:tcW w:w="3064" w:type="dxa"/>
          </w:tcPr>
          <w:p w14:paraId="26A9C37F" w14:textId="77777777" w:rsidR="00D41CB2" w:rsidRPr="0070308F" w:rsidRDefault="00D41CB2" w:rsidP="00072BD3">
            <w:pPr>
              <w:pStyle w:val="TableText"/>
            </w:pPr>
            <w:r w:rsidRPr="0070308F">
              <w:t>Health considerations - Are there sensitive subpopulations, exposure patterns or use scenarios that require specific consideration?</w:t>
            </w:r>
          </w:p>
        </w:tc>
        <w:tc>
          <w:tcPr>
            <w:tcW w:w="3812" w:type="dxa"/>
          </w:tcPr>
          <w:p w14:paraId="59BDA57E" w14:textId="77777777" w:rsidR="00D41CB2" w:rsidRPr="0070308F" w:rsidRDefault="00D41CB2" w:rsidP="00072BD3">
            <w:pPr>
              <w:pStyle w:val="TableText"/>
            </w:pPr>
            <w:r w:rsidRPr="0070308F">
              <w:t>All assessments identify long-term, high-dose supplement users as the primary population of concern, as dietary intake alone is considered unlikely to exceed the UL. Pharmacological use of vitamin B6 to treat conditions such as premenstrual syndrome or nausea and vomiting of pregnancy, typically at doses well above those achievable through diet or general supplementation, represents an additional exposure context of concern, though this falls within the domain of medically supervised pharmaceutical use rather than dietary exposure and is therefore outside the scope of UL derivation for the general healthy population.</w:t>
            </w:r>
          </w:p>
        </w:tc>
        <w:tc>
          <w:tcPr>
            <w:tcW w:w="0" w:type="auto"/>
          </w:tcPr>
          <w:p w14:paraId="5B82C21E" w14:textId="1D3A1D20" w:rsidR="00D41CB2" w:rsidRPr="0070308F" w:rsidRDefault="00B16B5A" w:rsidP="00072BD3">
            <w:pPr>
              <w:pStyle w:val="TableText"/>
            </w:pPr>
            <w:r w:rsidRPr="00B16B5A">
              <w:t>Not applicable</w:t>
            </w:r>
          </w:p>
        </w:tc>
        <w:tc>
          <w:tcPr>
            <w:tcW w:w="0" w:type="auto"/>
          </w:tcPr>
          <w:p w14:paraId="425DCF97" w14:textId="77777777" w:rsidR="00D41CB2" w:rsidRPr="0070308F" w:rsidRDefault="00D41CB2" w:rsidP="00072BD3">
            <w:pPr>
              <w:pStyle w:val="TableText"/>
            </w:pPr>
            <w:r w:rsidRPr="0070308F">
              <w:t>NHMRC (2006) does not appear to have separately flagged supplement users as a distinct exposure scenario in the same explicit way EFSA (2023) does.</w:t>
            </w:r>
          </w:p>
        </w:tc>
      </w:tr>
      <w:tr w:rsidR="00D41CB2" w:rsidRPr="0070308F" w14:paraId="00DED509" w14:textId="77777777" w:rsidTr="0070308F">
        <w:trPr>
          <w:cantSplit/>
        </w:trPr>
        <w:tc>
          <w:tcPr>
            <w:tcW w:w="0" w:type="auto"/>
          </w:tcPr>
          <w:p w14:paraId="0A8A2CDD" w14:textId="77777777" w:rsidR="00D41CB2" w:rsidRPr="0070308F" w:rsidRDefault="00D41CB2" w:rsidP="00072BD3">
            <w:pPr>
              <w:pStyle w:val="TableText"/>
            </w:pPr>
            <w:r w:rsidRPr="0070308F">
              <w:lastRenderedPageBreak/>
              <w:t>7</w:t>
            </w:r>
          </w:p>
        </w:tc>
        <w:tc>
          <w:tcPr>
            <w:tcW w:w="3064" w:type="dxa"/>
          </w:tcPr>
          <w:p w14:paraId="71E7D8C6" w14:textId="77777777" w:rsidR="00D41CB2" w:rsidRPr="0070308F" w:rsidRDefault="00D41CB2" w:rsidP="00072BD3">
            <w:pPr>
              <w:pStyle w:val="TableText"/>
            </w:pPr>
            <w:r w:rsidRPr="0070308F">
              <w:t>Health considerations - How are pregnancy and other potentially sensitive life stages considered in the derivation of the UL, and are different uncertainty factors or adjustments applied for specific subpopulations where appropriate?</w:t>
            </w:r>
          </w:p>
        </w:tc>
        <w:tc>
          <w:tcPr>
            <w:tcW w:w="3812" w:type="dxa"/>
          </w:tcPr>
          <w:p w14:paraId="66741080" w14:textId="77777777" w:rsidR="00D41CB2" w:rsidRPr="0070308F" w:rsidRDefault="00D41CB2" w:rsidP="00072BD3">
            <w:pPr>
              <w:pStyle w:val="TableText"/>
            </w:pPr>
            <w:r w:rsidRPr="0070308F">
              <w:t>SCF (2000), EFSA (2023), and WHO/FAO (2004) all apply the adult UL to pregnant and lactating women without a separate derivation. EFSA systematically reviewed developmental toxicity and a range of additional endpoints including hip fracture risk, photosensitisation, impaired memorisation, anti-lactogenic effects, and testicular toxicity. None were considered to provide sufficient evidence for a causal relationship or an independent RP, with the exception of a weak signal for hip fracture risk at 35–40 mg/day that was nonetheless insufficient to act upon, and anti-lactogenic effects observed only at approximately 600 mg/day, well above the RP. Peripheral neuropathy therefore remained the sole endpoint underpinning the UL, with no population-specific adjustments warranted for pregnancy or lactation.</w:t>
            </w:r>
          </w:p>
        </w:tc>
        <w:tc>
          <w:tcPr>
            <w:tcW w:w="0" w:type="auto"/>
          </w:tcPr>
          <w:p w14:paraId="0DA9DFFC" w14:textId="6B221958" w:rsidR="00D41CB2" w:rsidRPr="0070308F" w:rsidRDefault="00B16B5A" w:rsidP="00072BD3">
            <w:pPr>
              <w:pStyle w:val="TableText"/>
            </w:pPr>
            <w:r w:rsidRPr="00B16B5A">
              <w:t>Not applicable</w:t>
            </w:r>
          </w:p>
        </w:tc>
        <w:tc>
          <w:tcPr>
            <w:tcW w:w="0" w:type="auto"/>
          </w:tcPr>
          <w:p w14:paraId="49028616" w14:textId="4A813F61" w:rsidR="00D41CB2" w:rsidRPr="0070308F" w:rsidRDefault="00D41CB2" w:rsidP="00072BD3">
            <w:pPr>
              <w:pStyle w:val="TableText"/>
            </w:pPr>
            <w:r w:rsidRPr="0070308F">
              <w:t xml:space="preserve">NHMRC (2006) also applied its adult UL (50 mg/day) to pregnant/lactating women, consistent in approach with EFSA, though at a different default value for body weight. </w:t>
            </w:r>
          </w:p>
        </w:tc>
      </w:tr>
      <w:tr w:rsidR="00D41CB2" w:rsidRPr="0070308F" w14:paraId="47DC59F2" w14:textId="77777777" w:rsidTr="0070308F">
        <w:trPr>
          <w:cantSplit/>
        </w:trPr>
        <w:tc>
          <w:tcPr>
            <w:tcW w:w="0" w:type="auto"/>
          </w:tcPr>
          <w:p w14:paraId="7F9F61FA" w14:textId="77777777" w:rsidR="00D41CB2" w:rsidRPr="0070308F" w:rsidRDefault="00D41CB2" w:rsidP="00072BD3">
            <w:pPr>
              <w:pStyle w:val="TableText"/>
            </w:pPr>
            <w:r w:rsidRPr="0070308F">
              <w:t>8</w:t>
            </w:r>
          </w:p>
        </w:tc>
        <w:tc>
          <w:tcPr>
            <w:tcW w:w="3064" w:type="dxa"/>
          </w:tcPr>
          <w:p w14:paraId="207EBE5E" w14:textId="77777777" w:rsidR="00D41CB2" w:rsidRPr="0070308F" w:rsidRDefault="00D41CB2" w:rsidP="00072BD3">
            <w:pPr>
              <w:pStyle w:val="TableText"/>
            </w:pPr>
            <w:r w:rsidRPr="0070308F">
              <w:t>Australian and New Zealand intake profile (where relevant to interpretation of risk in Australia and New Zealand) - What are the typical dietary and supplemental sources of vitamin B6 in Australia and New Zealand?</w:t>
            </w:r>
          </w:p>
        </w:tc>
        <w:tc>
          <w:tcPr>
            <w:tcW w:w="3812" w:type="dxa"/>
          </w:tcPr>
          <w:p w14:paraId="3959D59F" w14:textId="77777777" w:rsidR="00D41CB2" w:rsidRPr="0070308F" w:rsidRDefault="00D41CB2" w:rsidP="00072BD3">
            <w:pPr>
              <w:pStyle w:val="TableText"/>
              <w:rPr>
                <w:rFonts w:eastAsia="Calibri"/>
                <w:highlight w:val="yellow"/>
              </w:rPr>
            </w:pPr>
            <w:r w:rsidRPr="0070308F">
              <w:rPr>
                <w:rFonts w:eastAsia="Calibri"/>
              </w:rPr>
              <w:t>NA</w:t>
            </w:r>
          </w:p>
        </w:tc>
        <w:tc>
          <w:tcPr>
            <w:tcW w:w="0" w:type="auto"/>
          </w:tcPr>
          <w:p w14:paraId="4664F473" w14:textId="059BA50B" w:rsidR="00D41CB2" w:rsidRPr="0070308F" w:rsidRDefault="00B16B5A" w:rsidP="00072BD3">
            <w:pPr>
              <w:pStyle w:val="TableText"/>
              <w:rPr>
                <w:rFonts w:eastAsia="Calibri"/>
                <w:highlight w:val="yellow"/>
              </w:rPr>
            </w:pPr>
            <w:r w:rsidRPr="00B16B5A">
              <w:rPr>
                <w:rFonts w:eastAsia="Calibri"/>
              </w:rPr>
              <w:t>Not applicable</w:t>
            </w:r>
          </w:p>
        </w:tc>
        <w:tc>
          <w:tcPr>
            <w:tcW w:w="0" w:type="auto"/>
          </w:tcPr>
          <w:p w14:paraId="2A02C8C1" w14:textId="77777777" w:rsidR="00D41CB2" w:rsidRPr="0070308F" w:rsidRDefault="00D41CB2" w:rsidP="00072BD3">
            <w:pPr>
              <w:pStyle w:val="TableText"/>
              <w:rPr>
                <w:rFonts w:eastAsia="Calibri"/>
                <w:highlight w:val="yellow"/>
              </w:rPr>
            </w:pPr>
            <w:r w:rsidRPr="0070308F">
              <w:rPr>
                <w:rFonts w:eastAsia="Calibri"/>
              </w:rPr>
              <w:t>NHMRC (2006) provides only a general/qualitative list of food sources; it does not provide AU/NZ-specific data on supplement prevalence, dose, or product types.</w:t>
            </w:r>
          </w:p>
        </w:tc>
      </w:tr>
      <w:tr w:rsidR="00D41CB2" w:rsidRPr="0070308F" w14:paraId="16DBD2B2" w14:textId="77777777" w:rsidTr="0070308F">
        <w:trPr>
          <w:cantSplit/>
        </w:trPr>
        <w:tc>
          <w:tcPr>
            <w:tcW w:w="0" w:type="auto"/>
          </w:tcPr>
          <w:p w14:paraId="6B737DD7" w14:textId="77777777" w:rsidR="00D41CB2" w:rsidRPr="0070308F" w:rsidRDefault="00D41CB2" w:rsidP="00072BD3">
            <w:pPr>
              <w:pStyle w:val="TableText"/>
            </w:pPr>
            <w:r w:rsidRPr="0070308F">
              <w:lastRenderedPageBreak/>
              <w:t>9</w:t>
            </w:r>
          </w:p>
        </w:tc>
        <w:tc>
          <w:tcPr>
            <w:tcW w:w="3064" w:type="dxa"/>
          </w:tcPr>
          <w:p w14:paraId="48AF94A5" w14:textId="77777777" w:rsidR="00D41CB2" w:rsidRPr="0070308F" w:rsidRDefault="00D41CB2" w:rsidP="00072BD3">
            <w:pPr>
              <w:pStyle w:val="TableText"/>
            </w:pPr>
            <w:r w:rsidRPr="0070308F">
              <w:t>Australian and New Zealand intake profile (where relevant to interpretation of risk in Australia and New Zealand) - What are the typical dietary and supplementary intakes of vitamin B6 in the Australian and New Zealand population?</w:t>
            </w:r>
          </w:p>
        </w:tc>
        <w:tc>
          <w:tcPr>
            <w:tcW w:w="3812" w:type="dxa"/>
          </w:tcPr>
          <w:p w14:paraId="12E65B61" w14:textId="77777777" w:rsidR="00D41CB2" w:rsidRPr="0070308F" w:rsidRDefault="00D41CB2" w:rsidP="00072BD3">
            <w:pPr>
              <w:pStyle w:val="TableText"/>
            </w:pPr>
            <w:r w:rsidRPr="0070308F">
              <w:t>NA</w:t>
            </w:r>
          </w:p>
        </w:tc>
        <w:tc>
          <w:tcPr>
            <w:tcW w:w="0" w:type="auto"/>
          </w:tcPr>
          <w:p w14:paraId="2A4C5F1F" w14:textId="22CCB504" w:rsidR="00D41CB2" w:rsidRPr="0070308F" w:rsidRDefault="00B16B5A" w:rsidP="00072BD3">
            <w:pPr>
              <w:pStyle w:val="TableText"/>
            </w:pPr>
            <w:r w:rsidRPr="00B16B5A">
              <w:t>Not applicable</w:t>
            </w:r>
          </w:p>
        </w:tc>
        <w:tc>
          <w:tcPr>
            <w:tcW w:w="0" w:type="auto"/>
          </w:tcPr>
          <w:p w14:paraId="4EE9FBA8" w14:textId="77777777" w:rsidR="00D41CB2" w:rsidRPr="0070308F" w:rsidRDefault="00D41CB2" w:rsidP="00072BD3">
            <w:pPr>
              <w:pStyle w:val="TableText"/>
            </w:pPr>
            <w:r w:rsidRPr="0070308F">
              <w:t>NHMRC (2006) does not provide population intake data (dietary or supplemental) for Australia/New Zealand.</w:t>
            </w:r>
          </w:p>
          <w:p w14:paraId="01683C3E" w14:textId="77777777" w:rsidR="00D41CB2" w:rsidRPr="0070308F" w:rsidRDefault="00D41CB2" w:rsidP="00072BD3">
            <w:pPr>
              <w:pStyle w:val="TableText"/>
            </w:pPr>
          </w:p>
        </w:tc>
      </w:tr>
    </w:tbl>
    <w:p w14:paraId="6F9618AB" w14:textId="239EBD95" w:rsidR="00A01E44" w:rsidRDefault="00A01E44" w:rsidP="00761503">
      <w:pPr>
        <w:pStyle w:val="BodyText"/>
        <w:rPr>
          <w:b/>
        </w:rPr>
      </w:pPr>
      <w:r>
        <w:rPr>
          <w:b/>
        </w:rPr>
        <w:br w:type="page"/>
      </w:r>
    </w:p>
    <w:p w14:paraId="00296B4F" w14:textId="77777777" w:rsidR="00A01E44" w:rsidRDefault="00A01E44" w:rsidP="00761503">
      <w:pPr>
        <w:pStyle w:val="BodyText"/>
        <w:rPr>
          <w:b/>
        </w:rPr>
      </w:pPr>
    </w:p>
    <w:p w14:paraId="779D6FAE" w14:textId="23D681AA" w:rsidR="00761503" w:rsidRPr="004474B5" w:rsidRDefault="00761503" w:rsidP="00761503">
      <w:pPr>
        <w:pStyle w:val="BodyText"/>
        <w:rPr>
          <w:b/>
        </w:rPr>
      </w:pPr>
      <w:bookmarkStart w:id="30" w:name="_Ref233708483"/>
      <w:bookmarkStart w:id="31" w:name="_Toc233031607"/>
      <w:r w:rsidRPr="004474B5">
        <w:rPr>
          <w:b/>
        </w:rPr>
        <w:t xml:space="preserve">Table </w:t>
      </w:r>
      <w:r w:rsidRPr="004474B5">
        <w:rPr>
          <w:b/>
        </w:rPr>
        <w:fldChar w:fldCharType="begin"/>
      </w:r>
      <w:r w:rsidRPr="004474B5">
        <w:rPr>
          <w:b/>
        </w:rPr>
        <w:instrText xml:space="preserve"> SEQ Table \* ARABIC </w:instrText>
      </w:r>
      <w:r w:rsidRPr="004474B5">
        <w:rPr>
          <w:b/>
        </w:rPr>
        <w:fldChar w:fldCharType="separate"/>
      </w:r>
      <w:r w:rsidR="0052675C">
        <w:rPr>
          <w:b/>
          <w:noProof/>
        </w:rPr>
        <w:t>3</w:t>
      </w:r>
      <w:r w:rsidRPr="004474B5">
        <w:fldChar w:fldCharType="end"/>
      </w:r>
      <w:bookmarkEnd w:id="27"/>
      <w:bookmarkEnd w:id="30"/>
      <w:r w:rsidRPr="004474B5">
        <w:rPr>
          <w:b/>
        </w:rPr>
        <w:tab/>
        <w:t>Summary of findings from data extraction for health-based research questions</w:t>
      </w:r>
      <w:r w:rsidR="009E2257">
        <w:rPr>
          <w:b/>
        </w:rPr>
        <w:t xml:space="preserve"> – EFSA 2023</w:t>
      </w:r>
      <w:bookmarkEnd w:id="31"/>
    </w:p>
    <w:tbl>
      <w:tblPr>
        <w:tblStyle w:val="SLROption2"/>
        <w:tblW w:w="5000" w:type="pct"/>
        <w:tblLook w:val="04A0" w:firstRow="1" w:lastRow="0" w:firstColumn="1" w:lastColumn="0" w:noHBand="0" w:noVBand="1"/>
      </w:tblPr>
      <w:tblGrid>
        <w:gridCol w:w="1050"/>
        <w:gridCol w:w="3727"/>
        <w:gridCol w:w="9331"/>
      </w:tblGrid>
      <w:tr w:rsidR="00AC4857" w:rsidRPr="00767956" w14:paraId="02A721FE" w14:textId="77777777" w:rsidTr="00072BD3">
        <w:trPr>
          <w:cnfStyle w:val="100000000000" w:firstRow="1" w:lastRow="0" w:firstColumn="0" w:lastColumn="0" w:oddVBand="0" w:evenVBand="0" w:oddHBand="0" w:evenHBand="0" w:firstRowFirstColumn="0" w:firstRowLastColumn="0" w:lastRowFirstColumn="0" w:lastRowLastColumn="0"/>
          <w:cantSplit/>
        </w:trPr>
        <w:tc>
          <w:tcPr>
            <w:tcW w:w="372" w:type="pct"/>
            <w:vAlign w:val="center"/>
          </w:tcPr>
          <w:p w14:paraId="419840E7" w14:textId="77777777" w:rsidR="00AC4857" w:rsidRPr="00767956" w:rsidRDefault="00AC4857" w:rsidP="00072BD3">
            <w:pPr>
              <w:pStyle w:val="TableHeading"/>
            </w:pPr>
            <w:bookmarkStart w:id="32" w:name="_Hlk219897928"/>
            <w:r>
              <w:t>Number</w:t>
            </w:r>
          </w:p>
        </w:tc>
        <w:tc>
          <w:tcPr>
            <w:tcW w:w="1321" w:type="pct"/>
            <w:vAlign w:val="center"/>
          </w:tcPr>
          <w:p w14:paraId="08FEB3CA" w14:textId="77777777" w:rsidR="00AC4857" w:rsidRPr="00767956" w:rsidRDefault="00AC4857" w:rsidP="00072BD3">
            <w:pPr>
              <w:pStyle w:val="TableHeading"/>
            </w:pPr>
            <w:r w:rsidRPr="00767956">
              <w:t>Research Questions</w:t>
            </w:r>
          </w:p>
        </w:tc>
        <w:tc>
          <w:tcPr>
            <w:tcW w:w="3307" w:type="pct"/>
            <w:vAlign w:val="center"/>
          </w:tcPr>
          <w:p w14:paraId="2E440601" w14:textId="77777777" w:rsidR="00AC4857" w:rsidRPr="00767956" w:rsidRDefault="00AC4857" w:rsidP="00072BD3">
            <w:pPr>
              <w:pStyle w:val="TableHeading"/>
            </w:pPr>
            <w:r>
              <w:t>EFSA 2023</w:t>
            </w:r>
          </w:p>
        </w:tc>
      </w:tr>
      <w:tr w:rsidR="00AC4857" w:rsidRPr="00767956" w14:paraId="58BC4DE7" w14:textId="77777777" w:rsidTr="00072BD3">
        <w:trPr>
          <w:cantSplit/>
        </w:trPr>
        <w:tc>
          <w:tcPr>
            <w:tcW w:w="372" w:type="pct"/>
          </w:tcPr>
          <w:p w14:paraId="60CFC7A4" w14:textId="77777777" w:rsidR="00AC4857" w:rsidRPr="00767956" w:rsidRDefault="00AC4857" w:rsidP="00072BD3">
            <w:pPr>
              <w:pStyle w:val="TableText"/>
              <w:rPr>
                <w:lang w:eastAsia="en-AU"/>
              </w:rPr>
            </w:pPr>
            <w:r>
              <w:rPr>
                <w:lang w:eastAsia="en-AU"/>
              </w:rPr>
              <w:t>1</w:t>
            </w:r>
          </w:p>
        </w:tc>
        <w:tc>
          <w:tcPr>
            <w:tcW w:w="1321" w:type="pct"/>
          </w:tcPr>
          <w:p w14:paraId="1E2ACB87" w14:textId="77777777" w:rsidR="00AC4857" w:rsidRPr="00767956" w:rsidRDefault="00AC4857" w:rsidP="00072BD3">
            <w:pPr>
              <w:pStyle w:val="TableText"/>
              <w:rPr>
                <w:highlight w:val="yellow"/>
                <w:lang w:eastAsia="en-AU"/>
              </w:rPr>
            </w:pPr>
            <w:r w:rsidRPr="009E5F3C">
              <w:rPr>
                <w:lang w:eastAsia="en-AU"/>
              </w:rPr>
              <w:t>Upper Level (UL) question - What excess intake of vitamin B6 is associated with adverse health effects?</w:t>
            </w:r>
          </w:p>
        </w:tc>
        <w:tc>
          <w:tcPr>
            <w:tcW w:w="3307" w:type="pct"/>
          </w:tcPr>
          <w:p w14:paraId="6ACEC891" w14:textId="77777777" w:rsidR="00AC4857" w:rsidRDefault="00AC4857" w:rsidP="00072BD3">
            <w:pPr>
              <w:pStyle w:val="TableText"/>
              <w:rPr>
                <w:lang w:eastAsia="en-AU"/>
              </w:rPr>
            </w:pPr>
            <w:r w:rsidRPr="00813E57">
              <w:rPr>
                <w:lang w:eastAsia="en-AU"/>
              </w:rPr>
              <w:t>Based on a weight-of-evidence assessment across multiple converging lines of evidence, including the Dalton &amp; Dalton (1987) case-control study, a positive rechallenge case, additional case reports (Dalton 1985; Blackburn &amp; Warren 2017), and Dutch and French nutrivigilance data, the EFSA Panel concluded that peripheral neuropathy may occur at supplemental vitamin B6 intakes of 50 mg/day in some individuals when consumed for more than 6 months. Within the Dalton &amp; Dalton (1987) study, a dose-dependent increase in the prevalence of neuropathy symptoms was observed across all dose groups, including in the lowest group consuming less than 50 mg/day for more than 6 months, which contributed to but did not solely determine the RP.</w:t>
            </w:r>
          </w:p>
          <w:p w14:paraId="19F14A4E" w14:textId="77777777" w:rsidR="00AC4857" w:rsidRPr="00767956" w:rsidRDefault="00AC4857" w:rsidP="00072BD3">
            <w:pPr>
              <w:pStyle w:val="TableText"/>
              <w:rPr>
                <w:lang w:eastAsia="en-AU"/>
              </w:rPr>
            </w:pPr>
            <w:r w:rsidRPr="00DC1CAB">
              <w:rPr>
                <w:lang w:eastAsia="en-AU"/>
              </w:rPr>
              <w:t xml:space="preserve">Symptoms were also reported at lower doses (e.g. 31 mg/day from energy drinks; nutrivigilance cases at 1.4–40 mg/day), but these were less </w:t>
            </w:r>
            <w:r>
              <w:rPr>
                <w:lang w:eastAsia="en-AU"/>
              </w:rPr>
              <w:t>well-confirmed.</w:t>
            </w:r>
          </w:p>
        </w:tc>
      </w:tr>
      <w:tr w:rsidR="00AC4857" w:rsidRPr="00767956" w14:paraId="40BFEA3D" w14:textId="77777777" w:rsidTr="00072BD3">
        <w:trPr>
          <w:cantSplit/>
        </w:trPr>
        <w:tc>
          <w:tcPr>
            <w:tcW w:w="372" w:type="pct"/>
          </w:tcPr>
          <w:p w14:paraId="4B058044" w14:textId="77777777" w:rsidR="00AC4857" w:rsidRPr="00767956" w:rsidRDefault="00AC4857" w:rsidP="00072BD3">
            <w:pPr>
              <w:pStyle w:val="TableText"/>
              <w:rPr>
                <w:lang w:eastAsia="en-AU"/>
              </w:rPr>
            </w:pPr>
            <w:r>
              <w:rPr>
                <w:lang w:eastAsia="en-AU"/>
              </w:rPr>
              <w:t>2</w:t>
            </w:r>
          </w:p>
        </w:tc>
        <w:tc>
          <w:tcPr>
            <w:tcW w:w="1321" w:type="pct"/>
          </w:tcPr>
          <w:p w14:paraId="2D169961" w14:textId="77777777" w:rsidR="00AC4857" w:rsidRPr="00767956" w:rsidRDefault="00AC4857" w:rsidP="00072BD3">
            <w:pPr>
              <w:pStyle w:val="TableText"/>
              <w:rPr>
                <w:highlight w:val="yellow"/>
                <w:lang w:eastAsia="en-AU"/>
              </w:rPr>
            </w:pPr>
            <w:r w:rsidRPr="009E5F3C">
              <w:rPr>
                <w:lang w:eastAsia="en-AU"/>
              </w:rPr>
              <w:t>Upper Level (UL) question - What is the critical human health endpoint that determines the UL, and what is the justification for selecting this endpoint?</w:t>
            </w:r>
          </w:p>
        </w:tc>
        <w:tc>
          <w:tcPr>
            <w:tcW w:w="3307" w:type="pct"/>
          </w:tcPr>
          <w:p w14:paraId="5706EE8F" w14:textId="77777777" w:rsidR="00AC4857" w:rsidRDefault="00AC4857" w:rsidP="00072BD3">
            <w:pPr>
              <w:pStyle w:val="TableText"/>
              <w:rPr>
                <w:rFonts w:eastAsia="Calibri"/>
                <w:szCs w:val="22"/>
              </w:rPr>
            </w:pPr>
            <w:r w:rsidRPr="00622053">
              <w:rPr>
                <w:rFonts w:eastAsia="Calibri"/>
                <w:szCs w:val="22"/>
              </w:rPr>
              <w:t>The critical effect on which the UL is based is dorsal root sensory ganglionopathy. Peripheral axon degeneration, often presenting in a stocking-and-glove distribution, is considered secondary to dorsal root ganglion neuronal damage. The condition is predominantly, and sometimes entirely, sensory; motor nerve involvement is uncommon, and central nervous system involvement is generally limited to sensory pathways. However, motor-related complaints and balance symptoms, including gait disturbance or ataxia, have been noted in clinical case reports and pharmacovigilance datasets. These symptoms may reflect severe sensory impairment and impaired proprioception rather than primary motor neuropathy.</w:t>
            </w:r>
            <w:r w:rsidRPr="00DC1CAB">
              <w:rPr>
                <w:rFonts w:eastAsia="Calibri"/>
                <w:szCs w:val="22"/>
              </w:rPr>
              <w:t xml:space="preserve"> </w:t>
            </w:r>
          </w:p>
          <w:p w14:paraId="3FFAD95D" w14:textId="73F9992C" w:rsidR="00AC4857" w:rsidRDefault="00AC4857" w:rsidP="00072BD3">
            <w:pPr>
              <w:pStyle w:val="TableText"/>
              <w:rPr>
                <w:rFonts w:eastAsia="Calibri"/>
                <w:szCs w:val="22"/>
              </w:rPr>
            </w:pPr>
            <w:r w:rsidRPr="00DC1CAB">
              <w:rPr>
                <w:rFonts w:eastAsia="Calibri"/>
                <w:szCs w:val="22"/>
              </w:rPr>
              <w:t>While other adverse effects were reviewed (hip fracture risk, photosensitisation, impaired memorisation, anti-lactogenic effects, testicular toxicity), the evidence for these was considered insufficient to establish a causal relationship or derive an independent RP.</w:t>
            </w:r>
          </w:p>
          <w:p w14:paraId="15719077" w14:textId="77777777" w:rsidR="00AC4857" w:rsidRPr="00767956" w:rsidRDefault="00AC4857" w:rsidP="00072BD3">
            <w:pPr>
              <w:pStyle w:val="TableText"/>
              <w:rPr>
                <w:rFonts w:eastAsia="Calibri"/>
                <w:szCs w:val="22"/>
              </w:rPr>
            </w:pPr>
            <w:r w:rsidRPr="00DC1CAB">
              <w:rPr>
                <w:rFonts w:eastAsia="Calibri"/>
                <w:szCs w:val="22"/>
              </w:rPr>
              <w:t xml:space="preserve">Both human data and animal (Beagle dog) data </w:t>
            </w:r>
            <w:r>
              <w:rPr>
                <w:rFonts w:eastAsia="Calibri"/>
                <w:szCs w:val="22"/>
              </w:rPr>
              <w:t>agreed</w:t>
            </w:r>
            <w:r w:rsidRPr="00DC1CAB">
              <w:rPr>
                <w:rFonts w:eastAsia="Calibri"/>
                <w:szCs w:val="22"/>
              </w:rPr>
              <w:t xml:space="preserve"> on peripheral neuropathy as the sensitive and relevant endpoint.</w:t>
            </w:r>
          </w:p>
        </w:tc>
      </w:tr>
      <w:tr w:rsidR="00AC4857" w:rsidRPr="00767956" w14:paraId="6045E57F" w14:textId="77777777" w:rsidTr="00072BD3">
        <w:trPr>
          <w:cantSplit/>
        </w:trPr>
        <w:tc>
          <w:tcPr>
            <w:tcW w:w="372" w:type="pct"/>
          </w:tcPr>
          <w:p w14:paraId="1D8A0B2A" w14:textId="77777777" w:rsidR="00AC4857" w:rsidRPr="00767956" w:rsidRDefault="00AC4857" w:rsidP="00072BD3">
            <w:pPr>
              <w:pStyle w:val="TableText"/>
            </w:pPr>
            <w:r>
              <w:lastRenderedPageBreak/>
              <w:t>3</w:t>
            </w:r>
          </w:p>
        </w:tc>
        <w:tc>
          <w:tcPr>
            <w:tcW w:w="1321" w:type="pct"/>
          </w:tcPr>
          <w:p w14:paraId="53DB1E67" w14:textId="77777777" w:rsidR="00AC4857" w:rsidRPr="00767956" w:rsidRDefault="00AC4857" w:rsidP="00072BD3">
            <w:pPr>
              <w:pStyle w:val="TableText"/>
            </w:pPr>
            <w:r w:rsidRPr="009E5F3C">
              <w:t>Upper Level (UL) question - What recent ULs or equivalent health-based guidance values exist internationally (for excess vitamin B6 intake)? How were they derived, what assumptions and uncertainties were applied, and are they suitable to adopt or adapt for Australia and New Zealand?</w:t>
            </w:r>
          </w:p>
        </w:tc>
        <w:tc>
          <w:tcPr>
            <w:tcW w:w="3307" w:type="pct"/>
          </w:tcPr>
          <w:p w14:paraId="182A2E96" w14:textId="77777777" w:rsidR="00AC4857" w:rsidRDefault="00AC4857" w:rsidP="00072BD3">
            <w:pPr>
              <w:pStyle w:val="TableText"/>
            </w:pPr>
            <w:r>
              <w:t>Summary of existing ULs for adults:</w:t>
            </w:r>
          </w:p>
          <w:tbl>
            <w:tblPr>
              <w:tblStyle w:val="TableGrid"/>
              <w:tblW w:w="0" w:type="auto"/>
              <w:tblLook w:val="04A0" w:firstRow="1" w:lastRow="0" w:firstColumn="1" w:lastColumn="0" w:noHBand="0" w:noVBand="1"/>
            </w:tblPr>
            <w:tblGrid>
              <w:gridCol w:w="1877"/>
              <w:gridCol w:w="1860"/>
              <w:gridCol w:w="2761"/>
              <w:gridCol w:w="2659"/>
            </w:tblGrid>
            <w:tr w:rsidR="00AC4857" w14:paraId="0C61D2F4" w14:textId="77777777" w:rsidTr="00072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1" w:type="dxa"/>
                </w:tcPr>
                <w:p w14:paraId="2549E9D0" w14:textId="02047698" w:rsidR="00AC4857" w:rsidRDefault="00A01E44" w:rsidP="00072BD3">
                  <w:pPr>
                    <w:pStyle w:val="TableText"/>
                  </w:pPr>
                  <w:r>
                    <w:rPr>
                      <w:caps w:val="0"/>
                    </w:rPr>
                    <w:t xml:space="preserve">Body </w:t>
                  </w:r>
                </w:p>
              </w:tc>
              <w:tc>
                <w:tcPr>
                  <w:tcW w:w="2410" w:type="dxa"/>
                </w:tcPr>
                <w:p w14:paraId="1F9BA8AE" w14:textId="49761EA6" w:rsidR="00AC4857" w:rsidRDefault="00A01E44" w:rsidP="00072BD3">
                  <w:pPr>
                    <w:pStyle w:val="TableText"/>
                    <w:cnfStyle w:val="100000000000" w:firstRow="1" w:lastRow="0" w:firstColumn="0" w:lastColumn="0" w:oddVBand="0" w:evenVBand="0" w:oddHBand="0" w:evenHBand="0" w:firstRowFirstColumn="0" w:firstRowLastColumn="0" w:lastRowFirstColumn="0" w:lastRowLastColumn="0"/>
                  </w:pPr>
                  <w:r>
                    <w:rPr>
                      <w:caps w:val="0"/>
                    </w:rPr>
                    <w:t>UL (adults)</w:t>
                  </w:r>
                  <w:r w:rsidR="00AC4857" w:rsidRPr="006E35A1">
                    <w:rPr>
                      <w:vertAlign w:val="superscript"/>
                    </w:rPr>
                    <w:t>(1)</w:t>
                  </w:r>
                </w:p>
              </w:tc>
              <w:tc>
                <w:tcPr>
                  <w:tcW w:w="4677" w:type="dxa"/>
                </w:tcPr>
                <w:p w14:paraId="31A2E611" w14:textId="0C2F6520" w:rsidR="00AC4857" w:rsidRDefault="00A01E44" w:rsidP="00072BD3">
                  <w:pPr>
                    <w:pStyle w:val="TableText"/>
                    <w:cnfStyle w:val="100000000000" w:firstRow="1" w:lastRow="0" w:firstColumn="0" w:lastColumn="0" w:oddVBand="0" w:evenVBand="0" w:oddHBand="0" w:evenHBand="0" w:firstRowFirstColumn="0" w:firstRowLastColumn="0" w:lastRowFirstColumn="0" w:lastRowLastColumn="0"/>
                  </w:pPr>
                  <w:r>
                    <w:rPr>
                      <w:caps w:val="0"/>
                    </w:rPr>
                    <w:t>Basis</w:t>
                  </w:r>
                </w:p>
              </w:tc>
              <w:tc>
                <w:tcPr>
                  <w:tcW w:w="3835" w:type="dxa"/>
                </w:tcPr>
                <w:p w14:paraId="5160DF42" w14:textId="3767E009" w:rsidR="00AC4857" w:rsidRDefault="00A01E44" w:rsidP="00072BD3">
                  <w:pPr>
                    <w:pStyle w:val="TableText"/>
                    <w:cnfStyle w:val="100000000000" w:firstRow="1" w:lastRow="0" w:firstColumn="0" w:lastColumn="0" w:oddVBand="0" w:evenVBand="0" w:oddHBand="0" w:evenHBand="0" w:firstRowFirstColumn="0" w:firstRowLastColumn="0" w:lastRowFirstColumn="0" w:lastRowLastColumn="0"/>
                  </w:pPr>
                  <w:r>
                    <w:rPr>
                      <w:caps w:val="0"/>
                    </w:rPr>
                    <w:t>Approach</w:t>
                  </w:r>
                  <w:r w:rsidR="005C023E" w:rsidRPr="00400348">
                    <w:rPr>
                      <w:vertAlign w:val="superscript"/>
                    </w:rPr>
                    <w:t>(2)</w:t>
                  </w:r>
                </w:p>
              </w:tc>
            </w:tr>
            <w:tr w:rsidR="00AC4857" w14:paraId="2D2E31DA" w14:textId="77777777" w:rsidTr="00072BD3">
              <w:tc>
                <w:tcPr>
                  <w:cnfStyle w:val="001000000000" w:firstRow="0" w:lastRow="0" w:firstColumn="1" w:lastColumn="0" w:oddVBand="0" w:evenVBand="0" w:oddHBand="0" w:evenHBand="0" w:firstRowFirstColumn="0" w:firstRowLastColumn="0" w:lastRowFirstColumn="0" w:lastRowLastColumn="0"/>
                  <w:tcW w:w="2741" w:type="dxa"/>
                </w:tcPr>
                <w:p w14:paraId="1FE6844E" w14:textId="77777777" w:rsidR="00AC4857" w:rsidRDefault="00AC4857" w:rsidP="00072BD3">
                  <w:pPr>
                    <w:pStyle w:val="TableText"/>
                  </w:pPr>
                  <w:r w:rsidRPr="00DC1CAB">
                    <w:t>SCF (2000) (Europe)</w:t>
                  </w:r>
                </w:p>
              </w:tc>
              <w:tc>
                <w:tcPr>
                  <w:tcW w:w="2410" w:type="dxa"/>
                </w:tcPr>
                <w:p w14:paraId="696E5782" w14:textId="77777777" w:rsidR="00AC4857" w:rsidRDefault="00AC4857" w:rsidP="00072BD3">
                  <w:pPr>
                    <w:pStyle w:val="TableText"/>
                    <w:cnfStyle w:val="000000000000" w:firstRow="0" w:lastRow="0" w:firstColumn="0" w:lastColumn="0" w:oddVBand="0" w:evenVBand="0" w:oddHBand="0" w:evenHBand="0" w:firstRowFirstColumn="0" w:firstRowLastColumn="0" w:lastRowFirstColumn="0" w:lastRowLastColumn="0"/>
                  </w:pPr>
                  <w:r w:rsidRPr="00DC1CAB">
                    <w:t>25 mg/day</w:t>
                  </w:r>
                  <w:r>
                    <w:t xml:space="preserve"> (including pregnant and lactating women)</w:t>
                  </w:r>
                </w:p>
              </w:tc>
              <w:tc>
                <w:tcPr>
                  <w:tcW w:w="4677" w:type="dxa"/>
                </w:tcPr>
                <w:p w14:paraId="492018C0" w14:textId="587118A4" w:rsidR="00AC4857" w:rsidRDefault="00AC4857" w:rsidP="00072BD3">
                  <w:pPr>
                    <w:pStyle w:val="TableText"/>
                    <w:cnfStyle w:val="000000000000" w:firstRow="0" w:lastRow="0" w:firstColumn="0" w:lastColumn="0" w:oddVBand="0" w:evenVBand="0" w:oddHBand="0" w:evenHBand="0" w:firstRowFirstColumn="0" w:firstRowLastColumn="0" w:lastRowFirstColumn="0" w:lastRowLastColumn="0"/>
                  </w:pPr>
                  <w:r w:rsidRPr="00DC1CAB">
                    <w:t>Dalton &amp; Dalton (1987) case-control study; mean intake ~100 mg/day as RP</w:t>
                  </w:r>
                </w:p>
              </w:tc>
              <w:tc>
                <w:tcPr>
                  <w:tcW w:w="3835" w:type="dxa"/>
                </w:tcPr>
                <w:p w14:paraId="6F62679F" w14:textId="05CB4018" w:rsidR="00AC4857" w:rsidRDefault="00EB0589" w:rsidP="00072BD3">
                  <w:pPr>
                    <w:pStyle w:val="TableText"/>
                    <w:cnfStyle w:val="000000000000" w:firstRow="0" w:lastRow="0" w:firstColumn="0" w:lastColumn="0" w:oddVBand="0" w:evenVBand="0" w:oddHBand="0" w:evenHBand="0" w:firstRowFirstColumn="0" w:firstRowLastColumn="0" w:lastRowFirstColumn="0" w:lastRowLastColumn="0"/>
                  </w:pPr>
                  <w:r w:rsidRPr="00EB0589">
                    <w:t>A UF of 4 was applied to the RP of 100 mg/day (mean intake in Dalton &amp; Dalton (1987), 117 mg/day; median &lt;100 mg/day): a factor of 2 because this intake corresponded to a possible effect level for long-term use, and a further factor of 2 to allow for deficiencies in the database. SCF considered a larger UF unnecessary, noting that the Dalton &amp; Dalton (1987) data derived from a sub-group with high plasma concentrations and that the resulting value had not been associated with adverse effects in published studies. This gave a UL of 25 mg/day for adults, also applied to pregnant and lactating women in the absence of evidence of increased susceptibility in these groups.</w:t>
                  </w:r>
                </w:p>
              </w:tc>
            </w:tr>
            <w:tr w:rsidR="00AC4857" w14:paraId="2C63E70C" w14:textId="77777777" w:rsidTr="00072BD3">
              <w:tc>
                <w:tcPr>
                  <w:cnfStyle w:val="001000000000" w:firstRow="0" w:lastRow="0" w:firstColumn="1" w:lastColumn="0" w:oddVBand="0" w:evenVBand="0" w:oddHBand="0" w:evenHBand="0" w:firstRowFirstColumn="0" w:firstRowLastColumn="0" w:lastRowFirstColumn="0" w:lastRowLastColumn="0"/>
                  <w:tcW w:w="2741" w:type="dxa"/>
                </w:tcPr>
                <w:p w14:paraId="603B5208" w14:textId="77777777" w:rsidR="00AC4857" w:rsidRDefault="00AC4857" w:rsidP="00072BD3">
                  <w:pPr>
                    <w:pStyle w:val="TableText"/>
                  </w:pPr>
                  <w:r w:rsidRPr="00DC1CAB">
                    <w:lastRenderedPageBreak/>
                    <w:t>IOM (1998) (USA)</w:t>
                  </w:r>
                </w:p>
              </w:tc>
              <w:tc>
                <w:tcPr>
                  <w:tcW w:w="2410" w:type="dxa"/>
                </w:tcPr>
                <w:p w14:paraId="5EC6F4F1" w14:textId="77777777" w:rsidR="00AC4857" w:rsidRDefault="00AC4857" w:rsidP="00072BD3">
                  <w:pPr>
                    <w:pStyle w:val="TableText"/>
                    <w:cnfStyle w:val="000000000000" w:firstRow="0" w:lastRow="0" w:firstColumn="0" w:lastColumn="0" w:oddVBand="0" w:evenVBand="0" w:oddHBand="0" w:evenHBand="0" w:firstRowFirstColumn="0" w:firstRowLastColumn="0" w:lastRowFirstColumn="0" w:lastRowLastColumn="0"/>
                  </w:pPr>
                  <w:r w:rsidRPr="00DC1CAB">
                    <w:t>100 mg/day</w:t>
                  </w:r>
                  <w:r>
                    <w:t xml:space="preserve"> </w:t>
                  </w:r>
                  <w:r w:rsidRPr="006E35A1">
                    <w:t>(including pregnant and lactating women)</w:t>
                  </w:r>
                </w:p>
              </w:tc>
              <w:tc>
                <w:tcPr>
                  <w:tcW w:w="4677" w:type="dxa"/>
                </w:tcPr>
                <w:p w14:paraId="11AF9AF2" w14:textId="77777777" w:rsidR="00AC4857" w:rsidRDefault="00AC4857" w:rsidP="00072BD3">
                  <w:pPr>
                    <w:pStyle w:val="TableText"/>
                    <w:cnfStyle w:val="000000000000" w:firstRow="0" w:lastRow="0" w:firstColumn="0" w:lastColumn="0" w:oddVBand="0" w:evenVBand="0" w:oddHBand="0" w:evenHBand="0" w:firstRowFirstColumn="0" w:firstRowLastColumn="0" w:lastRowFirstColumn="0" w:lastRowLastColumn="0"/>
                  </w:pPr>
                  <w:r w:rsidRPr="00DC1CAB">
                    <w:t xml:space="preserve">NOAEL of 100 mg/day from Bernstein &amp; Lobitz (1988) and Del Tredici et al. (1985) in </w:t>
                  </w:r>
                  <w:r>
                    <w:t>patients with diabetic neuropathy or carpal tunnel syndrome (CTS) in whom neuropathy did not get worse following vitamin B6 intakes of 100–300 mg/day</w:t>
                  </w:r>
                </w:p>
              </w:tc>
              <w:tc>
                <w:tcPr>
                  <w:tcW w:w="3835" w:type="dxa"/>
                </w:tcPr>
                <w:p w14:paraId="18D7DDC7" w14:textId="77777777" w:rsidR="00AC4857" w:rsidRDefault="00AC4857" w:rsidP="00072BD3">
                  <w:pPr>
                    <w:pStyle w:val="TableText"/>
                    <w:cnfStyle w:val="000000000000" w:firstRow="0" w:lastRow="0" w:firstColumn="0" w:lastColumn="0" w:oddVBand="0" w:evenVBand="0" w:oddHBand="0" w:evenHBand="0" w:firstRowFirstColumn="0" w:firstRowLastColumn="0" w:lastRowFirstColumn="0" w:lastRowLastColumn="0"/>
                  </w:pPr>
                  <w:r w:rsidRPr="00DC1CAB">
                    <w:t>No UF applied</w:t>
                  </w:r>
                </w:p>
              </w:tc>
            </w:tr>
            <w:tr w:rsidR="00AC4857" w14:paraId="71EDBB12" w14:textId="77777777" w:rsidTr="00072BD3">
              <w:tc>
                <w:tcPr>
                  <w:cnfStyle w:val="001000000000" w:firstRow="0" w:lastRow="0" w:firstColumn="1" w:lastColumn="0" w:oddVBand="0" w:evenVBand="0" w:oddHBand="0" w:evenHBand="0" w:firstRowFirstColumn="0" w:firstRowLastColumn="0" w:lastRowFirstColumn="0" w:lastRowLastColumn="0"/>
                  <w:tcW w:w="2741" w:type="dxa"/>
                </w:tcPr>
                <w:p w14:paraId="0FA38357" w14:textId="77777777" w:rsidR="00AC4857" w:rsidRDefault="00AC4857" w:rsidP="00072BD3">
                  <w:pPr>
                    <w:pStyle w:val="TableText"/>
                  </w:pPr>
                  <w:r w:rsidRPr="00DC1CAB">
                    <w:t>WHO/FAO (2004)</w:t>
                  </w:r>
                </w:p>
              </w:tc>
              <w:tc>
                <w:tcPr>
                  <w:tcW w:w="2410" w:type="dxa"/>
                </w:tcPr>
                <w:p w14:paraId="0EF25B21" w14:textId="77777777" w:rsidR="00AC4857" w:rsidRDefault="00AC4857" w:rsidP="00072BD3">
                  <w:pPr>
                    <w:pStyle w:val="TableText"/>
                    <w:cnfStyle w:val="000000000000" w:firstRow="0" w:lastRow="0" w:firstColumn="0" w:lastColumn="0" w:oddVBand="0" w:evenVBand="0" w:oddHBand="0" w:evenHBand="0" w:firstRowFirstColumn="0" w:firstRowLastColumn="0" w:lastRowFirstColumn="0" w:lastRowLastColumn="0"/>
                  </w:pPr>
                  <w:r w:rsidRPr="00DC1CAB">
                    <w:t>100 mg/day</w:t>
                  </w:r>
                </w:p>
              </w:tc>
              <w:tc>
                <w:tcPr>
                  <w:tcW w:w="4677" w:type="dxa"/>
                </w:tcPr>
                <w:p w14:paraId="029EAF26" w14:textId="77777777" w:rsidR="00AC4857" w:rsidRDefault="00AC4857" w:rsidP="00072BD3">
                  <w:pPr>
                    <w:pStyle w:val="TableText"/>
                    <w:cnfStyle w:val="000000000000" w:firstRow="0" w:lastRow="0" w:firstColumn="0" w:lastColumn="0" w:oddVBand="0" w:evenVBand="0" w:oddHBand="0" w:evenHBand="0" w:firstRowFirstColumn="0" w:firstRowLastColumn="0" w:lastRowFirstColumn="0" w:lastRowLastColumn="0"/>
                  </w:pPr>
                  <w:r w:rsidRPr="00DC1CAB">
                    <w:t>Same basis as IOM (1998)</w:t>
                  </w:r>
                </w:p>
              </w:tc>
              <w:tc>
                <w:tcPr>
                  <w:tcW w:w="3835" w:type="dxa"/>
                </w:tcPr>
                <w:p w14:paraId="1CB1F416" w14:textId="77777777" w:rsidR="00AC4857" w:rsidRDefault="00AC4857" w:rsidP="00072BD3">
                  <w:pPr>
                    <w:pStyle w:val="TableText"/>
                    <w:cnfStyle w:val="000000000000" w:firstRow="0" w:lastRow="0" w:firstColumn="0" w:lastColumn="0" w:oddVBand="0" w:evenVBand="0" w:oddHBand="0" w:evenHBand="0" w:firstRowFirstColumn="0" w:firstRowLastColumn="0" w:lastRowFirstColumn="0" w:lastRowLastColumn="0"/>
                  </w:pPr>
                  <w:r w:rsidRPr="00DC1CAB">
                    <w:t>No UF applied</w:t>
                  </w:r>
                </w:p>
              </w:tc>
            </w:tr>
            <w:tr w:rsidR="00AC4857" w14:paraId="76AF04E8" w14:textId="77777777" w:rsidTr="00072BD3">
              <w:tc>
                <w:tcPr>
                  <w:cnfStyle w:val="001000000000" w:firstRow="0" w:lastRow="0" w:firstColumn="1" w:lastColumn="0" w:oddVBand="0" w:evenVBand="0" w:oddHBand="0" w:evenHBand="0" w:firstRowFirstColumn="0" w:firstRowLastColumn="0" w:lastRowFirstColumn="0" w:lastRowLastColumn="0"/>
                  <w:tcW w:w="2741" w:type="dxa"/>
                </w:tcPr>
                <w:p w14:paraId="482E9288" w14:textId="77777777" w:rsidR="00AC4857" w:rsidRDefault="00AC4857" w:rsidP="00072BD3">
                  <w:pPr>
                    <w:pStyle w:val="TableText"/>
                  </w:pPr>
                  <w:r w:rsidRPr="00DC1CAB">
                    <w:t>EVM (2003) (UK)</w:t>
                  </w:r>
                </w:p>
              </w:tc>
              <w:tc>
                <w:tcPr>
                  <w:tcW w:w="2410" w:type="dxa"/>
                </w:tcPr>
                <w:p w14:paraId="3DB841F3" w14:textId="77777777" w:rsidR="00AC4857" w:rsidRDefault="00AC4857" w:rsidP="00072BD3">
                  <w:pPr>
                    <w:pStyle w:val="TableText"/>
                    <w:cnfStyle w:val="000000000000" w:firstRow="0" w:lastRow="0" w:firstColumn="0" w:lastColumn="0" w:oddVBand="0" w:evenVBand="0" w:oddHBand="0" w:evenHBand="0" w:firstRowFirstColumn="0" w:firstRowLastColumn="0" w:lastRowFirstColumn="0" w:lastRowLastColumn="0"/>
                  </w:pPr>
                  <w:r w:rsidRPr="00DC1CAB">
                    <w:t>~10 mg/day (</w:t>
                  </w:r>
                  <w:r w:rsidRPr="0004006E">
                    <w:t>0.17 mg/kg bw per day</w:t>
                  </w:r>
                  <w:r>
                    <w:t xml:space="preserve"> </w:t>
                  </w:r>
                  <w:r w:rsidRPr="0004006E">
                    <w:t>supplemental pyridoxine equivalent to 10 mg/day for a 60-kg adult</w:t>
                  </w:r>
                  <w:r w:rsidRPr="00DC1CAB">
                    <w:t>)</w:t>
                  </w:r>
                </w:p>
              </w:tc>
              <w:tc>
                <w:tcPr>
                  <w:tcW w:w="4677" w:type="dxa"/>
                </w:tcPr>
                <w:p w14:paraId="60C6D93F" w14:textId="77777777" w:rsidR="00AC4857" w:rsidRDefault="00AC4857" w:rsidP="00072BD3">
                  <w:pPr>
                    <w:pStyle w:val="TableText"/>
                    <w:cnfStyle w:val="000000000000" w:firstRow="0" w:lastRow="0" w:firstColumn="0" w:lastColumn="0" w:oddVBand="0" w:evenVBand="0" w:oddHBand="0" w:evenHBand="0" w:firstRowFirstColumn="0" w:firstRowLastColumn="0" w:lastRowFirstColumn="0" w:lastRowLastColumn="0"/>
                  </w:pPr>
                  <w:r w:rsidRPr="00DC1CAB">
                    <w:t>LOAEL of 50 mg/kg bw/day from Beagle dog study (Phillips et al., 1978)</w:t>
                  </w:r>
                </w:p>
              </w:tc>
              <w:tc>
                <w:tcPr>
                  <w:tcW w:w="3835" w:type="dxa"/>
                </w:tcPr>
                <w:p w14:paraId="47893B26" w14:textId="19B116E1" w:rsidR="00AC4857" w:rsidRDefault="00022EAA" w:rsidP="00072BD3">
                  <w:pPr>
                    <w:pStyle w:val="TableText"/>
                    <w:cnfStyle w:val="000000000000" w:firstRow="0" w:lastRow="0" w:firstColumn="0" w:lastColumn="0" w:oddVBand="0" w:evenVBand="0" w:oddHBand="0" w:evenHBand="0" w:firstRowFirstColumn="0" w:firstRowLastColumn="0" w:lastRowFirstColumn="0" w:lastRowLastColumn="0"/>
                  </w:pPr>
                  <w:r w:rsidRPr="00022EAA">
                    <w:t>A UF of 300 was applied to the animal LOAEL of 50 mg/kg bw/day, comprising: ×3 for LOAEL-to-NOAEL extrapolation (the LOAEL related to a histopathological change identified in a sub-chronic study, which may have underestimated toxicity during chronic exposure); ×10 for interspecies variation; and ×10 for inter-individual (human) variation. This gave a Safe Upper Level of 0.17 mg/kg bw/day supplemental pyridoxine, equivalent to 10 mg/day for a 60-kg adult.</w:t>
                  </w:r>
                </w:p>
              </w:tc>
            </w:tr>
            <w:tr w:rsidR="00AC4857" w14:paraId="409D09F6" w14:textId="77777777" w:rsidTr="00072BD3">
              <w:tc>
                <w:tcPr>
                  <w:cnfStyle w:val="001000000000" w:firstRow="0" w:lastRow="0" w:firstColumn="1" w:lastColumn="0" w:oddVBand="0" w:evenVBand="0" w:oddHBand="0" w:evenHBand="0" w:firstRowFirstColumn="0" w:firstRowLastColumn="0" w:lastRowFirstColumn="0" w:lastRowLastColumn="0"/>
                  <w:tcW w:w="2741" w:type="dxa"/>
                </w:tcPr>
                <w:p w14:paraId="335C2BE6" w14:textId="77777777" w:rsidR="00AC4857" w:rsidRDefault="00AC4857" w:rsidP="00072BD3">
                  <w:pPr>
                    <w:pStyle w:val="TableText"/>
                  </w:pPr>
                  <w:r w:rsidRPr="00DC1CAB">
                    <w:lastRenderedPageBreak/>
                    <w:t>NHMRC (2006) (Australia &amp; New Zealand)</w:t>
                  </w:r>
                </w:p>
              </w:tc>
              <w:tc>
                <w:tcPr>
                  <w:tcW w:w="2410" w:type="dxa"/>
                </w:tcPr>
                <w:p w14:paraId="720CD485" w14:textId="77777777" w:rsidR="00AC4857" w:rsidRDefault="00AC4857" w:rsidP="00072BD3">
                  <w:pPr>
                    <w:pStyle w:val="TableText"/>
                    <w:cnfStyle w:val="000000000000" w:firstRow="0" w:lastRow="0" w:firstColumn="0" w:lastColumn="0" w:oddVBand="0" w:evenVBand="0" w:oddHBand="0" w:evenHBand="0" w:firstRowFirstColumn="0" w:firstRowLastColumn="0" w:lastRowFirstColumn="0" w:lastRowLastColumn="0"/>
                  </w:pPr>
                  <w:r w:rsidRPr="00DC1CAB">
                    <w:t>50 mg/day</w:t>
                  </w:r>
                </w:p>
              </w:tc>
              <w:tc>
                <w:tcPr>
                  <w:tcW w:w="4677" w:type="dxa"/>
                </w:tcPr>
                <w:p w14:paraId="7141D478" w14:textId="72C3615C" w:rsidR="00AC4857" w:rsidRDefault="00AC4857" w:rsidP="00072BD3">
                  <w:pPr>
                    <w:pStyle w:val="TableText"/>
                    <w:cnfStyle w:val="000000000000" w:firstRow="0" w:lastRow="0" w:firstColumn="0" w:lastColumn="0" w:oddVBand="0" w:evenVBand="0" w:oddHBand="0" w:evenHBand="0" w:firstRowFirstColumn="0" w:firstRowLastColumn="0" w:lastRowFirstColumn="0" w:lastRowLastColumn="0"/>
                  </w:pPr>
                  <w:r w:rsidRPr="00DC1CAB">
                    <w:t xml:space="preserve">NOAEL of 200 mg/day from Bernstein &amp; Lobitz </w:t>
                  </w:r>
                  <w:r w:rsidR="00A01E44">
                    <w:t xml:space="preserve">(1988) </w:t>
                  </w:r>
                  <w:r w:rsidRPr="00DC1CAB">
                    <w:t>and Del Tredici et al.</w:t>
                  </w:r>
                  <w:r w:rsidR="00A01E44">
                    <w:t xml:space="preserve"> (1985)</w:t>
                  </w:r>
                </w:p>
              </w:tc>
              <w:tc>
                <w:tcPr>
                  <w:tcW w:w="3835" w:type="dxa"/>
                </w:tcPr>
                <w:p w14:paraId="0580FE00" w14:textId="621A35D4" w:rsidR="00AC4857" w:rsidRDefault="00AC4857" w:rsidP="00072BD3">
                  <w:pPr>
                    <w:pStyle w:val="TableText"/>
                    <w:cnfStyle w:val="000000000000" w:firstRow="0" w:lastRow="0" w:firstColumn="0" w:lastColumn="0" w:oddVBand="0" w:evenVBand="0" w:oddHBand="0" w:evenHBand="0" w:firstRowFirstColumn="0" w:firstRowLastColumn="0" w:lastRowFirstColumn="0" w:lastRowLastColumn="0"/>
                  </w:pPr>
                  <w:r w:rsidRPr="00DC1CAB">
                    <w:t>UF of 4 applied (to account for short exposure duration; symptoms may take longer to appear)</w:t>
                  </w:r>
                  <w:r w:rsidR="00A01E44">
                    <w:t>.</w:t>
                  </w:r>
                </w:p>
              </w:tc>
            </w:tr>
          </w:tbl>
          <w:p w14:paraId="6393F28A" w14:textId="77777777" w:rsidR="00AC4857" w:rsidRDefault="00AC4857" w:rsidP="00072BD3">
            <w:pPr>
              <w:pStyle w:val="TableText"/>
            </w:pPr>
            <w:r>
              <w:t xml:space="preserve">(1) </w:t>
            </w:r>
            <w:r w:rsidRPr="00DC1CAB">
              <w:t>Children's ULs were also set by SCF, IOM, and NHMRC, derived by extrapolation from adult values on a body weight basis</w:t>
            </w:r>
            <w:r>
              <w:t xml:space="preserve"> (Table 1 of EFSA 2023 document)</w:t>
            </w:r>
            <w:r w:rsidRPr="00DC1CAB">
              <w:t>.</w:t>
            </w:r>
          </w:p>
          <w:p w14:paraId="62142BDA" w14:textId="66E09F43" w:rsidR="002A588F" w:rsidRDefault="002A588F" w:rsidP="00072BD3">
            <w:pPr>
              <w:pStyle w:val="TableText"/>
            </w:pPr>
            <w:r>
              <w:t>(2) T</w:t>
            </w:r>
            <w:r w:rsidRPr="002A588F">
              <w:t xml:space="preserve">he approach </w:t>
            </w:r>
            <w:r>
              <w:t xml:space="preserve">outlined in this table </w:t>
            </w:r>
            <w:r w:rsidRPr="002A588F">
              <w:t>reflects EFSA's (2023) characterisation of each agency's derivation, as presented in EFSA's re-assessment, rather than a verbatim restatement of each agency's own published methodology.</w:t>
            </w:r>
          </w:p>
          <w:p w14:paraId="3DCC7F9C" w14:textId="77777777" w:rsidR="00AC4857" w:rsidRDefault="00AC4857" w:rsidP="00072BD3">
            <w:pPr>
              <w:pStyle w:val="TableText"/>
              <w:rPr>
                <w:b/>
                <w:bCs/>
              </w:rPr>
            </w:pPr>
            <w:r w:rsidRPr="0004006E">
              <w:rPr>
                <w:b/>
                <w:bCs/>
              </w:rPr>
              <w:t>Suitability for Australia and New Zealand:</w:t>
            </w:r>
          </w:p>
          <w:p w14:paraId="69485797" w14:textId="77777777" w:rsidR="00AC4857" w:rsidRDefault="00AC4857" w:rsidP="00072BD3">
            <w:pPr>
              <w:pStyle w:val="TableText"/>
            </w:pPr>
            <w:r w:rsidRPr="00073403">
              <w:t>The suitability of the EFSA (2023) methodology and derivation for application in the Australian and New Zealand context was considered. EFSA, as a European regulatory body, does not assess applicability to Australia and New Zealand, so this judgement is made independently here.</w:t>
            </w:r>
          </w:p>
          <w:p w14:paraId="1755267B" w14:textId="77777777" w:rsidR="00AC4857" w:rsidRDefault="00AC4857" w:rsidP="00072BD3">
            <w:pPr>
              <w:pStyle w:val="TableText"/>
            </w:pPr>
            <w:r w:rsidRPr="00CA73AF">
              <w:t>The critical studies underpinning EFSA's weight-of-evidence assessment were conducted predominantly in European and US populations, which are considered broadly comparable to the Australian and New Zealand population in terms of genetics, diet, and vitamin B6 metabolism. No population-specific factors have been identified in Australia or New Zealand that would render EFSA's methodological approach, choice of critical endpoint, weight-of-evidence framework, or UF derivation inappropriate for adoption or adaptation in this context.</w:t>
            </w:r>
          </w:p>
          <w:p w14:paraId="38B2025E" w14:textId="77777777" w:rsidR="00AC4857" w:rsidRDefault="00AC4857" w:rsidP="00072BD3">
            <w:pPr>
              <w:pStyle w:val="TableText"/>
            </w:pPr>
            <w:r>
              <w:t>It is noted, however, that the anchor study in EFSA's evidence base, Dalton &amp; Dalton (1987), carries well-documented methodological limitations including reliance on patient recall of supplement intake, potential confounding with PMS symptomatology, unblinded rechallenge procedures, and lack of independent replication. These limitations are relevant to the Australian and New Zealand assessment and are carried forward as uncertainties regardless of jurisdiction.</w:t>
            </w:r>
          </w:p>
          <w:p w14:paraId="2011A724" w14:textId="5C14827B" w:rsidR="00AC4857" w:rsidRPr="00767956" w:rsidRDefault="00AC4857" w:rsidP="00072BD3">
            <w:pPr>
              <w:pStyle w:val="TableText"/>
            </w:pPr>
            <w:r>
              <w:t>The EFSA assessment is also explicitly scoped to dietary and supplemental vitamin B6 exposure in the general healthy population. It did not address, and was not intended to address, pharmacological use of vitamin B6 under medical supervision, including high-dose therapeutic administration in patients with inborn errors of B6 metabolism. Findings from those clinical contexts, including hepatotoxicity and</w:t>
            </w:r>
            <w:r w:rsidR="00022EAA">
              <w:t xml:space="preserve"> </w:t>
            </w:r>
            <w:r w:rsidR="00022EAA" w:rsidRPr="00022EAA">
              <w:t>hepatocellular carcinoma</w:t>
            </w:r>
            <w:r>
              <w:t xml:space="preserve"> </w:t>
            </w:r>
            <w:r w:rsidR="0067332F">
              <w:t>(</w:t>
            </w:r>
            <w:r>
              <w:t>HCC</w:t>
            </w:r>
            <w:r w:rsidR="0067332F">
              <w:t>)</w:t>
            </w:r>
            <w:r>
              <w:t xml:space="preserve"> signals in PNPO-deficient patients receiving therapeutic PLP, are therefore outside the scope of this UL assessment and should not be considered a limitation of EFSA's approach for Australian and New Zealand dietary exposure purposes.</w:t>
            </w:r>
          </w:p>
        </w:tc>
      </w:tr>
      <w:tr w:rsidR="00AC4857" w:rsidRPr="00767956" w14:paraId="574CBB57" w14:textId="77777777" w:rsidTr="00072BD3">
        <w:trPr>
          <w:cantSplit/>
        </w:trPr>
        <w:tc>
          <w:tcPr>
            <w:tcW w:w="372" w:type="pct"/>
          </w:tcPr>
          <w:p w14:paraId="748215AC" w14:textId="77777777" w:rsidR="00AC4857" w:rsidRPr="00767956" w:rsidRDefault="00AC4857" w:rsidP="00072BD3">
            <w:pPr>
              <w:pStyle w:val="TableText"/>
            </w:pPr>
            <w:r>
              <w:lastRenderedPageBreak/>
              <w:t>4</w:t>
            </w:r>
          </w:p>
        </w:tc>
        <w:tc>
          <w:tcPr>
            <w:tcW w:w="1321" w:type="pct"/>
          </w:tcPr>
          <w:p w14:paraId="3D864DD6" w14:textId="77777777" w:rsidR="00AC4857" w:rsidRPr="00767956" w:rsidRDefault="00AC4857" w:rsidP="00072BD3">
            <w:pPr>
              <w:pStyle w:val="TableText"/>
            </w:pPr>
            <w:r w:rsidRPr="009E5F3C">
              <w:t>Health considerations - What are the key adverse health effects associated with excess vitamin B6 intake, particularly neurological outcomes such as peripheral neuropathy?</w:t>
            </w:r>
          </w:p>
        </w:tc>
        <w:tc>
          <w:tcPr>
            <w:tcW w:w="3307" w:type="pct"/>
          </w:tcPr>
          <w:p w14:paraId="6464E960" w14:textId="77777777" w:rsidR="00AC4857" w:rsidRDefault="00AC4857" w:rsidP="00072BD3">
            <w:pPr>
              <w:pStyle w:val="TableText"/>
            </w:pPr>
            <w:r>
              <w:t>The principal adverse health effect is peripheral neuropathy, characterised by:</w:t>
            </w:r>
          </w:p>
          <w:p w14:paraId="0E59F187" w14:textId="77777777" w:rsidR="00AC4857" w:rsidRDefault="00AC4857" w:rsidP="00AC4857">
            <w:pPr>
              <w:pStyle w:val="TableText"/>
              <w:numPr>
                <w:ilvl w:val="0"/>
                <w:numId w:val="14"/>
              </w:numPr>
            </w:pPr>
            <w:r>
              <w:t>Paraesthesia (tingling sensations)</w:t>
            </w:r>
          </w:p>
          <w:p w14:paraId="2B937FDE" w14:textId="77777777" w:rsidR="00AC4857" w:rsidRDefault="00AC4857" w:rsidP="00AC4857">
            <w:pPr>
              <w:pStyle w:val="TableText"/>
              <w:numPr>
                <w:ilvl w:val="0"/>
                <w:numId w:val="14"/>
              </w:numPr>
            </w:pPr>
            <w:r>
              <w:t>Hyperaesthesia (abnormal sensitivity)</w:t>
            </w:r>
          </w:p>
          <w:p w14:paraId="549D277D" w14:textId="77777777" w:rsidR="00AC4857" w:rsidRDefault="00AC4857" w:rsidP="00AC4857">
            <w:pPr>
              <w:pStyle w:val="TableText"/>
              <w:numPr>
                <w:ilvl w:val="0"/>
                <w:numId w:val="14"/>
              </w:numPr>
            </w:pPr>
            <w:r>
              <w:t>Bone pains</w:t>
            </w:r>
          </w:p>
          <w:p w14:paraId="2C00B6F6" w14:textId="77777777" w:rsidR="00AC4857" w:rsidRDefault="00AC4857" w:rsidP="00AC4857">
            <w:pPr>
              <w:pStyle w:val="TableText"/>
              <w:numPr>
                <w:ilvl w:val="0"/>
                <w:numId w:val="14"/>
              </w:numPr>
            </w:pPr>
            <w:r>
              <w:t>Muscle weakness</w:t>
            </w:r>
          </w:p>
          <w:p w14:paraId="3277B8F6" w14:textId="77777777" w:rsidR="00AC4857" w:rsidRDefault="00AC4857" w:rsidP="00AC4857">
            <w:pPr>
              <w:pStyle w:val="TableText"/>
              <w:numPr>
                <w:ilvl w:val="0"/>
                <w:numId w:val="14"/>
              </w:numPr>
            </w:pPr>
            <w:r>
              <w:t>Fasciculation</w:t>
            </w:r>
          </w:p>
          <w:p w14:paraId="35FF74AF" w14:textId="77777777" w:rsidR="00AC4857" w:rsidRDefault="00AC4857" w:rsidP="00AC4857">
            <w:pPr>
              <w:pStyle w:val="TableText"/>
              <w:numPr>
                <w:ilvl w:val="0"/>
                <w:numId w:val="14"/>
              </w:numPr>
            </w:pPr>
            <w:r>
              <w:t>Numbness</w:t>
            </w:r>
          </w:p>
          <w:p w14:paraId="242C23B6" w14:textId="39C7676B" w:rsidR="00AC4857" w:rsidRDefault="00AC4857" w:rsidP="00AC4857">
            <w:pPr>
              <w:pStyle w:val="TableText"/>
              <w:numPr>
                <w:ilvl w:val="0"/>
                <w:numId w:val="14"/>
              </w:numPr>
            </w:pPr>
            <w:r w:rsidRPr="00EB040B">
              <w:t>Impaired proprioception, leading to sensory ataxia and loss of coordinat</w:t>
            </w:r>
            <w:r w:rsidR="00A01E44">
              <w:t>ion</w:t>
            </w:r>
            <w:r w:rsidRPr="00EB040B">
              <w:t xml:space="preserve"> </w:t>
            </w:r>
          </w:p>
          <w:p w14:paraId="4C62B131" w14:textId="77777777" w:rsidR="00AC4857" w:rsidRDefault="00AC4857" w:rsidP="00AC4857">
            <w:pPr>
              <w:pStyle w:val="TableText"/>
              <w:numPr>
                <w:ilvl w:val="0"/>
                <w:numId w:val="14"/>
              </w:numPr>
            </w:pPr>
            <w:r>
              <w:t>In severe cases, inability to walk</w:t>
            </w:r>
          </w:p>
          <w:p w14:paraId="013487DC" w14:textId="77777777" w:rsidR="00AC4857" w:rsidRPr="00767956" w:rsidRDefault="00AC4857" w:rsidP="00072BD3">
            <w:pPr>
              <w:pStyle w:val="TableText"/>
            </w:pPr>
            <w:r w:rsidRPr="00E340D1">
              <w:t>In most cases, symptoms improved or resolved after withdrawal of vitamin B6 supplements. Recovery was reported in 55% of women after 3 months of cessation and 100% after 6 months in the Dalton &amp; Dalton (1987) study.</w:t>
            </w:r>
            <w:r>
              <w:t xml:space="preserve"> </w:t>
            </w:r>
            <w:r w:rsidRPr="00EB040B">
              <w:t>However, the available evidence does not clearly define whether more severe symptoms require longer recovery periods or are associated with a lower likelihood of complete recovery.</w:t>
            </w:r>
          </w:p>
        </w:tc>
      </w:tr>
      <w:tr w:rsidR="00AC4857" w:rsidRPr="00767956" w14:paraId="010802B8" w14:textId="77777777" w:rsidTr="00072BD3">
        <w:trPr>
          <w:cantSplit/>
        </w:trPr>
        <w:tc>
          <w:tcPr>
            <w:tcW w:w="372" w:type="pct"/>
          </w:tcPr>
          <w:p w14:paraId="35BBF031" w14:textId="77777777" w:rsidR="00AC4857" w:rsidRPr="00767956" w:rsidRDefault="00AC4857" w:rsidP="00072BD3">
            <w:pPr>
              <w:pStyle w:val="TableText"/>
            </w:pPr>
            <w:r>
              <w:lastRenderedPageBreak/>
              <w:t>5</w:t>
            </w:r>
          </w:p>
        </w:tc>
        <w:tc>
          <w:tcPr>
            <w:tcW w:w="1321" w:type="pct"/>
          </w:tcPr>
          <w:p w14:paraId="05FA6936" w14:textId="77777777" w:rsidR="00AC4857" w:rsidRPr="00767956" w:rsidRDefault="00AC4857" w:rsidP="00072BD3">
            <w:pPr>
              <w:pStyle w:val="TableText"/>
              <w:rPr>
                <w:highlight w:val="yellow"/>
              </w:rPr>
            </w:pPr>
            <w:r w:rsidRPr="009E5F3C">
              <w:t>Health considerations - What is the strength of evidence for a causal association for the key adverse health effects (including consideration of mode of action, dose–response relationships, and consistency of findings)? Where relevant, how do findings differ by study type (e.g. human and animal evidence) and by population group, including infants, children, pregnancy/lactation and older adults?</w:t>
            </w:r>
          </w:p>
        </w:tc>
        <w:tc>
          <w:tcPr>
            <w:tcW w:w="3307" w:type="pct"/>
          </w:tcPr>
          <w:p w14:paraId="72A2F52F" w14:textId="2EB564DD" w:rsidR="00AC4857" w:rsidRDefault="00AC4857" w:rsidP="00072BD3">
            <w:pPr>
              <w:pStyle w:val="TableText"/>
            </w:pPr>
            <w:r>
              <w:t>The causal relationship between high vitamin B6 intake and peripheral neuropathy is described as "well established"</w:t>
            </w:r>
            <w:r w:rsidR="00A01E44">
              <w:t>.</w:t>
            </w:r>
            <w:r>
              <w:t xml:space="preserve"> Importantly, there is a lack of definitive consensus on the mode/mechanism of action of vitamin B6-induced neuropathy. However, the lack of a mode/mechanism of action is not sufficient by itself to disprove a cause-and-effect relationship. </w:t>
            </w:r>
          </w:p>
          <w:p w14:paraId="70A51198" w14:textId="77777777" w:rsidR="00AC4857" w:rsidRDefault="00AC4857" w:rsidP="00072BD3">
            <w:pPr>
              <w:pStyle w:val="TableText"/>
            </w:pPr>
            <w:r>
              <w:t xml:space="preserve"> Evidence comes from multiple study types:</w:t>
            </w:r>
          </w:p>
          <w:p w14:paraId="07A0E870" w14:textId="77777777" w:rsidR="00AC4857" w:rsidRDefault="00AC4857" w:rsidP="00AC4857">
            <w:pPr>
              <w:pStyle w:val="TableText"/>
              <w:numPr>
                <w:ilvl w:val="0"/>
                <w:numId w:val="14"/>
              </w:numPr>
            </w:pPr>
            <w:r>
              <w:t>Human case series (Schaumburg et al. 1983): First demonstration of human vitamin B6–induced neuropathy at ≥2,000 mg/day; improvement after withdrawal.</w:t>
            </w:r>
          </w:p>
          <w:p w14:paraId="4301B9AC" w14:textId="31D737C2" w:rsidR="00AC4857" w:rsidRDefault="00AC4857" w:rsidP="00AC4857">
            <w:pPr>
              <w:pStyle w:val="TableText"/>
              <w:numPr>
                <w:ilvl w:val="0"/>
                <w:numId w:val="14"/>
              </w:numPr>
            </w:pPr>
            <w:r>
              <w:t xml:space="preserve">Intervention study (Berger et al. 1992): Established the inverse relationship between dose and time to onset in humans; </w:t>
            </w:r>
            <w:r w:rsidRPr="00F87896">
              <w:t xml:space="preserve">Quantitative sensory testing </w:t>
            </w:r>
            <w:r>
              <w:t>(QST) abnormalities with or without clinical symptoms at doses of 12–57mg/kg bw/day.</w:t>
            </w:r>
          </w:p>
          <w:p w14:paraId="343CE309" w14:textId="2882D6AF" w:rsidR="00AC4857" w:rsidRDefault="00AC4857" w:rsidP="00AC4857">
            <w:pPr>
              <w:pStyle w:val="TableText"/>
              <w:numPr>
                <w:ilvl w:val="0"/>
                <w:numId w:val="14"/>
              </w:numPr>
            </w:pPr>
            <w:r>
              <w:t xml:space="preserve">Case-control study (Dalton &amp; Dalton 1987): Demonstrated peripheral neuropathy at &lt;50 mg/day in 48% of women (n=43) </w:t>
            </w:r>
            <w:r w:rsidR="004944A3" w:rsidRPr="004944A3">
              <w:t xml:space="preserve">consuming &lt;50 mg/day supplemental vitamin B6 </w:t>
            </w:r>
            <w:r>
              <w:t xml:space="preserve"> </w:t>
            </w:r>
            <w:r w:rsidR="004944A3">
              <w:t xml:space="preserve"> </w:t>
            </w:r>
            <w:r>
              <w:t>for &gt;6 months; prevalence increased dose-dependently.</w:t>
            </w:r>
          </w:p>
          <w:p w14:paraId="1EDEAB29" w14:textId="3E72BCCF" w:rsidR="00AC4857" w:rsidRDefault="004944A3" w:rsidP="00AC4857">
            <w:pPr>
              <w:pStyle w:val="TableText"/>
              <w:numPr>
                <w:ilvl w:val="0"/>
                <w:numId w:val="14"/>
              </w:numPr>
            </w:pPr>
            <w:r w:rsidRPr="004944A3">
              <w:t>Retrospective studies (Brush et al. 1988; Chaudary et al. 2003): Mixed findings. Brush et al. (1988) reported no cases meeting a clinical diagnosis of peripheral neuropathy among women taking 40–200 mg/day for PMS. Chaudary et al. (2003) found that symptoms (tingling hands, insomnia, rash, acne) generally reduced in frequency after 3–42 months of vitamin B6 supplementation (30–230 mg/day; p&lt;0.001), but among participants who were initially symptom-free, a minority (23 of 114) went on to develop new toxicity-associated symptoms after starting supplementation, predominantly at 101–150 mg/day.</w:t>
            </w:r>
          </w:p>
          <w:p w14:paraId="5F590408" w14:textId="77777777" w:rsidR="00AC4857" w:rsidRDefault="00AC4857" w:rsidP="00AC4857">
            <w:pPr>
              <w:pStyle w:val="TableText"/>
              <w:numPr>
                <w:ilvl w:val="0"/>
                <w:numId w:val="14"/>
              </w:numPr>
            </w:pPr>
            <w:r>
              <w:t>Nutrivigilance data (Dutch, French systems): Reports of neuropathy at doses as low as 1.4 mg/day (though causality uncertain at very low doses); most cases at 40–100 mg/day.</w:t>
            </w:r>
          </w:p>
          <w:p w14:paraId="74FC9353" w14:textId="77777777" w:rsidR="00AC4857" w:rsidRDefault="00AC4857" w:rsidP="00AC4857">
            <w:pPr>
              <w:pStyle w:val="TableText"/>
              <w:numPr>
                <w:ilvl w:val="0"/>
                <w:numId w:val="14"/>
              </w:numPr>
            </w:pPr>
            <w:r>
              <w:t>Animal studies: LOAEL of 50 mg/kg bw/day established in Beagle dogs (Phillips et al. 1978); subchronic 107-day study; lesions without clinical symptoms at this dose. Rat studies showed consistent findings at higher doses.</w:t>
            </w:r>
          </w:p>
          <w:p w14:paraId="18ACD0FD" w14:textId="52C224BE" w:rsidR="00AC4857" w:rsidRDefault="00AC4857" w:rsidP="00072BD3">
            <w:pPr>
              <w:pStyle w:val="TableText"/>
            </w:pPr>
            <w:r>
              <w:t xml:space="preserve">Notably, all of the </w:t>
            </w:r>
            <w:r w:rsidR="00A01E44">
              <w:t xml:space="preserve">human </w:t>
            </w:r>
            <w:r>
              <w:t>studies are observational and rank at the lower levels of the hierarchy of evidence.</w:t>
            </w:r>
          </w:p>
          <w:p w14:paraId="38DA3AE0" w14:textId="77777777" w:rsidR="00AC4857" w:rsidRDefault="00AC4857" w:rsidP="00072BD3">
            <w:pPr>
              <w:pStyle w:val="TableText"/>
            </w:pPr>
            <w:r w:rsidRPr="00F87896">
              <w:rPr>
                <w:b/>
                <w:bCs/>
              </w:rPr>
              <w:t>Dose-response</w:t>
            </w:r>
            <w:r w:rsidRPr="00E340D1">
              <w:t>: A dose-dependent increase in neuropathy prevalence was demonstrated, with an important inverse dose-time relationship (higher doses</w:t>
            </w:r>
            <w:r>
              <w:t xml:space="preserve"> result in </w:t>
            </w:r>
            <w:r w:rsidRPr="00E340D1">
              <w:t>faster onset).</w:t>
            </w:r>
          </w:p>
          <w:p w14:paraId="2711695C" w14:textId="7D087B2A" w:rsidR="00AC4857" w:rsidRDefault="00AC4857" w:rsidP="00072BD3">
            <w:pPr>
              <w:pStyle w:val="TableText"/>
            </w:pPr>
            <w:r w:rsidRPr="00F87896">
              <w:rPr>
                <w:b/>
                <w:bCs/>
              </w:rPr>
              <w:t>Risk of bias</w:t>
            </w:r>
            <w:r w:rsidRPr="00E340D1">
              <w:t>: The overall RoB of the human evidence was assessed as moderate to high, reflecting limitations in study design (mostly observational, case reports</w:t>
            </w:r>
            <w:r>
              <w:t xml:space="preserve"> which all rank at the lower levels of the hierarchy of evidence and are thus, due to their inherent design limitations, prone to bias and confounding effects</w:t>
            </w:r>
            <w:r w:rsidRPr="00E340D1">
              <w:t>), exposure characterisation, and outcome assessment. Meta-analysis was not feasible due to heterogeneity.</w:t>
            </w:r>
          </w:p>
          <w:p w14:paraId="6203BAEC" w14:textId="77777777" w:rsidR="00AC4857" w:rsidRDefault="00AC4857" w:rsidP="00072BD3">
            <w:pPr>
              <w:pStyle w:val="TableText"/>
            </w:pPr>
            <w:r w:rsidRPr="00F87896">
              <w:rPr>
                <w:b/>
                <w:bCs/>
              </w:rPr>
              <w:lastRenderedPageBreak/>
              <w:t>Population group</w:t>
            </w:r>
            <w:r w:rsidRPr="00E340D1">
              <w:t>: The primary evidence is from women (many taking supplements for PMS</w:t>
            </w:r>
            <w:r>
              <w:t xml:space="preserve"> i.e., pharmaceutical use rather than dietary supplementation/fortification</w:t>
            </w:r>
            <w:r w:rsidRPr="00E340D1">
              <w:t>). There are no specific data on infants, children, or adolescents.</w:t>
            </w:r>
          </w:p>
          <w:p w14:paraId="4426DB08" w14:textId="77777777" w:rsidR="00AC4857" w:rsidRDefault="00AC4857" w:rsidP="00072BD3">
            <w:pPr>
              <w:pStyle w:val="TableText"/>
            </w:pPr>
            <w:r w:rsidRPr="00F87896">
              <w:rPr>
                <w:b/>
                <w:bCs/>
              </w:rPr>
              <w:t>Mode of action</w:t>
            </w:r>
            <w:r w:rsidRPr="00E340D1">
              <w:t xml:space="preserve">: </w:t>
            </w:r>
            <w:r>
              <w:t>The EFSA Panel notes that some hypotheses have been put forward with respect to potential mechanisms by which high vitamin B6 intakes could lead to peripheral neuropathy, but the causal mechanisms are still unknown and international consensus mode/mechanism of action is not yet available.</w:t>
            </w:r>
            <w:r w:rsidRPr="00E340D1">
              <w:t>:</w:t>
            </w:r>
          </w:p>
          <w:p w14:paraId="21AD9FF2" w14:textId="77777777" w:rsidR="00AC4857" w:rsidRDefault="00AC4857" w:rsidP="00AC4857">
            <w:pPr>
              <w:pStyle w:val="TableText"/>
              <w:numPr>
                <w:ilvl w:val="0"/>
                <w:numId w:val="14"/>
              </w:numPr>
            </w:pPr>
            <w:r w:rsidRPr="009B6DBA">
              <w:t>High pyridoxine concentrations may inhibit pyridoxal kinase, reducing PLP availability and disrupting GABA synthesis and GABAergic neurotransmission. This may increase excitability of dorsal root ganglia sensory neurons, contributing to neuronal injury and peripheral neuropathy</w:t>
            </w:r>
            <w:r>
              <w:t>.</w:t>
            </w:r>
          </w:p>
          <w:p w14:paraId="1CDDB8D2" w14:textId="77777777" w:rsidR="00AC4857" w:rsidRPr="00767956" w:rsidRDefault="00AC4857" w:rsidP="00AC4857">
            <w:pPr>
              <w:pStyle w:val="TableText"/>
              <w:numPr>
                <w:ilvl w:val="0"/>
                <w:numId w:val="14"/>
              </w:numPr>
            </w:pPr>
            <w:r>
              <w:t>Quinone methide-type intermediates have been proposed but are considered unlikely to be responsible. The Panel also considers that it is unlikely that the aldehyde groups of PL or PLP are responsible for neurotoxic effects of vitamin B6.</w:t>
            </w:r>
          </w:p>
        </w:tc>
      </w:tr>
      <w:tr w:rsidR="00AC4857" w:rsidRPr="00767956" w14:paraId="3916E25B" w14:textId="77777777" w:rsidTr="00072BD3">
        <w:trPr>
          <w:cantSplit/>
        </w:trPr>
        <w:tc>
          <w:tcPr>
            <w:tcW w:w="372" w:type="pct"/>
          </w:tcPr>
          <w:p w14:paraId="2B5D09B0" w14:textId="77777777" w:rsidR="00AC4857" w:rsidRPr="00767956" w:rsidRDefault="00AC4857" w:rsidP="00072BD3">
            <w:pPr>
              <w:pStyle w:val="TableText"/>
            </w:pPr>
            <w:r>
              <w:lastRenderedPageBreak/>
              <w:t>6</w:t>
            </w:r>
          </w:p>
        </w:tc>
        <w:tc>
          <w:tcPr>
            <w:tcW w:w="1321" w:type="pct"/>
          </w:tcPr>
          <w:p w14:paraId="2B496B4C" w14:textId="77777777" w:rsidR="00AC4857" w:rsidRPr="00767956" w:rsidRDefault="00AC4857" w:rsidP="00072BD3">
            <w:pPr>
              <w:pStyle w:val="TableText"/>
            </w:pPr>
            <w:r w:rsidRPr="009E5F3C">
              <w:t>Health considerations - Are there sensitive subpopulations, exposure patterns or use scenarios that require specific consideration?</w:t>
            </w:r>
          </w:p>
        </w:tc>
        <w:tc>
          <w:tcPr>
            <w:tcW w:w="3307" w:type="pct"/>
          </w:tcPr>
          <w:p w14:paraId="3AA61717" w14:textId="77777777" w:rsidR="00AC4857" w:rsidRDefault="00AC4857" w:rsidP="00072BD3">
            <w:pPr>
              <w:pStyle w:val="TableText"/>
              <w:rPr>
                <w:rFonts w:eastAsia="Calibri"/>
                <w:szCs w:val="22"/>
              </w:rPr>
            </w:pPr>
            <w:r w:rsidRPr="009B6DBA">
              <w:rPr>
                <w:rFonts w:eastAsia="Calibri"/>
                <w:b/>
                <w:bCs/>
                <w:szCs w:val="22"/>
              </w:rPr>
              <w:t>Sensitive subpopulations</w:t>
            </w:r>
            <w:r w:rsidRPr="00E340D1">
              <w:rPr>
                <w:rFonts w:eastAsia="Calibri"/>
                <w:szCs w:val="22"/>
              </w:rPr>
              <w:t>:</w:t>
            </w:r>
          </w:p>
          <w:p w14:paraId="10D0B2B3" w14:textId="77777777" w:rsidR="00AC4857" w:rsidRDefault="00AC4857" w:rsidP="00072BD3">
            <w:pPr>
              <w:pStyle w:val="TableText"/>
              <w:rPr>
                <w:rFonts w:eastAsia="Calibri"/>
                <w:szCs w:val="22"/>
              </w:rPr>
            </w:pPr>
            <w:r w:rsidRPr="00AB4B40">
              <w:rPr>
                <w:rFonts w:eastAsia="Calibri"/>
                <w:szCs w:val="22"/>
              </w:rPr>
              <w:t>Regular users of high-dose vitamin B6 supplements are the group most likely to exceed the UL in a general population context, with supplement products in some EU countries carrying doses as high as 400 mg/day. Women using high-dose vitamin B6 for PMS represent a historically important high-exposure group and formed the primary evidence base for the UL derivation. There is no specific evidence that children, adolescents, infants, pregnant women, or men are more susceptible to vitamin B6 neurotoxicity; ULs for children and infants are derived by allometric scaling from the adult value.</w:t>
            </w:r>
          </w:p>
          <w:p w14:paraId="31643706" w14:textId="77777777" w:rsidR="00AC4857" w:rsidRPr="00E340D1" w:rsidRDefault="00AC4857" w:rsidP="00072BD3">
            <w:pPr>
              <w:pStyle w:val="TableText"/>
              <w:rPr>
                <w:rFonts w:eastAsia="Calibri"/>
                <w:szCs w:val="22"/>
              </w:rPr>
            </w:pPr>
            <w:r w:rsidRPr="00AB4B40">
              <w:rPr>
                <w:rFonts w:eastAsia="Calibri"/>
                <w:szCs w:val="22"/>
              </w:rPr>
              <w:t xml:space="preserve">It is important to distinguish between supplemental use within the scope of this UL and pharmacological use of vitamin B6 under medical supervision to treat disease. The latter, which includes high-dose therapeutic administration for conditions such as nausea and vomiting of pregnancy or inborn errors of B6 metabolism, involves doses substantially exceeding those relevant to the general population UL and is governed by clinical risk-benefit considerations rather than dietary safety thresholds. </w:t>
            </w:r>
          </w:p>
          <w:p w14:paraId="6C9FAB48" w14:textId="77777777" w:rsidR="00AC4857" w:rsidRPr="00E340D1" w:rsidRDefault="00AC4857" w:rsidP="00072BD3">
            <w:pPr>
              <w:pStyle w:val="TableText"/>
              <w:rPr>
                <w:rFonts w:eastAsia="Calibri"/>
                <w:szCs w:val="22"/>
              </w:rPr>
            </w:pPr>
            <w:r w:rsidRPr="00AA5CF5">
              <w:rPr>
                <w:rFonts w:eastAsia="Calibri"/>
                <w:b/>
                <w:bCs/>
                <w:szCs w:val="22"/>
              </w:rPr>
              <w:t>Exposure patterns of concern</w:t>
            </w:r>
            <w:r w:rsidRPr="00E340D1">
              <w:rPr>
                <w:rFonts w:eastAsia="Calibri"/>
                <w:szCs w:val="22"/>
              </w:rPr>
              <w:t>:</w:t>
            </w:r>
          </w:p>
          <w:p w14:paraId="447ADBA6" w14:textId="77777777" w:rsidR="00AC4857" w:rsidRPr="00E340D1" w:rsidRDefault="00AC4857" w:rsidP="00AC4857">
            <w:pPr>
              <w:pStyle w:val="TableText"/>
              <w:numPr>
                <w:ilvl w:val="0"/>
                <w:numId w:val="14"/>
              </w:numPr>
              <w:rPr>
                <w:rFonts w:eastAsia="Calibri"/>
                <w:szCs w:val="22"/>
              </w:rPr>
            </w:pPr>
            <w:r w:rsidRPr="00AB4B40">
              <w:rPr>
                <w:rFonts w:eastAsia="Calibri"/>
                <w:szCs w:val="22"/>
              </w:rPr>
              <w:t>Intermediate-duration</w:t>
            </w:r>
            <w:r>
              <w:rPr>
                <w:rFonts w:eastAsia="Calibri"/>
                <w:szCs w:val="22"/>
              </w:rPr>
              <w:t xml:space="preserve"> </w:t>
            </w:r>
            <w:r w:rsidRPr="00E340D1">
              <w:rPr>
                <w:rFonts w:eastAsia="Calibri"/>
                <w:szCs w:val="22"/>
              </w:rPr>
              <w:t>supplement use is the principal risk scenario.</w:t>
            </w:r>
          </w:p>
          <w:p w14:paraId="384937C3" w14:textId="77777777" w:rsidR="00AC4857" w:rsidRPr="00E340D1" w:rsidRDefault="00AC4857" w:rsidP="00AC4857">
            <w:pPr>
              <w:pStyle w:val="TableText"/>
              <w:numPr>
                <w:ilvl w:val="0"/>
                <w:numId w:val="14"/>
              </w:numPr>
              <w:rPr>
                <w:rFonts w:eastAsia="Calibri"/>
                <w:szCs w:val="22"/>
              </w:rPr>
            </w:pPr>
            <w:r w:rsidRPr="00E340D1">
              <w:rPr>
                <w:rFonts w:eastAsia="Calibri"/>
                <w:szCs w:val="22"/>
              </w:rPr>
              <w:t>Energy drinks containing vitamin B6: One case report described neuropathy in a male consuming 31 mg/day from 6 energy drinks daily.</w:t>
            </w:r>
          </w:p>
          <w:p w14:paraId="7E2A554A" w14:textId="4969FAE9" w:rsidR="00AC4857" w:rsidRPr="004D081D" w:rsidRDefault="00AC4857" w:rsidP="004D081D">
            <w:pPr>
              <w:pStyle w:val="TableText"/>
              <w:numPr>
                <w:ilvl w:val="0"/>
                <w:numId w:val="14"/>
              </w:numPr>
              <w:rPr>
                <w:rFonts w:eastAsia="Calibri"/>
                <w:szCs w:val="22"/>
              </w:rPr>
            </w:pPr>
            <w:r w:rsidRPr="006F14A0">
              <w:rPr>
                <w:rFonts w:eastAsia="Calibri"/>
                <w:szCs w:val="22"/>
              </w:rPr>
              <w:t>Fortified foods: The Panel notes that some EU nutritional drinks and PMS-relief products contained up to 65 mg/serving, regulated in the EU as food supplements under Directive 2002/46/EC. This regulatory categorisation does not translate directly to Australia and New Zealand, where food fortification is regulated by FSANZ, but products making a therapeutic claim (such as PMS relief) fall instead under TGA therapeutic goods regulation</w:t>
            </w:r>
            <w:r>
              <w:rPr>
                <w:rStyle w:val="FootnoteReference"/>
                <w:rFonts w:eastAsia="Calibri"/>
                <w:szCs w:val="22"/>
              </w:rPr>
              <w:footnoteReference w:id="4"/>
            </w:r>
            <w:r w:rsidRPr="006F14A0">
              <w:rPr>
                <w:rFonts w:eastAsia="Calibri"/>
                <w:szCs w:val="22"/>
              </w:rPr>
              <w:t>.</w:t>
            </w:r>
          </w:p>
        </w:tc>
      </w:tr>
      <w:tr w:rsidR="00AC4857" w:rsidRPr="00767956" w14:paraId="3C35AB87" w14:textId="77777777" w:rsidTr="00072BD3">
        <w:trPr>
          <w:cantSplit/>
        </w:trPr>
        <w:tc>
          <w:tcPr>
            <w:tcW w:w="372" w:type="pct"/>
          </w:tcPr>
          <w:p w14:paraId="3DF69B3E" w14:textId="77777777" w:rsidR="00AC4857" w:rsidRPr="00767956" w:rsidRDefault="00AC4857" w:rsidP="00072BD3">
            <w:pPr>
              <w:pStyle w:val="TableText"/>
            </w:pPr>
            <w:r>
              <w:lastRenderedPageBreak/>
              <w:t>7</w:t>
            </w:r>
          </w:p>
        </w:tc>
        <w:tc>
          <w:tcPr>
            <w:tcW w:w="1321" w:type="pct"/>
          </w:tcPr>
          <w:p w14:paraId="38AE7FBA" w14:textId="77777777" w:rsidR="00AC4857" w:rsidRPr="00767956" w:rsidRDefault="00AC4857" w:rsidP="00072BD3">
            <w:pPr>
              <w:pStyle w:val="TableText"/>
            </w:pPr>
            <w:r w:rsidRPr="009E5F3C">
              <w:t>Health considerations - How are pregnancy and other potentially sensitive life stages considered in the derivation of the UL, and are different uncertainty factors or adjustments applied for specific subpopulations where appropriate?</w:t>
            </w:r>
          </w:p>
        </w:tc>
        <w:tc>
          <w:tcPr>
            <w:tcW w:w="3307" w:type="pct"/>
          </w:tcPr>
          <w:p w14:paraId="1966D31F" w14:textId="77777777" w:rsidR="00AC4857" w:rsidRDefault="00AC4857" w:rsidP="00072BD3">
            <w:pPr>
              <w:pStyle w:val="TableText"/>
              <w:rPr>
                <w:rFonts w:eastAsia="Calibri"/>
                <w:szCs w:val="22"/>
              </w:rPr>
            </w:pPr>
            <w:r w:rsidRPr="00AA5CF5">
              <w:rPr>
                <w:rFonts w:eastAsia="Calibri"/>
                <w:b/>
                <w:bCs/>
                <w:szCs w:val="22"/>
              </w:rPr>
              <w:t>Pregnancy and lactation</w:t>
            </w:r>
            <w:r w:rsidRPr="00451635">
              <w:rPr>
                <w:rFonts w:eastAsia="Calibri"/>
                <w:szCs w:val="22"/>
              </w:rPr>
              <w:t>:</w:t>
            </w:r>
          </w:p>
          <w:p w14:paraId="18BE09DB" w14:textId="01CB91D8" w:rsidR="00AC4857" w:rsidRDefault="00AC4857" w:rsidP="00072BD3">
            <w:pPr>
              <w:pStyle w:val="TableText"/>
              <w:rPr>
                <w:rFonts w:eastAsia="Calibri"/>
                <w:szCs w:val="22"/>
              </w:rPr>
            </w:pPr>
            <w:r w:rsidRPr="00CF6859">
              <w:rPr>
                <w:rFonts w:eastAsia="Calibri"/>
                <w:szCs w:val="22"/>
              </w:rPr>
              <w:t>The Panel found no indication of specific risk or increased susceptibility to adverse effects of excessive vitamin B6 intake during pregnancy or lactation. Accordingly, the UL for adults of 12 mg/day is applied equally to pregnant and lactating women, consistent with the SCF (2000) approach. In reaching this position, EFSA conducted a systematic review of developmental toxicity evidence and concluded that there was no evidence of a positive relationship between vitamin B6 and congenital abnormalities (including heart malformations), intrauterine growth restriction, or impaired f</w:t>
            </w:r>
            <w:r w:rsidR="004D081D">
              <w:rPr>
                <w:rFonts w:eastAsia="Calibri"/>
                <w:szCs w:val="22"/>
              </w:rPr>
              <w:t>o</w:t>
            </w:r>
            <w:r w:rsidRPr="00CF6859">
              <w:rPr>
                <w:rFonts w:eastAsia="Calibri"/>
                <w:szCs w:val="22"/>
              </w:rPr>
              <w:t>etal growth, and no evidence of developmental effects in animal studies. The anti-lactogenic effect (suppression of lactation) was noted at intakes of approximately 600 mg/day, well above the RP originally used by SCF (2000) and the UL itself and was therefore not considered a limiting factor for UL derivation in lactating women. As developmental toxicity, anti-lactogenic effects, and the other additional endpoints considered (hip fracture, photosensitisation, impaired memorisation, testicular toxicity) were all assessed as having insufficient evidence to establish a causal relationship or derive an independent RP, peripheral neuropathy remained the sole endpoint underpinning the UL, with no pregnancy- or lactation-specific adjustment applied.</w:t>
            </w:r>
          </w:p>
          <w:p w14:paraId="4D8CD5DF" w14:textId="77777777" w:rsidR="00AC4857" w:rsidRPr="00451635" w:rsidRDefault="00AC4857" w:rsidP="00072BD3">
            <w:pPr>
              <w:pStyle w:val="TableText"/>
              <w:rPr>
                <w:rFonts w:eastAsia="Calibri"/>
                <w:szCs w:val="22"/>
              </w:rPr>
            </w:pPr>
            <w:r w:rsidRPr="00AA5CF5">
              <w:rPr>
                <w:rFonts w:eastAsia="Calibri"/>
                <w:b/>
                <w:bCs/>
                <w:szCs w:val="22"/>
              </w:rPr>
              <w:t>Children and adolescents</w:t>
            </w:r>
            <w:r w:rsidRPr="00451635">
              <w:rPr>
                <w:rFonts w:eastAsia="Calibri"/>
                <w:szCs w:val="22"/>
              </w:rPr>
              <w:t>:</w:t>
            </w:r>
          </w:p>
          <w:p w14:paraId="2EF5B882" w14:textId="79A6ACBC" w:rsidR="00AC4857" w:rsidRPr="00451635" w:rsidRDefault="00AC4857" w:rsidP="00072BD3">
            <w:pPr>
              <w:pStyle w:val="TableText"/>
              <w:rPr>
                <w:rFonts w:eastAsia="Calibri"/>
                <w:szCs w:val="22"/>
              </w:rPr>
            </w:pPr>
            <w:r w:rsidRPr="00464EF4">
              <w:rPr>
                <w:rFonts w:eastAsia="Calibri"/>
                <w:szCs w:val="22"/>
              </w:rPr>
              <w:t>No specific toxicity data exist for children. The absence of evidence of increased susceptibility in children should not be interpreted as evidence that children are not more susceptible; this represents a genuine data gap and source of uncertainty rather than a confirmed finding of equivalent sensitivity. ULs for children are extrapolated from the adult UL using allometric scaling (bw^0.75), an approach that adjusts for differences in body size but does not independently address potential differences in toxicokinetic or toxicodynamic sensitivity between children and adults. The UF of 4 applied in the adult derivation was not specifically designed to address paediatric susceptibility, and no additional UF was applied to account for this uncertainty in the extrapolation to children.</w:t>
            </w:r>
          </w:p>
          <w:p w14:paraId="23B42DAB" w14:textId="77777777" w:rsidR="00AC4857" w:rsidRPr="00AA5CF5" w:rsidRDefault="00AC4857" w:rsidP="00072BD3">
            <w:pPr>
              <w:pStyle w:val="TableText"/>
              <w:rPr>
                <w:rFonts w:eastAsia="Calibri"/>
                <w:b/>
                <w:bCs/>
                <w:szCs w:val="22"/>
              </w:rPr>
            </w:pPr>
            <w:r w:rsidRPr="00AA5CF5">
              <w:rPr>
                <w:rFonts w:eastAsia="Calibri"/>
                <w:b/>
                <w:bCs/>
                <w:szCs w:val="22"/>
              </w:rPr>
              <w:t>Infants (≥4 months):</w:t>
            </w:r>
          </w:p>
          <w:p w14:paraId="5248B5D0" w14:textId="77777777" w:rsidR="00AC4857" w:rsidRDefault="00AC4857" w:rsidP="00072BD3">
            <w:pPr>
              <w:pStyle w:val="TableText"/>
              <w:rPr>
                <w:rFonts w:eastAsia="Calibri"/>
                <w:szCs w:val="22"/>
              </w:rPr>
            </w:pPr>
            <w:r w:rsidRPr="00451635">
              <w:rPr>
                <w:rFonts w:eastAsia="Calibri"/>
                <w:szCs w:val="22"/>
              </w:rPr>
              <w:t>No specific infant data. ULs are again extrapolated from the adult value by allometric scaling</w:t>
            </w:r>
            <w:r>
              <w:rPr>
                <w:rFonts w:eastAsia="Calibri"/>
                <w:szCs w:val="22"/>
              </w:rPr>
              <w:t xml:space="preserve"> </w:t>
            </w:r>
            <w:r w:rsidRPr="00464EF4">
              <w:rPr>
                <w:rFonts w:eastAsia="Calibri"/>
                <w:szCs w:val="22"/>
              </w:rPr>
              <w:t>(bw^0.75)</w:t>
            </w:r>
            <w:r>
              <w:rPr>
                <w:rFonts w:eastAsia="Calibri"/>
                <w:szCs w:val="22"/>
              </w:rPr>
              <w:t xml:space="preserve">. </w:t>
            </w:r>
          </w:p>
          <w:p w14:paraId="4A73CB59" w14:textId="77777777" w:rsidR="00AC4857" w:rsidRPr="00400348" w:rsidRDefault="00AC4857" w:rsidP="00072BD3">
            <w:pPr>
              <w:pStyle w:val="TableText"/>
              <w:rPr>
                <w:rFonts w:eastAsia="Calibri"/>
                <w:b/>
                <w:bCs/>
                <w:szCs w:val="22"/>
              </w:rPr>
            </w:pPr>
            <w:r w:rsidRPr="00400348">
              <w:rPr>
                <w:rFonts w:eastAsia="Calibri"/>
                <w:b/>
                <w:bCs/>
                <w:szCs w:val="22"/>
              </w:rPr>
              <w:t>Uncertainty factor:</w:t>
            </w:r>
          </w:p>
          <w:p w14:paraId="574CE68E" w14:textId="7870B673" w:rsidR="00AC4857" w:rsidRPr="00767956" w:rsidRDefault="00AC4857" w:rsidP="00072BD3">
            <w:pPr>
              <w:pStyle w:val="TableText"/>
              <w:rPr>
                <w:rFonts w:eastAsia="Calibri"/>
                <w:szCs w:val="22"/>
              </w:rPr>
            </w:pPr>
            <w:r w:rsidRPr="00451635">
              <w:rPr>
                <w:rFonts w:eastAsia="Calibri"/>
                <w:szCs w:val="22"/>
              </w:rPr>
              <w:t>No subgroup-specific uncertainty factors were applied beyond allometric scaling. The UF of 4 used in the adult derivation was considered sufficiently conservative to cover interindividual variability and sensitive groups, noting that the RP was based on supplemental intake only and the UL covers total (dietary + supplemental) intake.</w:t>
            </w:r>
          </w:p>
        </w:tc>
      </w:tr>
      <w:tr w:rsidR="00AC4857" w:rsidRPr="00767956" w14:paraId="2A7A3BAC" w14:textId="77777777" w:rsidTr="00072BD3">
        <w:trPr>
          <w:cantSplit/>
        </w:trPr>
        <w:tc>
          <w:tcPr>
            <w:tcW w:w="372" w:type="pct"/>
          </w:tcPr>
          <w:p w14:paraId="720240FE" w14:textId="77777777" w:rsidR="00AC4857" w:rsidRPr="00767956" w:rsidRDefault="00AC4857" w:rsidP="00072BD3">
            <w:pPr>
              <w:pStyle w:val="TableText"/>
            </w:pPr>
            <w:r>
              <w:lastRenderedPageBreak/>
              <w:t>8</w:t>
            </w:r>
          </w:p>
        </w:tc>
        <w:tc>
          <w:tcPr>
            <w:tcW w:w="1321" w:type="pct"/>
          </w:tcPr>
          <w:p w14:paraId="5B844024" w14:textId="77777777" w:rsidR="00AC4857" w:rsidRPr="00767956" w:rsidRDefault="00AC4857" w:rsidP="00072BD3">
            <w:pPr>
              <w:pStyle w:val="TableText"/>
            </w:pPr>
            <w:r w:rsidRPr="009E5F3C">
              <w:t>Australian and New Zealand intake profile (where relevant to interpretation of risk in Australia and New Zealand) - What are the typical dietary and supplemental sources of vitamin B6 in Australia and New Zealand?</w:t>
            </w:r>
          </w:p>
        </w:tc>
        <w:tc>
          <w:tcPr>
            <w:tcW w:w="3307" w:type="pct"/>
          </w:tcPr>
          <w:p w14:paraId="704ECA84" w14:textId="0C6C2309" w:rsidR="004D081D" w:rsidRDefault="004D081D" w:rsidP="00072BD3">
            <w:pPr>
              <w:pStyle w:val="TableText"/>
            </w:pPr>
            <w:r w:rsidRPr="00451635">
              <w:t>The EFSA 2023 document does not contain data specific to Australia and New Zealand.</w:t>
            </w:r>
          </w:p>
          <w:p w14:paraId="7B9D8642" w14:textId="480BF949" w:rsidR="00AC4857" w:rsidRDefault="00AC4857" w:rsidP="00072BD3">
            <w:pPr>
              <w:pStyle w:val="TableText"/>
            </w:pPr>
            <w:r>
              <w:t xml:space="preserve">According to the Australian Bureau of Statistics' 2023 Usual Nutrient Intakes release, nearly one third (32.9%) of dietary vitamin B6 intake came from three food categories: electrolyte, energy and fortified drinks; cereal-based mixed dishes such as sandwiches and pasta or noodle dishes; and poultry and feathered game. This places fortified beverages alongside everyday mixed meals and poultry as the dominant contributors to population-level intake, rather than the more vitamin B6-dense single foods such as brewer's yeast or wheat germ identified in older FSANZ assessments (FSANZ 2005a-c). </w:t>
            </w:r>
            <w:r w:rsidRPr="005064F6">
              <w:t>Supplement use was reported separately in the ABS Dietary supplements, 2023 release, which found that one in three Australians (33.6%) took a dietary supplement in 2023, most commonly vitamin and/or mineral supplements.</w:t>
            </w:r>
          </w:p>
          <w:p w14:paraId="2FEC8DBB" w14:textId="17145D5B" w:rsidR="00F03762" w:rsidRDefault="00F03762" w:rsidP="00072BD3">
            <w:pPr>
              <w:pStyle w:val="TableText"/>
            </w:pPr>
            <w:r w:rsidRPr="00F03762">
              <w:t>Based on older (2008) New Zealand dietary survey data fruits are the largest single contributor of vitamin B6 to the diet (13%) followed by vegetables, potatoes, kumara and taro (each 10%), poultry (7%) breakfast cereals (6%</w:t>
            </w:r>
            <w:r w:rsidR="0067332F">
              <w:t>)</w:t>
            </w:r>
            <w:r w:rsidRPr="00F03762">
              <w:t xml:space="preserve"> and bread, non-alcoholic beverages, grains and pasta and beef and veal (each 5%, </w:t>
            </w:r>
            <w:r w:rsidR="00AA6671">
              <w:t>(</w:t>
            </w:r>
            <w:r w:rsidR="00AA6671" w:rsidRPr="00AA6671">
              <w:t>NZANS</w:t>
            </w:r>
            <w:r w:rsidR="00AA6671">
              <w:t xml:space="preserve">, </w:t>
            </w:r>
            <w:r w:rsidR="00AA6671" w:rsidRPr="00AA6671">
              <w:t>2012)</w:t>
            </w:r>
            <w:r w:rsidR="00AA6671">
              <w:t>.</w:t>
            </w:r>
          </w:p>
          <w:p w14:paraId="6534825E" w14:textId="034E1E0A" w:rsidR="00AC4857" w:rsidRPr="00767956" w:rsidRDefault="00AC4857" w:rsidP="00072BD3">
            <w:pPr>
              <w:pStyle w:val="TableText"/>
            </w:pPr>
          </w:p>
        </w:tc>
      </w:tr>
      <w:tr w:rsidR="00AC4857" w:rsidRPr="00767956" w14:paraId="7770D667" w14:textId="77777777" w:rsidTr="00072BD3">
        <w:trPr>
          <w:cantSplit/>
        </w:trPr>
        <w:tc>
          <w:tcPr>
            <w:tcW w:w="372" w:type="pct"/>
          </w:tcPr>
          <w:p w14:paraId="2E500210" w14:textId="77777777" w:rsidR="00AC4857" w:rsidRPr="00767956" w:rsidRDefault="00AC4857" w:rsidP="00072BD3">
            <w:pPr>
              <w:pStyle w:val="TableText"/>
            </w:pPr>
            <w:r>
              <w:lastRenderedPageBreak/>
              <w:t>9</w:t>
            </w:r>
          </w:p>
        </w:tc>
        <w:tc>
          <w:tcPr>
            <w:tcW w:w="1321" w:type="pct"/>
          </w:tcPr>
          <w:p w14:paraId="4E6BEBB7" w14:textId="77777777" w:rsidR="00AC4857" w:rsidRPr="00767956" w:rsidRDefault="00AC4857" w:rsidP="00072BD3">
            <w:pPr>
              <w:pStyle w:val="TableText"/>
              <w:rPr>
                <w:highlight w:val="yellow"/>
              </w:rPr>
            </w:pPr>
            <w:r w:rsidRPr="009E5F3C">
              <w:t>Australian and New Zealand intake profile (where relevant to interpretation of risk in Australia and New Zealand) - What are the typical dietary and supplementary intakes of vitamin B6 in the Australian and New Zealand population?</w:t>
            </w:r>
          </w:p>
        </w:tc>
        <w:tc>
          <w:tcPr>
            <w:tcW w:w="3307" w:type="pct"/>
          </w:tcPr>
          <w:p w14:paraId="2CF4F7FD" w14:textId="0A0A6255" w:rsidR="004D081D" w:rsidRDefault="004D081D" w:rsidP="00072BD3">
            <w:pPr>
              <w:pStyle w:val="TableText"/>
              <w:rPr>
                <w:szCs w:val="22"/>
              </w:rPr>
            </w:pPr>
            <w:r>
              <w:rPr>
                <w:szCs w:val="22"/>
              </w:rPr>
              <w:t xml:space="preserve">The </w:t>
            </w:r>
            <w:r w:rsidRPr="00451635">
              <w:rPr>
                <w:szCs w:val="22"/>
              </w:rPr>
              <w:t>EFSA 2023 document does not contain Australian or New Zealand intake data.</w:t>
            </w:r>
          </w:p>
          <w:p w14:paraId="1D3EA566" w14:textId="1FF8F5A8" w:rsidR="00AC4857" w:rsidRPr="0094548F" w:rsidRDefault="00AC4857" w:rsidP="00072BD3">
            <w:pPr>
              <w:pStyle w:val="TableText"/>
              <w:rPr>
                <w:szCs w:val="22"/>
              </w:rPr>
            </w:pPr>
            <w:r w:rsidRPr="0094548F">
              <w:rPr>
                <w:szCs w:val="22"/>
              </w:rPr>
              <w:t>FSANZ’s Application A470 modelling, based on the 1995 Australian and 1997 New Zealand National Nutrition Surveys, estimated mean total dietary vitamin B6 intakes of around 1.2 mg/day in young children and 1.6–1.7 mg/day in adults. These were well below the adult UL of 25 mg/day used at the time, with mean adult intakes around 6–7% of the UL and 95th percentile intakes around 9–10%.</w:t>
            </w:r>
          </w:p>
          <w:p w14:paraId="075BEC56" w14:textId="77777777" w:rsidR="00AC4857" w:rsidRPr="0094548F" w:rsidRDefault="00AC4857" w:rsidP="00072BD3">
            <w:pPr>
              <w:pStyle w:val="TableText"/>
              <w:rPr>
                <w:szCs w:val="22"/>
              </w:rPr>
            </w:pPr>
            <w:r w:rsidRPr="0094548F">
              <w:rPr>
                <w:szCs w:val="22"/>
              </w:rPr>
              <w:t>More recent ABS 2023 data do not provide a directly comparable mean intake figure but show that dietary vitamin B6 intake is now close to, or below, the Estimated Average Requirement (EAR) for a substantial proportion of the population, particularly females and older adults. Around one third of intake came from electrolyte, energy and fortified drinks, cereal-based mixed dishes, and poultry/game. Compared with 2011–12, usual vitamin B6 intake shifted downward only slightly, by 0.1–0.3 mg/day, but this was enough to increase the proportion of Australians aged 2 years and over with inadequate intake from 28.9% to 46.7%.</w:t>
            </w:r>
          </w:p>
          <w:p w14:paraId="65AB0A75" w14:textId="77777777" w:rsidR="00F03762" w:rsidRDefault="00AC4857" w:rsidP="00072BD3">
            <w:pPr>
              <w:pStyle w:val="TableText"/>
              <w:rPr>
                <w:szCs w:val="22"/>
              </w:rPr>
            </w:pPr>
            <w:r w:rsidRPr="0094548F">
              <w:rPr>
                <w:szCs w:val="22"/>
              </w:rPr>
              <w:t>Overall, dietary vitamin B6 intake remains well below the UL, but adequacy has become a greater concern, particularly for females and older adults. Neither the FSANZ modelling nor the ABS 2023 usual intake data include vitamin B6 from dietary supplements. This is an important limitation because high-dose supplemental vitamin B6, rather than intake from foods and fortified beverages, is the main exposure source relevant to neuropathy risk and UL derivation.</w:t>
            </w:r>
          </w:p>
          <w:p w14:paraId="6C864E25" w14:textId="322A2EA1" w:rsidR="00AC4857" w:rsidRPr="00771F2F" w:rsidRDefault="00F03762" w:rsidP="00072BD3">
            <w:pPr>
              <w:pStyle w:val="TableText"/>
              <w:rPr>
                <w:szCs w:val="22"/>
              </w:rPr>
            </w:pPr>
            <w:r w:rsidRPr="00F03762">
              <w:rPr>
                <w:szCs w:val="22"/>
              </w:rPr>
              <w:t xml:space="preserve">Based on older data (2008) </w:t>
            </w:r>
            <w:r w:rsidR="0067332F">
              <w:rPr>
                <w:szCs w:val="22"/>
              </w:rPr>
              <w:t>t</w:t>
            </w:r>
            <w:r w:rsidRPr="00F03762">
              <w:rPr>
                <w:szCs w:val="22"/>
              </w:rPr>
              <w:t>he median usual daily intake of vitamin B6</w:t>
            </w:r>
            <w:r w:rsidR="0067332F">
              <w:rPr>
                <w:szCs w:val="22"/>
              </w:rPr>
              <w:t xml:space="preserve"> </w:t>
            </w:r>
            <w:r w:rsidRPr="00F03762">
              <w:rPr>
                <w:szCs w:val="22"/>
              </w:rPr>
              <w:t>was 2.2 mg for males and 1.6 mg for females (</w:t>
            </w:r>
            <w:r w:rsidR="00AA6671" w:rsidRPr="00AA6671">
              <w:rPr>
                <w:szCs w:val="22"/>
              </w:rPr>
              <w:t>NZANS 2012)</w:t>
            </w:r>
            <w:r w:rsidRPr="00F03762">
              <w:rPr>
                <w:szCs w:val="22"/>
              </w:rPr>
              <w:t>). Males aged 71+ years had lower intakes of vitamin B (1.6 mg per day) than males aged 15–18 years (2.5 mg per day) and 31–50 years (2.4 mg per day). Females aged 71+ years (1.3 mg per day) had lower intakes than females aged 19–50 years (1.6 to 2.1 mg per day). The estimated prevalence of inadequate intake was 16.9% (males 10.4%; females 22.9%)</w:t>
            </w:r>
            <w:r>
              <w:rPr>
                <w:szCs w:val="22"/>
              </w:rPr>
              <w:t>.</w:t>
            </w:r>
            <w:r w:rsidR="004D081D">
              <w:rPr>
                <w:szCs w:val="22"/>
              </w:rPr>
              <w:t xml:space="preserve"> </w:t>
            </w:r>
            <w:r w:rsidR="00AC4857" w:rsidRPr="00451635">
              <w:rPr>
                <w:szCs w:val="22"/>
              </w:rPr>
              <w:t xml:space="preserve"> </w:t>
            </w:r>
          </w:p>
        </w:tc>
      </w:tr>
      <w:bookmarkEnd w:id="32"/>
    </w:tbl>
    <w:p w14:paraId="54AA3B61" w14:textId="77777777" w:rsidR="00761503" w:rsidRDefault="00761503" w:rsidP="00761503"/>
    <w:p w14:paraId="2D3EAA90" w14:textId="77777777" w:rsidR="00756D28" w:rsidRDefault="00756D28">
      <w:pPr>
        <w:rPr>
          <w:b/>
        </w:rPr>
      </w:pPr>
      <w:bookmarkStart w:id="33" w:name="_Ref232174065"/>
      <w:r>
        <w:rPr>
          <w:b/>
        </w:rPr>
        <w:br w:type="page"/>
      </w:r>
    </w:p>
    <w:p w14:paraId="772AE86B" w14:textId="68CABA20" w:rsidR="009E2257" w:rsidRPr="004474B5" w:rsidRDefault="009E2257" w:rsidP="009E2257">
      <w:pPr>
        <w:pStyle w:val="BodyText"/>
        <w:rPr>
          <w:b/>
        </w:rPr>
      </w:pPr>
      <w:bookmarkStart w:id="34" w:name="_Toc233031608"/>
      <w:r w:rsidRPr="004474B5">
        <w:rPr>
          <w:b/>
        </w:rPr>
        <w:lastRenderedPageBreak/>
        <w:t xml:space="preserve">Table </w:t>
      </w:r>
      <w:r w:rsidRPr="004474B5">
        <w:rPr>
          <w:b/>
        </w:rPr>
        <w:fldChar w:fldCharType="begin"/>
      </w:r>
      <w:r w:rsidRPr="004474B5">
        <w:rPr>
          <w:b/>
        </w:rPr>
        <w:instrText xml:space="preserve"> SEQ Table \* ARABIC </w:instrText>
      </w:r>
      <w:r w:rsidRPr="004474B5">
        <w:rPr>
          <w:b/>
        </w:rPr>
        <w:fldChar w:fldCharType="separate"/>
      </w:r>
      <w:r w:rsidR="0052675C">
        <w:rPr>
          <w:b/>
          <w:noProof/>
        </w:rPr>
        <w:t>4</w:t>
      </w:r>
      <w:r w:rsidRPr="004474B5">
        <w:fldChar w:fldCharType="end"/>
      </w:r>
      <w:bookmarkEnd w:id="33"/>
      <w:r w:rsidRPr="004474B5">
        <w:rPr>
          <w:b/>
        </w:rPr>
        <w:tab/>
        <w:t>Summary of findings from data extraction for health-based research questions</w:t>
      </w:r>
      <w:r>
        <w:rPr>
          <w:b/>
        </w:rPr>
        <w:t xml:space="preserve"> – new evidence review grouped based on health outcomes</w:t>
      </w:r>
      <w:bookmarkEnd w:id="34"/>
    </w:p>
    <w:tbl>
      <w:tblPr>
        <w:tblStyle w:val="SLROption1"/>
        <w:tblW w:w="5000" w:type="pct"/>
        <w:tblLook w:val="0000" w:firstRow="0" w:lastRow="0" w:firstColumn="0" w:lastColumn="0" w:noHBand="0" w:noVBand="0"/>
      </w:tblPr>
      <w:tblGrid>
        <w:gridCol w:w="328"/>
        <w:gridCol w:w="2320"/>
        <w:gridCol w:w="2350"/>
        <w:gridCol w:w="2226"/>
        <w:gridCol w:w="2319"/>
        <w:gridCol w:w="2336"/>
        <w:gridCol w:w="2229"/>
      </w:tblGrid>
      <w:tr w:rsidR="005D6C41" w14:paraId="0B64BDC4" w14:textId="77777777" w:rsidTr="00A01E44">
        <w:trPr>
          <w:tblHeader/>
        </w:trPr>
        <w:tc>
          <w:tcPr>
            <w:tcW w:w="116" w:type="pct"/>
            <w:tcBorders>
              <w:right w:val="single" w:sz="4" w:space="0" w:color="FFFFFF" w:themeColor="background1"/>
            </w:tcBorders>
            <w:shd w:val="clear" w:color="auto" w:fill="3C533C" w:themeFill="accent1"/>
          </w:tcPr>
          <w:p w14:paraId="3A08A3C2" w14:textId="77777777" w:rsidR="005D6C41" w:rsidRDefault="005D6C41" w:rsidP="00BC2C3A">
            <w:pPr>
              <w:spacing w:after="80"/>
            </w:pPr>
            <w:r>
              <w:rPr>
                <w:b/>
                <w:bCs/>
                <w:color w:val="FFFFFF"/>
                <w:sz w:val="18"/>
                <w:szCs w:val="18"/>
              </w:rPr>
              <w:t>#</w:t>
            </w:r>
          </w:p>
        </w:tc>
        <w:tc>
          <w:tcPr>
            <w:tcW w:w="822" w:type="pct"/>
            <w:tcBorders>
              <w:left w:val="single" w:sz="4" w:space="0" w:color="FFFFFF" w:themeColor="background1"/>
              <w:right w:val="single" w:sz="4" w:space="0" w:color="FFFFFF" w:themeColor="background1"/>
            </w:tcBorders>
            <w:shd w:val="clear" w:color="auto" w:fill="3C533C" w:themeFill="accent1"/>
          </w:tcPr>
          <w:p w14:paraId="787F1B85" w14:textId="77777777" w:rsidR="005D6C41" w:rsidRDefault="005D6C41" w:rsidP="00BC2C3A">
            <w:pPr>
              <w:spacing w:after="80"/>
            </w:pPr>
            <w:r>
              <w:rPr>
                <w:b/>
                <w:bCs/>
                <w:color w:val="FFFFFF"/>
                <w:sz w:val="18"/>
                <w:szCs w:val="18"/>
              </w:rPr>
              <w:t>Research Questions</w:t>
            </w:r>
          </w:p>
        </w:tc>
        <w:tc>
          <w:tcPr>
            <w:tcW w:w="833" w:type="pct"/>
            <w:tcBorders>
              <w:left w:val="single" w:sz="4" w:space="0" w:color="FFFFFF" w:themeColor="background1"/>
              <w:right w:val="single" w:sz="4" w:space="0" w:color="FFFFFF" w:themeColor="background1"/>
            </w:tcBorders>
            <w:shd w:val="clear" w:color="auto" w:fill="3C533C" w:themeFill="accent1"/>
          </w:tcPr>
          <w:p w14:paraId="3F4FB98C" w14:textId="77777777" w:rsidR="005D6C41" w:rsidRDefault="005D6C41" w:rsidP="00BC2C3A">
            <w:pPr>
              <w:spacing w:after="80"/>
            </w:pPr>
            <w:r>
              <w:rPr>
                <w:b/>
                <w:bCs/>
                <w:color w:val="FFFFFF"/>
                <w:sz w:val="18"/>
                <w:szCs w:val="18"/>
              </w:rPr>
              <w:t>Peripheral neuropathy</w:t>
            </w:r>
          </w:p>
        </w:tc>
        <w:tc>
          <w:tcPr>
            <w:tcW w:w="789" w:type="pct"/>
            <w:tcBorders>
              <w:left w:val="single" w:sz="4" w:space="0" w:color="FFFFFF" w:themeColor="background1"/>
              <w:right w:val="single" w:sz="4" w:space="0" w:color="FFFFFF" w:themeColor="background1"/>
            </w:tcBorders>
            <w:shd w:val="clear" w:color="auto" w:fill="3C533C" w:themeFill="accent1"/>
          </w:tcPr>
          <w:p w14:paraId="708E0FFD" w14:textId="77777777" w:rsidR="005D6C41" w:rsidRDefault="005D6C41" w:rsidP="00BC2C3A">
            <w:pPr>
              <w:spacing w:after="80"/>
            </w:pPr>
            <w:r>
              <w:rPr>
                <w:b/>
                <w:bCs/>
                <w:color w:val="FFFFFF"/>
                <w:sz w:val="18"/>
                <w:szCs w:val="18"/>
              </w:rPr>
              <w:t>Hepatotoxicity</w:t>
            </w:r>
          </w:p>
        </w:tc>
        <w:tc>
          <w:tcPr>
            <w:tcW w:w="822" w:type="pct"/>
            <w:tcBorders>
              <w:left w:val="single" w:sz="4" w:space="0" w:color="FFFFFF" w:themeColor="background1"/>
              <w:right w:val="single" w:sz="4" w:space="0" w:color="FFFFFF" w:themeColor="background1"/>
            </w:tcBorders>
            <w:shd w:val="clear" w:color="auto" w:fill="3C533C" w:themeFill="accent1"/>
          </w:tcPr>
          <w:p w14:paraId="15085ED7" w14:textId="77777777" w:rsidR="005D6C41" w:rsidRDefault="005D6C41" w:rsidP="00BC2C3A">
            <w:pPr>
              <w:spacing w:after="80"/>
            </w:pPr>
            <w:r>
              <w:rPr>
                <w:b/>
                <w:bCs/>
                <w:color w:val="FFFFFF"/>
                <w:sz w:val="18"/>
                <w:szCs w:val="18"/>
              </w:rPr>
              <w:t>Individual susceptibility / B6 metabolism</w:t>
            </w:r>
          </w:p>
        </w:tc>
        <w:tc>
          <w:tcPr>
            <w:tcW w:w="828" w:type="pct"/>
            <w:tcBorders>
              <w:left w:val="single" w:sz="4" w:space="0" w:color="FFFFFF" w:themeColor="background1"/>
              <w:right w:val="single" w:sz="4" w:space="0" w:color="FFFFFF" w:themeColor="background1"/>
            </w:tcBorders>
            <w:shd w:val="clear" w:color="auto" w:fill="3C533C" w:themeFill="accent1"/>
          </w:tcPr>
          <w:p w14:paraId="7D2B1061" w14:textId="77777777" w:rsidR="005D6C41" w:rsidRDefault="005D6C41" w:rsidP="00BC2C3A">
            <w:pPr>
              <w:spacing w:after="80"/>
            </w:pPr>
            <w:r>
              <w:rPr>
                <w:b/>
                <w:bCs/>
                <w:color w:val="FFFFFF"/>
                <w:sz w:val="18"/>
                <w:szCs w:val="18"/>
              </w:rPr>
              <w:t>Adverse pregnancy outcomes</w:t>
            </w:r>
          </w:p>
        </w:tc>
        <w:tc>
          <w:tcPr>
            <w:tcW w:w="790" w:type="pct"/>
            <w:tcBorders>
              <w:left w:val="single" w:sz="4" w:space="0" w:color="FFFFFF" w:themeColor="background1"/>
            </w:tcBorders>
            <w:shd w:val="clear" w:color="auto" w:fill="3C533C" w:themeFill="accent1"/>
          </w:tcPr>
          <w:p w14:paraId="782054DE" w14:textId="77777777" w:rsidR="005D6C41" w:rsidRDefault="005D6C41" w:rsidP="00BC2C3A">
            <w:pPr>
              <w:spacing w:after="80"/>
            </w:pPr>
            <w:r>
              <w:rPr>
                <w:b/>
                <w:bCs/>
                <w:color w:val="FFFFFF"/>
                <w:sz w:val="18"/>
                <w:szCs w:val="18"/>
              </w:rPr>
              <w:t>Hypervitaminosis B6 prevalence / biomarker</w:t>
            </w:r>
          </w:p>
        </w:tc>
      </w:tr>
      <w:tr w:rsidR="005D6C41" w14:paraId="6EC3C1DA" w14:textId="77777777" w:rsidTr="00F731BB">
        <w:tc>
          <w:tcPr>
            <w:tcW w:w="116" w:type="pct"/>
          </w:tcPr>
          <w:p w14:paraId="32D0B815" w14:textId="77777777" w:rsidR="005D6C41" w:rsidRDefault="005D6C41" w:rsidP="00BC2C3A">
            <w:pPr>
              <w:spacing w:after="80"/>
            </w:pPr>
            <w:r>
              <w:rPr>
                <w:sz w:val="17"/>
                <w:szCs w:val="17"/>
              </w:rPr>
              <w:t>1</w:t>
            </w:r>
          </w:p>
        </w:tc>
        <w:tc>
          <w:tcPr>
            <w:tcW w:w="822" w:type="pct"/>
          </w:tcPr>
          <w:p w14:paraId="0C32DA18" w14:textId="77777777" w:rsidR="005D6C41" w:rsidRDefault="005D6C41" w:rsidP="00BC2C3A">
            <w:pPr>
              <w:spacing w:after="80"/>
            </w:pPr>
            <w:r>
              <w:rPr>
                <w:sz w:val="17"/>
                <w:szCs w:val="17"/>
              </w:rPr>
              <w:t>Upper Level (UL) question – What excess intake of vitamin B6 is associated with adverse health effects?</w:t>
            </w:r>
          </w:p>
        </w:tc>
        <w:tc>
          <w:tcPr>
            <w:tcW w:w="833" w:type="pct"/>
          </w:tcPr>
          <w:p w14:paraId="15E583BE" w14:textId="41D07191" w:rsidR="005D6C41" w:rsidRDefault="005D6C41" w:rsidP="00BC2C3A">
            <w:pPr>
              <w:spacing w:after="80"/>
            </w:pPr>
            <w:r>
              <w:rPr>
                <w:sz w:val="17"/>
                <w:szCs w:val="17"/>
              </w:rPr>
              <w:t>Note: all listed primary studies are case reports, case series, or registry</w:t>
            </w:r>
            <w:r w:rsidR="004D081D">
              <w:rPr>
                <w:sz w:val="17"/>
                <w:szCs w:val="17"/>
              </w:rPr>
              <w:t xml:space="preserve"> </w:t>
            </w:r>
            <w:r>
              <w:rPr>
                <w:sz w:val="17"/>
                <w:szCs w:val="17"/>
              </w:rPr>
              <w:t>/</w:t>
            </w:r>
            <w:r w:rsidR="004D081D">
              <w:rPr>
                <w:sz w:val="17"/>
                <w:szCs w:val="17"/>
              </w:rPr>
              <w:t xml:space="preserve"> </w:t>
            </w:r>
            <w:r>
              <w:rPr>
                <w:sz w:val="17"/>
                <w:szCs w:val="17"/>
              </w:rPr>
              <w:t>pharmacovigilance data, which sit low in the hierarchy of evidence (below cohort and case-control designs) and cannot individually establish causation. They are presented as descriptive dose-exposure observations, not confirmatory evidence.</w:t>
            </w:r>
          </w:p>
          <w:p w14:paraId="20FBCC45" w14:textId="174BB43A" w:rsidR="005D6C41" w:rsidRDefault="005D6C41" w:rsidP="00BC2C3A">
            <w:pPr>
              <w:spacing w:after="80"/>
            </w:pPr>
            <w:r>
              <w:rPr>
                <w:sz w:val="17"/>
                <w:szCs w:val="17"/>
              </w:rPr>
              <w:t xml:space="preserve">Paluszny </w:t>
            </w:r>
            <w:r w:rsidR="00A26F96">
              <w:rPr>
                <w:sz w:val="17"/>
                <w:szCs w:val="17"/>
              </w:rPr>
              <w:t xml:space="preserve">and Qiu </w:t>
            </w:r>
            <w:r>
              <w:rPr>
                <w:sz w:val="17"/>
                <w:szCs w:val="17"/>
              </w:rPr>
              <w:t>(2023): ~8 mg/day for &gt;10 yrs associated with neuropathy.</w:t>
            </w:r>
          </w:p>
          <w:p w14:paraId="76D8280A" w14:textId="4E4DD176" w:rsidR="005D6C41" w:rsidRDefault="005D6C41" w:rsidP="00BC2C3A">
            <w:pPr>
              <w:spacing w:after="80"/>
            </w:pPr>
            <w:r>
              <w:rPr>
                <w:sz w:val="17"/>
                <w:szCs w:val="17"/>
              </w:rPr>
              <w:t xml:space="preserve">Gdynia </w:t>
            </w:r>
            <w:r w:rsidR="00A26F96">
              <w:rPr>
                <w:sz w:val="17"/>
                <w:szCs w:val="17"/>
              </w:rPr>
              <w:t xml:space="preserve">et al. </w:t>
            </w:r>
            <w:r>
              <w:rPr>
                <w:sz w:val="17"/>
                <w:szCs w:val="17"/>
              </w:rPr>
              <w:t>(2025): ~10 mg/day for 13 yrs associated with sensorimotor PN in older adults.</w:t>
            </w:r>
          </w:p>
          <w:p w14:paraId="5D84F194" w14:textId="1A698525" w:rsidR="005D6C41" w:rsidRDefault="005D6C41" w:rsidP="00BC2C3A">
            <w:pPr>
              <w:spacing w:after="80"/>
            </w:pPr>
            <w:r>
              <w:rPr>
                <w:sz w:val="17"/>
                <w:szCs w:val="17"/>
              </w:rPr>
              <w:t xml:space="preserve">Morris </w:t>
            </w:r>
            <w:r w:rsidR="00217819">
              <w:rPr>
                <w:sz w:val="17"/>
                <w:szCs w:val="17"/>
              </w:rPr>
              <w:t xml:space="preserve">et al. </w:t>
            </w:r>
            <w:r>
              <w:rPr>
                <w:sz w:val="17"/>
                <w:szCs w:val="17"/>
              </w:rPr>
              <w:t xml:space="preserve">(2022): risk threshold ~900 mg/day in </w:t>
            </w:r>
            <w:r w:rsidR="00AA1322" w:rsidRPr="00AA1322">
              <w:rPr>
                <w:sz w:val="17"/>
                <w:szCs w:val="17"/>
              </w:rPr>
              <w:t>cystathionine beta-synthase</w:t>
            </w:r>
            <w:r w:rsidR="00AA1322">
              <w:rPr>
                <w:sz w:val="17"/>
                <w:szCs w:val="17"/>
              </w:rPr>
              <w:t xml:space="preserve"> (</w:t>
            </w:r>
            <w:r>
              <w:rPr>
                <w:sz w:val="17"/>
                <w:szCs w:val="17"/>
              </w:rPr>
              <w:t>CBS</w:t>
            </w:r>
            <w:r w:rsidR="00AA1322">
              <w:rPr>
                <w:sz w:val="17"/>
                <w:szCs w:val="17"/>
              </w:rPr>
              <w:t>)</w:t>
            </w:r>
            <w:r>
              <w:rPr>
                <w:sz w:val="17"/>
                <w:szCs w:val="17"/>
              </w:rPr>
              <w:t xml:space="preserve"> deficiency</w:t>
            </w:r>
            <w:r w:rsidR="00AA1322">
              <w:rPr>
                <w:sz w:val="17"/>
                <w:szCs w:val="17"/>
              </w:rPr>
              <w:t>,</w:t>
            </w:r>
            <w:r>
              <w:rPr>
                <w:sz w:val="17"/>
                <w:szCs w:val="17"/>
              </w:rPr>
              <w:t xml:space="preserve"> a therapeutic, medically supervised dose in a rare metabolic disorder, not a general-population dietary/supplement exposure.</w:t>
            </w:r>
          </w:p>
          <w:p w14:paraId="5034B4F9" w14:textId="5D2597C8" w:rsidR="005D6C41" w:rsidRDefault="005D6C41" w:rsidP="00BC2C3A">
            <w:pPr>
              <w:spacing w:after="80"/>
            </w:pPr>
            <w:r>
              <w:rPr>
                <w:sz w:val="17"/>
                <w:szCs w:val="17"/>
              </w:rPr>
              <w:t>Stewart</w:t>
            </w:r>
            <w:r w:rsidR="00217819">
              <w:rPr>
                <w:sz w:val="17"/>
                <w:szCs w:val="17"/>
              </w:rPr>
              <w:t xml:space="preserve"> et al.</w:t>
            </w:r>
            <w:r>
              <w:rPr>
                <w:sz w:val="17"/>
                <w:szCs w:val="17"/>
              </w:rPr>
              <w:t xml:space="preserve"> (2022): no association at moderately elevated plasma B6 in</w:t>
            </w:r>
            <w:r w:rsidR="001F04D6">
              <w:rPr>
                <w:sz w:val="17"/>
                <w:szCs w:val="17"/>
              </w:rPr>
              <w:t xml:space="preserve"> </w:t>
            </w:r>
            <w:r w:rsidR="001F04D6" w:rsidRPr="001F04D6">
              <w:rPr>
                <w:sz w:val="17"/>
                <w:szCs w:val="17"/>
              </w:rPr>
              <w:t>chronic idiopathic axonal polyneuropathy</w:t>
            </w:r>
            <w:r>
              <w:rPr>
                <w:sz w:val="17"/>
                <w:szCs w:val="17"/>
              </w:rPr>
              <w:t xml:space="preserve"> </w:t>
            </w:r>
            <w:r w:rsidR="001F04D6">
              <w:rPr>
                <w:sz w:val="17"/>
                <w:szCs w:val="17"/>
              </w:rPr>
              <w:t>(</w:t>
            </w:r>
            <w:r>
              <w:rPr>
                <w:sz w:val="17"/>
                <w:szCs w:val="17"/>
              </w:rPr>
              <w:t>CIAP</w:t>
            </w:r>
            <w:r w:rsidR="001F04D6">
              <w:rPr>
                <w:sz w:val="17"/>
                <w:szCs w:val="17"/>
              </w:rPr>
              <w:t>)</w:t>
            </w:r>
            <w:r>
              <w:rPr>
                <w:sz w:val="17"/>
                <w:szCs w:val="17"/>
              </w:rPr>
              <w:t xml:space="preserve"> (null finding).</w:t>
            </w:r>
          </w:p>
          <w:p w14:paraId="110F981D" w14:textId="063CCE78" w:rsidR="005D6C41" w:rsidRDefault="005D6C41" w:rsidP="00BC2C3A">
            <w:pPr>
              <w:spacing w:after="80"/>
            </w:pPr>
            <w:r>
              <w:rPr>
                <w:sz w:val="17"/>
                <w:szCs w:val="17"/>
              </w:rPr>
              <w:lastRenderedPageBreak/>
              <w:t xml:space="preserve">vanHunsel </w:t>
            </w:r>
            <w:r w:rsidR="00217819">
              <w:rPr>
                <w:sz w:val="17"/>
                <w:szCs w:val="17"/>
              </w:rPr>
              <w:t xml:space="preserve">et al. </w:t>
            </w:r>
            <w:r>
              <w:rPr>
                <w:sz w:val="17"/>
                <w:szCs w:val="17"/>
              </w:rPr>
              <w:t>(2025): neuropathy reports persist even below Dutch 21 mg/day limit.</w:t>
            </w:r>
          </w:p>
          <w:p w14:paraId="1E4B5A58" w14:textId="7D56887A" w:rsidR="005D6C41" w:rsidRDefault="0064600A" w:rsidP="00BC2C3A">
            <w:pPr>
              <w:spacing w:after="80"/>
            </w:pPr>
            <w:r w:rsidRPr="0064600A">
              <w:rPr>
                <w:sz w:val="17"/>
                <w:szCs w:val="17"/>
              </w:rPr>
              <w:t xml:space="preserve">Kościńska-Shukla </w:t>
            </w:r>
            <w:r w:rsidR="00217819">
              <w:rPr>
                <w:sz w:val="17"/>
                <w:szCs w:val="17"/>
              </w:rPr>
              <w:t xml:space="preserve">et al. </w:t>
            </w:r>
            <w:r w:rsidRPr="0064600A">
              <w:rPr>
                <w:sz w:val="17"/>
                <w:szCs w:val="17"/>
              </w:rPr>
              <w:t>(2025): ≥200 mg/day from cumulative over-the-counter (OTC) supplement use associated with polyneuropathy, a supraphysiological self-administered exposure outside typical supplement use.</w:t>
            </w:r>
            <w:r w:rsidR="005D6C41">
              <w:rPr>
                <w:sz w:val="17"/>
                <w:szCs w:val="17"/>
              </w:rPr>
              <w:t>.</w:t>
            </w:r>
          </w:p>
          <w:p w14:paraId="4BD59239" w14:textId="6D97749F" w:rsidR="005D6C41" w:rsidRDefault="005D6C41" w:rsidP="00BC2C3A">
            <w:pPr>
              <w:spacing w:after="80"/>
            </w:pPr>
            <w:r>
              <w:rPr>
                <w:sz w:val="17"/>
                <w:szCs w:val="17"/>
              </w:rPr>
              <w:t xml:space="preserve">Reviews (Muhamad </w:t>
            </w:r>
            <w:r w:rsidR="00217819">
              <w:rPr>
                <w:sz w:val="17"/>
                <w:szCs w:val="17"/>
              </w:rPr>
              <w:t xml:space="preserve">et al. </w:t>
            </w:r>
            <w:r>
              <w:rPr>
                <w:sz w:val="17"/>
                <w:szCs w:val="17"/>
              </w:rPr>
              <w:t xml:space="preserve">2023, Sun </w:t>
            </w:r>
            <w:r w:rsidR="00217819">
              <w:rPr>
                <w:sz w:val="17"/>
                <w:szCs w:val="17"/>
              </w:rPr>
              <w:t xml:space="preserve">et al. </w:t>
            </w:r>
            <w:r>
              <w:rPr>
                <w:sz w:val="17"/>
                <w:szCs w:val="17"/>
              </w:rPr>
              <w:t xml:space="preserve">2025, Schellack </w:t>
            </w:r>
            <w:r w:rsidR="00217819">
              <w:rPr>
                <w:sz w:val="17"/>
                <w:szCs w:val="17"/>
              </w:rPr>
              <w:t xml:space="preserve">et al. </w:t>
            </w:r>
            <w:r>
              <w:rPr>
                <w:sz w:val="17"/>
                <w:szCs w:val="17"/>
              </w:rPr>
              <w:t>2025) summarise this same case-level evidence and describe a dose-response pattern; risk reported at 50–100 mg/day in susceptible individuals. These reviews do not add independent primary evidence.</w:t>
            </w:r>
          </w:p>
        </w:tc>
        <w:tc>
          <w:tcPr>
            <w:tcW w:w="789" w:type="pct"/>
          </w:tcPr>
          <w:p w14:paraId="5B576DA5" w14:textId="77777777" w:rsidR="005D6C41" w:rsidRDefault="005D6C41" w:rsidP="00BC2C3A">
            <w:pPr>
              <w:spacing w:after="80"/>
            </w:pPr>
            <w:r>
              <w:rPr>
                <w:sz w:val="17"/>
                <w:szCs w:val="17"/>
              </w:rPr>
              <w:lastRenderedPageBreak/>
              <w:t>Studies (n=5): all involve high-dose therapeutic pyridoxal 5'-phosphate (PLP) (30–109 mg/kg/day) administered under medical supervision in rare paediatric metabolic disorders. This is pharmaceutical, not dietary or supplement, exposure and is not applicable to the general-population dietary/supplement UL.</w:t>
            </w:r>
          </w:p>
        </w:tc>
        <w:tc>
          <w:tcPr>
            <w:tcW w:w="822" w:type="pct"/>
          </w:tcPr>
          <w:p w14:paraId="44164415" w14:textId="7B50314D" w:rsidR="005D6C41" w:rsidRDefault="005D6C41" w:rsidP="00BC2C3A">
            <w:pPr>
              <w:spacing w:after="80"/>
            </w:pPr>
            <w:r>
              <w:rPr>
                <w:sz w:val="17"/>
                <w:szCs w:val="17"/>
              </w:rPr>
              <w:t>Studies (n=2), both in a clinically defined</w:t>
            </w:r>
            <w:r w:rsidR="00563DED">
              <w:t xml:space="preserve"> </w:t>
            </w:r>
            <w:r w:rsidR="00563DED" w:rsidRPr="00563DED">
              <w:rPr>
                <w:sz w:val="17"/>
                <w:szCs w:val="17"/>
              </w:rPr>
              <w:t>hypophosphatasia</w:t>
            </w:r>
            <w:r>
              <w:rPr>
                <w:sz w:val="17"/>
                <w:szCs w:val="17"/>
              </w:rPr>
              <w:t xml:space="preserve"> </w:t>
            </w:r>
            <w:r w:rsidR="00563DED">
              <w:rPr>
                <w:sz w:val="17"/>
                <w:szCs w:val="17"/>
              </w:rPr>
              <w:t>(</w:t>
            </w:r>
            <w:r>
              <w:rPr>
                <w:sz w:val="17"/>
                <w:szCs w:val="17"/>
              </w:rPr>
              <w:t>HPP</w:t>
            </w:r>
            <w:r w:rsidR="00563DED">
              <w:rPr>
                <w:sz w:val="17"/>
                <w:szCs w:val="17"/>
              </w:rPr>
              <w:t>)</w:t>
            </w:r>
            <w:r>
              <w:rPr>
                <w:sz w:val="17"/>
                <w:szCs w:val="17"/>
              </w:rPr>
              <w:t xml:space="preserve"> population rather than general dietary/supplement users:</w:t>
            </w:r>
          </w:p>
          <w:p w14:paraId="253EBE1C" w14:textId="7BBEB04B" w:rsidR="005D6C41" w:rsidRDefault="005D6C41" w:rsidP="00BC2C3A">
            <w:pPr>
              <w:spacing w:after="80"/>
            </w:pPr>
            <w:r>
              <w:rPr>
                <w:sz w:val="17"/>
                <w:szCs w:val="17"/>
              </w:rPr>
              <w:t xml:space="preserve">Whyte </w:t>
            </w:r>
            <w:r w:rsidR="00A26F96">
              <w:rPr>
                <w:sz w:val="17"/>
                <w:szCs w:val="17"/>
              </w:rPr>
              <w:t xml:space="preserve">et al. </w:t>
            </w:r>
            <w:r>
              <w:rPr>
                <w:sz w:val="17"/>
                <w:szCs w:val="17"/>
              </w:rPr>
              <w:t>(2024):</w:t>
            </w:r>
            <w:r w:rsidR="00563DED">
              <w:rPr>
                <w:sz w:val="17"/>
                <w:szCs w:val="17"/>
              </w:rPr>
              <w:t xml:space="preserve"> </w:t>
            </w:r>
            <w:r>
              <w:rPr>
                <w:sz w:val="17"/>
                <w:szCs w:val="17"/>
              </w:rPr>
              <w:t xml:space="preserve"> </w:t>
            </w:r>
            <w:r w:rsidR="00563DED">
              <w:rPr>
                <w:sz w:val="17"/>
                <w:szCs w:val="17"/>
              </w:rPr>
              <w:t>t</w:t>
            </w:r>
            <w:r w:rsidR="00563DED" w:rsidRPr="00563DED">
              <w:rPr>
                <w:sz w:val="17"/>
                <w:szCs w:val="17"/>
              </w:rPr>
              <w:t>issue-nonspecific alkaline phosphatase</w:t>
            </w:r>
            <w:r w:rsidR="00563DED">
              <w:rPr>
                <w:sz w:val="17"/>
                <w:szCs w:val="17"/>
              </w:rPr>
              <w:t xml:space="preserve"> (</w:t>
            </w:r>
            <w:r>
              <w:rPr>
                <w:sz w:val="17"/>
                <w:szCs w:val="17"/>
              </w:rPr>
              <w:t>TNSALP</w:t>
            </w:r>
            <w:r w:rsidR="00563DED">
              <w:rPr>
                <w:sz w:val="17"/>
                <w:szCs w:val="17"/>
              </w:rPr>
              <w:t>)</w:t>
            </w:r>
            <w:r>
              <w:rPr>
                <w:sz w:val="17"/>
                <w:szCs w:val="17"/>
              </w:rPr>
              <w:t xml:space="preserve"> deficiency (HPP) resulted in impaired PLP clearance; elevated plasma B6 after low PN dose (~20 mg/day equivalent).</w:t>
            </w:r>
          </w:p>
          <w:p w14:paraId="731001E6" w14:textId="5D7E36BD" w:rsidR="005D6C41" w:rsidRDefault="005D6C41" w:rsidP="00BC2C3A">
            <w:pPr>
              <w:spacing w:after="80"/>
            </w:pPr>
            <w:r>
              <w:rPr>
                <w:sz w:val="17"/>
                <w:szCs w:val="17"/>
              </w:rPr>
              <w:t xml:space="preserve">Zervou </w:t>
            </w:r>
            <w:r w:rsidR="00A26F96">
              <w:rPr>
                <w:sz w:val="17"/>
                <w:szCs w:val="17"/>
              </w:rPr>
              <w:t xml:space="preserve">et al. </w:t>
            </w:r>
            <w:r>
              <w:rPr>
                <w:sz w:val="17"/>
                <w:szCs w:val="17"/>
              </w:rPr>
              <w:t>(2025): endogenous B6 elevation in HPP (233–828 nmol/L) resulted in neuropathic pain.</w:t>
            </w:r>
          </w:p>
          <w:p w14:paraId="4825CA91" w14:textId="77777777" w:rsidR="005D6C41" w:rsidRDefault="005D6C41" w:rsidP="00BC2C3A">
            <w:pPr>
              <w:spacing w:after="80"/>
            </w:pPr>
            <w:r>
              <w:rPr>
                <w:sz w:val="17"/>
                <w:szCs w:val="17"/>
              </w:rPr>
              <w:t>Mechanistically informative for PLP clearance variability, relevant to the general population given TNSALP carrier frequency (~1/300), though the studies themselves were conducted in a clinical HPP population.</w:t>
            </w:r>
          </w:p>
        </w:tc>
        <w:tc>
          <w:tcPr>
            <w:tcW w:w="828" w:type="pct"/>
          </w:tcPr>
          <w:p w14:paraId="6CD8F9CF" w14:textId="5C28521F" w:rsidR="005D6C41" w:rsidRDefault="005D6C41" w:rsidP="00BC2C3A">
            <w:pPr>
              <w:spacing w:after="80"/>
            </w:pPr>
            <w:r>
              <w:rPr>
                <w:sz w:val="17"/>
                <w:szCs w:val="17"/>
              </w:rPr>
              <w:t xml:space="preserve">Study (n=1 systematic review): He </w:t>
            </w:r>
            <w:r w:rsidR="00217819">
              <w:rPr>
                <w:sz w:val="17"/>
                <w:szCs w:val="17"/>
              </w:rPr>
              <w:t xml:space="preserve">et al. </w:t>
            </w:r>
            <w:r>
              <w:rPr>
                <w:sz w:val="17"/>
                <w:szCs w:val="17"/>
              </w:rPr>
              <w:t xml:space="preserve">(2025): neurological symptoms in 164/1226 individuals using B6 pharmacologically for </w:t>
            </w:r>
            <w:r w:rsidR="00EF2CB1" w:rsidRPr="00EF2CB1">
              <w:rPr>
                <w:sz w:val="17"/>
                <w:szCs w:val="17"/>
              </w:rPr>
              <w:t>nausea and vomiting of pregnancy</w:t>
            </w:r>
            <w:r w:rsidR="00EF2CB1">
              <w:rPr>
                <w:sz w:val="17"/>
                <w:szCs w:val="17"/>
              </w:rPr>
              <w:t xml:space="preserve"> (</w:t>
            </w:r>
            <w:r>
              <w:rPr>
                <w:sz w:val="17"/>
                <w:szCs w:val="17"/>
              </w:rPr>
              <w:t>NVP</w:t>
            </w:r>
            <w:r w:rsidR="00EF2CB1">
              <w:rPr>
                <w:sz w:val="17"/>
                <w:szCs w:val="17"/>
              </w:rPr>
              <w:t>)</w:t>
            </w:r>
            <w:r>
              <w:rPr>
                <w:sz w:val="17"/>
                <w:szCs w:val="17"/>
              </w:rPr>
              <w:t>; doses 10–200 mg/day; adverse pregnancy outcomes at higher doses (limited, heterogeneous evidence). Maternal toxicity from NVP itself is a plausible unaddressed confounder (see row 4). This reflects therapeutic, not dietary/supplement, exposure.</w:t>
            </w:r>
          </w:p>
        </w:tc>
        <w:tc>
          <w:tcPr>
            <w:tcW w:w="790" w:type="pct"/>
          </w:tcPr>
          <w:p w14:paraId="5AF471EF" w14:textId="4E06D67D" w:rsidR="005D6C41" w:rsidRDefault="005D6C41" w:rsidP="00BC2C3A">
            <w:pPr>
              <w:spacing w:after="80"/>
            </w:pPr>
            <w:r>
              <w:rPr>
                <w:sz w:val="17"/>
                <w:szCs w:val="17"/>
              </w:rPr>
              <w:t>Study (n=1): Bossard</w:t>
            </w:r>
            <w:r w:rsidR="00217819">
              <w:rPr>
                <w:sz w:val="17"/>
                <w:szCs w:val="17"/>
              </w:rPr>
              <w:t xml:space="preserve"> et al.</w:t>
            </w:r>
            <w:r>
              <w:rPr>
                <w:sz w:val="17"/>
                <w:szCs w:val="17"/>
              </w:rPr>
              <w:t xml:space="preserve"> (2022): ~30–40% of clinical samples had overdose PLP levels, driven by supplement use; no intake threshold quantified at individual level. Sample included bariatric surgery patients (altered absorption, high post-surgery multivitamin use)</w:t>
            </w:r>
            <w:r w:rsidR="00217819">
              <w:rPr>
                <w:sz w:val="17"/>
                <w:szCs w:val="17"/>
              </w:rPr>
              <w:t xml:space="preserve">, </w:t>
            </w:r>
            <w:r>
              <w:rPr>
                <w:sz w:val="17"/>
                <w:szCs w:val="17"/>
              </w:rPr>
              <w:t>relevant when interpreting prevalence relative to the general population.</w:t>
            </w:r>
          </w:p>
        </w:tc>
      </w:tr>
      <w:tr w:rsidR="005D6C41" w14:paraId="79CB946C" w14:textId="77777777" w:rsidTr="00F731BB">
        <w:tc>
          <w:tcPr>
            <w:tcW w:w="116" w:type="pct"/>
          </w:tcPr>
          <w:p w14:paraId="66F0B4D7" w14:textId="77777777" w:rsidR="005D6C41" w:rsidRDefault="005D6C41" w:rsidP="00BC2C3A">
            <w:pPr>
              <w:spacing w:after="80"/>
            </w:pPr>
            <w:r>
              <w:rPr>
                <w:sz w:val="17"/>
                <w:szCs w:val="17"/>
              </w:rPr>
              <w:t>2</w:t>
            </w:r>
          </w:p>
        </w:tc>
        <w:tc>
          <w:tcPr>
            <w:tcW w:w="822" w:type="pct"/>
          </w:tcPr>
          <w:p w14:paraId="3B5684A2" w14:textId="77777777" w:rsidR="005D6C41" w:rsidRDefault="005D6C41" w:rsidP="00BC2C3A">
            <w:pPr>
              <w:spacing w:after="80"/>
            </w:pPr>
            <w:r>
              <w:rPr>
                <w:sz w:val="17"/>
                <w:szCs w:val="17"/>
              </w:rPr>
              <w:t>Upper Level (UL) question – What is the critical human health endpoint that determines the UL, and what is the justification for selecting this endpoint?</w:t>
            </w:r>
          </w:p>
        </w:tc>
        <w:tc>
          <w:tcPr>
            <w:tcW w:w="833" w:type="pct"/>
          </w:tcPr>
          <w:p w14:paraId="012AFD3E" w14:textId="710D1B28" w:rsidR="005D6C41" w:rsidRDefault="005D6C41" w:rsidP="00BC2C3A">
            <w:pPr>
              <w:spacing w:after="80"/>
            </w:pPr>
            <w:r>
              <w:rPr>
                <w:sz w:val="17"/>
                <w:szCs w:val="17"/>
              </w:rPr>
              <w:t>Peripheral neuropathy is the critical endpoint. Justification: N</w:t>
            </w:r>
            <w:r w:rsidR="004D081D">
              <w:rPr>
                <w:sz w:val="17"/>
                <w:szCs w:val="17"/>
              </w:rPr>
              <w:t xml:space="preserve">ot </w:t>
            </w:r>
            <w:r>
              <w:rPr>
                <w:sz w:val="17"/>
                <w:szCs w:val="17"/>
              </w:rPr>
              <w:t>A</w:t>
            </w:r>
            <w:r w:rsidR="004D081D">
              <w:rPr>
                <w:sz w:val="17"/>
                <w:szCs w:val="17"/>
              </w:rPr>
              <w:t>pplicable</w:t>
            </w:r>
          </w:p>
        </w:tc>
        <w:tc>
          <w:tcPr>
            <w:tcW w:w="789" w:type="pct"/>
          </w:tcPr>
          <w:p w14:paraId="6941E473" w14:textId="775F4D7A" w:rsidR="005D6C41" w:rsidRDefault="005D6C41" w:rsidP="00BC2C3A">
            <w:pPr>
              <w:spacing w:after="80"/>
            </w:pPr>
            <w:r>
              <w:rPr>
                <w:sz w:val="17"/>
                <w:szCs w:val="17"/>
              </w:rPr>
              <w:t>N</w:t>
            </w:r>
            <w:r w:rsidR="004D081D">
              <w:rPr>
                <w:sz w:val="17"/>
                <w:szCs w:val="17"/>
              </w:rPr>
              <w:t>ot Applicable</w:t>
            </w:r>
          </w:p>
        </w:tc>
        <w:tc>
          <w:tcPr>
            <w:tcW w:w="822" w:type="pct"/>
          </w:tcPr>
          <w:p w14:paraId="1FE60113" w14:textId="1E2C39E2" w:rsidR="005D6C41" w:rsidRDefault="004D081D" w:rsidP="00BC2C3A">
            <w:pPr>
              <w:spacing w:after="80"/>
            </w:pPr>
            <w:r>
              <w:rPr>
                <w:sz w:val="17"/>
                <w:szCs w:val="17"/>
              </w:rPr>
              <w:t>Not Applicable</w:t>
            </w:r>
            <w:r w:rsidDel="004D081D">
              <w:rPr>
                <w:sz w:val="17"/>
                <w:szCs w:val="17"/>
              </w:rPr>
              <w:t xml:space="preserve"> </w:t>
            </w:r>
          </w:p>
        </w:tc>
        <w:tc>
          <w:tcPr>
            <w:tcW w:w="828" w:type="pct"/>
          </w:tcPr>
          <w:p w14:paraId="55C3E70E" w14:textId="21B5509F" w:rsidR="005D6C41" w:rsidRDefault="004D081D" w:rsidP="00BC2C3A">
            <w:pPr>
              <w:spacing w:after="80"/>
            </w:pPr>
            <w:r>
              <w:rPr>
                <w:sz w:val="17"/>
                <w:szCs w:val="17"/>
              </w:rPr>
              <w:t>Not Applicable</w:t>
            </w:r>
            <w:r w:rsidDel="004D081D">
              <w:rPr>
                <w:sz w:val="17"/>
                <w:szCs w:val="17"/>
              </w:rPr>
              <w:t xml:space="preserve"> </w:t>
            </w:r>
          </w:p>
        </w:tc>
        <w:tc>
          <w:tcPr>
            <w:tcW w:w="790" w:type="pct"/>
          </w:tcPr>
          <w:p w14:paraId="5783E3EB" w14:textId="43E29C1C" w:rsidR="005D6C41" w:rsidRDefault="004D081D" w:rsidP="00BC2C3A">
            <w:pPr>
              <w:spacing w:after="80"/>
            </w:pPr>
            <w:r>
              <w:rPr>
                <w:sz w:val="17"/>
                <w:szCs w:val="17"/>
              </w:rPr>
              <w:t>Not Applicable</w:t>
            </w:r>
            <w:r w:rsidDel="004D081D">
              <w:rPr>
                <w:sz w:val="17"/>
                <w:szCs w:val="17"/>
              </w:rPr>
              <w:t xml:space="preserve"> </w:t>
            </w:r>
          </w:p>
        </w:tc>
      </w:tr>
      <w:tr w:rsidR="005D6C41" w14:paraId="24FCEF75" w14:textId="77777777" w:rsidTr="00F731BB">
        <w:tc>
          <w:tcPr>
            <w:tcW w:w="116" w:type="pct"/>
          </w:tcPr>
          <w:p w14:paraId="1209DC36" w14:textId="77777777" w:rsidR="005D6C41" w:rsidRDefault="005D6C41" w:rsidP="00BC2C3A">
            <w:pPr>
              <w:spacing w:after="80"/>
            </w:pPr>
            <w:r>
              <w:rPr>
                <w:sz w:val="17"/>
                <w:szCs w:val="17"/>
              </w:rPr>
              <w:t>3</w:t>
            </w:r>
          </w:p>
        </w:tc>
        <w:tc>
          <w:tcPr>
            <w:tcW w:w="822" w:type="pct"/>
          </w:tcPr>
          <w:p w14:paraId="1F51C987" w14:textId="77777777" w:rsidR="005D6C41" w:rsidRDefault="005D6C41" w:rsidP="00BC2C3A">
            <w:pPr>
              <w:spacing w:after="80"/>
            </w:pPr>
            <w:r>
              <w:rPr>
                <w:sz w:val="17"/>
                <w:szCs w:val="17"/>
              </w:rPr>
              <w:t xml:space="preserve">Upper Level (UL) question – What recent ULs or equivalent health-based guidance values exist internationally (for excess vitamin B6 intake)? How were they derived, what assumptions and </w:t>
            </w:r>
            <w:r>
              <w:rPr>
                <w:sz w:val="17"/>
                <w:szCs w:val="17"/>
              </w:rPr>
              <w:lastRenderedPageBreak/>
              <w:t>uncertainties were applied, and are they suitable to adopt or adapt for Australia and New Zealand?</w:t>
            </w:r>
          </w:p>
        </w:tc>
        <w:tc>
          <w:tcPr>
            <w:tcW w:w="833" w:type="pct"/>
          </w:tcPr>
          <w:p w14:paraId="1FAD0594" w14:textId="6364855B" w:rsidR="005D6C41" w:rsidRDefault="005D6C41" w:rsidP="00BC2C3A">
            <w:pPr>
              <w:spacing w:after="80"/>
            </w:pPr>
            <w:r>
              <w:rPr>
                <w:sz w:val="17"/>
                <w:szCs w:val="17"/>
              </w:rPr>
              <w:lastRenderedPageBreak/>
              <w:t xml:space="preserve">See </w:t>
            </w:r>
            <w:r w:rsidR="00EF2CB1" w:rsidRPr="00400348">
              <w:rPr>
                <w:sz w:val="18"/>
                <w:szCs w:val="18"/>
              </w:rPr>
              <w:fldChar w:fldCharType="begin"/>
            </w:r>
            <w:r w:rsidR="00EF2CB1" w:rsidRPr="00400348">
              <w:rPr>
                <w:sz w:val="18"/>
                <w:szCs w:val="18"/>
              </w:rPr>
              <w:instrText xml:space="preserve"> REF _Ref233708483 \h  \* MERGEFORMAT </w:instrText>
            </w:r>
            <w:r w:rsidR="00EF2CB1" w:rsidRPr="00400348">
              <w:rPr>
                <w:sz w:val="18"/>
                <w:szCs w:val="18"/>
              </w:rPr>
            </w:r>
            <w:r w:rsidR="00EF2CB1" w:rsidRPr="00400348">
              <w:rPr>
                <w:sz w:val="18"/>
                <w:szCs w:val="18"/>
              </w:rPr>
              <w:fldChar w:fldCharType="separate"/>
            </w:r>
            <w:r w:rsidR="0052675C" w:rsidRPr="0052675C">
              <w:rPr>
                <w:b/>
                <w:sz w:val="18"/>
                <w:szCs w:val="18"/>
              </w:rPr>
              <w:t xml:space="preserve">Table </w:t>
            </w:r>
            <w:r w:rsidR="0052675C" w:rsidRPr="0052675C">
              <w:rPr>
                <w:b/>
                <w:noProof/>
                <w:sz w:val="18"/>
                <w:szCs w:val="18"/>
              </w:rPr>
              <w:t>3</w:t>
            </w:r>
            <w:r w:rsidR="00EF2CB1" w:rsidRPr="00400348">
              <w:rPr>
                <w:sz w:val="18"/>
                <w:szCs w:val="18"/>
              </w:rPr>
              <w:fldChar w:fldCharType="end"/>
            </w:r>
          </w:p>
        </w:tc>
        <w:tc>
          <w:tcPr>
            <w:tcW w:w="789" w:type="pct"/>
          </w:tcPr>
          <w:p w14:paraId="4BBBC7D2" w14:textId="3BF7DDA3" w:rsidR="005D6C41" w:rsidRDefault="00EF2CB1" w:rsidP="00BC2C3A">
            <w:pPr>
              <w:spacing w:after="80"/>
            </w:pPr>
            <w:r>
              <w:rPr>
                <w:sz w:val="17"/>
                <w:szCs w:val="17"/>
              </w:rPr>
              <w:t xml:space="preserve">See </w:t>
            </w:r>
            <w:r w:rsidRPr="00F21A17">
              <w:rPr>
                <w:sz w:val="18"/>
                <w:szCs w:val="18"/>
              </w:rPr>
              <w:fldChar w:fldCharType="begin"/>
            </w:r>
            <w:r w:rsidRPr="00F21A17">
              <w:rPr>
                <w:sz w:val="18"/>
                <w:szCs w:val="18"/>
              </w:rPr>
              <w:instrText xml:space="preserve"> REF _Ref233708483 \h  \* MERGEFORMAT </w:instrText>
            </w:r>
            <w:r w:rsidRPr="00F21A17">
              <w:rPr>
                <w:sz w:val="18"/>
                <w:szCs w:val="18"/>
              </w:rPr>
            </w:r>
            <w:r w:rsidRPr="00F21A17">
              <w:rPr>
                <w:sz w:val="18"/>
                <w:szCs w:val="18"/>
              </w:rPr>
              <w:fldChar w:fldCharType="separate"/>
            </w:r>
            <w:r w:rsidR="0052675C" w:rsidRPr="0052675C">
              <w:rPr>
                <w:b/>
                <w:sz w:val="18"/>
                <w:szCs w:val="18"/>
              </w:rPr>
              <w:t xml:space="preserve">Table </w:t>
            </w:r>
            <w:r w:rsidR="0052675C" w:rsidRPr="0052675C">
              <w:rPr>
                <w:b/>
                <w:noProof/>
                <w:sz w:val="18"/>
                <w:szCs w:val="18"/>
              </w:rPr>
              <w:t>3</w:t>
            </w:r>
            <w:r w:rsidRPr="00F21A17">
              <w:rPr>
                <w:sz w:val="18"/>
                <w:szCs w:val="18"/>
              </w:rPr>
              <w:fldChar w:fldCharType="end"/>
            </w:r>
          </w:p>
        </w:tc>
        <w:tc>
          <w:tcPr>
            <w:tcW w:w="822" w:type="pct"/>
          </w:tcPr>
          <w:p w14:paraId="7DEDA0F2" w14:textId="48675EF5" w:rsidR="005D6C41" w:rsidRDefault="00EF2CB1" w:rsidP="00BC2C3A">
            <w:pPr>
              <w:spacing w:after="80"/>
            </w:pPr>
            <w:r>
              <w:rPr>
                <w:sz w:val="17"/>
                <w:szCs w:val="17"/>
              </w:rPr>
              <w:t xml:space="preserve">See </w:t>
            </w:r>
            <w:r w:rsidRPr="00F21A17">
              <w:rPr>
                <w:sz w:val="18"/>
                <w:szCs w:val="18"/>
              </w:rPr>
              <w:fldChar w:fldCharType="begin"/>
            </w:r>
            <w:r w:rsidRPr="00F21A17">
              <w:rPr>
                <w:sz w:val="18"/>
                <w:szCs w:val="18"/>
              </w:rPr>
              <w:instrText xml:space="preserve"> REF _Ref233708483 \h  \* MERGEFORMAT </w:instrText>
            </w:r>
            <w:r w:rsidRPr="00F21A17">
              <w:rPr>
                <w:sz w:val="18"/>
                <w:szCs w:val="18"/>
              </w:rPr>
            </w:r>
            <w:r w:rsidRPr="00F21A17">
              <w:rPr>
                <w:sz w:val="18"/>
                <w:szCs w:val="18"/>
              </w:rPr>
              <w:fldChar w:fldCharType="separate"/>
            </w:r>
            <w:r w:rsidR="0052675C" w:rsidRPr="0052675C">
              <w:rPr>
                <w:b/>
                <w:sz w:val="18"/>
                <w:szCs w:val="18"/>
              </w:rPr>
              <w:t xml:space="preserve">Table </w:t>
            </w:r>
            <w:r w:rsidR="0052675C" w:rsidRPr="0052675C">
              <w:rPr>
                <w:b/>
                <w:noProof/>
                <w:sz w:val="18"/>
                <w:szCs w:val="18"/>
              </w:rPr>
              <w:t>3</w:t>
            </w:r>
            <w:r w:rsidRPr="00F21A17">
              <w:rPr>
                <w:sz w:val="18"/>
                <w:szCs w:val="18"/>
              </w:rPr>
              <w:fldChar w:fldCharType="end"/>
            </w:r>
          </w:p>
        </w:tc>
        <w:tc>
          <w:tcPr>
            <w:tcW w:w="828" w:type="pct"/>
          </w:tcPr>
          <w:p w14:paraId="20446611" w14:textId="378AAF8E" w:rsidR="005D6C41" w:rsidRDefault="00EF2CB1" w:rsidP="00BC2C3A">
            <w:pPr>
              <w:spacing w:after="80"/>
            </w:pPr>
            <w:r>
              <w:rPr>
                <w:sz w:val="17"/>
                <w:szCs w:val="17"/>
              </w:rPr>
              <w:t xml:space="preserve">See </w:t>
            </w:r>
            <w:r w:rsidRPr="00F21A17">
              <w:rPr>
                <w:sz w:val="18"/>
                <w:szCs w:val="18"/>
              </w:rPr>
              <w:fldChar w:fldCharType="begin"/>
            </w:r>
            <w:r w:rsidRPr="00F21A17">
              <w:rPr>
                <w:sz w:val="18"/>
                <w:szCs w:val="18"/>
              </w:rPr>
              <w:instrText xml:space="preserve"> REF _Ref233708483 \h  \* MERGEFORMAT </w:instrText>
            </w:r>
            <w:r w:rsidRPr="00F21A17">
              <w:rPr>
                <w:sz w:val="18"/>
                <w:szCs w:val="18"/>
              </w:rPr>
            </w:r>
            <w:r w:rsidRPr="00F21A17">
              <w:rPr>
                <w:sz w:val="18"/>
                <w:szCs w:val="18"/>
              </w:rPr>
              <w:fldChar w:fldCharType="separate"/>
            </w:r>
            <w:r w:rsidR="0052675C" w:rsidRPr="0052675C">
              <w:rPr>
                <w:b/>
                <w:sz w:val="18"/>
                <w:szCs w:val="18"/>
              </w:rPr>
              <w:t xml:space="preserve">Table </w:t>
            </w:r>
            <w:r w:rsidR="0052675C" w:rsidRPr="0052675C">
              <w:rPr>
                <w:b/>
                <w:noProof/>
                <w:sz w:val="18"/>
                <w:szCs w:val="18"/>
              </w:rPr>
              <w:t>3</w:t>
            </w:r>
            <w:r w:rsidRPr="00F21A17">
              <w:rPr>
                <w:sz w:val="18"/>
                <w:szCs w:val="18"/>
              </w:rPr>
              <w:fldChar w:fldCharType="end"/>
            </w:r>
          </w:p>
        </w:tc>
        <w:tc>
          <w:tcPr>
            <w:tcW w:w="790" w:type="pct"/>
          </w:tcPr>
          <w:p w14:paraId="7B0C6148" w14:textId="06A6CA8F" w:rsidR="005D6C41" w:rsidRDefault="00EF2CB1" w:rsidP="00BC2C3A">
            <w:pPr>
              <w:spacing w:after="80"/>
            </w:pPr>
            <w:r>
              <w:rPr>
                <w:sz w:val="17"/>
                <w:szCs w:val="17"/>
              </w:rPr>
              <w:t xml:space="preserve">See </w:t>
            </w:r>
            <w:r w:rsidRPr="00F21A17">
              <w:rPr>
                <w:sz w:val="18"/>
                <w:szCs w:val="18"/>
              </w:rPr>
              <w:fldChar w:fldCharType="begin"/>
            </w:r>
            <w:r w:rsidRPr="00F21A17">
              <w:rPr>
                <w:sz w:val="18"/>
                <w:szCs w:val="18"/>
              </w:rPr>
              <w:instrText xml:space="preserve"> REF _Ref233708483 \h  \* MERGEFORMAT </w:instrText>
            </w:r>
            <w:r w:rsidRPr="00F21A17">
              <w:rPr>
                <w:sz w:val="18"/>
                <w:szCs w:val="18"/>
              </w:rPr>
            </w:r>
            <w:r w:rsidRPr="00F21A17">
              <w:rPr>
                <w:sz w:val="18"/>
                <w:szCs w:val="18"/>
              </w:rPr>
              <w:fldChar w:fldCharType="separate"/>
            </w:r>
            <w:r w:rsidR="0052675C" w:rsidRPr="0052675C">
              <w:rPr>
                <w:b/>
                <w:sz w:val="18"/>
                <w:szCs w:val="18"/>
              </w:rPr>
              <w:t xml:space="preserve">Table </w:t>
            </w:r>
            <w:r w:rsidR="0052675C" w:rsidRPr="0052675C">
              <w:rPr>
                <w:b/>
                <w:noProof/>
                <w:sz w:val="18"/>
                <w:szCs w:val="18"/>
              </w:rPr>
              <w:t>3</w:t>
            </w:r>
            <w:r w:rsidRPr="00F21A17">
              <w:rPr>
                <w:sz w:val="18"/>
                <w:szCs w:val="18"/>
              </w:rPr>
              <w:fldChar w:fldCharType="end"/>
            </w:r>
          </w:p>
        </w:tc>
      </w:tr>
      <w:tr w:rsidR="005D6C41" w14:paraId="5E27374B" w14:textId="77777777" w:rsidTr="00F731BB">
        <w:tc>
          <w:tcPr>
            <w:tcW w:w="116" w:type="pct"/>
          </w:tcPr>
          <w:p w14:paraId="167B2F5A" w14:textId="77777777" w:rsidR="005D6C41" w:rsidRDefault="005D6C41" w:rsidP="00BC2C3A">
            <w:pPr>
              <w:spacing w:after="80"/>
            </w:pPr>
            <w:r>
              <w:rPr>
                <w:sz w:val="17"/>
                <w:szCs w:val="17"/>
              </w:rPr>
              <w:t>4</w:t>
            </w:r>
          </w:p>
        </w:tc>
        <w:tc>
          <w:tcPr>
            <w:tcW w:w="822" w:type="pct"/>
          </w:tcPr>
          <w:p w14:paraId="0ED44CFD" w14:textId="77777777" w:rsidR="005D6C41" w:rsidRDefault="005D6C41" w:rsidP="00BC2C3A">
            <w:pPr>
              <w:spacing w:after="80"/>
            </w:pPr>
            <w:r>
              <w:rPr>
                <w:sz w:val="17"/>
                <w:szCs w:val="17"/>
              </w:rPr>
              <w:t>Health considerations – What are the key adverse health effects associated with excess vitamin B6 intake, particularly neurological outcomes such as peripheral neuropathy?</w:t>
            </w:r>
          </w:p>
        </w:tc>
        <w:tc>
          <w:tcPr>
            <w:tcW w:w="833" w:type="pct"/>
          </w:tcPr>
          <w:p w14:paraId="019A4FB8" w14:textId="45119122" w:rsidR="005D6C41" w:rsidRDefault="005D6C41" w:rsidP="00BC2C3A">
            <w:pPr>
              <w:spacing w:after="80"/>
            </w:pPr>
            <w:r>
              <w:rPr>
                <w:sz w:val="17"/>
                <w:szCs w:val="17"/>
              </w:rPr>
              <w:t>Predominantly sensory axonal peripheral neuropathy: paresthesia, numbness, loss of vibration sense, ataxia, reported in supplement-use case series (</w:t>
            </w:r>
            <w:r w:rsidR="00BB278D" w:rsidRPr="00BB278D">
              <w:rPr>
                <w:sz w:val="17"/>
                <w:szCs w:val="17"/>
              </w:rPr>
              <w:t>Gdynia et al. 2025; Kościńska-Shukla et al. 2025; Muhamad et al. 2023</w:t>
            </w:r>
            <w:r>
              <w:rPr>
                <w:sz w:val="17"/>
                <w:szCs w:val="17"/>
              </w:rPr>
              <w:t>).</w:t>
            </w:r>
          </w:p>
          <w:p w14:paraId="17F0F61A" w14:textId="4DF9A09D" w:rsidR="005D6C41" w:rsidRDefault="005D6C41" w:rsidP="00BC2C3A">
            <w:pPr>
              <w:spacing w:after="80"/>
            </w:pPr>
            <w:r>
              <w:rPr>
                <w:sz w:val="17"/>
                <w:szCs w:val="17"/>
              </w:rPr>
              <w:t>Sensorimotor involvement at higher doses in older adults (</w:t>
            </w:r>
            <w:r w:rsidR="00BB278D" w:rsidRPr="00BB278D">
              <w:rPr>
                <w:sz w:val="17"/>
                <w:szCs w:val="17"/>
              </w:rPr>
              <w:t>Gdynia et al. 2025: 7/8 patients</w:t>
            </w:r>
            <w:r>
              <w:rPr>
                <w:sz w:val="17"/>
                <w:szCs w:val="17"/>
              </w:rPr>
              <w:t>).</w:t>
            </w:r>
          </w:p>
          <w:p w14:paraId="121DF607" w14:textId="508C58B8" w:rsidR="005D6C41" w:rsidRDefault="005D6C41" w:rsidP="00BC2C3A">
            <w:pPr>
              <w:spacing w:after="80"/>
            </w:pPr>
            <w:r>
              <w:rPr>
                <w:sz w:val="17"/>
                <w:szCs w:val="17"/>
              </w:rPr>
              <w:t xml:space="preserve">CNS/cognitive symptoms (memory, cognitive impairment) (Kościńska-Shukla </w:t>
            </w:r>
            <w:r w:rsidR="00217819">
              <w:rPr>
                <w:sz w:val="17"/>
                <w:szCs w:val="17"/>
              </w:rPr>
              <w:t xml:space="preserve">et al. </w:t>
            </w:r>
            <w:r>
              <w:rPr>
                <w:sz w:val="17"/>
                <w:szCs w:val="17"/>
              </w:rPr>
              <w:t>2025).</w:t>
            </w:r>
          </w:p>
          <w:p w14:paraId="22741A76" w14:textId="2223E64F" w:rsidR="005D6C41" w:rsidRDefault="005D6C41" w:rsidP="00BC2C3A">
            <w:pPr>
              <w:spacing w:after="80"/>
            </w:pPr>
            <w:r>
              <w:rPr>
                <w:sz w:val="17"/>
                <w:szCs w:val="17"/>
              </w:rPr>
              <w:t xml:space="preserve">Neuropathic pain in HPP with elevated endogenous B6 (Zervou </w:t>
            </w:r>
            <w:r w:rsidR="00A26F96">
              <w:rPr>
                <w:sz w:val="17"/>
                <w:szCs w:val="17"/>
              </w:rPr>
              <w:t xml:space="preserve">et al. </w:t>
            </w:r>
            <w:r>
              <w:rPr>
                <w:sz w:val="17"/>
                <w:szCs w:val="17"/>
              </w:rPr>
              <w:t>2025) is a distinct, non-supplemental mechanism (see individual susceptibility column).</w:t>
            </w:r>
          </w:p>
          <w:p w14:paraId="5B27EDA1" w14:textId="43229345" w:rsidR="005D6C41" w:rsidRDefault="005D6C41" w:rsidP="00BC2C3A">
            <w:pPr>
              <w:spacing w:after="80"/>
            </w:pPr>
            <w:r>
              <w:rPr>
                <w:sz w:val="17"/>
                <w:szCs w:val="17"/>
              </w:rPr>
              <w:t>Modica</w:t>
            </w:r>
            <w:r w:rsidR="00217819">
              <w:rPr>
                <w:sz w:val="17"/>
                <w:szCs w:val="17"/>
              </w:rPr>
              <w:t xml:space="preserve"> et al.</w:t>
            </w:r>
            <w:r>
              <w:rPr>
                <w:sz w:val="17"/>
                <w:szCs w:val="17"/>
              </w:rPr>
              <w:t xml:space="preserve"> (2023, </w:t>
            </w:r>
            <w:r w:rsidR="00BB278D">
              <w:rPr>
                <w:sz w:val="17"/>
                <w:szCs w:val="17"/>
              </w:rPr>
              <w:t>systematic review</w:t>
            </w:r>
            <w:r>
              <w:rPr>
                <w:sz w:val="17"/>
                <w:szCs w:val="17"/>
              </w:rPr>
              <w:t>) describes altered B6 status (high and low) in Parkinson's disease patients on levodopa therapy</w:t>
            </w:r>
            <w:r w:rsidR="00217819">
              <w:rPr>
                <w:sz w:val="17"/>
                <w:szCs w:val="17"/>
              </w:rPr>
              <w:t>,</w:t>
            </w:r>
            <w:r>
              <w:rPr>
                <w:sz w:val="17"/>
                <w:szCs w:val="17"/>
              </w:rPr>
              <w:t xml:space="preserve"> a clinical population on a specific pharmacological regimen, not general dietary/supplement </w:t>
            </w:r>
            <w:r>
              <w:rPr>
                <w:sz w:val="17"/>
                <w:szCs w:val="17"/>
              </w:rPr>
              <w:lastRenderedPageBreak/>
              <w:t>exposure; relevance to UL derivation is limited.</w:t>
            </w:r>
          </w:p>
        </w:tc>
        <w:tc>
          <w:tcPr>
            <w:tcW w:w="789" w:type="pct"/>
          </w:tcPr>
          <w:p w14:paraId="25D429FF" w14:textId="20789369" w:rsidR="005D6C41" w:rsidRDefault="009C7BA4" w:rsidP="00BC2C3A">
            <w:pPr>
              <w:spacing w:after="80"/>
            </w:pPr>
            <w:r w:rsidRPr="009C7BA4">
              <w:rPr>
                <w:sz w:val="17"/>
                <w:szCs w:val="17"/>
              </w:rPr>
              <w:lastRenderedPageBreak/>
              <w:t>Elevated liver enzymes, cirrhosis, HCC in paediatric PNPO/ALDH7A1 deficiency on 30–109 mg/kg/day PLP (Brands et al. 2026; Lee et al. 2025; Stolwijk et al. 2025; Webster et al. 2026). Vomiting, elevated liver enzymes, rhabdomyolysis in infants on therapeutic PLP (Arai et al. 2023). Pharmaceutical use; not relevant to dietary/supplement UL.</w:t>
            </w:r>
          </w:p>
        </w:tc>
        <w:tc>
          <w:tcPr>
            <w:tcW w:w="822" w:type="pct"/>
          </w:tcPr>
          <w:p w14:paraId="575BD807" w14:textId="13BAB2D6" w:rsidR="005D6C41" w:rsidRDefault="005D6C41" w:rsidP="00BC2C3A">
            <w:pPr>
              <w:spacing w:after="80"/>
            </w:pPr>
            <w:r>
              <w:rPr>
                <w:sz w:val="17"/>
                <w:szCs w:val="17"/>
              </w:rPr>
              <w:t xml:space="preserve">Neuropathic pain in HPP from endogenous PLP accumulation (Zervou </w:t>
            </w:r>
            <w:r w:rsidR="00A26F96">
              <w:rPr>
                <w:sz w:val="17"/>
                <w:szCs w:val="17"/>
              </w:rPr>
              <w:t xml:space="preserve">et al. </w:t>
            </w:r>
            <w:r>
              <w:rPr>
                <w:sz w:val="17"/>
                <w:szCs w:val="17"/>
              </w:rPr>
              <w:t>2025) demonstrates B6 metabolic dysregulation causing neuropathy independently of supplementation.</w:t>
            </w:r>
          </w:p>
        </w:tc>
        <w:tc>
          <w:tcPr>
            <w:tcW w:w="828" w:type="pct"/>
          </w:tcPr>
          <w:p w14:paraId="797B6DD0" w14:textId="62414897" w:rsidR="005D6C41" w:rsidRDefault="005D6C41" w:rsidP="00BC2C3A">
            <w:pPr>
              <w:spacing w:after="80"/>
            </w:pPr>
            <w:r>
              <w:rPr>
                <w:sz w:val="17"/>
                <w:szCs w:val="17"/>
              </w:rPr>
              <w:t>Neurological toxicity (paresthesia, ataxia) and possible miscarriage</w:t>
            </w:r>
            <w:r w:rsidR="00DA09CD">
              <w:rPr>
                <w:sz w:val="17"/>
                <w:szCs w:val="17"/>
              </w:rPr>
              <w:t xml:space="preserve"> </w:t>
            </w:r>
            <w:r>
              <w:rPr>
                <w:sz w:val="17"/>
                <w:szCs w:val="17"/>
              </w:rPr>
              <w:t>/</w:t>
            </w:r>
            <w:r w:rsidR="00DA09CD">
              <w:rPr>
                <w:sz w:val="17"/>
                <w:szCs w:val="17"/>
              </w:rPr>
              <w:t xml:space="preserve"> </w:t>
            </w:r>
            <w:r>
              <w:rPr>
                <w:sz w:val="17"/>
                <w:szCs w:val="17"/>
              </w:rPr>
              <w:t>intrauterine death reported at high doses (100–6000 mg/day) in case reports, used pharmacologically to treat NVP. It is unclear from the available evidence summary whether these outcomes were assessed independently of maternal toxicity associated with severe NVP itself (e.g. dehydration, electrolyte disturbance)</w:t>
            </w:r>
            <w:r w:rsidR="00217819">
              <w:rPr>
                <w:sz w:val="17"/>
                <w:szCs w:val="17"/>
              </w:rPr>
              <w:t>;</w:t>
            </w:r>
            <w:r>
              <w:rPr>
                <w:sz w:val="17"/>
                <w:szCs w:val="17"/>
              </w:rPr>
              <w:t xml:space="preserve"> a plausible confounder that should be checked directly in He </w:t>
            </w:r>
            <w:r w:rsidR="00217819">
              <w:rPr>
                <w:sz w:val="17"/>
                <w:szCs w:val="17"/>
              </w:rPr>
              <w:t xml:space="preserve">et al. </w:t>
            </w:r>
            <w:r>
              <w:rPr>
                <w:sz w:val="17"/>
                <w:szCs w:val="17"/>
              </w:rPr>
              <w:t>(2025) before this evidence is weighted. Evidence is limited and heterogeneous .</w:t>
            </w:r>
          </w:p>
        </w:tc>
        <w:tc>
          <w:tcPr>
            <w:tcW w:w="790" w:type="pct"/>
          </w:tcPr>
          <w:p w14:paraId="0F30CCA3" w14:textId="7D8AA6F6" w:rsidR="005D6C41" w:rsidRDefault="005D6C41" w:rsidP="00BC2C3A">
            <w:pPr>
              <w:spacing w:after="80"/>
            </w:pPr>
            <w:r>
              <w:rPr>
                <w:sz w:val="17"/>
                <w:szCs w:val="17"/>
              </w:rPr>
              <w:t>Elevated blood PLP (&gt;100 nmol/L) associated with polyneuropathy risk</w:t>
            </w:r>
            <w:r w:rsidR="00217819">
              <w:rPr>
                <w:sz w:val="17"/>
                <w:szCs w:val="17"/>
              </w:rPr>
              <w:t>,</w:t>
            </w:r>
            <w:r>
              <w:rPr>
                <w:sz w:val="17"/>
                <w:szCs w:val="17"/>
              </w:rPr>
              <w:t xml:space="preserve"> biomarker-level association without direct clinical outcome data (Bossard </w:t>
            </w:r>
            <w:r w:rsidR="00217819">
              <w:rPr>
                <w:sz w:val="17"/>
                <w:szCs w:val="17"/>
              </w:rPr>
              <w:t xml:space="preserve">et al. </w:t>
            </w:r>
            <w:r>
              <w:rPr>
                <w:sz w:val="17"/>
                <w:szCs w:val="17"/>
              </w:rPr>
              <w:t>2022).</w:t>
            </w:r>
          </w:p>
        </w:tc>
      </w:tr>
      <w:tr w:rsidR="005D6C41" w14:paraId="3947E54C" w14:textId="77777777" w:rsidTr="00F731BB">
        <w:tc>
          <w:tcPr>
            <w:tcW w:w="116" w:type="pct"/>
          </w:tcPr>
          <w:p w14:paraId="21812D49" w14:textId="77777777" w:rsidR="005D6C41" w:rsidRDefault="005D6C41" w:rsidP="00BC2C3A">
            <w:pPr>
              <w:spacing w:after="80"/>
            </w:pPr>
            <w:r>
              <w:rPr>
                <w:sz w:val="17"/>
                <w:szCs w:val="17"/>
              </w:rPr>
              <w:t>5</w:t>
            </w:r>
          </w:p>
        </w:tc>
        <w:tc>
          <w:tcPr>
            <w:tcW w:w="822" w:type="pct"/>
          </w:tcPr>
          <w:p w14:paraId="73B318B7" w14:textId="77777777" w:rsidR="005D6C41" w:rsidRDefault="005D6C41" w:rsidP="00BC2C3A">
            <w:pPr>
              <w:spacing w:after="80"/>
            </w:pPr>
            <w:r>
              <w:rPr>
                <w:sz w:val="17"/>
                <w:szCs w:val="17"/>
              </w:rPr>
              <w:t>Health considerations – What is the strength of evidence for a causal association for the key adverse health effects (including consideration of mode of action, dose–response relationships, and consistency of findings)? Where relevant, how do findings differ by study type (e.g. human and animal evidence) and by population group, including infants, children, pregnancy/lactation and older adults?</w:t>
            </w:r>
          </w:p>
        </w:tc>
        <w:tc>
          <w:tcPr>
            <w:tcW w:w="833" w:type="pct"/>
          </w:tcPr>
          <w:p w14:paraId="38C82475" w14:textId="77777777" w:rsidR="005D6C41" w:rsidRDefault="005D6C41" w:rsidP="00BC2C3A">
            <w:pPr>
              <w:spacing w:after="80"/>
            </w:pPr>
            <w:r>
              <w:rPr>
                <w:sz w:val="17"/>
                <w:szCs w:val="17"/>
              </w:rPr>
              <w:t>Multiple independent case series and pharmacovigilance reports across countries describe a consistent pattern of association; however, consistent with the hierarchy of evidence, case series and case reports cannot on their own confirm causation — this evidence should be regarded as supportive, not confirmatory.</w:t>
            </w:r>
          </w:p>
          <w:p w14:paraId="712B7FA2" w14:textId="4B3430F7" w:rsidR="005D6C41" w:rsidRDefault="005D6C41" w:rsidP="00BC2C3A">
            <w:pPr>
              <w:spacing w:after="80"/>
            </w:pPr>
            <w:r>
              <w:rPr>
                <w:sz w:val="17"/>
                <w:szCs w:val="17"/>
              </w:rPr>
              <w:t xml:space="preserve">Dose-response: </w:t>
            </w:r>
            <w:r w:rsidR="00016125" w:rsidRPr="00016125">
              <w:rPr>
                <w:sz w:val="17"/>
                <w:szCs w:val="17"/>
              </w:rPr>
              <w:t>supported by Muhamad et al. (2023, SR), Morris et al. (2025, registry), Schellack et al. (2025, consensus)</w:t>
            </w:r>
            <w:r>
              <w:rPr>
                <w:sz w:val="17"/>
                <w:szCs w:val="17"/>
              </w:rPr>
              <w:t>; null finding in Stewart (2022) CIAP cross-sectional is a counterbalance.</w:t>
            </w:r>
          </w:p>
          <w:p w14:paraId="2CCC4F9B" w14:textId="2C47487A" w:rsidR="005D6C41" w:rsidRDefault="005D6C41" w:rsidP="00BC2C3A">
            <w:pPr>
              <w:spacing w:after="80"/>
            </w:pPr>
            <w:r>
              <w:rPr>
                <w:sz w:val="17"/>
                <w:szCs w:val="17"/>
              </w:rPr>
              <w:t xml:space="preserve">Withdrawal response: documented in </w:t>
            </w:r>
            <w:r w:rsidR="00A05B19" w:rsidRPr="00A05B19">
              <w:rPr>
                <w:sz w:val="17"/>
                <w:szCs w:val="17"/>
              </w:rPr>
              <w:t>Paluszny</w:t>
            </w:r>
            <w:r w:rsidR="00A05B19">
              <w:rPr>
                <w:sz w:val="17"/>
                <w:szCs w:val="17"/>
              </w:rPr>
              <w:t xml:space="preserve"> </w:t>
            </w:r>
            <w:r w:rsidR="00A05B19" w:rsidRPr="00A05B19">
              <w:rPr>
                <w:sz w:val="17"/>
                <w:szCs w:val="17"/>
              </w:rPr>
              <w:t>and Qiu</w:t>
            </w:r>
            <w:r w:rsidR="00016125" w:rsidRPr="00016125">
              <w:rPr>
                <w:sz w:val="17"/>
                <w:szCs w:val="17"/>
              </w:rPr>
              <w:t>. (2023), Gdynia et al. (2025), Kościńska-Shukla et al. (2025), Theil et al. (2023, animal).</w:t>
            </w:r>
          </w:p>
          <w:p w14:paraId="3516BA90" w14:textId="4F3C81AA" w:rsidR="005D6C41" w:rsidRDefault="005D6C41" w:rsidP="00BC2C3A">
            <w:pPr>
              <w:spacing w:after="80"/>
            </w:pPr>
            <w:r>
              <w:rPr>
                <w:sz w:val="17"/>
                <w:szCs w:val="17"/>
              </w:rPr>
              <w:t>Mode of action: a mode of action has been hypothesised</w:t>
            </w:r>
            <w:r w:rsidR="00DA09CD">
              <w:rPr>
                <w:sz w:val="17"/>
                <w:szCs w:val="17"/>
              </w:rPr>
              <w:t>, i.e.</w:t>
            </w:r>
            <w:r>
              <w:rPr>
                <w:sz w:val="17"/>
                <w:szCs w:val="17"/>
              </w:rPr>
              <w:t xml:space="preserve"> high pyridoxine intake causing functional PLP deficiency or PDXK inhibition, leading to dorsal root ganglia/sensory neuron damage</w:t>
            </w:r>
            <w:r w:rsidR="00DA09CD">
              <w:rPr>
                <w:sz w:val="17"/>
                <w:szCs w:val="17"/>
              </w:rPr>
              <w:t xml:space="preserve">, </w:t>
            </w:r>
            <w:r>
              <w:rPr>
                <w:sz w:val="17"/>
                <w:szCs w:val="17"/>
              </w:rPr>
              <w:t xml:space="preserve"> consistent with DRG-predominant pathology in Sun (2025) and </w:t>
            </w:r>
            <w:r>
              <w:rPr>
                <w:sz w:val="17"/>
                <w:szCs w:val="17"/>
              </w:rPr>
              <w:lastRenderedPageBreak/>
              <w:t>animal data from Sano</w:t>
            </w:r>
            <w:r w:rsidR="003404A1">
              <w:rPr>
                <w:sz w:val="17"/>
                <w:szCs w:val="17"/>
              </w:rPr>
              <w:t xml:space="preserve"> </w:t>
            </w:r>
            <w:r w:rsidR="00A26F96">
              <w:rPr>
                <w:sz w:val="17"/>
                <w:szCs w:val="17"/>
              </w:rPr>
              <w:t xml:space="preserve">et al. </w:t>
            </w:r>
            <w:r w:rsidR="00DA09CD">
              <w:rPr>
                <w:sz w:val="17"/>
                <w:szCs w:val="17"/>
              </w:rPr>
              <w:t>(</w:t>
            </w:r>
            <w:r w:rsidR="003404A1">
              <w:rPr>
                <w:sz w:val="17"/>
                <w:szCs w:val="17"/>
              </w:rPr>
              <w:t>202</w:t>
            </w:r>
            <w:r w:rsidR="00A26F96">
              <w:rPr>
                <w:sz w:val="17"/>
                <w:szCs w:val="17"/>
              </w:rPr>
              <w:t>2</w:t>
            </w:r>
            <w:r w:rsidR="00DA09CD">
              <w:rPr>
                <w:sz w:val="17"/>
                <w:szCs w:val="17"/>
              </w:rPr>
              <w:t>)</w:t>
            </w:r>
            <w:r>
              <w:rPr>
                <w:sz w:val="17"/>
                <w:szCs w:val="17"/>
              </w:rPr>
              <w:t>. This remains a hypothesis, not an established mechanism; no internationally accepted mode of action for pyridoxine-induced peripheral neuropathy currently exists.</w:t>
            </w:r>
          </w:p>
          <w:p w14:paraId="43FFE434" w14:textId="5F472BCD" w:rsidR="005D6C41" w:rsidRDefault="005D6C41" w:rsidP="00BC2C3A">
            <w:pPr>
              <w:spacing w:after="80"/>
            </w:pPr>
            <w:r>
              <w:rPr>
                <w:sz w:val="17"/>
                <w:szCs w:val="17"/>
              </w:rPr>
              <w:t>Animal data (rat, Sano</w:t>
            </w:r>
            <w:r w:rsidR="003404A1">
              <w:rPr>
                <w:sz w:val="17"/>
                <w:szCs w:val="17"/>
              </w:rPr>
              <w:t xml:space="preserve"> </w:t>
            </w:r>
            <w:r w:rsidR="00A26F96">
              <w:rPr>
                <w:sz w:val="17"/>
                <w:szCs w:val="17"/>
              </w:rPr>
              <w:t xml:space="preserve">et al. </w:t>
            </w:r>
            <w:r w:rsidR="003404A1">
              <w:rPr>
                <w:sz w:val="17"/>
                <w:szCs w:val="17"/>
              </w:rPr>
              <w:t>202</w:t>
            </w:r>
            <w:r w:rsidR="00A26F96">
              <w:rPr>
                <w:sz w:val="17"/>
                <w:szCs w:val="17"/>
              </w:rPr>
              <w:t>2</w:t>
            </w:r>
            <w:r>
              <w:rPr>
                <w:sz w:val="17"/>
                <w:szCs w:val="17"/>
              </w:rPr>
              <w:t>, 1200 mg/kg/day; dog, Theil</w:t>
            </w:r>
            <w:r w:rsidR="003404A1">
              <w:rPr>
                <w:sz w:val="17"/>
                <w:szCs w:val="17"/>
              </w:rPr>
              <w:t xml:space="preserve"> </w:t>
            </w:r>
            <w:r w:rsidR="00A26F96">
              <w:rPr>
                <w:sz w:val="17"/>
                <w:szCs w:val="17"/>
              </w:rPr>
              <w:t xml:space="preserve">et al. </w:t>
            </w:r>
            <w:r w:rsidR="003404A1">
              <w:rPr>
                <w:sz w:val="17"/>
                <w:szCs w:val="17"/>
              </w:rPr>
              <w:t>2023</w:t>
            </w:r>
            <w:r>
              <w:rPr>
                <w:sz w:val="17"/>
                <w:szCs w:val="17"/>
              </w:rPr>
              <w:t>, 100–150 mg/kg/day) use doses far higher than typical human exposure, as expected for hazard identification studies; these data remain relevant to establishing the dose-response relationship from which a point of departure and uncertainty factors are derived, consistent with standard toxicological risk assessment practice.</w:t>
            </w:r>
          </w:p>
          <w:p w14:paraId="4AE27A14" w14:textId="48683788" w:rsidR="005D6C41" w:rsidRDefault="005D6C41" w:rsidP="00BC2C3A">
            <w:pPr>
              <w:spacing w:after="80"/>
            </w:pPr>
            <w:r>
              <w:rPr>
                <w:sz w:val="17"/>
                <w:szCs w:val="17"/>
              </w:rPr>
              <w:t>Susceptible populations relevant to general-population supplement use may include older adults (</w:t>
            </w:r>
            <w:r w:rsidR="00016125" w:rsidRPr="00016125">
              <w:rPr>
                <w:sz w:val="17"/>
                <w:szCs w:val="17"/>
              </w:rPr>
              <w:t>Gdynia et al. 2025, mean age 80</w:t>
            </w:r>
            <w:r>
              <w:rPr>
                <w:sz w:val="17"/>
                <w:szCs w:val="17"/>
              </w:rPr>
              <w:t xml:space="preserve">). Findings relating to Parkinson's disease patients on levodopa (where altered B6 status has been hypothesised as disease-relevant) and people with CBS deficiency on high-dose therapeutic B6 reflect pharmaceutical use and exploratory disease-mechanism research in </w:t>
            </w:r>
            <w:r>
              <w:rPr>
                <w:sz w:val="17"/>
                <w:szCs w:val="17"/>
              </w:rPr>
              <w:lastRenderedPageBreak/>
              <w:t>defined clinical populations; relevance to general-population UL derivation is limited and they are noted for completeness only.</w:t>
            </w:r>
          </w:p>
          <w:p w14:paraId="6D722D46" w14:textId="61273100" w:rsidR="005D6C41" w:rsidRDefault="00016125" w:rsidP="00BC2C3A">
            <w:pPr>
              <w:spacing w:after="80"/>
            </w:pPr>
            <w:r w:rsidRPr="00016125">
              <w:rPr>
                <w:sz w:val="17"/>
                <w:szCs w:val="17"/>
              </w:rPr>
              <w:t>Refer to Appendix F – Technical Report for risk of bias assessment and confidence rating.</w:t>
            </w:r>
          </w:p>
        </w:tc>
        <w:tc>
          <w:tcPr>
            <w:tcW w:w="789" w:type="pct"/>
          </w:tcPr>
          <w:p w14:paraId="503FD8BB" w14:textId="77777777" w:rsidR="005D6C41" w:rsidRDefault="005D6C41" w:rsidP="00BC2C3A">
            <w:pPr>
              <w:spacing w:after="80"/>
            </w:pPr>
            <w:r>
              <w:rPr>
                <w:sz w:val="17"/>
                <w:szCs w:val="17"/>
              </w:rPr>
              <w:lastRenderedPageBreak/>
              <w:t>Evidence is from small case series in rare genetic conditions receiving very high therapeutic PLP doses under medical supervision. This reflects pharmaceutical use in a non-representative clinical population and cannot establish causality for general-population dietary/supplement exposure; retained for completeness only.</w:t>
            </w:r>
          </w:p>
        </w:tc>
        <w:tc>
          <w:tcPr>
            <w:tcW w:w="822" w:type="pct"/>
          </w:tcPr>
          <w:p w14:paraId="3C6A52FA" w14:textId="77777777" w:rsidR="005D6C41" w:rsidRDefault="005D6C41" w:rsidP="00BC2C3A">
            <w:pPr>
              <w:spacing w:after="80"/>
            </w:pPr>
            <w:r>
              <w:rPr>
                <w:sz w:val="17"/>
                <w:szCs w:val="17"/>
              </w:rPr>
              <w:t>TNSALP controls plasma PLP clearance and provides mechanistic evidence for individual susceptibility.</w:t>
            </w:r>
          </w:p>
          <w:p w14:paraId="55FE20E1" w14:textId="356B7CDC" w:rsidR="005D6C41" w:rsidRDefault="005D6C41" w:rsidP="00BC2C3A">
            <w:pPr>
              <w:spacing w:after="80"/>
            </w:pPr>
            <w:r>
              <w:rPr>
                <w:sz w:val="17"/>
                <w:szCs w:val="17"/>
              </w:rPr>
              <w:t xml:space="preserve">Zervou </w:t>
            </w:r>
            <w:r w:rsidR="00A26F96">
              <w:rPr>
                <w:sz w:val="17"/>
                <w:szCs w:val="17"/>
              </w:rPr>
              <w:t xml:space="preserve">et al. </w:t>
            </w:r>
            <w:r>
              <w:rPr>
                <w:sz w:val="17"/>
                <w:szCs w:val="17"/>
              </w:rPr>
              <w:t>(2025): endogenous elevated PLP results in neuropathy; asfotase alfa normalised PLP and reduced pain.</w:t>
            </w:r>
          </w:p>
          <w:p w14:paraId="11402C56" w14:textId="378FA99D" w:rsidR="005D6C41" w:rsidRDefault="005D6C41" w:rsidP="00BC2C3A">
            <w:pPr>
              <w:spacing w:after="80"/>
            </w:pPr>
            <w:r>
              <w:rPr>
                <w:sz w:val="17"/>
                <w:szCs w:val="17"/>
              </w:rPr>
              <w:t xml:space="preserve">vanHunsel </w:t>
            </w:r>
            <w:r w:rsidR="00217819">
              <w:rPr>
                <w:sz w:val="17"/>
                <w:szCs w:val="17"/>
              </w:rPr>
              <w:t xml:space="preserve">et al. </w:t>
            </w:r>
            <w:r>
              <w:rPr>
                <w:sz w:val="17"/>
                <w:szCs w:val="17"/>
              </w:rPr>
              <w:t>(2025): R²=0.15 (dose–plasma correlation)</w:t>
            </w:r>
            <w:r w:rsidR="00DA09CD">
              <w:rPr>
                <w:sz w:val="17"/>
                <w:szCs w:val="17"/>
              </w:rPr>
              <w:t>,</w:t>
            </w:r>
            <w:r>
              <w:rPr>
                <w:sz w:val="17"/>
                <w:szCs w:val="17"/>
              </w:rPr>
              <w:t xml:space="preserve"> significant interindividual metabolic variability confirmed.</w:t>
            </w:r>
          </w:p>
        </w:tc>
        <w:tc>
          <w:tcPr>
            <w:tcW w:w="828" w:type="pct"/>
          </w:tcPr>
          <w:p w14:paraId="65F1957D" w14:textId="77777777" w:rsidR="005D6C41" w:rsidRDefault="005D6C41" w:rsidP="00BC2C3A">
            <w:pPr>
              <w:spacing w:after="80"/>
            </w:pPr>
            <w:r>
              <w:rPr>
                <w:sz w:val="17"/>
                <w:szCs w:val="17"/>
              </w:rPr>
              <w:t>Heterogeneous included studies; limited controlled evidence; adverse outcomes reported mostly from high-dose case reports involving pharmaceutical use for NVP, with little consideration of confounding factors such as maternal toxicity or other interacting exposures. This is very weak evidence and should be weighted accordingly.</w:t>
            </w:r>
          </w:p>
        </w:tc>
        <w:tc>
          <w:tcPr>
            <w:tcW w:w="790" w:type="pct"/>
          </w:tcPr>
          <w:p w14:paraId="0000C9BC" w14:textId="77777777" w:rsidR="005D6C41" w:rsidRDefault="005D6C41" w:rsidP="00BC2C3A">
            <w:pPr>
              <w:spacing w:after="80"/>
            </w:pPr>
            <w:r>
              <w:rPr>
                <w:sz w:val="17"/>
                <w:szCs w:val="17"/>
              </w:rPr>
              <w:t>No clinical adverse outcome.</w:t>
            </w:r>
          </w:p>
        </w:tc>
      </w:tr>
      <w:tr w:rsidR="005D6C41" w14:paraId="78F2FC9A" w14:textId="77777777" w:rsidTr="00F731BB">
        <w:tc>
          <w:tcPr>
            <w:tcW w:w="116" w:type="pct"/>
          </w:tcPr>
          <w:p w14:paraId="163470B3" w14:textId="77777777" w:rsidR="005D6C41" w:rsidRDefault="005D6C41" w:rsidP="00BC2C3A">
            <w:pPr>
              <w:spacing w:after="80"/>
            </w:pPr>
            <w:r>
              <w:rPr>
                <w:sz w:val="17"/>
                <w:szCs w:val="17"/>
              </w:rPr>
              <w:lastRenderedPageBreak/>
              <w:t>6</w:t>
            </w:r>
          </w:p>
        </w:tc>
        <w:tc>
          <w:tcPr>
            <w:tcW w:w="822" w:type="pct"/>
          </w:tcPr>
          <w:p w14:paraId="74D44D5A" w14:textId="77777777" w:rsidR="005D6C41" w:rsidRDefault="005D6C41" w:rsidP="00BC2C3A">
            <w:pPr>
              <w:spacing w:after="80"/>
            </w:pPr>
            <w:r>
              <w:rPr>
                <w:sz w:val="17"/>
                <w:szCs w:val="17"/>
              </w:rPr>
              <w:t>Health considerations – Are there sensitive subpopulations, exposure patterns or use scenarios that require specific consideration?</w:t>
            </w:r>
          </w:p>
        </w:tc>
        <w:tc>
          <w:tcPr>
            <w:tcW w:w="833" w:type="pct"/>
          </w:tcPr>
          <w:p w14:paraId="0FA87D18" w14:textId="77777777" w:rsidR="005D6C41" w:rsidRDefault="005D6C41" w:rsidP="00BC2C3A">
            <w:pPr>
              <w:spacing w:after="80"/>
            </w:pPr>
            <w:r>
              <w:rPr>
                <w:sz w:val="17"/>
                <w:szCs w:val="17"/>
              </w:rPr>
              <w:t>Directly relevant to general-population supplement use:</w:t>
            </w:r>
          </w:p>
          <w:p w14:paraId="4DD3BDE3" w14:textId="79457ECC" w:rsidR="005D6C41" w:rsidRDefault="005D6C41" w:rsidP="00BC2C3A">
            <w:pPr>
              <w:spacing w:after="80"/>
            </w:pPr>
            <w:r>
              <w:rPr>
                <w:sz w:val="17"/>
                <w:szCs w:val="17"/>
              </w:rPr>
              <w:t>• Older adults: Gdynia</w:t>
            </w:r>
            <w:r w:rsidR="00A26F96">
              <w:rPr>
                <w:sz w:val="17"/>
                <w:szCs w:val="17"/>
              </w:rPr>
              <w:t xml:space="preserve"> et al.</w:t>
            </w:r>
            <w:r>
              <w:rPr>
                <w:sz w:val="17"/>
                <w:szCs w:val="17"/>
              </w:rPr>
              <w:t xml:space="preserve"> (2025), mean age 80; chronic low-dose neuropathy; sensorimotor involvement.</w:t>
            </w:r>
          </w:p>
          <w:p w14:paraId="4F2881D5" w14:textId="1E0792DF" w:rsidR="005D6C41" w:rsidRDefault="005D6C41" w:rsidP="00BC2C3A">
            <w:pPr>
              <w:spacing w:after="80"/>
            </w:pPr>
            <w:r>
              <w:rPr>
                <w:sz w:val="17"/>
                <w:szCs w:val="17"/>
              </w:rPr>
              <w:t xml:space="preserve">• Self-medicating with multiple OTC supplements: Kościńska-Shukla </w:t>
            </w:r>
            <w:r w:rsidR="00217819">
              <w:rPr>
                <w:sz w:val="17"/>
                <w:szCs w:val="17"/>
              </w:rPr>
              <w:t xml:space="preserve">et al. </w:t>
            </w:r>
            <w:r>
              <w:rPr>
                <w:sz w:val="17"/>
                <w:szCs w:val="17"/>
              </w:rPr>
              <w:t xml:space="preserve">(2025), Gdynia </w:t>
            </w:r>
            <w:r w:rsidR="00A26F96">
              <w:rPr>
                <w:sz w:val="17"/>
                <w:szCs w:val="17"/>
              </w:rPr>
              <w:t xml:space="preserve">et al. </w:t>
            </w:r>
            <w:r>
              <w:rPr>
                <w:sz w:val="17"/>
                <w:szCs w:val="17"/>
              </w:rPr>
              <w:t>(2025) — unrecognised cumulative intake.</w:t>
            </w:r>
          </w:p>
          <w:p w14:paraId="6009B672" w14:textId="1CEE4792" w:rsidR="005D6C41" w:rsidRDefault="005D6C41" w:rsidP="00BC2C3A">
            <w:pPr>
              <w:spacing w:after="80"/>
            </w:pPr>
            <w:r>
              <w:rPr>
                <w:sz w:val="17"/>
                <w:szCs w:val="17"/>
              </w:rPr>
              <w:t xml:space="preserve">• General population supplement users: vanHunsel </w:t>
            </w:r>
            <w:r w:rsidR="00217819">
              <w:rPr>
                <w:sz w:val="17"/>
                <w:szCs w:val="17"/>
              </w:rPr>
              <w:t xml:space="preserve">et al. </w:t>
            </w:r>
            <w:r>
              <w:rPr>
                <w:sz w:val="17"/>
                <w:szCs w:val="17"/>
              </w:rPr>
              <w:t>(2025) — neuropathy reports even below regulatory limits; weak dose-plasma correlation confirms variability.</w:t>
            </w:r>
          </w:p>
          <w:p w14:paraId="6FA92D18" w14:textId="77777777" w:rsidR="005D6C41" w:rsidRDefault="005D6C41" w:rsidP="00BC2C3A">
            <w:pPr>
              <w:spacing w:after="80"/>
            </w:pPr>
            <w:r>
              <w:rPr>
                <w:sz w:val="17"/>
                <w:szCs w:val="17"/>
              </w:rPr>
              <w:t>Of limited relevance to general-population UL sub-population characterisation:</w:t>
            </w:r>
          </w:p>
          <w:p w14:paraId="4833F152" w14:textId="1D6AB2FF" w:rsidR="005D6C41" w:rsidRDefault="005D6C41" w:rsidP="00BC2C3A">
            <w:pPr>
              <w:spacing w:after="80"/>
            </w:pPr>
            <w:r>
              <w:rPr>
                <w:sz w:val="17"/>
                <w:szCs w:val="17"/>
              </w:rPr>
              <w:t xml:space="preserve">• Parkinson's disease on levodopa: Modica </w:t>
            </w:r>
            <w:r w:rsidR="00217819">
              <w:rPr>
                <w:sz w:val="17"/>
                <w:szCs w:val="17"/>
              </w:rPr>
              <w:t xml:space="preserve">et al. </w:t>
            </w:r>
            <w:r>
              <w:rPr>
                <w:sz w:val="17"/>
                <w:szCs w:val="17"/>
              </w:rPr>
              <w:t>(2023)</w:t>
            </w:r>
            <w:r w:rsidR="00217819">
              <w:rPr>
                <w:sz w:val="17"/>
                <w:szCs w:val="17"/>
              </w:rPr>
              <w:t>,</w:t>
            </w:r>
            <w:r>
              <w:rPr>
                <w:sz w:val="17"/>
                <w:szCs w:val="17"/>
              </w:rPr>
              <w:t xml:space="preserve"> specific clinical</w:t>
            </w:r>
            <w:r w:rsidR="00DA09CD">
              <w:rPr>
                <w:sz w:val="17"/>
                <w:szCs w:val="17"/>
              </w:rPr>
              <w:t xml:space="preserve"> </w:t>
            </w:r>
            <w:r>
              <w:rPr>
                <w:sz w:val="17"/>
                <w:szCs w:val="17"/>
              </w:rPr>
              <w:t>/</w:t>
            </w:r>
            <w:r w:rsidR="00DA09CD">
              <w:rPr>
                <w:sz w:val="17"/>
                <w:szCs w:val="17"/>
              </w:rPr>
              <w:t xml:space="preserve"> </w:t>
            </w:r>
            <w:r>
              <w:rPr>
                <w:sz w:val="17"/>
                <w:szCs w:val="17"/>
              </w:rPr>
              <w:t xml:space="preserve">pharmacological context, not </w:t>
            </w:r>
            <w:r>
              <w:rPr>
                <w:sz w:val="17"/>
                <w:szCs w:val="17"/>
              </w:rPr>
              <w:lastRenderedPageBreak/>
              <w:t>general dietary</w:t>
            </w:r>
            <w:r w:rsidR="00DA09CD">
              <w:rPr>
                <w:sz w:val="17"/>
                <w:szCs w:val="17"/>
              </w:rPr>
              <w:t xml:space="preserve"> </w:t>
            </w:r>
            <w:r>
              <w:rPr>
                <w:sz w:val="17"/>
                <w:szCs w:val="17"/>
              </w:rPr>
              <w:t>/</w:t>
            </w:r>
            <w:r w:rsidR="00DA09CD">
              <w:rPr>
                <w:sz w:val="17"/>
                <w:szCs w:val="17"/>
              </w:rPr>
              <w:t xml:space="preserve"> </w:t>
            </w:r>
            <w:r>
              <w:rPr>
                <w:sz w:val="17"/>
                <w:szCs w:val="17"/>
              </w:rPr>
              <w:t>supplement exposure.</w:t>
            </w:r>
          </w:p>
        </w:tc>
        <w:tc>
          <w:tcPr>
            <w:tcW w:w="789" w:type="pct"/>
          </w:tcPr>
          <w:p w14:paraId="0BBDBD85" w14:textId="2C5B25E1" w:rsidR="005D6C41" w:rsidRDefault="005D6C41" w:rsidP="00BC2C3A">
            <w:pPr>
              <w:spacing w:after="80"/>
            </w:pPr>
            <w:r>
              <w:rPr>
                <w:sz w:val="17"/>
                <w:szCs w:val="17"/>
              </w:rPr>
              <w:lastRenderedPageBreak/>
              <w:t xml:space="preserve">Rare genetic disorder patients (PNPO, ALDH7A1, CBS deficiency) and infants &lt;9 months on therapeutic PLP reflect pharmaceutical use under medical supervision in non-representative clinical populations </w:t>
            </w:r>
            <w:r w:rsidR="00AA2119" w:rsidRPr="00AA2119">
              <w:rPr>
                <w:sz w:val="17"/>
                <w:szCs w:val="17"/>
              </w:rPr>
              <w:t>(Brands et al. 2026; Lee et al. 2025; Stolwijk et al. 2025; Webster et al. 2026; Morris et al. 2025; Arai et al. 2023)</w:t>
            </w:r>
            <w:r>
              <w:rPr>
                <w:sz w:val="17"/>
                <w:szCs w:val="17"/>
              </w:rPr>
              <w:t>. Retained for completeness and clinical-management awareness only</w:t>
            </w:r>
            <w:r w:rsidR="00DA09CD">
              <w:rPr>
                <w:sz w:val="17"/>
                <w:szCs w:val="17"/>
              </w:rPr>
              <w:t xml:space="preserve">; </w:t>
            </w:r>
            <w:r>
              <w:rPr>
                <w:sz w:val="17"/>
                <w:szCs w:val="17"/>
              </w:rPr>
              <w:t>not evidence informing general-population UL sub-population characterisation.</w:t>
            </w:r>
          </w:p>
        </w:tc>
        <w:tc>
          <w:tcPr>
            <w:tcW w:w="822" w:type="pct"/>
          </w:tcPr>
          <w:p w14:paraId="091C4BEB" w14:textId="3FC8F996" w:rsidR="005D6C41" w:rsidRDefault="005D6C41" w:rsidP="00BC2C3A">
            <w:pPr>
              <w:spacing w:after="80"/>
            </w:pPr>
            <w:r>
              <w:rPr>
                <w:sz w:val="17"/>
                <w:szCs w:val="17"/>
              </w:rPr>
              <w:t>TNSALP-deficient individuals (HPP and carriers, ~1/300 in Western populations) and genetically variable B6 metabolisers (</w:t>
            </w:r>
            <w:r w:rsidRPr="0041556B">
              <w:rPr>
                <w:sz w:val="17"/>
                <w:szCs w:val="17"/>
              </w:rPr>
              <w:t xml:space="preserve">vanHunsel </w:t>
            </w:r>
            <w:r w:rsidR="0041556B" w:rsidRPr="00400348">
              <w:rPr>
                <w:sz w:val="17"/>
                <w:szCs w:val="17"/>
              </w:rPr>
              <w:t xml:space="preserve">et al. </w:t>
            </w:r>
            <w:r w:rsidRPr="0041556B">
              <w:rPr>
                <w:sz w:val="17"/>
                <w:szCs w:val="17"/>
              </w:rPr>
              <w:t>2025</w:t>
            </w:r>
            <w:r>
              <w:rPr>
                <w:sz w:val="17"/>
                <w:szCs w:val="17"/>
              </w:rPr>
              <w:t>) represent a mechanistically relevant general-population susceptibility factor (impaired PLP clearance)</w:t>
            </w:r>
            <w:r w:rsidR="00A76844">
              <w:rPr>
                <w:sz w:val="17"/>
                <w:szCs w:val="17"/>
              </w:rPr>
              <w:t>;</w:t>
            </w:r>
            <w:r>
              <w:rPr>
                <w:sz w:val="17"/>
                <w:szCs w:val="17"/>
              </w:rPr>
              <w:t>carrier frequency is not negligible and clearance variability is present in the general population. Retained as directly relevant context for UL uncertainty considerations.</w:t>
            </w:r>
          </w:p>
        </w:tc>
        <w:tc>
          <w:tcPr>
            <w:tcW w:w="828" w:type="pct"/>
          </w:tcPr>
          <w:p w14:paraId="1D993D7B" w14:textId="1C1BC8F6" w:rsidR="005D6C41" w:rsidRDefault="00937BC3" w:rsidP="00BC2C3A">
            <w:pPr>
              <w:spacing w:after="80"/>
            </w:pPr>
            <w:r w:rsidRPr="00937BC3">
              <w:rPr>
                <w:sz w:val="17"/>
                <w:szCs w:val="17"/>
              </w:rPr>
              <w:t xml:space="preserve">Pregnant women using B6 pharmacologically for NVP (He </w:t>
            </w:r>
            <w:r w:rsidR="0041556B">
              <w:rPr>
                <w:sz w:val="17"/>
                <w:szCs w:val="17"/>
              </w:rPr>
              <w:t xml:space="preserve">et al. </w:t>
            </w:r>
            <w:r w:rsidRPr="00937BC3">
              <w:rPr>
                <w:sz w:val="17"/>
                <w:szCs w:val="17"/>
              </w:rPr>
              <w:t>2025) reflect a therapeutic-use context rather than general dietary/supplement exposure; relevance to general-population UL derivation is limited. Schellack et al. (2025), an expert consensus on therapeutic vitamin B6 use, explicitly excludes pregnant women from its dosing guidance. This exclusion points to a gap in the therapeutic-use literature specific to pregnancy, but it is not itself evidence relevant to general-population UL derivation.</w:t>
            </w:r>
          </w:p>
        </w:tc>
        <w:tc>
          <w:tcPr>
            <w:tcW w:w="790" w:type="pct"/>
          </w:tcPr>
          <w:p w14:paraId="1AD859A0" w14:textId="30D704DA" w:rsidR="005D6C41" w:rsidRDefault="005D6C41" w:rsidP="00BC2C3A">
            <w:pPr>
              <w:spacing w:after="80"/>
            </w:pPr>
            <w:r>
              <w:rPr>
                <w:sz w:val="17"/>
                <w:szCs w:val="17"/>
              </w:rPr>
              <w:t>Bariatric surgery patients and women 41–60 yrs most represented in overdose samples (</w:t>
            </w:r>
            <w:r w:rsidRPr="0041556B">
              <w:rPr>
                <w:sz w:val="17"/>
                <w:szCs w:val="17"/>
              </w:rPr>
              <w:t>Bossard</w:t>
            </w:r>
            <w:r w:rsidR="0041556B" w:rsidRPr="00400348">
              <w:rPr>
                <w:sz w:val="17"/>
                <w:szCs w:val="17"/>
              </w:rPr>
              <w:t xml:space="preserve"> et al.</w:t>
            </w:r>
            <w:r w:rsidRPr="0041556B">
              <w:rPr>
                <w:sz w:val="17"/>
                <w:szCs w:val="17"/>
              </w:rPr>
              <w:t xml:space="preserve"> 2022</w:t>
            </w:r>
            <w:r>
              <w:rPr>
                <w:sz w:val="17"/>
                <w:szCs w:val="17"/>
              </w:rPr>
              <w:t>). Bariatric surgery patients reflect a specific clinical population (altered absorption, post-surgery multivitamin use) rather than general dietary/supplement exposure; noted for contextual awareness only.</w:t>
            </w:r>
          </w:p>
        </w:tc>
      </w:tr>
      <w:tr w:rsidR="005D6C41" w14:paraId="6FBD07C2" w14:textId="77777777" w:rsidTr="00F731BB">
        <w:tc>
          <w:tcPr>
            <w:tcW w:w="116" w:type="pct"/>
          </w:tcPr>
          <w:p w14:paraId="1CD1A9F7" w14:textId="77777777" w:rsidR="005D6C41" w:rsidRDefault="005D6C41" w:rsidP="00BC2C3A">
            <w:pPr>
              <w:spacing w:after="80"/>
            </w:pPr>
            <w:r>
              <w:rPr>
                <w:sz w:val="17"/>
                <w:szCs w:val="17"/>
              </w:rPr>
              <w:t>7</w:t>
            </w:r>
          </w:p>
        </w:tc>
        <w:tc>
          <w:tcPr>
            <w:tcW w:w="822" w:type="pct"/>
          </w:tcPr>
          <w:p w14:paraId="327232B0" w14:textId="77777777" w:rsidR="005D6C41" w:rsidRDefault="005D6C41" w:rsidP="00BC2C3A">
            <w:pPr>
              <w:spacing w:after="80"/>
            </w:pPr>
            <w:r>
              <w:rPr>
                <w:sz w:val="17"/>
                <w:szCs w:val="17"/>
              </w:rPr>
              <w:t>Health considerations – How are pregnancy and other potentially sensitive life stages considered in the derivation of the UL, and are different uncertainty factors or adjustments applied for specific subpopulations where appropriate?</w:t>
            </w:r>
          </w:p>
        </w:tc>
        <w:tc>
          <w:tcPr>
            <w:tcW w:w="833" w:type="pct"/>
          </w:tcPr>
          <w:p w14:paraId="620F4820" w14:textId="70F93432" w:rsidR="005D6C41" w:rsidRDefault="00937BC3" w:rsidP="00BC2C3A">
            <w:pPr>
              <w:spacing w:after="80"/>
            </w:pPr>
            <w:r w:rsidRPr="00937BC3">
              <w:rPr>
                <w:sz w:val="17"/>
                <w:szCs w:val="17"/>
              </w:rPr>
              <w:t>Evidence supports lower thresholds for older adults and suggests enhanced monitoring, but neither EFSA (2023) nor this evaluation has derived or applied a formal uncertainty factor for this subgroup.</w:t>
            </w:r>
          </w:p>
        </w:tc>
        <w:tc>
          <w:tcPr>
            <w:tcW w:w="789" w:type="pct"/>
          </w:tcPr>
          <w:p w14:paraId="7F4EEAAF" w14:textId="6BE5C097" w:rsidR="005D6C41" w:rsidRDefault="00937BC3" w:rsidP="00BC2C3A">
            <w:pPr>
              <w:spacing w:after="80"/>
            </w:pPr>
            <w:r w:rsidRPr="00937BC3">
              <w:rPr>
                <w:sz w:val="17"/>
                <w:szCs w:val="17"/>
              </w:rPr>
              <w:t>Arai et al. (2023): age &lt;9 months identified as an independent risk factor for hepatotoxicity in infants receiving therapeutic PLP, i.e. a pharmaceutical-use clinical context. Whyte et al. (2024): TNSALP activity varies with developmental stage, providing a biological basis for age-specific PLP metabolism that is generally relevant, independent of the clinical setting in which it was observed. In neither case has EFSA (2023) or this evaluation derived or applied a formal uncertainty factor.</w:t>
            </w:r>
          </w:p>
        </w:tc>
        <w:tc>
          <w:tcPr>
            <w:tcW w:w="822" w:type="pct"/>
          </w:tcPr>
          <w:p w14:paraId="118E2D78" w14:textId="57E9DB7C" w:rsidR="005D6C41" w:rsidRDefault="005F120D" w:rsidP="00BC2C3A">
            <w:pPr>
              <w:spacing w:after="80"/>
            </w:pPr>
            <w:r w:rsidRPr="005F120D">
              <w:rPr>
                <w:sz w:val="17"/>
                <w:szCs w:val="17"/>
              </w:rPr>
              <w:t>Whyte et al. (2024): TNSALP activity determines PLP clearance capacity, providing a biological basis for a genotype-specific uncertainty factor. Since TNSALP carrier frequency in the general population is ~1/300, this rationale extends beyond the clinical HPP population studied and could support a higher uncertainty factor for individuals with reduced PLP clearance more broadly. However, neither EFSA (2023) nor NHMRC (2006) currently applies such an adjustment in their UL derivations, and this evaluation does not propose one.</w:t>
            </w:r>
          </w:p>
        </w:tc>
        <w:tc>
          <w:tcPr>
            <w:tcW w:w="828" w:type="pct"/>
          </w:tcPr>
          <w:p w14:paraId="16730BAB" w14:textId="7115B614" w:rsidR="005D6C41" w:rsidRDefault="005F120D" w:rsidP="00BC2C3A">
            <w:pPr>
              <w:spacing w:after="80"/>
            </w:pPr>
            <w:r w:rsidRPr="005F120D">
              <w:rPr>
                <w:sz w:val="17"/>
                <w:szCs w:val="17"/>
              </w:rPr>
              <w:t>Adverse neurological outcomes reported in pregnant women using B6 pharmacologically at ≥30 mg/day, with possible foetal effects at higher doses; this evidence arises from therapeutic NVP treatment rather than dietary/supplement exposure, and maternal toxicity from NVP itself is a plausible unaddressed confounder (see row 4). Caution is needed before concluding a pregnancy-specific UL is warranted on this basis alone. Schellack et al. (2025) explicitly excludes pregnant/lactating women, citing insufficient evidence, a data gap rather than a positive finding. Neither EFSA (2023) nor this evaluation has derived or applied a formal uncertainty factor for pregnancy on this basis.</w:t>
            </w:r>
          </w:p>
        </w:tc>
        <w:tc>
          <w:tcPr>
            <w:tcW w:w="790" w:type="pct"/>
          </w:tcPr>
          <w:p w14:paraId="56936601" w14:textId="77777777" w:rsidR="005D6C41" w:rsidRDefault="005D6C41" w:rsidP="00BC2C3A">
            <w:pPr>
              <w:spacing w:after="80"/>
            </w:pPr>
            <w:r>
              <w:rPr>
                <w:sz w:val="17"/>
                <w:szCs w:val="17"/>
              </w:rPr>
              <w:t>Not directly relevant to UF derivation.</w:t>
            </w:r>
          </w:p>
        </w:tc>
      </w:tr>
      <w:tr w:rsidR="005D6C41" w14:paraId="44CB6084" w14:textId="77777777" w:rsidTr="00F731BB">
        <w:tc>
          <w:tcPr>
            <w:tcW w:w="116" w:type="pct"/>
          </w:tcPr>
          <w:p w14:paraId="41DF7DAF" w14:textId="77777777" w:rsidR="005D6C41" w:rsidRDefault="005D6C41" w:rsidP="00BC2C3A">
            <w:pPr>
              <w:spacing w:after="80"/>
            </w:pPr>
            <w:r>
              <w:rPr>
                <w:sz w:val="17"/>
                <w:szCs w:val="17"/>
              </w:rPr>
              <w:t>8</w:t>
            </w:r>
          </w:p>
        </w:tc>
        <w:tc>
          <w:tcPr>
            <w:tcW w:w="822" w:type="pct"/>
          </w:tcPr>
          <w:p w14:paraId="35E5851B" w14:textId="77777777" w:rsidR="005D6C41" w:rsidRDefault="005D6C41" w:rsidP="00BC2C3A">
            <w:pPr>
              <w:spacing w:after="80"/>
            </w:pPr>
            <w:r>
              <w:rPr>
                <w:sz w:val="17"/>
                <w:szCs w:val="17"/>
              </w:rPr>
              <w:t>Australian and New Zealand intake profile (where relevant to interpretation of risk in Australia and New Zealand) – What are the typical dietary and supplemental sources of vitamin B6 in Australia and New Zealand?</w:t>
            </w:r>
          </w:p>
        </w:tc>
        <w:tc>
          <w:tcPr>
            <w:tcW w:w="833" w:type="pct"/>
          </w:tcPr>
          <w:p w14:paraId="4130312E" w14:textId="68F71D8A" w:rsidR="005D6C41" w:rsidRDefault="005D6C41" w:rsidP="00BC2C3A">
            <w:pPr>
              <w:spacing w:after="80"/>
            </w:pPr>
            <w:r>
              <w:rPr>
                <w:sz w:val="17"/>
                <w:szCs w:val="17"/>
              </w:rPr>
              <w:t>N</w:t>
            </w:r>
            <w:r w:rsidR="00A26F96">
              <w:rPr>
                <w:sz w:val="17"/>
                <w:szCs w:val="17"/>
              </w:rPr>
              <w:t>ot Applicable</w:t>
            </w:r>
          </w:p>
        </w:tc>
        <w:tc>
          <w:tcPr>
            <w:tcW w:w="789" w:type="pct"/>
          </w:tcPr>
          <w:p w14:paraId="70DB796A" w14:textId="6B353622" w:rsidR="005D6C41" w:rsidRDefault="00A26F96" w:rsidP="00BC2C3A">
            <w:pPr>
              <w:spacing w:after="80"/>
            </w:pPr>
            <w:r>
              <w:rPr>
                <w:sz w:val="17"/>
                <w:szCs w:val="17"/>
              </w:rPr>
              <w:t>Not Applicable</w:t>
            </w:r>
            <w:r w:rsidDel="00A26F96">
              <w:rPr>
                <w:sz w:val="17"/>
                <w:szCs w:val="17"/>
              </w:rPr>
              <w:t xml:space="preserve"> </w:t>
            </w:r>
          </w:p>
        </w:tc>
        <w:tc>
          <w:tcPr>
            <w:tcW w:w="822" w:type="pct"/>
          </w:tcPr>
          <w:p w14:paraId="2ECDD131" w14:textId="736AB1FB" w:rsidR="005D6C41" w:rsidRDefault="00A26F96" w:rsidP="00BC2C3A">
            <w:pPr>
              <w:spacing w:after="80"/>
            </w:pPr>
            <w:r>
              <w:rPr>
                <w:sz w:val="17"/>
                <w:szCs w:val="17"/>
              </w:rPr>
              <w:t>Not Applicable</w:t>
            </w:r>
            <w:r w:rsidDel="00A26F96">
              <w:rPr>
                <w:sz w:val="17"/>
                <w:szCs w:val="17"/>
              </w:rPr>
              <w:t xml:space="preserve"> </w:t>
            </w:r>
          </w:p>
        </w:tc>
        <w:tc>
          <w:tcPr>
            <w:tcW w:w="828" w:type="pct"/>
          </w:tcPr>
          <w:p w14:paraId="28DF1E0B" w14:textId="5F3ADF4C" w:rsidR="005D6C41" w:rsidRDefault="00A26F96" w:rsidP="00BC2C3A">
            <w:pPr>
              <w:spacing w:after="80"/>
            </w:pPr>
            <w:r>
              <w:rPr>
                <w:sz w:val="17"/>
                <w:szCs w:val="17"/>
              </w:rPr>
              <w:t>Not Applicable</w:t>
            </w:r>
            <w:r w:rsidDel="00A26F96">
              <w:rPr>
                <w:sz w:val="17"/>
                <w:szCs w:val="17"/>
              </w:rPr>
              <w:t xml:space="preserve"> </w:t>
            </w:r>
          </w:p>
        </w:tc>
        <w:tc>
          <w:tcPr>
            <w:tcW w:w="790" w:type="pct"/>
          </w:tcPr>
          <w:p w14:paraId="12904C4A" w14:textId="70953CD9" w:rsidR="005D6C41" w:rsidRDefault="00A26F96" w:rsidP="00BC2C3A">
            <w:pPr>
              <w:spacing w:after="80"/>
            </w:pPr>
            <w:r>
              <w:rPr>
                <w:sz w:val="17"/>
                <w:szCs w:val="17"/>
              </w:rPr>
              <w:t>Not Applicable</w:t>
            </w:r>
            <w:r w:rsidDel="00A26F96">
              <w:rPr>
                <w:sz w:val="17"/>
                <w:szCs w:val="17"/>
              </w:rPr>
              <w:t xml:space="preserve"> </w:t>
            </w:r>
          </w:p>
        </w:tc>
      </w:tr>
      <w:tr w:rsidR="005D6C41" w14:paraId="1E01C00E" w14:textId="77777777" w:rsidTr="00F731BB">
        <w:tc>
          <w:tcPr>
            <w:tcW w:w="116" w:type="pct"/>
          </w:tcPr>
          <w:p w14:paraId="4942732E" w14:textId="77777777" w:rsidR="005D6C41" w:rsidRDefault="005D6C41" w:rsidP="00BC2C3A">
            <w:pPr>
              <w:spacing w:after="80"/>
            </w:pPr>
            <w:r>
              <w:rPr>
                <w:sz w:val="17"/>
                <w:szCs w:val="17"/>
              </w:rPr>
              <w:lastRenderedPageBreak/>
              <w:t>9</w:t>
            </w:r>
          </w:p>
        </w:tc>
        <w:tc>
          <w:tcPr>
            <w:tcW w:w="822" w:type="pct"/>
          </w:tcPr>
          <w:p w14:paraId="154993A4" w14:textId="77777777" w:rsidR="005D6C41" w:rsidRDefault="005D6C41" w:rsidP="00BC2C3A">
            <w:pPr>
              <w:spacing w:after="80"/>
            </w:pPr>
            <w:r>
              <w:rPr>
                <w:sz w:val="17"/>
                <w:szCs w:val="17"/>
              </w:rPr>
              <w:t>Australian and New Zealand intake profile (where relevant to interpretation of risk in Australia and New Zealand) – What are the typical dietary and supplementary intakes of vitamin B6 in the Australian and New Zealand population?</w:t>
            </w:r>
          </w:p>
        </w:tc>
        <w:tc>
          <w:tcPr>
            <w:tcW w:w="833" w:type="pct"/>
          </w:tcPr>
          <w:p w14:paraId="42B1AB95" w14:textId="284C53A9" w:rsidR="005D6C41" w:rsidRDefault="00A26F96" w:rsidP="00BC2C3A">
            <w:pPr>
              <w:spacing w:after="80"/>
            </w:pPr>
            <w:r>
              <w:rPr>
                <w:sz w:val="17"/>
                <w:szCs w:val="17"/>
              </w:rPr>
              <w:t>Not Applicable</w:t>
            </w:r>
            <w:r w:rsidDel="00A26F96">
              <w:rPr>
                <w:sz w:val="17"/>
                <w:szCs w:val="17"/>
              </w:rPr>
              <w:t xml:space="preserve"> </w:t>
            </w:r>
          </w:p>
        </w:tc>
        <w:tc>
          <w:tcPr>
            <w:tcW w:w="789" w:type="pct"/>
          </w:tcPr>
          <w:p w14:paraId="35104507" w14:textId="13323391" w:rsidR="005D6C41" w:rsidRDefault="00A26F96" w:rsidP="00BC2C3A">
            <w:pPr>
              <w:spacing w:after="80"/>
            </w:pPr>
            <w:r>
              <w:rPr>
                <w:sz w:val="17"/>
                <w:szCs w:val="17"/>
              </w:rPr>
              <w:t>Not Applicable</w:t>
            </w:r>
            <w:r w:rsidDel="00A26F96">
              <w:rPr>
                <w:sz w:val="17"/>
                <w:szCs w:val="17"/>
              </w:rPr>
              <w:t xml:space="preserve"> </w:t>
            </w:r>
          </w:p>
        </w:tc>
        <w:tc>
          <w:tcPr>
            <w:tcW w:w="822" w:type="pct"/>
          </w:tcPr>
          <w:p w14:paraId="4C34E579" w14:textId="07F10BDC" w:rsidR="005D6C41" w:rsidRDefault="00A26F96" w:rsidP="00BC2C3A">
            <w:pPr>
              <w:spacing w:after="80"/>
            </w:pPr>
            <w:r>
              <w:rPr>
                <w:sz w:val="17"/>
                <w:szCs w:val="17"/>
              </w:rPr>
              <w:t>Not Applicable</w:t>
            </w:r>
            <w:r w:rsidDel="00A26F96">
              <w:rPr>
                <w:sz w:val="17"/>
                <w:szCs w:val="17"/>
              </w:rPr>
              <w:t xml:space="preserve"> </w:t>
            </w:r>
          </w:p>
        </w:tc>
        <w:tc>
          <w:tcPr>
            <w:tcW w:w="828" w:type="pct"/>
          </w:tcPr>
          <w:p w14:paraId="24543B2F" w14:textId="4560A3A7" w:rsidR="005D6C41" w:rsidRDefault="00A26F96" w:rsidP="00BC2C3A">
            <w:pPr>
              <w:spacing w:after="80"/>
            </w:pPr>
            <w:r>
              <w:rPr>
                <w:sz w:val="17"/>
                <w:szCs w:val="17"/>
              </w:rPr>
              <w:t>Not Applicable</w:t>
            </w:r>
            <w:r w:rsidDel="00A26F96">
              <w:rPr>
                <w:sz w:val="17"/>
                <w:szCs w:val="17"/>
              </w:rPr>
              <w:t xml:space="preserve"> </w:t>
            </w:r>
          </w:p>
        </w:tc>
        <w:tc>
          <w:tcPr>
            <w:tcW w:w="790" w:type="pct"/>
          </w:tcPr>
          <w:p w14:paraId="4E6F46F3" w14:textId="2773285E" w:rsidR="005D6C41" w:rsidRDefault="00A26F96" w:rsidP="00BC2C3A">
            <w:pPr>
              <w:spacing w:after="80"/>
            </w:pPr>
            <w:r>
              <w:rPr>
                <w:sz w:val="17"/>
                <w:szCs w:val="17"/>
              </w:rPr>
              <w:t>Not Applicable</w:t>
            </w:r>
            <w:r w:rsidDel="00A26F96">
              <w:rPr>
                <w:sz w:val="17"/>
                <w:szCs w:val="17"/>
              </w:rPr>
              <w:t xml:space="preserve"> </w:t>
            </w:r>
          </w:p>
        </w:tc>
      </w:tr>
    </w:tbl>
    <w:p w14:paraId="6DF324D3" w14:textId="77777777" w:rsidR="00761503" w:rsidRDefault="00761503" w:rsidP="00761503"/>
    <w:p w14:paraId="51B3FFFB" w14:textId="77777777" w:rsidR="009E2257" w:rsidRPr="00761503" w:rsidRDefault="009E2257" w:rsidP="00761503">
      <w:pPr>
        <w:sectPr w:rsidR="009E2257" w:rsidRPr="00761503" w:rsidSect="00DD189C">
          <w:headerReference w:type="default" r:id="rId22"/>
          <w:footerReference w:type="default" r:id="rId23"/>
          <w:pgSz w:w="16834" w:h="11909" w:orient="landscape" w:code="9"/>
          <w:pgMar w:top="1440" w:right="1440" w:bottom="1440" w:left="1276" w:header="576" w:footer="576" w:gutter="0"/>
          <w:cols w:space="720"/>
          <w:docGrid w:linePitch="360"/>
        </w:sectPr>
      </w:pPr>
    </w:p>
    <w:p w14:paraId="5E52DF30" w14:textId="73A5C778" w:rsidR="00D53252" w:rsidRDefault="00D53252" w:rsidP="00D53252">
      <w:pPr>
        <w:pStyle w:val="Heading2"/>
      </w:pPr>
      <w:bookmarkStart w:id="35" w:name="_Toc233031591"/>
      <w:r w:rsidRPr="00EA629B">
        <w:lastRenderedPageBreak/>
        <w:t>Adverse key event reports</w:t>
      </w:r>
      <w:bookmarkEnd w:id="35"/>
    </w:p>
    <w:p w14:paraId="3F74BE7F" w14:textId="3DD42C39" w:rsidR="00EA629B" w:rsidRDefault="00EA629B" w:rsidP="00EA629B">
      <w:pPr>
        <w:pStyle w:val="BodyText"/>
      </w:pPr>
      <w:r>
        <w:t>Adverse event reporting databases were reviewed as supporting contextual evidence for the vitamin B6 UL evaluation, including the Therapeutic Goods Administration’s Database of Adverse Event Notifications – medicines (DAEN – medicines), the World Health Organization’s VigiAccess, the United States Food and Drug Administration’s FDA Adverse Event Monitoring System (AEMS) Public Dashboard, the European Medicines Agency’s EudraVigilance: European database of suspected adverse drug reaction reports, and Health Canada’s Canada Vigilance Adverse Reaction Online Database.</w:t>
      </w:r>
    </w:p>
    <w:p w14:paraId="763EB1F0" w14:textId="0E88C2B9" w:rsidR="00EA629B" w:rsidRDefault="00EA629B" w:rsidP="00EA629B">
      <w:pPr>
        <w:pStyle w:val="BodyText"/>
      </w:pPr>
      <w:r>
        <w:t>Across these databases, adverse event reports associated with pyridoxine or vitamin B6-containing products were identified, with reporting generally weighted toward recent years. This pattern may reflect increased product use, greater clinical and regulatory awareness of vitamin B6-associated neuropathy, changes in reporting practices, or stimulated reporting, rather than demonstrating a true increase in population-level risk.</w:t>
      </w:r>
    </w:p>
    <w:p w14:paraId="6DC095BB" w14:textId="589C0DBA" w:rsidR="00EA629B" w:rsidRDefault="00EA629B" w:rsidP="00EA629B">
      <w:pPr>
        <w:pStyle w:val="BodyText"/>
      </w:pPr>
      <w:r>
        <w:t>The main signal across the databases was neurological, particularly neuropathy-type symptoms such as paraesthesia, peripheral neuropathy, hypoaesthesia, burning sensation, pain in extremity, gait disturbance, balance problems, muscular weakness and dizziness. This pattern is consistent with the critical effect identified in existing guidance and supports the continued focus on peripheral neuropathy as the key adverse outcome for UL evaluation.</w:t>
      </w:r>
    </w:p>
    <w:p w14:paraId="12307CC7" w14:textId="6389C821" w:rsidR="00EA629B" w:rsidRDefault="00EA629B" w:rsidP="00EA629B">
      <w:pPr>
        <w:pStyle w:val="BodyText"/>
      </w:pPr>
      <w:r>
        <w:t>Reports were commonly in adults, including middle-aged and older adults, and several datasets showed a higher proportion of reports in females. However, interpretation is limited by missing demographic information, differences in product use, and differences in reporting behaviour. Reports also frequently involved multi-ingredient products, including B-complex products, magnesium/vitamin B6 combinations, multivitamins, pregnancy supplements, stress or energy formulations, and injectable preparations. This highlights the practical difficulty of attributing reported effects to vitamin B6 alone and supports the need to consider cumulative exposure from multiple supplemental sources.</w:t>
      </w:r>
    </w:p>
    <w:p w14:paraId="19B96B08" w14:textId="5740D037" w:rsidR="00EA629B" w:rsidRPr="00EA629B" w:rsidRDefault="00EA629B" w:rsidP="00EA629B">
      <w:pPr>
        <w:pStyle w:val="BodyText"/>
      </w:pPr>
      <w:r>
        <w:t xml:space="preserve">These data are useful for signal detection and for confirming that neuropathy-type events continue to be reported in real-world use of vitamin B6-containing products. However, spontaneous adverse event reports cannot be used to estimate incidence, population risk, causality, threshold doses or dose–response relationships. Reports are often incomplete and may lack reliable information on dose, duration, vitamin B6 form, co-exposures and underlying health conditions. </w:t>
      </w:r>
    </w:p>
    <w:p w14:paraId="646F4B69" w14:textId="756AD742" w:rsidR="00A752AF" w:rsidRDefault="00A752AF" w:rsidP="00A752AF">
      <w:pPr>
        <w:pStyle w:val="Heading1"/>
      </w:pPr>
      <w:bookmarkStart w:id="36" w:name="_Toc233031592"/>
      <w:bookmarkStart w:id="37" w:name="_Ref233707052"/>
      <w:r>
        <w:t>Discussion</w:t>
      </w:r>
      <w:bookmarkEnd w:id="28"/>
      <w:bookmarkEnd w:id="29"/>
      <w:bookmarkEnd w:id="36"/>
      <w:bookmarkEnd w:id="37"/>
    </w:p>
    <w:p w14:paraId="2D70B959" w14:textId="4BB587D2" w:rsidR="00A752AF" w:rsidRDefault="00A752AF" w:rsidP="00A752AF">
      <w:pPr>
        <w:pStyle w:val="Heading2"/>
      </w:pPr>
      <w:bookmarkStart w:id="38" w:name="_Ref218672970"/>
      <w:bookmarkStart w:id="39" w:name="_Ref218672975"/>
      <w:bookmarkStart w:id="40" w:name="_Toc233031593"/>
      <w:r>
        <w:t>Suitability of health-based guidance for adoption/adaptation</w:t>
      </w:r>
      <w:bookmarkEnd w:id="38"/>
      <w:bookmarkEnd w:id="39"/>
      <w:bookmarkEnd w:id="40"/>
    </w:p>
    <w:p w14:paraId="070F9BD5" w14:textId="22CBDBAA" w:rsidR="009F2C81" w:rsidRDefault="00D53252" w:rsidP="00257CFB">
      <w:r w:rsidRPr="00D53252">
        <w:t xml:space="preserve">The key studies underpinning the EFSA (2023) and NHMRC (2006) vitamin B6 ULs were assessed to support interpretation of the suitability of existing health-based guidance for adoption or adaptation. </w:t>
      </w:r>
      <w:r w:rsidR="00A26F96">
        <w:fldChar w:fldCharType="begin"/>
      </w:r>
      <w:r w:rsidR="00A26F96">
        <w:instrText xml:space="preserve"> REF _Ref232181428 \h </w:instrText>
      </w:r>
      <w:r w:rsidR="00A26F96">
        <w:fldChar w:fldCharType="separate"/>
      </w:r>
      <w:r w:rsidR="0052675C" w:rsidRPr="004474B5">
        <w:rPr>
          <w:b/>
        </w:rPr>
        <w:t xml:space="preserve">Table </w:t>
      </w:r>
      <w:r w:rsidR="0052675C">
        <w:rPr>
          <w:b/>
          <w:noProof/>
        </w:rPr>
        <w:t>5</w:t>
      </w:r>
      <w:r w:rsidR="00A26F96">
        <w:fldChar w:fldCharType="end"/>
      </w:r>
      <w:r w:rsidRPr="00D53252">
        <w:t xml:space="preserve"> summarises the main studies relied upon in these derivations, including Dalton &amp; Dalton (1987) and Phillips et al. </w:t>
      </w:r>
      <w:r w:rsidRPr="00C533AA">
        <w:rPr>
          <w:lang w:val="da-DK"/>
        </w:rPr>
        <w:t xml:space="preserve">(1978) for EFSA, and Bernstein &amp; Lobitz (1988) and Del Tredici et al. </w:t>
      </w:r>
      <w:r w:rsidRPr="00D53252">
        <w:t>(1985) for NHMRC.</w:t>
      </w:r>
    </w:p>
    <w:p w14:paraId="0E230564" w14:textId="0E8AE1D2" w:rsidR="00D53252" w:rsidRDefault="00D53252" w:rsidP="00D53252">
      <w:r>
        <w:t xml:space="preserve">The assessment shows that the human evidence base underpinning both candidate guidance values is limited. Dalton &amp; Dalton (1987), which anchors EFSA’s human reference point, was rated as high risk of bias due to retrospective self-reported exposure, self-reported outcome assessment, lack of blinding or randomisation, and limitations in the study population. However, the study remains important because it provides the largest available human dataset, includes a control group, and reports duration-response and reversibility </w:t>
      </w:r>
      <w:r>
        <w:lastRenderedPageBreak/>
        <w:t>following cessation. These features support its use as part of a broader weight-of-evidence assessment, rather than as a stand-alone basis for the UL.</w:t>
      </w:r>
    </w:p>
    <w:p w14:paraId="3F7B2F79" w14:textId="5E343507" w:rsidR="00D53252" w:rsidRDefault="00D53252" w:rsidP="00D53252">
      <w:r>
        <w:t>The two human studies underpinning the current NHMRC (2006) UL, Bernstein &amp; Lobitz (1988) and Del Tredici et al. (1985), were also rated as high risk of bias. Both were small, uncontrolled studies conducted in clinical populations with pre-existing neuropathy-related conditions, limiting their applicability to the general healthy population. Their short exposure durations are also important given the recognised inverse relationship between vitamin B6 dose and time to onset of peripheral neuropathy.</w:t>
      </w:r>
    </w:p>
    <w:p w14:paraId="69DCF0FC" w14:textId="6335E043" w:rsidR="00D53252" w:rsidRDefault="00D53252" w:rsidP="00D53252">
      <w:r>
        <w:t>In contrast, the Phillips et al. (1978) dog study used by EFSA as an independent animal cross-check was rated as low risk of bias, reflecting its controlled experimental design, clear dose-response and sensitive histopathological endpoint. While the animal study requires interspecies extrapolation and substantial uncertainty factors, the close agreement between EFSA’s human-derived and animal-derived UL values strengthens confidence in the final UL.</w:t>
      </w:r>
    </w:p>
    <w:p w14:paraId="5D8F7DBF" w14:textId="476E0D58" w:rsidR="00D53252" w:rsidRDefault="00D53252" w:rsidP="00D53252">
      <w:r>
        <w:t xml:space="preserve">Overall, it is </w:t>
      </w:r>
      <w:r w:rsidR="00DF278E">
        <w:t>indicated</w:t>
      </w:r>
      <w:r>
        <w:t xml:space="preserve"> that the reliability of the </w:t>
      </w:r>
      <w:r w:rsidR="00F03762">
        <w:t xml:space="preserve">EFSA </w:t>
      </w:r>
      <w:r>
        <w:t xml:space="preserve">vitamin B6 UL evidence base depends less on any single study and more on the consistency of the overall weight of evidence. The high risk of bias in the human studies should be </w:t>
      </w:r>
      <w:r w:rsidR="00A26F96">
        <w:t>recognised</w:t>
      </w:r>
      <w:r>
        <w:t xml:space="preserve"> as an important uncertainty. However, EFSA’s use of multiple converging lines of human evidence, supported by an independent low risk-of-bias animal cross-check, provides a stronger and more transparent basis for adoption or adaptation than reliance on the earlier NHMRC human studies alone.</w:t>
      </w:r>
    </w:p>
    <w:p w14:paraId="5302C86D" w14:textId="4CA4A10B" w:rsidR="00257CFB" w:rsidRDefault="0046764B" w:rsidP="00A752AF">
      <w:bookmarkStart w:id="41" w:name="_Ref232181428"/>
      <w:bookmarkStart w:id="42" w:name="_Toc233031609"/>
      <w:r w:rsidRPr="004474B5">
        <w:rPr>
          <w:b/>
        </w:rPr>
        <w:t xml:space="preserve">Table </w:t>
      </w:r>
      <w:r w:rsidRPr="004474B5">
        <w:rPr>
          <w:b/>
        </w:rPr>
        <w:fldChar w:fldCharType="begin"/>
      </w:r>
      <w:r w:rsidRPr="004474B5">
        <w:rPr>
          <w:b/>
        </w:rPr>
        <w:instrText xml:space="preserve"> SEQ Table \* ARABIC </w:instrText>
      </w:r>
      <w:r w:rsidRPr="004474B5">
        <w:rPr>
          <w:b/>
        </w:rPr>
        <w:fldChar w:fldCharType="separate"/>
      </w:r>
      <w:r w:rsidR="0052675C">
        <w:rPr>
          <w:b/>
          <w:noProof/>
        </w:rPr>
        <w:t>5</w:t>
      </w:r>
      <w:r w:rsidRPr="004474B5">
        <w:fldChar w:fldCharType="end"/>
      </w:r>
      <w:bookmarkEnd w:id="41"/>
      <w:r w:rsidRPr="004474B5">
        <w:rPr>
          <w:b/>
        </w:rPr>
        <w:tab/>
        <w:t xml:space="preserve">Summary of </w:t>
      </w:r>
      <w:r>
        <w:rPr>
          <w:b/>
        </w:rPr>
        <w:t>assessment of key studies underpinning the guidance U</w:t>
      </w:r>
      <w:r w:rsidR="00EA629B">
        <w:rPr>
          <w:b/>
        </w:rPr>
        <w:t>L</w:t>
      </w:r>
      <w:r>
        <w:rPr>
          <w:b/>
        </w:rPr>
        <w:t>s for vitamin B6</w:t>
      </w:r>
      <w:bookmarkEnd w:id="42"/>
    </w:p>
    <w:tbl>
      <w:tblPr>
        <w:tblStyle w:val="SLROption2"/>
        <w:tblW w:w="0" w:type="auto"/>
        <w:tblLayout w:type="fixed"/>
        <w:tblLook w:val="04A0" w:firstRow="1" w:lastRow="0" w:firstColumn="1" w:lastColumn="0" w:noHBand="0" w:noVBand="1"/>
      </w:tblPr>
      <w:tblGrid>
        <w:gridCol w:w="1271"/>
        <w:gridCol w:w="2352"/>
        <w:gridCol w:w="1762"/>
        <w:gridCol w:w="1817"/>
        <w:gridCol w:w="1817"/>
      </w:tblGrid>
      <w:tr w:rsidR="00257CFB" w:rsidRPr="00C533AA" w14:paraId="62EB2F48" w14:textId="77777777" w:rsidTr="00400348">
        <w:trPr>
          <w:cnfStyle w:val="100000000000" w:firstRow="1" w:lastRow="0" w:firstColumn="0" w:lastColumn="0" w:oddVBand="0" w:evenVBand="0" w:oddHBand="0" w:evenHBand="0" w:firstRowFirstColumn="0" w:firstRowLastColumn="0" w:lastRowFirstColumn="0" w:lastRowLastColumn="0"/>
        </w:trPr>
        <w:tc>
          <w:tcPr>
            <w:tcW w:w="1271" w:type="dxa"/>
          </w:tcPr>
          <w:p w14:paraId="101A8C31" w14:textId="77777777" w:rsidR="00257CFB" w:rsidRPr="00257CFB" w:rsidRDefault="00257CFB" w:rsidP="00A752AF">
            <w:pPr>
              <w:rPr>
                <w:sz w:val="20"/>
                <w:szCs w:val="18"/>
              </w:rPr>
            </w:pPr>
          </w:p>
        </w:tc>
        <w:tc>
          <w:tcPr>
            <w:tcW w:w="2352" w:type="dxa"/>
          </w:tcPr>
          <w:p w14:paraId="6580F3CA" w14:textId="1779C80F" w:rsidR="00257CFB" w:rsidRPr="00257CFB" w:rsidRDefault="00257CFB" w:rsidP="00A752AF">
            <w:pPr>
              <w:rPr>
                <w:sz w:val="20"/>
                <w:szCs w:val="18"/>
              </w:rPr>
            </w:pPr>
            <w:r w:rsidRPr="00257CFB">
              <w:rPr>
                <w:sz w:val="20"/>
                <w:szCs w:val="18"/>
              </w:rPr>
              <w:t xml:space="preserve">Dalton &amp; Dalton (1987) </w:t>
            </w:r>
            <w:r w:rsidR="00092321">
              <w:rPr>
                <w:sz w:val="20"/>
                <w:szCs w:val="18"/>
              </w:rPr>
              <w:t>-</w:t>
            </w:r>
            <w:r w:rsidRPr="00257CFB">
              <w:rPr>
                <w:sz w:val="20"/>
                <w:szCs w:val="18"/>
              </w:rPr>
              <w:t xml:space="preserve"> </w:t>
            </w:r>
            <w:r w:rsidRPr="00092321">
              <w:rPr>
                <w:sz w:val="16"/>
                <w:szCs w:val="14"/>
              </w:rPr>
              <w:t>basis for EFSA (2023) RP</w:t>
            </w:r>
          </w:p>
        </w:tc>
        <w:tc>
          <w:tcPr>
            <w:tcW w:w="1762" w:type="dxa"/>
          </w:tcPr>
          <w:p w14:paraId="1F156ADF" w14:textId="2D0B915F" w:rsidR="00257CFB" w:rsidRPr="00257CFB" w:rsidRDefault="00257CFB" w:rsidP="00A752AF">
            <w:pPr>
              <w:rPr>
                <w:sz w:val="20"/>
                <w:szCs w:val="18"/>
              </w:rPr>
            </w:pPr>
            <w:r w:rsidRPr="00257CFB">
              <w:rPr>
                <w:sz w:val="20"/>
                <w:szCs w:val="18"/>
              </w:rPr>
              <w:t xml:space="preserve">Phillips et al. (1978) </w:t>
            </w:r>
            <w:r w:rsidR="00092321">
              <w:rPr>
                <w:sz w:val="20"/>
                <w:szCs w:val="18"/>
              </w:rPr>
              <w:t>-</w:t>
            </w:r>
            <w:r w:rsidRPr="00257CFB">
              <w:rPr>
                <w:sz w:val="20"/>
                <w:szCs w:val="18"/>
              </w:rPr>
              <w:t xml:space="preserve"> </w:t>
            </w:r>
            <w:r w:rsidRPr="00092321">
              <w:rPr>
                <w:sz w:val="16"/>
                <w:szCs w:val="14"/>
              </w:rPr>
              <w:t>EFSA cross-check (dog)</w:t>
            </w:r>
          </w:p>
        </w:tc>
        <w:tc>
          <w:tcPr>
            <w:tcW w:w="1817" w:type="dxa"/>
          </w:tcPr>
          <w:p w14:paraId="13B1A25D" w14:textId="7ACE8BF1" w:rsidR="00257CFB" w:rsidRPr="00257CFB" w:rsidRDefault="00257CFB" w:rsidP="00A752AF">
            <w:pPr>
              <w:rPr>
                <w:sz w:val="20"/>
                <w:szCs w:val="18"/>
              </w:rPr>
            </w:pPr>
            <w:r w:rsidRPr="00257CFB">
              <w:rPr>
                <w:sz w:val="20"/>
                <w:szCs w:val="18"/>
              </w:rPr>
              <w:t xml:space="preserve">Bernstein &amp; Lobitz (1988) </w:t>
            </w:r>
            <w:r w:rsidR="00092321">
              <w:rPr>
                <w:sz w:val="20"/>
                <w:szCs w:val="18"/>
              </w:rPr>
              <w:t>-</w:t>
            </w:r>
            <w:r w:rsidRPr="00257CFB">
              <w:rPr>
                <w:sz w:val="20"/>
                <w:szCs w:val="18"/>
              </w:rPr>
              <w:t xml:space="preserve"> </w:t>
            </w:r>
            <w:r w:rsidRPr="00092321">
              <w:rPr>
                <w:sz w:val="16"/>
                <w:szCs w:val="14"/>
              </w:rPr>
              <w:t>basis for NHMRC (2006)</w:t>
            </w:r>
          </w:p>
        </w:tc>
        <w:tc>
          <w:tcPr>
            <w:tcW w:w="1817" w:type="dxa"/>
          </w:tcPr>
          <w:p w14:paraId="20AE89DA" w14:textId="7567142B" w:rsidR="00257CFB" w:rsidRPr="00073403" w:rsidRDefault="00257CFB" w:rsidP="00A752AF">
            <w:pPr>
              <w:rPr>
                <w:sz w:val="20"/>
                <w:szCs w:val="18"/>
                <w:lang w:val="da-DK"/>
              </w:rPr>
            </w:pPr>
            <w:r w:rsidRPr="00073403">
              <w:rPr>
                <w:sz w:val="20"/>
                <w:szCs w:val="18"/>
                <w:lang w:val="da-DK"/>
              </w:rPr>
              <w:t xml:space="preserve">Del Tredici et al. (1985) </w:t>
            </w:r>
            <w:r w:rsidR="00092321" w:rsidRPr="00073403">
              <w:rPr>
                <w:sz w:val="20"/>
                <w:szCs w:val="18"/>
                <w:lang w:val="da-DK"/>
              </w:rPr>
              <w:t>-</w:t>
            </w:r>
            <w:r w:rsidRPr="00073403">
              <w:rPr>
                <w:sz w:val="20"/>
                <w:szCs w:val="18"/>
                <w:lang w:val="da-DK"/>
              </w:rPr>
              <w:t xml:space="preserve"> </w:t>
            </w:r>
            <w:r w:rsidRPr="00073403">
              <w:rPr>
                <w:sz w:val="16"/>
                <w:szCs w:val="14"/>
                <w:lang w:val="da-DK"/>
              </w:rPr>
              <w:t>basis for NHMRC (2006)</w:t>
            </w:r>
          </w:p>
        </w:tc>
      </w:tr>
      <w:tr w:rsidR="00257CFB" w:rsidRPr="00257CFB" w14:paraId="7FB75BCC" w14:textId="77777777" w:rsidTr="00400348">
        <w:tc>
          <w:tcPr>
            <w:tcW w:w="1271" w:type="dxa"/>
          </w:tcPr>
          <w:p w14:paraId="7381DB1C" w14:textId="273BDEB1" w:rsidR="00257CFB" w:rsidRPr="00257CFB" w:rsidRDefault="00257CFB" w:rsidP="00A752AF">
            <w:pPr>
              <w:rPr>
                <w:sz w:val="20"/>
                <w:szCs w:val="18"/>
              </w:rPr>
            </w:pPr>
            <w:r w:rsidRPr="00257CFB">
              <w:rPr>
                <w:sz w:val="20"/>
                <w:szCs w:val="18"/>
              </w:rPr>
              <w:t>Study type</w:t>
            </w:r>
          </w:p>
        </w:tc>
        <w:tc>
          <w:tcPr>
            <w:tcW w:w="2352" w:type="dxa"/>
          </w:tcPr>
          <w:p w14:paraId="57BFA7F9" w14:textId="487C28E3" w:rsidR="00257CFB" w:rsidRPr="00257CFB" w:rsidRDefault="00257CFB" w:rsidP="00A752AF">
            <w:pPr>
              <w:rPr>
                <w:sz w:val="20"/>
                <w:szCs w:val="18"/>
              </w:rPr>
            </w:pPr>
            <w:r>
              <w:rPr>
                <w:sz w:val="20"/>
                <w:szCs w:val="18"/>
              </w:rPr>
              <w:t>C</w:t>
            </w:r>
            <w:r w:rsidRPr="00257CFB">
              <w:rPr>
                <w:sz w:val="20"/>
                <w:szCs w:val="18"/>
              </w:rPr>
              <w:t>ase-control (humans, n=172)</w:t>
            </w:r>
          </w:p>
        </w:tc>
        <w:tc>
          <w:tcPr>
            <w:tcW w:w="1762" w:type="dxa"/>
          </w:tcPr>
          <w:p w14:paraId="6E9BDD63" w14:textId="7A7085CC" w:rsidR="00257CFB" w:rsidRPr="00257CFB" w:rsidRDefault="00257CFB" w:rsidP="00A752AF">
            <w:pPr>
              <w:rPr>
                <w:sz w:val="20"/>
                <w:szCs w:val="18"/>
              </w:rPr>
            </w:pPr>
            <w:r w:rsidRPr="00257CFB">
              <w:rPr>
                <w:sz w:val="20"/>
                <w:szCs w:val="18"/>
              </w:rPr>
              <w:t>Controlled experimental study (Beagle dogs, n=14)</w:t>
            </w:r>
          </w:p>
        </w:tc>
        <w:tc>
          <w:tcPr>
            <w:tcW w:w="1817" w:type="dxa"/>
          </w:tcPr>
          <w:p w14:paraId="6C890850" w14:textId="2B4A3D33" w:rsidR="00257CFB" w:rsidRPr="00257CFB" w:rsidRDefault="00257CFB" w:rsidP="00A752AF">
            <w:pPr>
              <w:rPr>
                <w:sz w:val="20"/>
                <w:szCs w:val="18"/>
              </w:rPr>
            </w:pPr>
            <w:r w:rsidRPr="00257CFB">
              <w:rPr>
                <w:sz w:val="20"/>
                <w:szCs w:val="18"/>
              </w:rPr>
              <w:t>Uncontrolled clinical study (diabetic neuropathy patients</w:t>
            </w:r>
            <w:r w:rsidR="00127C88">
              <w:rPr>
                <w:sz w:val="20"/>
                <w:szCs w:val="18"/>
              </w:rPr>
              <w:t>, n=16</w:t>
            </w:r>
            <w:r w:rsidRPr="00257CFB">
              <w:rPr>
                <w:sz w:val="20"/>
                <w:szCs w:val="18"/>
              </w:rPr>
              <w:t>)</w:t>
            </w:r>
          </w:p>
        </w:tc>
        <w:tc>
          <w:tcPr>
            <w:tcW w:w="1817" w:type="dxa"/>
          </w:tcPr>
          <w:p w14:paraId="6010CDE3" w14:textId="3B78B9CC" w:rsidR="00257CFB" w:rsidRPr="00257CFB" w:rsidRDefault="00257CFB" w:rsidP="00A752AF">
            <w:pPr>
              <w:rPr>
                <w:sz w:val="20"/>
                <w:szCs w:val="18"/>
              </w:rPr>
            </w:pPr>
            <w:r w:rsidRPr="00257CFB">
              <w:rPr>
                <w:sz w:val="20"/>
                <w:szCs w:val="18"/>
              </w:rPr>
              <w:t>Uncontrolled clinical study (carpal tunnel syndrome patients</w:t>
            </w:r>
            <w:r w:rsidR="0067332F">
              <w:rPr>
                <w:sz w:val="20"/>
                <w:szCs w:val="18"/>
              </w:rPr>
              <w:t>, n= not stated</w:t>
            </w:r>
            <w:r w:rsidRPr="00257CFB">
              <w:rPr>
                <w:sz w:val="20"/>
                <w:szCs w:val="18"/>
              </w:rPr>
              <w:t>)</w:t>
            </w:r>
          </w:p>
        </w:tc>
      </w:tr>
      <w:tr w:rsidR="00257CFB" w:rsidRPr="00257CFB" w14:paraId="61DE5A98" w14:textId="77777777" w:rsidTr="00400348">
        <w:tc>
          <w:tcPr>
            <w:tcW w:w="1271" w:type="dxa"/>
          </w:tcPr>
          <w:p w14:paraId="38499540" w14:textId="7968258F" w:rsidR="00257CFB" w:rsidRPr="00257CFB" w:rsidRDefault="00257CFB" w:rsidP="00A752AF">
            <w:pPr>
              <w:rPr>
                <w:sz w:val="20"/>
                <w:szCs w:val="18"/>
              </w:rPr>
            </w:pPr>
            <w:r w:rsidRPr="00257CFB">
              <w:rPr>
                <w:sz w:val="20"/>
                <w:szCs w:val="18"/>
              </w:rPr>
              <w:t>Population</w:t>
            </w:r>
          </w:p>
        </w:tc>
        <w:tc>
          <w:tcPr>
            <w:tcW w:w="2352" w:type="dxa"/>
          </w:tcPr>
          <w:p w14:paraId="79EF80B4" w14:textId="0668FE4F" w:rsidR="00257CFB" w:rsidRPr="00257CFB" w:rsidRDefault="00B23798" w:rsidP="00A752AF">
            <w:pPr>
              <w:rPr>
                <w:sz w:val="20"/>
                <w:szCs w:val="18"/>
              </w:rPr>
            </w:pPr>
            <w:r w:rsidRPr="00B23798">
              <w:rPr>
                <w:sz w:val="20"/>
                <w:szCs w:val="18"/>
              </w:rPr>
              <w:t xml:space="preserve">Women attending a PMS clinic (cases), general/healthy adult population taking B6 supplements (controls). This design compares a population using B6 pharmacologically for PMS against a population using B6 as an ordinary supplement, so it does not cleanly address the general-population question this assessment is trying to inform, and neuropathy differences may partly reflect population differences rather than a pure dose-response effect. It remains the </w:t>
            </w:r>
            <w:r w:rsidRPr="00B23798">
              <w:rPr>
                <w:sz w:val="20"/>
                <w:szCs w:val="18"/>
              </w:rPr>
              <w:lastRenderedPageBreak/>
              <w:t>most informative single study in EFSA's weight-of-evidence assessment, but this limitation should temper the weight placed on the resulting RP.</w:t>
            </w:r>
          </w:p>
        </w:tc>
        <w:tc>
          <w:tcPr>
            <w:tcW w:w="1762" w:type="dxa"/>
          </w:tcPr>
          <w:p w14:paraId="74296C07" w14:textId="6655EB2D" w:rsidR="00257CFB" w:rsidRPr="00257CFB" w:rsidRDefault="00257CFB" w:rsidP="00A752AF">
            <w:pPr>
              <w:rPr>
                <w:sz w:val="20"/>
                <w:szCs w:val="18"/>
              </w:rPr>
            </w:pPr>
            <w:r w:rsidRPr="00257CFB">
              <w:rPr>
                <w:sz w:val="20"/>
                <w:szCs w:val="18"/>
              </w:rPr>
              <w:lastRenderedPageBreak/>
              <w:t>Healthy female beagle dogs</w:t>
            </w:r>
          </w:p>
        </w:tc>
        <w:tc>
          <w:tcPr>
            <w:tcW w:w="1817" w:type="dxa"/>
          </w:tcPr>
          <w:p w14:paraId="74224572" w14:textId="7627F511" w:rsidR="00257CFB" w:rsidRPr="00257CFB" w:rsidRDefault="00257CFB" w:rsidP="00A752AF">
            <w:pPr>
              <w:rPr>
                <w:sz w:val="20"/>
                <w:szCs w:val="18"/>
              </w:rPr>
            </w:pPr>
            <w:r w:rsidRPr="00257CFB">
              <w:rPr>
                <w:sz w:val="20"/>
                <w:szCs w:val="18"/>
              </w:rPr>
              <w:t>Patients with pre-existing diabetic neuropathy</w:t>
            </w:r>
          </w:p>
        </w:tc>
        <w:tc>
          <w:tcPr>
            <w:tcW w:w="1817" w:type="dxa"/>
          </w:tcPr>
          <w:p w14:paraId="61CF1ED2" w14:textId="4B808D36" w:rsidR="00257CFB" w:rsidRPr="00257CFB" w:rsidRDefault="00257CFB" w:rsidP="00A752AF">
            <w:pPr>
              <w:rPr>
                <w:sz w:val="20"/>
                <w:szCs w:val="18"/>
              </w:rPr>
            </w:pPr>
            <w:r w:rsidRPr="00257CFB">
              <w:rPr>
                <w:sz w:val="20"/>
                <w:szCs w:val="18"/>
              </w:rPr>
              <w:t>Patients with carpal tunnel syndrome</w:t>
            </w:r>
          </w:p>
        </w:tc>
      </w:tr>
      <w:tr w:rsidR="00257CFB" w:rsidRPr="00257CFB" w14:paraId="668F9A84" w14:textId="77777777" w:rsidTr="00400348">
        <w:tc>
          <w:tcPr>
            <w:tcW w:w="1271" w:type="dxa"/>
          </w:tcPr>
          <w:p w14:paraId="2A46602C" w14:textId="65DBEA3D" w:rsidR="00257CFB" w:rsidRPr="00257CFB" w:rsidRDefault="00257CFB" w:rsidP="00A752AF">
            <w:pPr>
              <w:rPr>
                <w:sz w:val="20"/>
                <w:szCs w:val="18"/>
              </w:rPr>
            </w:pPr>
            <w:r w:rsidRPr="00257CFB">
              <w:rPr>
                <w:sz w:val="20"/>
                <w:szCs w:val="18"/>
              </w:rPr>
              <w:t>Dose</w:t>
            </w:r>
          </w:p>
        </w:tc>
        <w:tc>
          <w:tcPr>
            <w:tcW w:w="2352" w:type="dxa"/>
          </w:tcPr>
          <w:p w14:paraId="68E4417D" w14:textId="54E586F4" w:rsidR="00257CFB" w:rsidRPr="00257CFB" w:rsidRDefault="0046764B" w:rsidP="00A752AF">
            <w:pPr>
              <w:rPr>
                <w:sz w:val="20"/>
                <w:szCs w:val="18"/>
              </w:rPr>
            </w:pPr>
            <w:r w:rsidRPr="0046764B">
              <w:rPr>
                <w:sz w:val="20"/>
                <w:szCs w:val="18"/>
              </w:rPr>
              <w:t>&lt;50–500 mg/day (mean 117 mg/day symptomatic, 116 mg/day control)</w:t>
            </w:r>
          </w:p>
        </w:tc>
        <w:tc>
          <w:tcPr>
            <w:tcW w:w="1762" w:type="dxa"/>
          </w:tcPr>
          <w:p w14:paraId="17B13985" w14:textId="042D35AB" w:rsidR="00257CFB" w:rsidRPr="00257CFB" w:rsidRDefault="0046764B" w:rsidP="00A752AF">
            <w:pPr>
              <w:rPr>
                <w:sz w:val="20"/>
                <w:szCs w:val="18"/>
              </w:rPr>
            </w:pPr>
            <w:r w:rsidRPr="0046764B">
              <w:rPr>
                <w:sz w:val="20"/>
                <w:szCs w:val="18"/>
              </w:rPr>
              <w:t>0, 50, 200 mg/kg bw/day</w:t>
            </w:r>
          </w:p>
        </w:tc>
        <w:tc>
          <w:tcPr>
            <w:tcW w:w="1817" w:type="dxa"/>
          </w:tcPr>
          <w:p w14:paraId="04F86662" w14:textId="66AE60B0" w:rsidR="00257CFB" w:rsidRPr="00257CFB" w:rsidRDefault="0046764B" w:rsidP="00A752AF">
            <w:pPr>
              <w:rPr>
                <w:sz w:val="20"/>
                <w:szCs w:val="18"/>
              </w:rPr>
            </w:pPr>
            <w:r w:rsidRPr="0046764B">
              <w:rPr>
                <w:sz w:val="20"/>
                <w:szCs w:val="18"/>
              </w:rPr>
              <w:t>150 mg/day</w:t>
            </w:r>
            <w:r w:rsidR="008934BE">
              <w:rPr>
                <w:sz w:val="20"/>
                <w:szCs w:val="18"/>
              </w:rPr>
              <w:t xml:space="preserve"> </w:t>
            </w:r>
          </w:p>
        </w:tc>
        <w:tc>
          <w:tcPr>
            <w:tcW w:w="1817" w:type="dxa"/>
          </w:tcPr>
          <w:p w14:paraId="487C6085" w14:textId="68A9D116" w:rsidR="00257CFB" w:rsidRPr="00257CFB" w:rsidRDefault="0046764B" w:rsidP="00A752AF">
            <w:pPr>
              <w:rPr>
                <w:sz w:val="20"/>
                <w:szCs w:val="18"/>
              </w:rPr>
            </w:pPr>
            <w:r w:rsidRPr="0046764B">
              <w:rPr>
                <w:sz w:val="20"/>
                <w:szCs w:val="18"/>
              </w:rPr>
              <w:t>150 mg/day (</w:t>
            </w:r>
            <w:r w:rsidRPr="00F03762">
              <w:rPr>
                <w:sz w:val="20"/>
                <w:szCs w:val="18"/>
              </w:rPr>
              <w:t>n=16) or 300 mg/day (n=8)</w:t>
            </w:r>
          </w:p>
        </w:tc>
      </w:tr>
      <w:tr w:rsidR="00257CFB" w:rsidRPr="00257CFB" w14:paraId="2482580B" w14:textId="77777777" w:rsidTr="00400348">
        <w:tc>
          <w:tcPr>
            <w:tcW w:w="1271" w:type="dxa"/>
          </w:tcPr>
          <w:p w14:paraId="2E27AFBE" w14:textId="3267BD8D" w:rsidR="00257CFB" w:rsidRPr="00257CFB" w:rsidRDefault="00257CFB" w:rsidP="00A752AF">
            <w:pPr>
              <w:rPr>
                <w:sz w:val="20"/>
                <w:szCs w:val="18"/>
              </w:rPr>
            </w:pPr>
            <w:r w:rsidRPr="00257CFB">
              <w:rPr>
                <w:sz w:val="20"/>
                <w:szCs w:val="18"/>
              </w:rPr>
              <w:t>Duration</w:t>
            </w:r>
          </w:p>
        </w:tc>
        <w:tc>
          <w:tcPr>
            <w:tcW w:w="2352" w:type="dxa"/>
          </w:tcPr>
          <w:p w14:paraId="438DD42E" w14:textId="1BB7B19A" w:rsidR="00257CFB" w:rsidRPr="00257CFB" w:rsidRDefault="0046764B" w:rsidP="00A752AF">
            <w:pPr>
              <w:rPr>
                <w:sz w:val="20"/>
                <w:szCs w:val="18"/>
              </w:rPr>
            </w:pPr>
            <w:r w:rsidRPr="0046764B">
              <w:rPr>
                <w:sz w:val="20"/>
                <w:szCs w:val="18"/>
              </w:rPr>
              <w:t>Mean 2.9 ± 1.9 yr (symptomatic) vs 1.6 ± 2.1 yr (asymptomatic)</w:t>
            </w:r>
          </w:p>
        </w:tc>
        <w:tc>
          <w:tcPr>
            <w:tcW w:w="1762" w:type="dxa"/>
          </w:tcPr>
          <w:p w14:paraId="3311BF7B" w14:textId="1AABA192" w:rsidR="00257CFB" w:rsidRPr="00257CFB" w:rsidRDefault="0046764B" w:rsidP="00A752AF">
            <w:pPr>
              <w:rPr>
                <w:sz w:val="20"/>
                <w:szCs w:val="18"/>
              </w:rPr>
            </w:pPr>
            <w:r w:rsidRPr="0046764B">
              <w:rPr>
                <w:sz w:val="20"/>
                <w:szCs w:val="18"/>
              </w:rPr>
              <w:t>~107 days</w:t>
            </w:r>
          </w:p>
        </w:tc>
        <w:tc>
          <w:tcPr>
            <w:tcW w:w="1817" w:type="dxa"/>
          </w:tcPr>
          <w:p w14:paraId="4AEB9232" w14:textId="611608F5" w:rsidR="00257CFB" w:rsidRPr="00257CFB" w:rsidRDefault="0046764B" w:rsidP="00A752AF">
            <w:pPr>
              <w:rPr>
                <w:sz w:val="20"/>
                <w:szCs w:val="18"/>
              </w:rPr>
            </w:pPr>
            <w:r w:rsidRPr="0046764B">
              <w:rPr>
                <w:sz w:val="20"/>
                <w:szCs w:val="18"/>
              </w:rPr>
              <w:t>Up to 6 months (only 4/16 completed)</w:t>
            </w:r>
          </w:p>
        </w:tc>
        <w:tc>
          <w:tcPr>
            <w:tcW w:w="1817" w:type="dxa"/>
          </w:tcPr>
          <w:p w14:paraId="4A547110" w14:textId="7DE85CD4" w:rsidR="00257CFB" w:rsidRPr="00257CFB" w:rsidRDefault="0046764B" w:rsidP="00A752AF">
            <w:pPr>
              <w:rPr>
                <w:sz w:val="20"/>
                <w:szCs w:val="18"/>
              </w:rPr>
            </w:pPr>
            <w:r w:rsidRPr="0046764B">
              <w:rPr>
                <w:sz w:val="20"/>
                <w:szCs w:val="18"/>
              </w:rPr>
              <w:t>4 months</w:t>
            </w:r>
          </w:p>
        </w:tc>
      </w:tr>
      <w:tr w:rsidR="00257CFB" w:rsidRPr="00257CFB" w14:paraId="15E94C09" w14:textId="77777777" w:rsidTr="00400348">
        <w:tc>
          <w:tcPr>
            <w:tcW w:w="1271" w:type="dxa"/>
          </w:tcPr>
          <w:p w14:paraId="377860AF" w14:textId="1DC37A43" w:rsidR="00257CFB" w:rsidRPr="00257CFB" w:rsidRDefault="00257CFB" w:rsidP="00A752AF">
            <w:pPr>
              <w:rPr>
                <w:sz w:val="20"/>
                <w:szCs w:val="18"/>
              </w:rPr>
            </w:pPr>
            <w:r w:rsidRPr="00257CFB">
              <w:rPr>
                <w:sz w:val="20"/>
                <w:szCs w:val="18"/>
              </w:rPr>
              <w:t>Outcome assessed</w:t>
            </w:r>
          </w:p>
        </w:tc>
        <w:tc>
          <w:tcPr>
            <w:tcW w:w="2352" w:type="dxa"/>
          </w:tcPr>
          <w:p w14:paraId="2021E661" w14:textId="266934C5" w:rsidR="00257CFB" w:rsidRPr="00257CFB" w:rsidRDefault="00B23798" w:rsidP="00A752AF">
            <w:pPr>
              <w:rPr>
                <w:sz w:val="20"/>
                <w:szCs w:val="18"/>
              </w:rPr>
            </w:pPr>
            <w:r w:rsidRPr="00B23798">
              <w:rPr>
                <w:sz w:val="20"/>
                <w:szCs w:val="18"/>
              </w:rPr>
              <w:t>Self-reported neurological symptoms elicited via structured clinical interview, considered alongside raised serum B6. This is a critical limitation: there is no objective, clinician-measured assessment of neuropathy (e.g. nerve conduction studies) in this study</w:t>
            </w:r>
            <w:r w:rsidR="00A26F96">
              <w:rPr>
                <w:sz w:val="20"/>
                <w:szCs w:val="18"/>
              </w:rPr>
              <w:t>;</w:t>
            </w:r>
            <w:r w:rsidRPr="00B23798">
              <w:rPr>
                <w:sz w:val="20"/>
                <w:szCs w:val="18"/>
              </w:rPr>
              <w:t xml:space="preserve"> the outcome itself, not just the exposure, relies on recall and self-report within an interview setting, with no blinding of the interviewer to case/control status.</w:t>
            </w:r>
          </w:p>
        </w:tc>
        <w:tc>
          <w:tcPr>
            <w:tcW w:w="1762" w:type="dxa"/>
          </w:tcPr>
          <w:p w14:paraId="4F8FD1AF" w14:textId="2D1A35B2" w:rsidR="00257CFB" w:rsidRPr="00257CFB" w:rsidRDefault="0046764B" w:rsidP="00A752AF">
            <w:pPr>
              <w:rPr>
                <w:sz w:val="20"/>
                <w:szCs w:val="18"/>
              </w:rPr>
            </w:pPr>
            <w:r w:rsidRPr="0046764B">
              <w:rPr>
                <w:sz w:val="20"/>
                <w:szCs w:val="18"/>
              </w:rPr>
              <w:t xml:space="preserve">Histopathology (myelin/axon loss) </w:t>
            </w:r>
            <w:r w:rsidR="00A26F96">
              <w:rPr>
                <w:sz w:val="20"/>
                <w:szCs w:val="18"/>
              </w:rPr>
              <w:t>and</w:t>
            </w:r>
            <w:r w:rsidRPr="0046764B">
              <w:rPr>
                <w:sz w:val="20"/>
                <w:szCs w:val="18"/>
              </w:rPr>
              <w:t xml:space="preserve"> clinical signs</w:t>
            </w:r>
          </w:p>
        </w:tc>
        <w:tc>
          <w:tcPr>
            <w:tcW w:w="1817" w:type="dxa"/>
          </w:tcPr>
          <w:p w14:paraId="5B6BF420" w14:textId="0CDDE722" w:rsidR="00257CFB" w:rsidRPr="00257CFB" w:rsidRDefault="0046764B" w:rsidP="00A752AF">
            <w:pPr>
              <w:rPr>
                <w:sz w:val="20"/>
                <w:szCs w:val="18"/>
              </w:rPr>
            </w:pPr>
            <w:r w:rsidRPr="0046764B">
              <w:rPr>
                <w:sz w:val="20"/>
                <w:szCs w:val="18"/>
              </w:rPr>
              <w:t>Distal motor latency (electro</w:t>
            </w:r>
            <w:r w:rsidR="00A26F96">
              <w:rPr>
                <w:sz w:val="20"/>
                <w:szCs w:val="18"/>
              </w:rPr>
              <w:t>-</w:t>
            </w:r>
            <w:r w:rsidRPr="0046764B">
              <w:rPr>
                <w:sz w:val="20"/>
                <w:szCs w:val="18"/>
              </w:rPr>
              <w:t>physiology)</w:t>
            </w:r>
          </w:p>
        </w:tc>
        <w:tc>
          <w:tcPr>
            <w:tcW w:w="1817" w:type="dxa"/>
          </w:tcPr>
          <w:p w14:paraId="57814963" w14:textId="5EEC1573" w:rsidR="00257CFB" w:rsidRPr="00257CFB" w:rsidRDefault="0046764B" w:rsidP="00A752AF">
            <w:pPr>
              <w:rPr>
                <w:sz w:val="20"/>
                <w:szCs w:val="18"/>
              </w:rPr>
            </w:pPr>
            <w:r w:rsidRPr="0046764B">
              <w:rPr>
                <w:sz w:val="20"/>
                <w:szCs w:val="18"/>
              </w:rPr>
              <w:t>Distal motor latency (electro</w:t>
            </w:r>
            <w:r w:rsidR="00A26F96">
              <w:rPr>
                <w:sz w:val="20"/>
                <w:szCs w:val="18"/>
              </w:rPr>
              <w:t>-</w:t>
            </w:r>
            <w:r w:rsidRPr="0046764B">
              <w:rPr>
                <w:sz w:val="20"/>
                <w:szCs w:val="18"/>
              </w:rPr>
              <w:t>physiology)</w:t>
            </w:r>
          </w:p>
        </w:tc>
      </w:tr>
      <w:tr w:rsidR="00257CFB" w:rsidRPr="00257CFB" w14:paraId="71CAE084" w14:textId="77777777" w:rsidTr="00400348">
        <w:tc>
          <w:tcPr>
            <w:tcW w:w="1271" w:type="dxa"/>
          </w:tcPr>
          <w:p w14:paraId="3B2EE283" w14:textId="1FE222D7" w:rsidR="00257CFB" w:rsidRPr="00257CFB" w:rsidRDefault="00257CFB" w:rsidP="00A752AF">
            <w:pPr>
              <w:rPr>
                <w:sz w:val="20"/>
                <w:szCs w:val="18"/>
              </w:rPr>
            </w:pPr>
            <w:r w:rsidRPr="00257CFB">
              <w:rPr>
                <w:sz w:val="20"/>
                <w:szCs w:val="18"/>
              </w:rPr>
              <w:t>Finding</w:t>
            </w:r>
          </w:p>
        </w:tc>
        <w:tc>
          <w:tcPr>
            <w:tcW w:w="2352" w:type="dxa"/>
          </w:tcPr>
          <w:p w14:paraId="10B49090" w14:textId="618AB61E" w:rsidR="00257CFB" w:rsidRPr="00257CFB" w:rsidRDefault="00B23798" w:rsidP="00A752AF">
            <w:pPr>
              <w:rPr>
                <w:sz w:val="20"/>
                <w:szCs w:val="18"/>
              </w:rPr>
            </w:pPr>
            <w:r w:rsidRPr="00B23798">
              <w:rPr>
                <w:sz w:val="20"/>
                <w:szCs w:val="18"/>
              </w:rPr>
              <w:t>60% with raised serum B6 reported symptoms; duration-dependent; reversible on cessation. The reversibility finding is an important piece of evidence supporting a causal interpretation, though it remains based on self-report rather than objective confirmation.</w:t>
            </w:r>
          </w:p>
        </w:tc>
        <w:tc>
          <w:tcPr>
            <w:tcW w:w="1762" w:type="dxa"/>
          </w:tcPr>
          <w:p w14:paraId="7A1A9709" w14:textId="09C2CE94" w:rsidR="00257CFB" w:rsidRPr="00257CFB" w:rsidRDefault="0046764B" w:rsidP="00A752AF">
            <w:pPr>
              <w:rPr>
                <w:sz w:val="20"/>
                <w:szCs w:val="18"/>
              </w:rPr>
            </w:pPr>
            <w:r w:rsidRPr="0046764B">
              <w:rPr>
                <w:sz w:val="20"/>
                <w:szCs w:val="18"/>
              </w:rPr>
              <w:t>LOAEL of 50 mg/kg bw/day (histological lesions even at lowest dose tested)</w:t>
            </w:r>
          </w:p>
        </w:tc>
        <w:tc>
          <w:tcPr>
            <w:tcW w:w="1817" w:type="dxa"/>
          </w:tcPr>
          <w:p w14:paraId="69213359" w14:textId="28210231" w:rsidR="00257CFB" w:rsidRPr="00257CFB" w:rsidRDefault="0046764B" w:rsidP="00A752AF">
            <w:pPr>
              <w:rPr>
                <w:sz w:val="20"/>
                <w:szCs w:val="18"/>
              </w:rPr>
            </w:pPr>
            <w:r w:rsidRPr="0046764B">
              <w:rPr>
                <w:sz w:val="20"/>
                <w:szCs w:val="18"/>
              </w:rPr>
              <w:t>No deterioration of nerve function reported</w:t>
            </w:r>
          </w:p>
        </w:tc>
        <w:tc>
          <w:tcPr>
            <w:tcW w:w="1817" w:type="dxa"/>
          </w:tcPr>
          <w:p w14:paraId="39BBB992" w14:textId="6AF46C82" w:rsidR="00257CFB" w:rsidRPr="00257CFB" w:rsidRDefault="0046764B" w:rsidP="00A752AF">
            <w:pPr>
              <w:rPr>
                <w:sz w:val="20"/>
                <w:szCs w:val="18"/>
              </w:rPr>
            </w:pPr>
            <w:r w:rsidRPr="0046764B">
              <w:rPr>
                <w:sz w:val="20"/>
                <w:szCs w:val="18"/>
              </w:rPr>
              <w:t>Improvement in distal motor latency reported</w:t>
            </w:r>
          </w:p>
        </w:tc>
      </w:tr>
      <w:tr w:rsidR="00257CFB" w:rsidRPr="00257CFB" w14:paraId="045D1F78" w14:textId="77777777" w:rsidTr="00400348">
        <w:tc>
          <w:tcPr>
            <w:tcW w:w="1271" w:type="dxa"/>
          </w:tcPr>
          <w:p w14:paraId="58CD5392" w14:textId="343A5C9D" w:rsidR="00257CFB" w:rsidRPr="00257CFB" w:rsidRDefault="00257CFB" w:rsidP="00A752AF">
            <w:pPr>
              <w:rPr>
                <w:sz w:val="20"/>
                <w:szCs w:val="18"/>
              </w:rPr>
            </w:pPr>
            <w:r w:rsidRPr="00257CFB">
              <w:rPr>
                <w:sz w:val="20"/>
                <w:szCs w:val="18"/>
              </w:rPr>
              <w:t>Control group</w:t>
            </w:r>
          </w:p>
        </w:tc>
        <w:tc>
          <w:tcPr>
            <w:tcW w:w="2352" w:type="dxa"/>
          </w:tcPr>
          <w:p w14:paraId="580C0026" w14:textId="6D081C77" w:rsidR="00257CFB" w:rsidRPr="00257CFB" w:rsidRDefault="0046764B" w:rsidP="00A752AF">
            <w:pPr>
              <w:rPr>
                <w:sz w:val="20"/>
                <w:szCs w:val="18"/>
              </w:rPr>
            </w:pPr>
            <w:r w:rsidRPr="0046764B">
              <w:rPr>
                <w:sz w:val="20"/>
                <w:szCs w:val="18"/>
              </w:rPr>
              <w:t>Yes</w:t>
            </w:r>
          </w:p>
        </w:tc>
        <w:tc>
          <w:tcPr>
            <w:tcW w:w="1762" w:type="dxa"/>
          </w:tcPr>
          <w:p w14:paraId="5F6E9229" w14:textId="442BDD01" w:rsidR="00257CFB" w:rsidRPr="00257CFB" w:rsidRDefault="0046764B" w:rsidP="00A752AF">
            <w:pPr>
              <w:rPr>
                <w:sz w:val="20"/>
                <w:szCs w:val="18"/>
              </w:rPr>
            </w:pPr>
            <w:r w:rsidRPr="0046764B">
              <w:rPr>
                <w:sz w:val="20"/>
                <w:szCs w:val="18"/>
              </w:rPr>
              <w:t>Yes (0 mg/kg group)</w:t>
            </w:r>
          </w:p>
        </w:tc>
        <w:tc>
          <w:tcPr>
            <w:tcW w:w="1817" w:type="dxa"/>
          </w:tcPr>
          <w:p w14:paraId="2FEA1F5D" w14:textId="68FC5AF0" w:rsidR="00257CFB" w:rsidRPr="00257CFB" w:rsidRDefault="0046764B" w:rsidP="00A752AF">
            <w:pPr>
              <w:rPr>
                <w:sz w:val="20"/>
                <w:szCs w:val="18"/>
              </w:rPr>
            </w:pPr>
            <w:r>
              <w:rPr>
                <w:sz w:val="20"/>
                <w:szCs w:val="18"/>
              </w:rPr>
              <w:t>No</w:t>
            </w:r>
          </w:p>
        </w:tc>
        <w:tc>
          <w:tcPr>
            <w:tcW w:w="1817" w:type="dxa"/>
          </w:tcPr>
          <w:p w14:paraId="43C1FEEA" w14:textId="142BE759" w:rsidR="00257CFB" w:rsidRPr="00257CFB" w:rsidRDefault="0046764B" w:rsidP="00A752AF">
            <w:pPr>
              <w:rPr>
                <w:sz w:val="20"/>
                <w:szCs w:val="18"/>
              </w:rPr>
            </w:pPr>
            <w:r>
              <w:rPr>
                <w:sz w:val="20"/>
                <w:szCs w:val="18"/>
              </w:rPr>
              <w:t>No</w:t>
            </w:r>
          </w:p>
        </w:tc>
      </w:tr>
      <w:tr w:rsidR="00257CFB" w:rsidRPr="00257CFB" w14:paraId="23B21999" w14:textId="77777777" w:rsidTr="00400348">
        <w:tc>
          <w:tcPr>
            <w:tcW w:w="1271" w:type="dxa"/>
          </w:tcPr>
          <w:p w14:paraId="1A826FA4" w14:textId="695A4B3D" w:rsidR="00257CFB" w:rsidRPr="00257CFB" w:rsidRDefault="00257CFB" w:rsidP="00A752AF">
            <w:pPr>
              <w:rPr>
                <w:sz w:val="20"/>
                <w:szCs w:val="18"/>
              </w:rPr>
            </w:pPr>
            <w:r w:rsidRPr="00257CFB">
              <w:rPr>
                <w:sz w:val="20"/>
                <w:szCs w:val="18"/>
              </w:rPr>
              <w:t>Key strengths</w:t>
            </w:r>
          </w:p>
        </w:tc>
        <w:tc>
          <w:tcPr>
            <w:tcW w:w="2352" w:type="dxa"/>
          </w:tcPr>
          <w:p w14:paraId="1901B807" w14:textId="4F847786" w:rsidR="00257CFB" w:rsidRPr="00257CFB" w:rsidRDefault="00B23798" w:rsidP="00A752AF">
            <w:pPr>
              <w:rPr>
                <w:sz w:val="20"/>
                <w:szCs w:val="18"/>
              </w:rPr>
            </w:pPr>
            <w:r w:rsidRPr="00B23798">
              <w:rPr>
                <w:sz w:val="20"/>
                <w:szCs w:val="18"/>
              </w:rPr>
              <w:t xml:space="preserve">Largest human dataset available; control group; duration-response relationship; reversibility on cessation (supports causal interpretation). </w:t>
            </w:r>
            <w:r w:rsidRPr="00B23798">
              <w:rPr>
                <w:sz w:val="20"/>
                <w:szCs w:val="18"/>
              </w:rPr>
              <w:lastRenderedPageBreak/>
              <w:t>Note: exposure was self-reported throughout (see limitations)</w:t>
            </w:r>
            <w:r w:rsidR="00A26F96">
              <w:rPr>
                <w:sz w:val="20"/>
                <w:szCs w:val="18"/>
              </w:rPr>
              <w:t>.</w:t>
            </w:r>
            <w:r w:rsidRPr="00B23798">
              <w:rPr>
                <w:sz w:val="20"/>
                <w:szCs w:val="18"/>
              </w:rPr>
              <w:t xml:space="preserve"> </w:t>
            </w:r>
            <w:r w:rsidR="00A26F96">
              <w:rPr>
                <w:sz w:val="20"/>
                <w:szCs w:val="18"/>
              </w:rPr>
              <w:t>R</w:t>
            </w:r>
            <w:r w:rsidRPr="00B23798">
              <w:rPr>
                <w:sz w:val="20"/>
                <w:szCs w:val="18"/>
              </w:rPr>
              <w:t>aised serum B6 corroborates that supplementation occurred and relates to symptom status, but does not independently verify the dose or duration reported by participants.</w:t>
            </w:r>
          </w:p>
        </w:tc>
        <w:tc>
          <w:tcPr>
            <w:tcW w:w="1762" w:type="dxa"/>
          </w:tcPr>
          <w:p w14:paraId="71FDA906" w14:textId="712A5564" w:rsidR="00257CFB" w:rsidRPr="00257CFB" w:rsidRDefault="0046764B" w:rsidP="00A752AF">
            <w:pPr>
              <w:rPr>
                <w:sz w:val="20"/>
                <w:szCs w:val="18"/>
              </w:rPr>
            </w:pPr>
            <w:r w:rsidRPr="0046764B">
              <w:rPr>
                <w:sz w:val="20"/>
                <w:szCs w:val="18"/>
              </w:rPr>
              <w:lastRenderedPageBreak/>
              <w:t>Controlled design; sensitive (histo</w:t>
            </w:r>
            <w:r w:rsidR="00A26F96">
              <w:rPr>
                <w:sz w:val="20"/>
                <w:szCs w:val="18"/>
              </w:rPr>
              <w:t>-</w:t>
            </w:r>
            <w:r w:rsidRPr="0046764B">
              <w:rPr>
                <w:sz w:val="20"/>
                <w:szCs w:val="18"/>
              </w:rPr>
              <w:t>pathological) endpoint; clear dose-response</w:t>
            </w:r>
          </w:p>
        </w:tc>
        <w:tc>
          <w:tcPr>
            <w:tcW w:w="1817" w:type="dxa"/>
          </w:tcPr>
          <w:p w14:paraId="2B4A4C22" w14:textId="5FC2E868" w:rsidR="00257CFB" w:rsidRPr="00257CFB" w:rsidRDefault="0046764B" w:rsidP="00A752AF">
            <w:pPr>
              <w:rPr>
                <w:sz w:val="20"/>
                <w:szCs w:val="18"/>
              </w:rPr>
            </w:pPr>
            <w:r w:rsidRPr="0046764B">
              <w:rPr>
                <w:sz w:val="20"/>
                <w:szCs w:val="18"/>
              </w:rPr>
              <w:t>None</w:t>
            </w:r>
            <w:r w:rsidR="008934BE">
              <w:rPr>
                <w:sz w:val="20"/>
                <w:szCs w:val="18"/>
              </w:rPr>
              <w:t xml:space="preserve"> identified</w:t>
            </w:r>
          </w:p>
        </w:tc>
        <w:tc>
          <w:tcPr>
            <w:tcW w:w="1817" w:type="dxa"/>
          </w:tcPr>
          <w:p w14:paraId="5C577F0E" w14:textId="5BB03002" w:rsidR="00257CFB" w:rsidRPr="00257CFB" w:rsidRDefault="0046764B" w:rsidP="00A752AF">
            <w:pPr>
              <w:rPr>
                <w:sz w:val="20"/>
                <w:szCs w:val="18"/>
              </w:rPr>
            </w:pPr>
            <w:r w:rsidRPr="0046764B">
              <w:rPr>
                <w:sz w:val="20"/>
                <w:szCs w:val="18"/>
              </w:rPr>
              <w:t>None</w:t>
            </w:r>
            <w:r w:rsidR="008934BE">
              <w:rPr>
                <w:sz w:val="20"/>
                <w:szCs w:val="18"/>
              </w:rPr>
              <w:t xml:space="preserve"> identified</w:t>
            </w:r>
          </w:p>
        </w:tc>
      </w:tr>
      <w:tr w:rsidR="00257CFB" w:rsidRPr="00257CFB" w14:paraId="18A92357" w14:textId="77777777" w:rsidTr="00400348">
        <w:tc>
          <w:tcPr>
            <w:tcW w:w="1271" w:type="dxa"/>
          </w:tcPr>
          <w:p w14:paraId="1E65A170" w14:textId="067A7821" w:rsidR="00257CFB" w:rsidRPr="00257CFB" w:rsidRDefault="00257CFB" w:rsidP="00A752AF">
            <w:pPr>
              <w:rPr>
                <w:sz w:val="20"/>
                <w:szCs w:val="18"/>
              </w:rPr>
            </w:pPr>
            <w:r w:rsidRPr="00257CFB">
              <w:rPr>
                <w:sz w:val="20"/>
                <w:szCs w:val="18"/>
              </w:rPr>
              <w:t>Key limitations / RoB concerns</w:t>
            </w:r>
          </w:p>
        </w:tc>
        <w:tc>
          <w:tcPr>
            <w:tcW w:w="2352" w:type="dxa"/>
          </w:tcPr>
          <w:p w14:paraId="3BEF126A" w14:textId="1BED2889" w:rsidR="00257CFB" w:rsidRPr="00257CFB" w:rsidRDefault="00B23798" w:rsidP="00A752AF">
            <w:pPr>
              <w:rPr>
                <w:sz w:val="20"/>
                <w:szCs w:val="18"/>
              </w:rPr>
            </w:pPr>
            <w:r w:rsidRPr="00B23798">
              <w:rPr>
                <w:sz w:val="20"/>
                <w:szCs w:val="18"/>
              </w:rPr>
              <w:t>Substantial methodological limitations: retrospective, self-reported exposure with recall bias, particularly for symptomatic participants reporting B6 use over several years; outcome assessment also self-reported via structured clinical interview, with documented concerns about leading questions in similar contemporaneous studies and no blinding of interviewers to case/control status; not randomised; no random sampling of the general population (cases drawn from a PMS clinic, i.e. pharmaceutical</w:t>
            </w:r>
            <w:r w:rsidR="00A26F96">
              <w:rPr>
                <w:sz w:val="20"/>
                <w:szCs w:val="18"/>
              </w:rPr>
              <w:t xml:space="preserve"> </w:t>
            </w:r>
            <w:r w:rsidRPr="00B23798">
              <w:rPr>
                <w:sz w:val="20"/>
                <w:szCs w:val="18"/>
              </w:rPr>
              <w:t>/</w:t>
            </w:r>
            <w:r w:rsidR="00A26F96">
              <w:rPr>
                <w:sz w:val="20"/>
                <w:szCs w:val="18"/>
              </w:rPr>
              <w:t xml:space="preserve"> </w:t>
            </w:r>
            <w:r w:rsidRPr="00B23798">
              <w:rPr>
                <w:sz w:val="20"/>
                <w:szCs w:val="18"/>
              </w:rPr>
              <w:t>therapeutic use context); does not directly address general-population dietary</w:t>
            </w:r>
            <w:r w:rsidR="00A26F96">
              <w:rPr>
                <w:sz w:val="20"/>
                <w:szCs w:val="18"/>
              </w:rPr>
              <w:t xml:space="preserve"> </w:t>
            </w:r>
            <w:r w:rsidRPr="00B23798">
              <w:rPr>
                <w:sz w:val="20"/>
                <w:szCs w:val="18"/>
              </w:rPr>
              <w:t>/</w:t>
            </w:r>
            <w:r w:rsidR="00A26F96">
              <w:rPr>
                <w:sz w:val="20"/>
                <w:szCs w:val="18"/>
              </w:rPr>
              <w:t xml:space="preserve"> </w:t>
            </w:r>
            <w:r w:rsidRPr="00B23798">
              <w:rPr>
                <w:sz w:val="20"/>
                <w:szCs w:val="18"/>
              </w:rPr>
              <w:t>supplement exposure, which is the purpose of this assessment; SCF (2000) also questioned whether “no dose difference” in the data masks a true dose-response relationship. Taken together, this is a study with substantial design weaknesses that must be weighed accordingly.</w:t>
            </w:r>
          </w:p>
        </w:tc>
        <w:tc>
          <w:tcPr>
            <w:tcW w:w="1762" w:type="dxa"/>
          </w:tcPr>
          <w:p w14:paraId="5DA24658" w14:textId="5D873D90" w:rsidR="00257CFB" w:rsidRPr="00257CFB" w:rsidRDefault="0046764B" w:rsidP="00A752AF">
            <w:pPr>
              <w:rPr>
                <w:sz w:val="20"/>
                <w:szCs w:val="18"/>
              </w:rPr>
            </w:pPr>
            <w:r w:rsidRPr="0046764B">
              <w:rPr>
                <w:sz w:val="20"/>
                <w:szCs w:val="18"/>
              </w:rPr>
              <w:t>Requires interspecies extrapolation (large UF needed); relatively short duration vs chronic human exposure</w:t>
            </w:r>
          </w:p>
        </w:tc>
        <w:tc>
          <w:tcPr>
            <w:tcW w:w="1817" w:type="dxa"/>
          </w:tcPr>
          <w:p w14:paraId="35719601" w14:textId="112EA3D5" w:rsidR="00257CFB" w:rsidRPr="00257CFB" w:rsidRDefault="0046764B" w:rsidP="00A752AF">
            <w:pPr>
              <w:rPr>
                <w:sz w:val="20"/>
                <w:szCs w:val="18"/>
              </w:rPr>
            </w:pPr>
            <w:r w:rsidRPr="0046764B">
              <w:rPr>
                <w:sz w:val="20"/>
                <w:szCs w:val="18"/>
              </w:rPr>
              <w:t>No control group; tiny complete sample (n=4 at 6 months); pre-existing neuropathy population (high indirectness); short duration inconsistent with known inverse dose-duration relationship; SCF (2000) noted reporting discrepancies (patient numbers</w:t>
            </w:r>
            <w:r w:rsidR="00A26F96">
              <w:rPr>
                <w:sz w:val="20"/>
                <w:szCs w:val="18"/>
              </w:rPr>
              <w:t xml:space="preserve"> </w:t>
            </w:r>
            <w:r w:rsidRPr="0046764B">
              <w:rPr>
                <w:sz w:val="20"/>
                <w:szCs w:val="18"/>
              </w:rPr>
              <w:t>/</w:t>
            </w:r>
            <w:r w:rsidR="00A26F96">
              <w:rPr>
                <w:sz w:val="20"/>
                <w:szCs w:val="18"/>
              </w:rPr>
              <w:t xml:space="preserve"> </w:t>
            </w:r>
            <w:r w:rsidRPr="0046764B">
              <w:rPr>
                <w:sz w:val="20"/>
                <w:szCs w:val="18"/>
              </w:rPr>
              <w:t>duration)</w:t>
            </w:r>
          </w:p>
        </w:tc>
        <w:tc>
          <w:tcPr>
            <w:tcW w:w="1817" w:type="dxa"/>
          </w:tcPr>
          <w:p w14:paraId="61947DC0" w14:textId="454FD375" w:rsidR="00257CFB" w:rsidRPr="00257CFB" w:rsidRDefault="0046764B" w:rsidP="00A752AF">
            <w:pPr>
              <w:rPr>
                <w:sz w:val="20"/>
                <w:szCs w:val="18"/>
              </w:rPr>
            </w:pPr>
            <w:r w:rsidRPr="0046764B">
              <w:rPr>
                <w:sz w:val="20"/>
                <w:szCs w:val="18"/>
              </w:rPr>
              <w:t>No control group; small sample (n=24); very short duration (4 months); CTS populatio</w:t>
            </w:r>
            <w:r w:rsidR="00A26F96">
              <w:rPr>
                <w:sz w:val="20"/>
                <w:szCs w:val="18"/>
              </w:rPr>
              <w:t>n, i.e.</w:t>
            </w:r>
            <w:r w:rsidRPr="0046764B">
              <w:rPr>
                <w:sz w:val="20"/>
                <w:szCs w:val="18"/>
              </w:rPr>
              <w:t xml:space="preserve"> outcome measure (distal motor latency) confounded by the underlying condition itself (high indirectness)</w:t>
            </w:r>
          </w:p>
        </w:tc>
      </w:tr>
      <w:tr w:rsidR="00257CFB" w:rsidRPr="00257CFB" w14:paraId="15D761A5" w14:textId="77777777" w:rsidTr="00400348">
        <w:tc>
          <w:tcPr>
            <w:tcW w:w="1271" w:type="dxa"/>
          </w:tcPr>
          <w:p w14:paraId="462415F5" w14:textId="63CF0CAB" w:rsidR="00257CFB" w:rsidRPr="00257CFB" w:rsidRDefault="00257CFB" w:rsidP="00A752AF">
            <w:pPr>
              <w:rPr>
                <w:sz w:val="20"/>
                <w:szCs w:val="18"/>
              </w:rPr>
            </w:pPr>
            <w:r w:rsidRPr="00257CFB">
              <w:rPr>
                <w:sz w:val="20"/>
                <w:szCs w:val="18"/>
              </w:rPr>
              <w:t>Overall RoB rating</w:t>
            </w:r>
          </w:p>
        </w:tc>
        <w:tc>
          <w:tcPr>
            <w:tcW w:w="2352" w:type="dxa"/>
          </w:tcPr>
          <w:p w14:paraId="716B276D" w14:textId="2270085F" w:rsidR="00257CFB" w:rsidRPr="00257CFB" w:rsidRDefault="00B23798" w:rsidP="00A752AF">
            <w:pPr>
              <w:rPr>
                <w:sz w:val="20"/>
                <w:szCs w:val="18"/>
              </w:rPr>
            </w:pPr>
            <w:r w:rsidRPr="00B23798">
              <w:rPr>
                <w:sz w:val="20"/>
                <w:szCs w:val="18"/>
              </w:rPr>
              <w:t>High</w:t>
            </w:r>
            <w:r>
              <w:rPr>
                <w:sz w:val="20"/>
                <w:szCs w:val="18"/>
              </w:rPr>
              <w:t xml:space="preserve"> risk o</w:t>
            </w:r>
            <w:r w:rsidR="00A26F96">
              <w:rPr>
                <w:sz w:val="20"/>
                <w:szCs w:val="18"/>
              </w:rPr>
              <w:t>f</w:t>
            </w:r>
            <w:r>
              <w:rPr>
                <w:sz w:val="20"/>
                <w:szCs w:val="18"/>
              </w:rPr>
              <w:t xml:space="preserve"> bias</w:t>
            </w:r>
            <w:r w:rsidRPr="00B23798">
              <w:rPr>
                <w:sz w:val="20"/>
                <w:szCs w:val="18"/>
              </w:rPr>
              <w:t xml:space="preserve">. Based on OHAT-type criteria, </w:t>
            </w:r>
            <w:r w:rsidRPr="00B23798">
              <w:rPr>
                <w:sz w:val="20"/>
                <w:szCs w:val="18"/>
              </w:rPr>
              <w:lastRenderedPageBreak/>
              <w:t>the study was not randomised and allocation to groups was not adequately concealed; the case-control design does not control for confounding between groups; experimental</w:t>
            </w:r>
            <w:r w:rsidR="00A26F96">
              <w:rPr>
                <w:sz w:val="20"/>
                <w:szCs w:val="18"/>
              </w:rPr>
              <w:t xml:space="preserve"> </w:t>
            </w:r>
            <w:r w:rsidRPr="00B23798">
              <w:rPr>
                <w:sz w:val="20"/>
                <w:szCs w:val="18"/>
              </w:rPr>
              <w:t>/</w:t>
            </w:r>
            <w:r w:rsidR="00A26F96">
              <w:rPr>
                <w:sz w:val="20"/>
                <w:szCs w:val="18"/>
              </w:rPr>
              <w:t xml:space="preserve"> </w:t>
            </w:r>
            <w:r w:rsidRPr="00B23798">
              <w:rPr>
                <w:sz w:val="20"/>
                <w:szCs w:val="18"/>
              </w:rPr>
              <w:t>assessment conditions (clinical interview) were not standardised or blinded across groups; and both exposure and outcome relied on self-report. These design features represent a high potential for systematic error, notwithstanding the study's relatively large sample size and the supporting biomarker and dose-response signals.</w:t>
            </w:r>
          </w:p>
        </w:tc>
        <w:tc>
          <w:tcPr>
            <w:tcW w:w="1762" w:type="dxa"/>
          </w:tcPr>
          <w:p w14:paraId="36D46F1E" w14:textId="44795E42" w:rsidR="00257CFB" w:rsidRPr="00257CFB" w:rsidRDefault="0046764B" w:rsidP="00A752AF">
            <w:pPr>
              <w:rPr>
                <w:sz w:val="20"/>
                <w:szCs w:val="18"/>
              </w:rPr>
            </w:pPr>
            <w:r w:rsidRPr="0046764B">
              <w:rPr>
                <w:sz w:val="20"/>
                <w:szCs w:val="18"/>
              </w:rPr>
              <w:lastRenderedPageBreak/>
              <w:t>Low</w:t>
            </w:r>
            <w:r w:rsidR="00B23798">
              <w:rPr>
                <w:sz w:val="20"/>
                <w:szCs w:val="18"/>
              </w:rPr>
              <w:t xml:space="preserve"> risk of bias</w:t>
            </w:r>
            <w:r w:rsidRPr="0046764B">
              <w:rPr>
                <w:sz w:val="20"/>
                <w:szCs w:val="18"/>
              </w:rPr>
              <w:t xml:space="preserve"> (well-controlled </w:t>
            </w:r>
            <w:r w:rsidRPr="0046764B">
              <w:rPr>
                <w:sz w:val="20"/>
                <w:szCs w:val="18"/>
              </w:rPr>
              <w:lastRenderedPageBreak/>
              <w:t>experimental design)</w:t>
            </w:r>
          </w:p>
        </w:tc>
        <w:tc>
          <w:tcPr>
            <w:tcW w:w="1817" w:type="dxa"/>
          </w:tcPr>
          <w:p w14:paraId="0EB7A8BE" w14:textId="4ADE26B9" w:rsidR="00257CFB" w:rsidRPr="00257CFB" w:rsidRDefault="00B23798" w:rsidP="00A752AF">
            <w:pPr>
              <w:rPr>
                <w:sz w:val="20"/>
                <w:szCs w:val="18"/>
              </w:rPr>
            </w:pPr>
            <w:r w:rsidRPr="00B23798">
              <w:rPr>
                <w:sz w:val="20"/>
                <w:szCs w:val="18"/>
              </w:rPr>
              <w:lastRenderedPageBreak/>
              <w:t>High</w:t>
            </w:r>
            <w:r>
              <w:rPr>
                <w:sz w:val="20"/>
                <w:szCs w:val="18"/>
              </w:rPr>
              <w:t xml:space="preserve"> risk of bias</w:t>
            </w:r>
            <w:r w:rsidRPr="00B23798">
              <w:rPr>
                <w:sz w:val="20"/>
                <w:szCs w:val="18"/>
              </w:rPr>
              <w:t xml:space="preserve">. As a small, </w:t>
            </w:r>
            <w:r w:rsidRPr="00B23798">
              <w:rPr>
                <w:sz w:val="20"/>
                <w:szCs w:val="18"/>
              </w:rPr>
              <w:lastRenderedPageBreak/>
              <w:t>uncontrolled case series in a non-representative population with an unblinded design, this study design carries a high potential for systematic error and sits low in the hierarchy of evidence.</w:t>
            </w:r>
          </w:p>
        </w:tc>
        <w:tc>
          <w:tcPr>
            <w:tcW w:w="1817" w:type="dxa"/>
          </w:tcPr>
          <w:p w14:paraId="36D14882" w14:textId="271C95C9" w:rsidR="00257CFB" w:rsidRPr="00257CFB" w:rsidRDefault="00B23798" w:rsidP="00A752AF">
            <w:pPr>
              <w:rPr>
                <w:sz w:val="20"/>
                <w:szCs w:val="18"/>
              </w:rPr>
            </w:pPr>
            <w:r w:rsidRPr="00B23798">
              <w:rPr>
                <w:sz w:val="20"/>
                <w:szCs w:val="18"/>
              </w:rPr>
              <w:lastRenderedPageBreak/>
              <w:t>High</w:t>
            </w:r>
            <w:r>
              <w:rPr>
                <w:sz w:val="20"/>
                <w:szCs w:val="18"/>
              </w:rPr>
              <w:t xml:space="preserve"> risk of bias</w:t>
            </w:r>
            <w:r w:rsidRPr="00B23798">
              <w:rPr>
                <w:sz w:val="20"/>
                <w:szCs w:val="18"/>
              </w:rPr>
              <w:t xml:space="preserve">. As with Bernstein </w:t>
            </w:r>
            <w:r w:rsidRPr="00B23798">
              <w:rPr>
                <w:sz w:val="20"/>
                <w:szCs w:val="18"/>
              </w:rPr>
              <w:lastRenderedPageBreak/>
              <w:t>&amp; Lobitz</w:t>
            </w:r>
            <w:r w:rsidR="00A26F96">
              <w:rPr>
                <w:sz w:val="20"/>
                <w:szCs w:val="18"/>
              </w:rPr>
              <w:t xml:space="preserve"> (1988)</w:t>
            </w:r>
            <w:r w:rsidRPr="00B23798">
              <w:rPr>
                <w:sz w:val="20"/>
                <w:szCs w:val="18"/>
              </w:rPr>
              <w:t>, this is a small, uncontrolled case series with no control group, unblinded assessment, and a non-representative population, all of which indicate a high risk of bias.</w:t>
            </w:r>
          </w:p>
        </w:tc>
      </w:tr>
    </w:tbl>
    <w:p w14:paraId="594BDC8C" w14:textId="56983DF4" w:rsidR="00396470" w:rsidRDefault="00396470" w:rsidP="00A752AF"/>
    <w:p w14:paraId="29B4245B" w14:textId="2EF7AF24" w:rsidR="00A752AF" w:rsidRDefault="00844BAF" w:rsidP="00A752AF">
      <w:pPr>
        <w:pStyle w:val="Heading2"/>
      </w:pPr>
      <w:bookmarkStart w:id="43" w:name="_Toc233031594"/>
      <w:r w:rsidRPr="00844BAF">
        <w:t>Overview of new evidence</w:t>
      </w:r>
      <w:bookmarkEnd w:id="43"/>
      <w:r w:rsidR="00A752AF">
        <w:t xml:space="preserve"> </w:t>
      </w:r>
    </w:p>
    <w:p w14:paraId="4EFEB484" w14:textId="325217AF" w:rsidR="00A752AF" w:rsidRDefault="00844BAF" w:rsidP="00A752AF">
      <w:r w:rsidRPr="00844BAF">
        <w:t xml:space="preserve">This section provides an overview of the dose–response information for vitamin B6 from the evidence review of recent literature (published 2022 onwards), which may influence the findings of this Evidence Evaluation Report, along with a discussion of the overall confidence in this body of evidence. This includes consideration of RoB of individual studies (see Appendix F </w:t>
      </w:r>
      <w:r w:rsidR="00A26F96">
        <w:t>in the</w:t>
      </w:r>
      <w:r w:rsidRPr="00844BAF">
        <w:t xml:space="preserve"> Technical Report) where appropriate. Individual RoB assessments were summarised in tables for </w:t>
      </w:r>
      <w:r w:rsidR="00405DBD">
        <w:t xml:space="preserve">the </w:t>
      </w:r>
      <w:r w:rsidRPr="00844BAF">
        <w:t>reported health outcome</w:t>
      </w:r>
      <w:r w:rsidR="00405DBD">
        <w:t xml:space="preserve">. </w:t>
      </w:r>
      <w:r w:rsidRPr="00844BAF">
        <w:t>Overall RoB ratings for each health outcome were determined using guidance from OHAT (2019) and considered alongside unexplained inconsistency, indirectness, imprecision, publication bias, magnitude of effect, and residual confounding to determine overall confidence ratings, consistent with a GRADE-informed approach.</w:t>
      </w:r>
    </w:p>
    <w:p w14:paraId="1809DB39" w14:textId="50832CFE" w:rsidR="0046764B" w:rsidRDefault="00092321" w:rsidP="00A752AF">
      <w:r>
        <w:rPr>
          <w:b/>
          <w:bCs/>
        </w:rPr>
        <w:fldChar w:fldCharType="begin"/>
      </w:r>
      <w:r>
        <w:instrText xml:space="preserve"> REF _Ref232224852 \h </w:instrText>
      </w:r>
      <w:r>
        <w:rPr>
          <w:b/>
          <w:bCs/>
        </w:rPr>
      </w:r>
      <w:r>
        <w:rPr>
          <w:b/>
          <w:bCs/>
        </w:rPr>
        <w:fldChar w:fldCharType="separate"/>
      </w:r>
      <w:r w:rsidR="0052675C" w:rsidRPr="004474B5">
        <w:rPr>
          <w:b/>
        </w:rPr>
        <w:t xml:space="preserve">Table </w:t>
      </w:r>
      <w:r w:rsidR="0052675C">
        <w:rPr>
          <w:b/>
          <w:noProof/>
        </w:rPr>
        <w:t>6</w:t>
      </w:r>
      <w:r>
        <w:rPr>
          <w:b/>
          <w:bCs/>
        </w:rPr>
        <w:fldChar w:fldCharType="end"/>
      </w:r>
      <w:r w:rsidR="0046764B">
        <w:t xml:space="preserve"> provides a summary of </w:t>
      </w:r>
      <w:r>
        <w:t xml:space="preserve">the </w:t>
      </w:r>
      <w:r w:rsidR="00A26F96">
        <w:t>RoB</w:t>
      </w:r>
      <w:r w:rsidR="0046764B">
        <w:t xml:space="preserve"> assessment for the new primary studies. The detailed rationale for selection of bias domains </w:t>
      </w:r>
      <w:r>
        <w:t>is</w:t>
      </w:r>
      <w:r w:rsidR="0046764B">
        <w:t xml:space="preserve"> provided in Appendix F </w:t>
      </w:r>
      <w:r w:rsidR="00A26F96">
        <w:t>in the</w:t>
      </w:r>
      <w:r w:rsidR="0046764B">
        <w:t xml:space="preserve"> Technical report.</w:t>
      </w:r>
    </w:p>
    <w:p w14:paraId="7E132415" w14:textId="4C02EE57" w:rsidR="00092321" w:rsidRDefault="00092321" w:rsidP="00092321">
      <w:pPr>
        <w:pStyle w:val="Heading3"/>
      </w:pPr>
      <w:bookmarkStart w:id="44" w:name="_Toc233031595"/>
      <w:r>
        <w:t>Dose response and overall confidence by health outcomes</w:t>
      </w:r>
      <w:bookmarkEnd w:id="44"/>
    </w:p>
    <w:p w14:paraId="274BA3D1" w14:textId="3BCC7B31" w:rsidR="00092321" w:rsidRDefault="00092321" w:rsidP="00092321">
      <w:pPr>
        <w:pStyle w:val="Heading4"/>
      </w:pPr>
      <w:bookmarkStart w:id="45" w:name="_Ref233733470"/>
      <w:r>
        <w:t xml:space="preserve">Neurological effects - </w:t>
      </w:r>
      <w:r w:rsidRPr="00092321">
        <w:t>Peripheral neuropathy</w:t>
      </w:r>
      <w:bookmarkEnd w:id="45"/>
    </w:p>
    <w:p w14:paraId="6611AC60" w14:textId="20BA7CD3" w:rsidR="004366FD" w:rsidRDefault="004366FD" w:rsidP="00092321">
      <w:pPr>
        <w:pStyle w:val="BodyText"/>
      </w:pPr>
      <w:r w:rsidRPr="004366FD">
        <w:t xml:space="preserve">Peripheral neuropathy is the critical effect underpinning EFSA's (2023) UL derivation, so the recent literature for this outcome was reviewed primarily to test whether new evidence is consistent with, or challenges, EFSA's conclusions. </w:t>
      </w:r>
      <w:r w:rsidR="00343EBC">
        <w:t>P</w:t>
      </w:r>
      <w:r w:rsidRPr="004366FD">
        <w:t xml:space="preserve">rimary studies were identified, spanning human case series, a cross-sectional registry analysis, pharmacovigilance data, a systematic review, and controlled animal studies. With the exception of the controlled animal </w:t>
      </w:r>
      <w:r w:rsidRPr="004366FD">
        <w:lastRenderedPageBreak/>
        <w:t>studies, these study designs sit low in the hierarchy of evidence and are inherently limited in their ability to establish causation or provide reliable quantitative estimates; the human evidence base for this outcome should therefore be considered of generally low reliability on study design grounds alone, before any consideration of the individual limitations of each study.</w:t>
      </w:r>
    </w:p>
    <w:p w14:paraId="79BBFB4A" w14:textId="2234B0D0" w:rsidR="001169EB" w:rsidRDefault="001F5029" w:rsidP="00850EF9">
      <w:pPr>
        <w:pStyle w:val="BodyText"/>
        <w:numPr>
          <w:ilvl w:val="0"/>
          <w:numId w:val="15"/>
        </w:numPr>
      </w:pPr>
      <w:r w:rsidRPr="001F5029">
        <w:t xml:space="preserve">Gdynia et al. 2025 (case series, </w:t>
      </w:r>
      <w:r w:rsidR="004366FD">
        <w:t xml:space="preserve">high </w:t>
      </w:r>
      <w:r>
        <w:t>risk of bias</w:t>
      </w:r>
      <w:r w:rsidRPr="001F5029">
        <w:t>): doses included ~10 mg/day for 13 years, plus other unspecified higher-dose multivitamin use. Notably, 10 mg/day is below EFSA's UL (12 mg/day) and far below the RP (50 mg/day), yet neuropathy was attributed to B6 in this case</w:t>
      </w:r>
      <w:r w:rsidR="001169EB">
        <w:t>.</w:t>
      </w:r>
    </w:p>
    <w:p w14:paraId="49657945" w14:textId="49433965" w:rsidR="001F5029" w:rsidRDefault="001F5029" w:rsidP="00850EF9">
      <w:pPr>
        <w:pStyle w:val="BodyText"/>
        <w:numPr>
          <w:ilvl w:val="0"/>
          <w:numId w:val="15"/>
        </w:numPr>
      </w:pPr>
      <w:r w:rsidRPr="001F5029">
        <w:t xml:space="preserve">Paluszny </w:t>
      </w:r>
      <w:r w:rsidR="00A26F96">
        <w:t>and Qiu</w:t>
      </w:r>
      <w:r w:rsidRPr="001F5029">
        <w:t xml:space="preserve"> 2023 (case control, </w:t>
      </w:r>
      <w:r>
        <w:t>high risk of bias</w:t>
      </w:r>
      <w:r w:rsidRPr="001F5029">
        <w:t>): ~6 mg supplement/day for &gt;10 years (estimated total ~8 mg/day with diet)</w:t>
      </w:r>
      <w:r w:rsidR="00A26F96">
        <w:t>;</w:t>
      </w:r>
      <w:r w:rsidRPr="001F5029">
        <w:t xml:space="preserve"> </w:t>
      </w:r>
      <w:r>
        <w:t>a</w:t>
      </w:r>
      <w:r w:rsidRPr="001F5029">
        <w:t>uthors explicitly noted this is below EFSA's 12 mg/day UL.</w:t>
      </w:r>
    </w:p>
    <w:p w14:paraId="71F4BD0F" w14:textId="5A6FD628" w:rsidR="004A2EF4" w:rsidRDefault="001F5029" w:rsidP="00850EF9">
      <w:pPr>
        <w:pStyle w:val="BodyText"/>
        <w:numPr>
          <w:ilvl w:val="0"/>
          <w:numId w:val="15"/>
        </w:numPr>
      </w:pPr>
      <w:r w:rsidRPr="001F5029">
        <w:t xml:space="preserve">Stewart et al. 2022 (cross-sectional, </w:t>
      </w:r>
      <w:r w:rsidR="004366FD">
        <w:t xml:space="preserve">high </w:t>
      </w:r>
      <w:r>
        <w:t>risk of bias</w:t>
      </w:r>
      <w:r w:rsidRPr="001F5029">
        <w:t>): plasma B6 categorised as normal (5–50 µg/L), mildly to extremely elevated (up to ≥300 µg/L); no dietary/supplement dose reported</w:t>
      </w:r>
      <w:r>
        <w:t>,</w:t>
      </w:r>
      <w:r w:rsidRPr="001F5029">
        <w:t xml:space="preserve"> exposure assessed via biomarker only, not intake.</w:t>
      </w:r>
    </w:p>
    <w:p w14:paraId="5604C608" w14:textId="4C1A22DA" w:rsidR="001F5029" w:rsidRDefault="00CE2DBB" w:rsidP="00850EF9">
      <w:pPr>
        <w:pStyle w:val="BodyText"/>
        <w:numPr>
          <w:ilvl w:val="0"/>
          <w:numId w:val="15"/>
        </w:numPr>
      </w:pPr>
      <w:r w:rsidRPr="00CE2DBB">
        <w:t>Zervou et al. 2025 (case series, high risk of bias): reported serum vitamin B6 levels of 233–828 nmol/L, around 2–7 times the upper reference limit. These elevations were endogenous and related to HPP, not supplement use, so no comparable mg/day dose is available</w:t>
      </w:r>
      <w:r w:rsidR="001F5029" w:rsidRPr="001F5029">
        <w:t>.</w:t>
      </w:r>
    </w:p>
    <w:p w14:paraId="213148A4" w14:textId="52A0A2CF" w:rsidR="001C70AC" w:rsidRDefault="001C70AC" w:rsidP="00850EF9">
      <w:pPr>
        <w:pStyle w:val="BodyText"/>
        <w:numPr>
          <w:ilvl w:val="0"/>
          <w:numId w:val="15"/>
        </w:numPr>
      </w:pPr>
      <w:r w:rsidRPr="001C70AC">
        <w:t>van Hunsel et al. 2025 (pharmacovigilance, high risk of bias): reported doses varied, with most cases occurring before 2018. Although the Dutch regulatory cap was set at 21 mg/day after 2018, reports of neuropathy continued, including some below the cap. One post-cap report involved a much higher dose of 200 mg/day.</w:t>
      </w:r>
    </w:p>
    <w:p w14:paraId="0DD8B825" w14:textId="21B7D3F2" w:rsidR="001C70AC" w:rsidRDefault="006B70A3" w:rsidP="00850EF9">
      <w:pPr>
        <w:pStyle w:val="BodyText"/>
        <w:numPr>
          <w:ilvl w:val="0"/>
          <w:numId w:val="15"/>
        </w:numPr>
      </w:pPr>
      <w:r w:rsidRPr="006B70A3">
        <w:t>Sano et al. 202</w:t>
      </w:r>
      <w:r w:rsidR="00A26F96">
        <w:t>2</w:t>
      </w:r>
      <w:r w:rsidRPr="006B70A3">
        <w:t xml:space="preserve"> (animal, published peer-reviewed paper rather than a GLP study report; high risk of bias) used pyridoxine as a positive-control peripheral neurotoxicant in rats at 1200 mg/kg/day for one to three days. Reporting gaps drive the high RoB rating: small group sizes (n=4</w:t>
      </w:r>
      <w:r w:rsidR="003404A1">
        <w:t xml:space="preserve"> per time point</w:t>
      </w:r>
      <w:r w:rsidRPr="006B70A3">
        <w:t>), incomplete outcome data for the pyridoxine (excluded from the day 8 necropsy</w:t>
      </w:r>
      <w:r w:rsidR="003404A1">
        <w:t xml:space="preserve"> group</w:t>
      </w:r>
      <w:r w:rsidRPr="006B70A3">
        <w:t xml:space="preserve"> unlike the trimethyltin </w:t>
      </w:r>
      <w:r>
        <w:t>(</w:t>
      </w:r>
      <w:r w:rsidRPr="006B70A3">
        <w:t>TMT</w:t>
      </w:r>
      <w:r>
        <w:t>)</w:t>
      </w:r>
      <w:r w:rsidRPr="006B70A3">
        <w:t xml:space="preserve"> comparator), and a dose rationale partly based on unpublished internal data. A full GLP study report with complete data may have warranted a lower </w:t>
      </w:r>
      <w:r w:rsidR="00467335">
        <w:t xml:space="preserve">risk of bias </w:t>
      </w:r>
      <w:r w:rsidRPr="006B70A3">
        <w:t>rating.</w:t>
      </w:r>
    </w:p>
    <w:p w14:paraId="5A0694E2" w14:textId="4F28C34E" w:rsidR="001C70AC" w:rsidRDefault="001C70AC" w:rsidP="00850EF9">
      <w:pPr>
        <w:pStyle w:val="BodyText"/>
        <w:numPr>
          <w:ilvl w:val="0"/>
          <w:numId w:val="15"/>
        </w:numPr>
      </w:pPr>
      <w:r w:rsidRPr="001C70AC">
        <w:t xml:space="preserve">Theil et al. 2023 (animal, </w:t>
      </w:r>
      <w:r>
        <w:t>moderate risk of bias</w:t>
      </w:r>
      <w:r w:rsidRPr="001C70AC">
        <w:t>): escalating pyridoxine doses up to 100–150 mg/kg/day (weeks 1–5), then 50 mg/kg/day (weeks 8–13) in juvenile beagle dogs directly comparable in magnitude to the Phillips et al. (1978) LOAEL of 50 mg/kg bw/day</w:t>
      </w:r>
      <w:r w:rsidR="00E9296D">
        <w:t xml:space="preserve">. </w:t>
      </w:r>
      <w:r w:rsidR="00E9296D" w:rsidRPr="00E9296D">
        <w:t>This supports EFSA’s broader weight-of-evidence basis for the animal-derived UL, rather than serving as a separate basis for the animal cross-check.</w:t>
      </w:r>
    </w:p>
    <w:p w14:paraId="0411812B" w14:textId="7D5040C3" w:rsidR="001C70AC" w:rsidRDefault="00E9296D" w:rsidP="001169EB">
      <w:pPr>
        <w:pStyle w:val="BodyText"/>
      </w:pPr>
      <w:r w:rsidRPr="00E9296D">
        <w:t xml:space="preserve">The key finding is that two of the better-characterised human case studies (Gdynia </w:t>
      </w:r>
      <w:r w:rsidR="00A26F96">
        <w:t xml:space="preserve">et al. 2025 </w:t>
      </w:r>
      <w:r w:rsidRPr="00E9296D">
        <w:t>and Paluszny</w:t>
      </w:r>
      <w:r w:rsidR="00A26F96">
        <w:t xml:space="preserve"> and Qiu 2023</w:t>
      </w:r>
      <w:r w:rsidRPr="00E9296D">
        <w:t>), both with biomarker-confirmed elevated serum B6, reported neuropathy at intakes of 6</w:t>
      </w:r>
      <w:r>
        <w:t>-</w:t>
      </w:r>
      <w:r w:rsidRPr="00E9296D">
        <w:t xml:space="preserve">10 mg/day. However, as case studies, these reports rank low on the hierarchy of evidence and are inherently prone to limitations including small sample size, absence of a control group, and an inability to fully exclude confounding factors or unreported additional sources of vitamin B6; they cannot establish a reliable population-level threshold in the way a controlled study could. With this caveat in mind, these intakes are below EFSA's UL of 12 mg/day and well below the </w:t>
      </w:r>
      <w:r w:rsidR="00A26F96">
        <w:t>RP</w:t>
      </w:r>
      <w:r w:rsidRPr="00E9296D">
        <w:t xml:space="preserve"> of 50 mg/day, which is potentially relevant because it differs from EFSA's 2023 approach, where the </w:t>
      </w:r>
      <w:r w:rsidR="00A26F96">
        <w:t>RP</w:t>
      </w:r>
      <w:r w:rsidRPr="00E9296D">
        <w:t xml:space="preserve"> was based on the lowest dose group in Dalton &amp; Dalton (1987), reported as &lt;50 mg/day. Given the low reliability of case-study evidence, this difference should be treated as a signal warranting attention rather than a finding that challenges or revises EFSA's </w:t>
      </w:r>
      <w:r w:rsidR="00A26F96">
        <w:t>RP</w:t>
      </w:r>
      <w:r w:rsidRPr="00E9296D">
        <w:t xml:space="preserve"> on its own.</w:t>
      </w:r>
      <w:r>
        <w:t xml:space="preserve"> </w:t>
      </w:r>
      <w:r w:rsidR="001C70AC" w:rsidRPr="001C70AC">
        <w:t xml:space="preserve"> </w:t>
      </w:r>
    </w:p>
    <w:p w14:paraId="7C8EC7BC" w14:textId="34AA79EC" w:rsidR="001C70AC" w:rsidRDefault="001C70AC" w:rsidP="001169EB">
      <w:pPr>
        <w:pStyle w:val="BodyText"/>
      </w:pPr>
      <w:r w:rsidRPr="001C70AC">
        <w:lastRenderedPageBreak/>
        <w:t xml:space="preserve">The van Hunsel </w:t>
      </w:r>
      <w:r w:rsidR="00A26F96">
        <w:t xml:space="preserve">et al. </w:t>
      </w:r>
      <w:r w:rsidRPr="001C70AC">
        <w:t>(2025) pharmacovigilance analysis provides a third, lower-confidence data point in the same direction, with neuropathy reports continuing below the Dutch regulatory cap of 21 mg/day. However, this evidence is also limited by the inherent uncertainties of spontaneous reporting data.</w:t>
      </w:r>
    </w:p>
    <w:p w14:paraId="157AB1E6" w14:textId="0AD18170" w:rsidR="001C70AC" w:rsidRDefault="00D570C6" w:rsidP="001169EB">
      <w:pPr>
        <w:pStyle w:val="BodyText"/>
      </w:pPr>
      <w:r w:rsidRPr="00D570C6">
        <w:t xml:space="preserve">Theil </w:t>
      </w:r>
      <w:r w:rsidR="00A26F96">
        <w:t xml:space="preserve">et al. </w:t>
      </w:r>
      <w:r w:rsidRPr="00D570C6">
        <w:t xml:space="preserve">(2023), (Tier 2, well controlled), </w:t>
      </w:r>
      <w:r w:rsidR="00756D28">
        <w:t>followed a dose-escalation pattern of exposure starting at 50 mg/kg bw per day and increasing to 150 mg/kg bw per day with a weekly dose increment of 50 mg/kg bw (</w:t>
      </w:r>
      <w:r w:rsidRPr="00D570C6">
        <w:t>consistent with the LOAEL range reported in Phillips (1978)</w:t>
      </w:r>
      <w:r w:rsidR="00A26F96">
        <w:t>)</w:t>
      </w:r>
      <w:r w:rsidRPr="00D570C6">
        <w:t xml:space="preserve">. </w:t>
      </w:r>
      <w:r w:rsidR="00756D28">
        <w:t xml:space="preserve">The dogs were then provided a treatment holiday from study weeks 6 to 10 with vitamin B6 re-treatment at 50 mg/kg bw per day recommencing on study week 10 and continuing to study week 13 (animal termination). While the study provides potentially useful mechanistic data and proof of concept for use of </w:t>
      </w:r>
      <w:r w:rsidR="00D27BFC">
        <w:t>neurofilament</w:t>
      </w:r>
      <w:r w:rsidR="00756D28">
        <w:t xml:space="preserve"> light chain as a biomarker for drug-induce</w:t>
      </w:r>
      <w:r w:rsidR="00DF278E">
        <w:t>d</w:t>
      </w:r>
      <w:r w:rsidR="00756D28">
        <w:t xml:space="preserve"> peripheral neuropathy, it is not useful for dose-response assessment.</w:t>
      </w:r>
    </w:p>
    <w:p w14:paraId="615F7058" w14:textId="3FAFE923" w:rsidR="00D570C6" w:rsidRDefault="00B7336B" w:rsidP="001169EB">
      <w:pPr>
        <w:pStyle w:val="BodyText"/>
      </w:pPr>
      <w:r w:rsidRPr="00B7336B">
        <w:t xml:space="preserve">Based on the assessed studies, Theil </w:t>
      </w:r>
      <w:r w:rsidR="00A26F96">
        <w:t xml:space="preserve">et al. </w:t>
      </w:r>
      <w:r w:rsidRPr="00B7336B">
        <w:t>(2023), while well controlled and providing useful mechanistic and biomarker proof-of-concept data, is not suitable for dose-response assessment given its reactive dose adjustment, small group sizes for the pyridoxine, and lack of formal statistical comparison, and is therefore not relied upon for this purpose. A separate group of lower-confidence human case reports and pharmacovigilance signals (Gdynia</w:t>
      </w:r>
      <w:r w:rsidR="00A26F96">
        <w:t xml:space="preserve"> et al. 2025</w:t>
      </w:r>
      <w:r w:rsidRPr="00B7336B">
        <w:t>, Paluszny</w:t>
      </w:r>
      <w:r w:rsidR="00A26F96">
        <w:t xml:space="preserve"> and Qiu 2023</w:t>
      </w:r>
      <w:r w:rsidRPr="00B7336B">
        <w:t>, van Hunsel</w:t>
      </w:r>
      <w:r w:rsidR="00A26F96">
        <w:t xml:space="preserve"> et al. 2025</w:t>
      </w:r>
      <w:r w:rsidRPr="00B7336B">
        <w:t xml:space="preserve">) suggests neuropathy may occur at intakes below EFSA's RP and UL in some individuals, though, as case-based evidence, this signal warrants attention rather than being treated as a basis for revising the existing </w:t>
      </w:r>
      <w:r w:rsidR="00A26F96">
        <w:t>RP</w:t>
      </w:r>
      <w:r w:rsidRPr="00B7336B">
        <w:t>.</w:t>
      </w:r>
      <w:r w:rsidR="00D570C6" w:rsidRPr="00D570C6">
        <w:t xml:space="preserve"> </w:t>
      </w:r>
    </w:p>
    <w:p w14:paraId="424A82D0" w14:textId="6025CDB6" w:rsidR="00C81AD5" w:rsidRDefault="00C81AD5" w:rsidP="00C81AD5">
      <w:pPr>
        <w:pStyle w:val="Heading4"/>
      </w:pPr>
      <w:bookmarkStart w:id="46" w:name="_Ref233733336"/>
      <w:r w:rsidRPr="00C81AD5">
        <w:t>Individual susceptibility / B6 metabolism</w:t>
      </w:r>
      <w:bookmarkEnd w:id="46"/>
    </w:p>
    <w:p w14:paraId="7B85F510" w14:textId="7A053513" w:rsidR="006738A1" w:rsidRDefault="006738A1" w:rsidP="006738A1">
      <w:pPr>
        <w:pStyle w:val="BodyText"/>
      </w:pPr>
      <w:r>
        <w:t xml:space="preserve">Whyte et al. (2024) was assessed as a mechanistic study with a moderate </w:t>
      </w:r>
      <w:r w:rsidR="00A26F96">
        <w:t>RoB</w:t>
      </w:r>
      <w:r>
        <w:t>. The study used a short oral pyridoxine challenge of approximately</w:t>
      </w:r>
      <w:r w:rsidR="00162FA4">
        <w:t xml:space="preserve"> one third</w:t>
      </w:r>
      <w:r>
        <w:t xml:space="preserve"> mg/kg</w:t>
      </w:r>
      <w:r w:rsidR="00162FA4">
        <w:t xml:space="preserve"> bw</w:t>
      </w:r>
      <w:r>
        <w:t xml:space="preserve">/day for six days, with blood collected 24 hours after the final dose. This dose is approximately equivalent to 23 mg/day for a 70 kg adult, although the study population was paediatric. The challenge dose was below EFSA’s </w:t>
      </w:r>
      <w:r w:rsidR="00A26F96">
        <w:t>RP</w:t>
      </w:r>
      <w:r>
        <w:t xml:space="preserve"> on a body weight basis and was used to assess vitamin B6 metabolism and clearance, not to test toxicity.</w:t>
      </w:r>
    </w:p>
    <w:p w14:paraId="6234801A" w14:textId="41C3E200" w:rsidR="006738A1" w:rsidRDefault="006738A1" w:rsidP="006738A1">
      <w:pPr>
        <w:pStyle w:val="BodyText"/>
      </w:pPr>
      <w:r>
        <w:t>The main finding was that individuals with impaired TNSALP activity, specifically patients with HPP, can accumulate PLP abnormally even after a modest, short-term pyridoxine dose. This supports the concept that genetic differences can affect PLP clearance and may contribute to individual susceptibility.</w:t>
      </w:r>
    </w:p>
    <w:p w14:paraId="4A1A46DF" w14:textId="4780F09B" w:rsidR="006738A1" w:rsidRDefault="006738A1" w:rsidP="006738A1">
      <w:pPr>
        <w:pStyle w:val="BodyText"/>
      </w:pPr>
      <w:r>
        <w:t>Although the study was conducted in a paediatric HPP population, its relevance is mechanistic rather than directly toxicological. It does not provide dose–response data for the general population and does not inform a point of departure for UL derivation. However, it supports the need to account for toxicokinetic variability in the general population, including individuals with reduced PLP clearance capacity. This is relevant to the human intraspecies uncertainty factor used in UL derivation and supports retaining, rather than reducing, this component of the uncertainty factor.</w:t>
      </w:r>
    </w:p>
    <w:p w14:paraId="3A3A711D" w14:textId="12C1F437" w:rsidR="00F412C8" w:rsidRDefault="006738A1" w:rsidP="00F412C8">
      <w:pPr>
        <w:pStyle w:val="BodyText"/>
      </w:pPr>
      <w:r>
        <w:t xml:space="preserve">For this reason, Whyte et al. (2024) was retained in the </w:t>
      </w:r>
      <w:r w:rsidR="00A26F96">
        <w:t>RoB</w:t>
      </w:r>
      <w:r>
        <w:t xml:space="preserve"> and confidence-rating tables under the “Other” health outcome category. Its value lies in characterising uncertainty around individual susceptibility, rather than in assessing toxicity or deriving a quantitative UL.</w:t>
      </w:r>
      <w:r w:rsidR="00F412C8">
        <w:t xml:space="preserve"> </w:t>
      </w:r>
    </w:p>
    <w:p w14:paraId="619D9963" w14:textId="50977473" w:rsidR="006A753E" w:rsidRDefault="006A753E" w:rsidP="006A753E">
      <w:pPr>
        <w:pStyle w:val="Heading2"/>
      </w:pPr>
      <w:bookmarkStart w:id="47" w:name="_Toc233031596"/>
      <w:r w:rsidRPr="006A753E">
        <w:t>Studies excluded from RoB assessment or from further assessment due to being out of scope</w:t>
      </w:r>
      <w:bookmarkEnd w:id="47"/>
    </w:p>
    <w:p w14:paraId="64E45795" w14:textId="35C2B022" w:rsidR="006A753E" w:rsidRDefault="006A753E" w:rsidP="006A753E">
      <w:pPr>
        <w:pStyle w:val="BodyText"/>
      </w:pPr>
      <w:r>
        <w:t xml:space="preserve">Before presenting the formal </w:t>
      </w:r>
      <w:r w:rsidR="00A26F96">
        <w:t>RoB</w:t>
      </w:r>
      <w:r>
        <w:t xml:space="preserve"> and confidence assessments, it is necessary to clarify which studies identified in the evidence scan were included in this quantitative assessment, and which were excluded on scope grounds. Consistent with the NHMRC Final NRV </w:t>
      </w:r>
      <w:r>
        <w:lastRenderedPageBreak/>
        <w:t>Methodological Framework, which specifies that ULs are intended for the general healthy population and exclude sub-populations with genetic disease or other conditions that predispose them to adverse effects at levels below those relevant to the general population, the following studies have been excluded from the RoB assessment tables and from further consideration in dose-response or point of departure derivation, on the basis that they reflect pharmaceutical or therapeutic use of vitamin B6 in non-representative clinical populations rather than general dietary or supplement exposure.</w:t>
      </w:r>
    </w:p>
    <w:p w14:paraId="5CFC444D" w14:textId="51422A16" w:rsidR="00343EBC" w:rsidRDefault="006A753E" w:rsidP="00343EBC">
      <w:pPr>
        <w:pStyle w:val="Heading3"/>
      </w:pPr>
      <w:bookmarkStart w:id="48" w:name="_Toc233031597"/>
      <w:r>
        <w:t>Excluded due to therapeutic/pharmaceutical use in non-representative clinical populations</w:t>
      </w:r>
      <w:bookmarkEnd w:id="48"/>
      <w:r>
        <w:t xml:space="preserve"> </w:t>
      </w:r>
    </w:p>
    <w:p w14:paraId="2700DC87" w14:textId="6F582619" w:rsidR="006A753E" w:rsidRDefault="006A753E" w:rsidP="006A753E">
      <w:pPr>
        <w:pStyle w:val="BodyText"/>
      </w:pPr>
      <w:r w:rsidRPr="00C533AA">
        <w:rPr>
          <w:b/>
          <w:bCs/>
          <w:lang w:val="da-DK"/>
        </w:rPr>
        <w:t xml:space="preserve">Brands et al. (2026), Webster et al. </w:t>
      </w:r>
      <w:r w:rsidRPr="00343EBC">
        <w:rPr>
          <w:b/>
          <w:bCs/>
        </w:rPr>
        <w:t>(2026), and Lee et al. (2025)</w:t>
      </w:r>
      <w:r>
        <w:t xml:space="preserve">, all reporting hepatotoxicity/hepatocellular carcinoma in patients with PNPO deficiency receiving high-dose therapeutic PLP under medical supervision (24–109 mg/kg/day). These doses are orders of magnitude above the general-population RP and the underlying metabolic disorder itself confounds attribution of liver outcomes to PLP dosing; these studies are noted in </w:t>
      </w:r>
      <w:r w:rsidRPr="00400348">
        <w:rPr>
          <w:b/>
          <w:bCs/>
        </w:rPr>
        <w:t>Section</w:t>
      </w:r>
      <w:r w:rsidR="00A26F96" w:rsidRPr="00400348">
        <w:rPr>
          <w:b/>
          <w:bCs/>
        </w:rPr>
        <w:t xml:space="preserve"> </w:t>
      </w:r>
      <w:r w:rsidR="00A26F96" w:rsidRPr="00400348">
        <w:rPr>
          <w:b/>
          <w:bCs/>
        </w:rPr>
        <w:fldChar w:fldCharType="begin"/>
      </w:r>
      <w:r w:rsidR="00A26F96" w:rsidRPr="00400348">
        <w:rPr>
          <w:b/>
          <w:bCs/>
        </w:rPr>
        <w:instrText xml:space="preserve"> REF _Ref233733336 \r \h </w:instrText>
      </w:r>
      <w:r w:rsidR="00A26F96">
        <w:rPr>
          <w:b/>
          <w:bCs/>
        </w:rPr>
        <w:instrText xml:space="preserve"> \* MERGEFORMAT </w:instrText>
      </w:r>
      <w:r w:rsidR="00A26F96" w:rsidRPr="00400348">
        <w:rPr>
          <w:b/>
          <w:bCs/>
        </w:rPr>
      </w:r>
      <w:r w:rsidR="00A26F96" w:rsidRPr="00400348">
        <w:rPr>
          <w:b/>
          <w:bCs/>
        </w:rPr>
        <w:fldChar w:fldCharType="separate"/>
      </w:r>
      <w:r w:rsidR="0052675C">
        <w:rPr>
          <w:b/>
          <w:bCs/>
        </w:rPr>
        <w:t>5.2.1.2</w:t>
      </w:r>
      <w:r w:rsidR="00A26F96" w:rsidRPr="00400348">
        <w:rPr>
          <w:b/>
          <w:bCs/>
        </w:rPr>
        <w:fldChar w:fldCharType="end"/>
      </w:r>
      <w:r>
        <w:t xml:space="preserve"> for </w:t>
      </w:r>
      <w:r w:rsidR="00A26F96">
        <w:t xml:space="preserve">clinical </w:t>
      </w:r>
      <w:r w:rsidR="00343EBC">
        <w:t>context</w:t>
      </w:r>
      <w:r>
        <w:t xml:space="preserve"> only, .</w:t>
      </w:r>
    </w:p>
    <w:p w14:paraId="6718E202" w14:textId="59E73A7C" w:rsidR="006A753E" w:rsidRDefault="006A753E" w:rsidP="006A753E">
      <w:pPr>
        <w:pStyle w:val="BodyText"/>
      </w:pPr>
      <w:r w:rsidRPr="00343EBC">
        <w:rPr>
          <w:b/>
          <w:bCs/>
        </w:rPr>
        <w:t>Arai et al. (2023)</w:t>
      </w:r>
      <w:r>
        <w:t xml:space="preserve"> (therapeutic PLP, 10–80 mg/kg/day, in infants with epileptic spasms syndrome) and </w:t>
      </w:r>
      <w:r w:rsidRPr="00343EBC">
        <w:rPr>
          <w:b/>
          <w:bCs/>
        </w:rPr>
        <w:t>Morris et al. (2025)</w:t>
      </w:r>
      <w:r>
        <w:t xml:space="preserve"> (therapeutic PLP, median ~3.8 mg/kg/day up to &gt;900 mg/day, in patients with cystathionine beta-synthase deficiency). Both reflect high-dose clinical treatment in defined patient populations and are noted for clinical context only.</w:t>
      </w:r>
    </w:p>
    <w:p w14:paraId="769593EA" w14:textId="64129C16" w:rsidR="006738A1" w:rsidRDefault="006738A1" w:rsidP="006A753E">
      <w:pPr>
        <w:pStyle w:val="BodyText"/>
      </w:pPr>
      <w:r w:rsidRPr="006738A1">
        <w:rPr>
          <w:b/>
          <w:bCs/>
        </w:rPr>
        <w:t>Bossard et al. (2022)</w:t>
      </w:r>
      <w:r w:rsidRPr="006738A1">
        <w:t>, provides contextual prevalence data on blood PLP status in a clinical sample (deficiency &lt;30 nmol/L, normal 30–100 nmol/L, overdose &gt;100 nmol/L), with overdose identified in 30–40% of samples, driven by supplement use. Exposure was not directly measured at the individual dose level, and the sample included bariatric surgery patients, a population with altered absorption; this study is retained as contextual prevalence information only and has not been included in the RoB-weighted dose-response assessment.</w:t>
      </w:r>
    </w:p>
    <w:p w14:paraId="122F2707" w14:textId="0593DF43" w:rsidR="00343EBC" w:rsidRDefault="006A753E" w:rsidP="00343EBC">
      <w:pPr>
        <w:pStyle w:val="Heading3"/>
      </w:pPr>
      <w:bookmarkStart w:id="49" w:name="_Toc233031598"/>
      <w:r>
        <w:t>Excluded from the RoB-weighted dose-response assessment but retained as mechanistic or uncertainty-factor-relevant evidence</w:t>
      </w:r>
      <w:bookmarkEnd w:id="49"/>
      <w:r>
        <w:t xml:space="preserve"> </w:t>
      </w:r>
    </w:p>
    <w:p w14:paraId="40A3650E" w14:textId="1D12E97F" w:rsidR="006A753E" w:rsidRDefault="006A753E" w:rsidP="006A753E">
      <w:pPr>
        <w:pStyle w:val="BodyText"/>
      </w:pPr>
      <w:r w:rsidRPr="00343EBC">
        <w:rPr>
          <w:b/>
          <w:bCs/>
        </w:rPr>
        <w:t>Zervou et al. (2025)</w:t>
      </w:r>
      <w:r>
        <w:t>, reporting neuropathic pain associated with endogenous PLP accumulation in HPP patients. As this exposure is endogenous (arising from impaired alkaline phosphatase-mediated PLP clearance) rather than from dietary or supplemental intake, no comparable mg/day dose exists and the study cannot contribute to dose-response assessment; it is therefore not included in</w:t>
      </w:r>
      <w:r w:rsidR="00A26F96">
        <w:t xml:space="preserve"> </w:t>
      </w:r>
      <w:r w:rsidR="00A26F96">
        <w:fldChar w:fldCharType="begin"/>
      </w:r>
      <w:r w:rsidR="00A26F96">
        <w:instrText xml:space="preserve"> REF _Ref232224852 \h </w:instrText>
      </w:r>
      <w:r w:rsidR="00A26F96">
        <w:fldChar w:fldCharType="separate"/>
      </w:r>
      <w:r w:rsidR="0052675C" w:rsidRPr="004474B5">
        <w:rPr>
          <w:b/>
        </w:rPr>
        <w:t xml:space="preserve">Table </w:t>
      </w:r>
      <w:r w:rsidR="0052675C">
        <w:rPr>
          <w:b/>
          <w:noProof/>
        </w:rPr>
        <w:t>6</w:t>
      </w:r>
      <w:r w:rsidR="00A26F96">
        <w:fldChar w:fldCharType="end"/>
      </w:r>
      <w:r w:rsidR="00A26F96">
        <w:t xml:space="preserve"> to </w:t>
      </w:r>
      <w:r w:rsidR="00A26F96">
        <w:fldChar w:fldCharType="begin"/>
      </w:r>
      <w:r w:rsidR="00A26F96">
        <w:instrText xml:space="preserve"> REF _Ref232237874 \h </w:instrText>
      </w:r>
      <w:r w:rsidR="00A26F96">
        <w:fldChar w:fldCharType="separate"/>
      </w:r>
      <w:r w:rsidR="0052675C" w:rsidRPr="004474B5">
        <w:rPr>
          <w:b/>
        </w:rPr>
        <w:t xml:space="preserve">Table </w:t>
      </w:r>
      <w:r w:rsidR="0052675C">
        <w:rPr>
          <w:b/>
          <w:noProof/>
        </w:rPr>
        <w:t>8</w:t>
      </w:r>
      <w:r w:rsidR="00A26F96">
        <w:fldChar w:fldCharType="end"/>
      </w:r>
      <w:r>
        <w:t xml:space="preserve">of this Overall Evaluation, although it remains valuable mechanistic evidence (discussed in </w:t>
      </w:r>
      <w:r w:rsidRPr="00400348">
        <w:rPr>
          <w:b/>
          <w:bCs/>
        </w:rPr>
        <w:t xml:space="preserve">Section </w:t>
      </w:r>
      <w:r w:rsidR="00A26F96" w:rsidRPr="00400348">
        <w:rPr>
          <w:b/>
          <w:bCs/>
        </w:rPr>
        <w:fldChar w:fldCharType="begin"/>
      </w:r>
      <w:r w:rsidR="00A26F96" w:rsidRPr="00400348">
        <w:rPr>
          <w:b/>
          <w:bCs/>
        </w:rPr>
        <w:instrText xml:space="preserve"> REF _Ref233733470 \r \h </w:instrText>
      </w:r>
      <w:r w:rsidR="00A26F96">
        <w:rPr>
          <w:b/>
          <w:bCs/>
        </w:rPr>
        <w:instrText xml:space="preserve"> \* MERGEFORMAT </w:instrText>
      </w:r>
      <w:r w:rsidR="00A26F96" w:rsidRPr="00400348">
        <w:rPr>
          <w:b/>
          <w:bCs/>
        </w:rPr>
      </w:r>
      <w:r w:rsidR="00A26F96" w:rsidRPr="00400348">
        <w:rPr>
          <w:b/>
          <w:bCs/>
        </w:rPr>
        <w:fldChar w:fldCharType="separate"/>
      </w:r>
      <w:r w:rsidR="0052675C">
        <w:rPr>
          <w:b/>
          <w:bCs/>
        </w:rPr>
        <w:t>5.2.1.1</w:t>
      </w:r>
      <w:r w:rsidR="00A26F96" w:rsidRPr="00400348">
        <w:rPr>
          <w:b/>
          <w:bCs/>
        </w:rPr>
        <w:fldChar w:fldCharType="end"/>
      </w:r>
      <w:r>
        <w:t>) supporting elevated circulating PLP, irrespective of source, as the proximate driver of neuropathy.</w:t>
      </w:r>
    </w:p>
    <w:p w14:paraId="55DC5226" w14:textId="72B42CD6" w:rsidR="008660F8" w:rsidRDefault="008660F8" w:rsidP="008660F8">
      <w:pPr>
        <w:pStyle w:val="Heading3"/>
      </w:pPr>
      <w:bookmarkStart w:id="50" w:name="_Toc233031599"/>
      <w:r>
        <w:t>Excluded as non-primary studies with no evidence to change the evaluation</w:t>
      </w:r>
      <w:bookmarkEnd w:id="50"/>
    </w:p>
    <w:p w14:paraId="4433B87D" w14:textId="07999D7C" w:rsidR="008660F8" w:rsidRDefault="008660F8" w:rsidP="008660F8">
      <w:pPr>
        <w:pStyle w:val="BodyText"/>
      </w:pPr>
      <w:r>
        <w:t xml:space="preserve">Several non-primary sources were identified (Appendix E, Technical report), including systematic reviews, narrative reviews, an expert consensus statement and a clinical reference monograph. These were not assessed for </w:t>
      </w:r>
      <w:r w:rsidR="00A26F96">
        <w:t>RoB</w:t>
      </w:r>
      <w:r>
        <w:t xml:space="preserve"> but were reviewed for context.</w:t>
      </w:r>
    </w:p>
    <w:p w14:paraId="285D8AB8" w14:textId="3258A590" w:rsidR="008660F8" w:rsidRDefault="008660F8" w:rsidP="008660F8">
      <w:pPr>
        <w:pStyle w:val="BodyText"/>
      </w:pPr>
      <w:r>
        <w:t>Overall, these sources support the broader association between high-dose supplemental vitamin B6 and peripheral neuropathy, generally describing dose-related effects and improvement after stopping supplementation. However, they did not provide new primary data or quantitative evidence suitable for UL derivation. The reviews also highlighted the same limitations identified in the primary evidence base, including small sample sizes, heterogeneous data, reliance on case reports, uncertainty around toxic thresholds, and limited evidence for pregnancy and lactation.</w:t>
      </w:r>
    </w:p>
    <w:p w14:paraId="448D599A" w14:textId="279F7390" w:rsidR="008660F8" w:rsidRPr="008660F8" w:rsidRDefault="008660F8" w:rsidP="008660F8">
      <w:pPr>
        <w:pStyle w:val="BodyText"/>
      </w:pPr>
      <w:r>
        <w:lastRenderedPageBreak/>
        <w:t>These sources do not change the conclusions of the review. Their main value is to reinforce the consistency of the vitamin B6–neuropathy signal across independent sources and to confirm existing evidence gaps, particularly around sensitive life stages and therapeutic high-dose use.</w:t>
      </w:r>
    </w:p>
    <w:p w14:paraId="5ED5E63C" w14:textId="77777777" w:rsidR="00092321" w:rsidRDefault="00092321" w:rsidP="00092321">
      <w:pPr>
        <w:pStyle w:val="Heading2"/>
      </w:pPr>
      <w:bookmarkStart w:id="51" w:name="_Toc233031600"/>
      <w:r>
        <w:t>Overall Evaluation</w:t>
      </w:r>
      <w:bookmarkEnd w:id="51"/>
    </w:p>
    <w:p w14:paraId="4E01C7A9" w14:textId="4CFF5CAC" w:rsidR="001F1FCC" w:rsidRDefault="001F1FCC" w:rsidP="001F1FCC">
      <w:pPr>
        <w:pStyle w:val="BodyText"/>
      </w:pPr>
      <w:r>
        <w:t xml:space="preserve">Following the exclusions set out above, six primary studies relevant to peripheral neuropathy were assessed for </w:t>
      </w:r>
      <w:r w:rsidR="00A26F96">
        <w:t>RoB</w:t>
      </w:r>
      <w:r>
        <w:t xml:space="preserve"> and confidence (</w:t>
      </w:r>
      <w:r w:rsidR="00A26F96">
        <w:fldChar w:fldCharType="begin"/>
      </w:r>
      <w:r w:rsidR="00A26F96">
        <w:instrText xml:space="preserve"> REF _Ref232224852 \h </w:instrText>
      </w:r>
      <w:r w:rsidR="00A26F96">
        <w:fldChar w:fldCharType="separate"/>
      </w:r>
      <w:r w:rsidR="0052675C" w:rsidRPr="004474B5">
        <w:rPr>
          <w:b/>
        </w:rPr>
        <w:t xml:space="preserve">Table </w:t>
      </w:r>
      <w:r w:rsidR="0052675C">
        <w:rPr>
          <w:b/>
          <w:noProof/>
        </w:rPr>
        <w:t>6</w:t>
      </w:r>
      <w:r w:rsidR="00A26F96">
        <w:fldChar w:fldCharType="end"/>
      </w:r>
      <w:r>
        <w:t xml:space="preserve">, </w:t>
      </w:r>
      <w:r w:rsidR="00A26F96">
        <w:fldChar w:fldCharType="begin"/>
      </w:r>
      <w:r w:rsidR="00A26F96">
        <w:instrText xml:space="preserve"> REF _Ref232237873 \h </w:instrText>
      </w:r>
      <w:r w:rsidR="00A26F96">
        <w:fldChar w:fldCharType="separate"/>
      </w:r>
      <w:r w:rsidR="0052675C" w:rsidRPr="004474B5">
        <w:rPr>
          <w:b/>
        </w:rPr>
        <w:t xml:space="preserve">Table </w:t>
      </w:r>
      <w:r w:rsidR="0052675C">
        <w:rPr>
          <w:b/>
          <w:noProof/>
        </w:rPr>
        <w:t>7</w:t>
      </w:r>
      <w:r w:rsidR="00A26F96">
        <w:fldChar w:fldCharType="end"/>
      </w:r>
      <w:r>
        <w:t xml:space="preserve">): Gdynia et al. </w:t>
      </w:r>
      <w:r w:rsidRPr="00C533AA">
        <w:rPr>
          <w:lang w:val="da-DK"/>
        </w:rPr>
        <w:t xml:space="preserve">(2025), Paluszny </w:t>
      </w:r>
      <w:r w:rsidR="00A26F96">
        <w:rPr>
          <w:lang w:val="da-DK"/>
        </w:rPr>
        <w:t>and Qiu</w:t>
      </w:r>
      <w:r w:rsidRPr="00C533AA">
        <w:rPr>
          <w:lang w:val="da-DK"/>
        </w:rPr>
        <w:t xml:space="preserve"> (2023), Stewart et al. (2022), van Hunsel et al. </w:t>
      </w:r>
      <w:r>
        <w:t>(2025), Sano et al. (202</w:t>
      </w:r>
      <w:r w:rsidR="00A26F96">
        <w:t>2</w:t>
      </w:r>
      <w:r>
        <w:t>), and Theil et al. (2023). One additional study, Whyte et al. (2024), was assessed under the 'Other' outcome category for its relevance to toxicokinetic uncertainty rather than to a specific health outcome.</w:t>
      </w:r>
    </w:p>
    <w:p w14:paraId="35556EA5" w14:textId="58905051" w:rsidR="001F1FCC" w:rsidRDefault="001F1FCC" w:rsidP="001F1FCC">
      <w:pPr>
        <w:pStyle w:val="BodyText"/>
      </w:pPr>
      <w:r>
        <w:t>Of the four human studies, all received Tier 2 to Tier 3 (moderate to high) risk of bias ratings, reflecting the predominance of case-based and cross-sectional designs, reliance on self-reported or biomarker-only exposure characterisation, absence of comparison groups in three of the four studies, and an inability to adequately control for confounding. These limitations translated into Low initial confidence ratings for all four studies (</w:t>
      </w:r>
      <w:r w:rsidR="00A26F96">
        <w:fldChar w:fldCharType="begin"/>
      </w:r>
      <w:r w:rsidR="00A26F96">
        <w:instrText xml:space="preserve"> REF _Ref232237873 \h </w:instrText>
      </w:r>
      <w:r w:rsidR="00A26F96">
        <w:fldChar w:fldCharType="separate"/>
      </w:r>
      <w:r w:rsidR="0052675C" w:rsidRPr="004474B5">
        <w:rPr>
          <w:b/>
        </w:rPr>
        <w:t xml:space="preserve">Table </w:t>
      </w:r>
      <w:r w:rsidR="0052675C">
        <w:rPr>
          <w:b/>
          <w:noProof/>
        </w:rPr>
        <w:t>7</w:t>
      </w:r>
      <w:r w:rsidR="00A26F96">
        <w:fldChar w:fldCharType="end"/>
      </w:r>
      <w:r>
        <w:t>), which were further downgraded to Very Low in the final confidence rating (</w:t>
      </w:r>
      <w:r w:rsidR="00A26F96">
        <w:fldChar w:fldCharType="begin"/>
      </w:r>
      <w:r w:rsidR="00A26F96">
        <w:instrText xml:space="preserve"> REF _Ref232237874 \h </w:instrText>
      </w:r>
      <w:r w:rsidR="00A26F96">
        <w:fldChar w:fldCharType="separate"/>
      </w:r>
      <w:r w:rsidR="0052675C" w:rsidRPr="004474B5">
        <w:rPr>
          <w:b/>
        </w:rPr>
        <w:t xml:space="preserve">Table </w:t>
      </w:r>
      <w:r w:rsidR="0052675C">
        <w:rPr>
          <w:b/>
          <w:noProof/>
        </w:rPr>
        <w:t>8</w:t>
      </w:r>
      <w:r w:rsidR="00A26F96">
        <w:fldChar w:fldCharType="end"/>
      </w:r>
      <w:r>
        <w:t xml:space="preserve">), reflecting an additional deduction for </w:t>
      </w:r>
      <w:r w:rsidR="00A26F96">
        <w:t>RoB</w:t>
      </w:r>
      <w:r>
        <w:t xml:space="preserve"> associated with the cross-sectional and case-series designs and the absence of comparison groups, consistent with a GRADE-informed approach. This Very Low final confidence means that, while these studies provide a consistent qualitative signal that neuropathy has been reported at intakes below EFSA's </w:t>
      </w:r>
      <w:r w:rsidR="00A26F96">
        <w:t>RP</w:t>
      </w:r>
      <w:r>
        <w:t xml:space="preserve"> of 50 mg/day in some individuals (Gdynia</w:t>
      </w:r>
      <w:r w:rsidR="00A26F96">
        <w:t xml:space="preserve"> et al. 2025</w:t>
      </w:r>
      <w:r>
        <w:t>, Paluszny</w:t>
      </w:r>
      <w:r w:rsidR="00A26F96">
        <w:t xml:space="preserve"> and Qiu 2023</w:t>
      </w:r>
      <w:r>
        <w:t>) and below the Dutch regulatory cap of 21 mg/day (van Hunsel</w:t>
      </w:r>
      <w:r w:rsidR="00A26F96">
        <w:t xml:space="preserve"> et al. 2025</w:t>
      </w:r>
      <w:r>
        <w:t>), this evidence is not considered sufficiently reliable to revise EFSA's existing RP or UL. It is instead treated as a signal warranting ongoing attention, for example through continued pharmacovigilance monitoring, rather than as a basis for quantitative reassessment.</w:t>
      </w:r>
    </w:p>
    <w:p w14:paraId="29827806" w14:textId="42CBBAD0" w:rsidR="001F1FCC" w:rsidRDefault="007243D1" w:rsidP="001F1FCC">
      <w:pPr>
        <w:pStyle w:val="BodyText"/>
      </w:pPr>
      <w:r w:rsidRPr="007243D1">
        <w:t xml:space="preserve">The two controlled animal studies, Sano </w:t>
      </w:r>
      <w:r w:rsidR="00A26F96">
        <w:t xml:space="preserve">et al. </w:t>
      </w:r>
      <w:r w:rsidRPr="007243D1">
        <w:t>(202</w:t>
      </w:r>
      <w:r w:rsidR="00A26F96">
        <w:t>2</w:t>
      </w:r>
      <w:r w:rsidRPr="007243D1">
        <w:t xml:space="preserve">) and Theil </w:t>
      </w:r>
      <w:r w:rsidR="00A26F96">
        <w:t xml:space="preserve">et al. </w:t>
      </w:r>
      <w:r w:rsidRPr="007243D1">
        <w:t>(2023), received Tier 3 (high risk of bias) and Tier 2 (moderate risk of bias) ratings, respectively, and a Moderate initial confidence rating, reflecting their controlled experimental design, appropriate comparison groups, and use of objective outcome measures, including histopathology, electrophysiology and/or biomarker analysis. This Moderate confidence rating was retained in the final confidence rating following a net adjustment of zero: a one-level downgrade for indirectness, given that both studies used doses far exceeding general-population exposure, offset by a one-level upgrade for large magnitude and consistency of effects. The animal evidence remains consistent with, and supports, EFSA's existing animal-based cross-check derivation based on Phillips et al. (1978)</w:t>
      </w:r>
      <w:r w:rsidR="001F1FCC">
        <w:t>.</w:t>
      </w:r>
    </w:p>
    <w:p w14:paraId="0D434DFB" w14:textId="1CCA839F" w:rsidR="001F1FCC" w:rsidRDefault="001F1FCC" w:rsidP="001F1FCC">
      <w:pPr>
        <w:pStyle w:val="BodyText"/>
      </w:pPr>
      <w:r>
        <w:t xml:space="preserve">Considered together, the overall body of new evidence for peripheral neuropathy comprises a Very Low confidence human signal that neuropathy may, in some individuals, occur at intakes below EFSA's current RP and UL, alongside a high confidence animal evidence base that remains consistent with, and corroborates, EFSA's existing dose range. Neither component of the new evidence base is considered sufficient, on its own or in combination, to justify a quantitative revision of EFSA's RP, UF, or UL at this time. </w:t>
      </w:r>
      <w:r w:rsidR="00FD0453" w:rsidRPr="00FD0453">
        <w:t xml:space="preserve">The new human evidence is most useful for identifying uncertainty around individual susceptibility, rather than for re-deriving the </w:t>
      </w:r>
      <w:r w:rsidR="00A26F96">
        <w:t>RP</w:t>
      </w:r>
      <w:r w:rsidR="00FD0453" w:rsidRPr="00FD0453">
        <w:t>.</w:t>
      </w:r>
    </w:p>
    <w:p w14:paraId="3303658D" w14:textId="20283E3C" w:rsidR="00C32F32" w:rsidRDefault="001F1FCC" w:rsidP="001F1FCC">
      <w:pPr>
        <w:pStyle w:val="BodyText"/>
      </w:pPr>
      <w:r>
        <w:t xml:space="preserve">In relation to the studies excluded on scope grounds, the hepatotoxicity/HCC signal in PNPO-deficient patients receiving very high-dose therapeutic PLP, while a genuinely new finding not previously identified by EFSA (2023), is not considered relevant to the general-population UL, consistent with the NHMRC Final NRV Methodological Framework's exclusion of non-representative sub-populations from UL derivation, and is more appropriately addressed through clinical management guidance for this specific patient </w:t>
      </w:r>
      <w:r>
        <w:lastRenderedPageBreak/>
        <w:t xml:space="preserve">group. The mechanistic evidence from Zervou </w:t>
      </w:r>
      <w:r w:rsidR="00A26F96">
        <w:t xml:space="preserve">et al. </w:t>
      </w:r>
      <w:r>
        <w:t xml:space="preserve">(2025) and Whyte </w:t>
      </w:r>
      <w:r w:rsidR="00A26F96">
        <w:t xml:space="preserve">et al. </w:t>
      </w:r>
      <w:r>
        <w:t>(2024) is informative for understanding the role of circulating PLP and toxicokinetic variability in susceptibility and is recommended for consideration when assessing the adequacy of the existing uncertainty factor for intraspecies variability, though it does not itself warrant a change to the UF at this time given the absence of quantitative data suitable for that purpose.</w:t>
      </w:r>
    </w:p>
    <w:p w14:paraId="2FB79B88" w14:textId="4FAA75EA" w:rsidR="00C32F32" w:rsidRPr="00092321" w:rsidRDefault="00C32F32" w:rsidP="00092321">
      <w:pPr>
        <w:pStyle w:val="BodyText"/>
        <w:sectPr w:rsidR="00C32F32" w:rsidRPr="00092321" w:rsidSect="00DD189C">
          <w:headerReference w:type="default" r:id="rId24"/>
          <w:footerReference w:type="default" r:id="rId25"/>
          <w:pgSz w:w="11909" w:h="16834" w:code="9"/>
          <w:pgMar w:top="1440" w:right="1440" w:bottom="1276" w:left="1440" w:header="576" w:footer="576" w:gutter="0"/>
          <w:cols w:space="720"/>
          <w:docGrid w:linePitch="360"/>
        </w:sectPr>
      </w:pPr>
    </w:p>
    <w:p w14:paraId="06EEA6DF" w14:textId="45E9B865" w:rsidR="00844BAF" w:rsidRDefault="0046764B" w:rsidP="00A752AF">
      <w:bookmarkStart w:id="52" w:name="_Ref232224852"/>
      <w:bookmarkStart w:id="53" w:name="_Toc233031610"/>
      <w:r w:rsidRPr="004474B5">
        <w:rPr>
          <w:b/>
        </w:rPr>
        <w:lastRenderedPageBreak/>
        <w:t xml:space="preserve">Table </w:t>
      </w:r>
      <w:r w:rsidRPr="004474B5">
        <w:rPr>
          <w:b/>
        </w:rPr>
        <w:fldChar w:fldCharType="begin"/>
      </w:r>
      <w:r w:rsidRPr="004474B5">
        <w:rPr>
          <w:b/>
        </w:rPr>
        <w:instrText xml:space="preserve"> SEQ Table \* ARABIC </w:instrText>
      </w:r>
      <w:r w:rsidRPr="004474B5">
        <w:rPr>
          <w:b/>
        </w:rPr>
        <w:fldChar w:fldCharType="separate"/>
      </w:r>
      <w:r w:rsidR="0052675C">
        <w:rPr>
          <w:b/>
          <w:noProof/>
        </w:rPr>
        <w:t>6</w:t>
      </w:r>
      <w:r w:rsidRPr="004474B5">
        <w:fldChar w:fldCharType="end"/>
      </w:r>
      <w:bookmarkEnd w:id="52"/>
      <w:r w:rsidRPr="004474B5">
        <w:rPr>
          <w:b/>
        </w:rPr>
        <w:tab/>
        <w:t xml:space="preserve">Summary of </w:t>
      </w:r>
      <w:r>
        <w:rPr>
          <w:b/>
        </w:rPr>
        <w:t>risk of bias (RoB) assessment for new primary studies</w:t>
      </w:r>
      <w:bookmarkEnd w:id="53"/>
    </w:p>
    <w:p w14:paraId="74116152" w14:textId="2940D0D1" w:rsidR="0046764B" w:rsidRPr="0046764B" w:rsidRDefault="0046764B" w:rsidP="00A752AF">
      <w:pPr>
        <w:rPr>
          <w:rFonts w:eastAsia="Calibri" w:cs="Arial"/>
          <w:szCs w:val="22"/>
        </w:rPr>
      </w:pPr>
      <w:r w:rsidRPr="00E45AB2">
        <w:rPr>
          <w:rFonts w:eastAsia="Calibri" w:cs="Arial"/>
          <w:szCs w:val="22"/>
        </w:rPr>
        <w:t xml:space="preserve">Rating key: </w:t>
      </w:r>
      <w:r w:rsidRPr="00E45AB2">
        <w:rPr>
          <w:rFonts w:eastAsia="Calibri" w:cs="Arial"/>
          <w:szCs w:val="22"/>
          <w:shd w:val="clear" w:color="auto" w:fill="00B050"/>
        </w:rPr>
        <w:t>++</w:t>
      </w:r>
      <w:r w:rsidRPr="00E45AB2">
        <w:rPr>
          <w:rFonts w:eastAsia="Calibri" w:cs="Arial"/>
          <w:szCs w:val="22"/>
        </w:rPr>
        <w:t xml:space="preserve"> = definitely low RoB; </w:t>
      </w:r>
      <w:r w:rsidRPr="00E45AB2">
        <w:rPr>
          <w:rFonts w:eastAsia="Calibri" w:cs="Arial"/>
          <w:szCs w:val="22"/>
          <w:shd w:val="clear" w:color="auto" w:fill="92D050"/>
        </w:rPr>
        <w:t>+</w:t>
      </w:r>
      <w:r w:rsidRPr="00E45AB2">
        <w:rPr>
          <w:rFonts w:eastAsia="Calibri" w:cs="Arial"/>
          <w:szCs w:val="22"/>
        </w:rPr>
        <w:t xml:space="preserve"> = probably low RoB; </w:t>
      </w:r>
      <w:r w:rsidRPr="00E45AB2">
        <w:rPr>
          <w:rFonts w:eastAsia="Calibri" w:cs="Arial"/>
          <w:szCs w:val="22"/>
          <w:shd w:val="clear" w:color="auto" w:fill="FFC1C1"/>
        </w:rPr>
        <w:t>NR</w:t>
      </w:r>
      <w:r w:rsidRPr="00E45AB2">
        <w:rPr>
          <w:rFonts w:eastAsia="Calibri" w:cs="Arial"/>
          <w:szCs w:val="22"/>
        </w:rPr>
        <w:t xml:space="preserve"> = not reported; </w:t>
      </w:r>
      <w:r w:rsidRPr="00E45AB2">
        <w:rPr>
          <w:rFonts w:eastAsia="Calibri" w:cs="Arial"/>
          <w:szCs w:val="22"/>
          <w:shd w:val="clear" w:color="auto" w:fill="FFC1C1"/>
        </w:rPr>
        <w:t>−</w:t>
      </w:r>
      <w:r w:rsidRPr="00E45AB2">
        <w:rPr>
          <w:rFonts w:eastAsia="Calibri" w:cs="Arial"/>
          <w:szCs w:val="22"/>
        </w:rPr>
        <w:t xml:space="preserve"> = probably high RoB; </w:t>
      </w:r>
      <w:r w:rsidRPr="00E45AB2">
        <w:rPr>
          <w:rFonts w:eastAsia="Calibri" w:cs="Arial"/>
          <w:szCs w:val="22"/>
          <w:shd w:val="clear" w:color="auto" w:fill="FF2F2F"/>
        </w:rPr>
        <w:t>−−</w:t>
      </w:r>
      <w:r w:rsidRPr="00E45AB2">
        <w:rPr>
          <w:rFonts w:eastAsia="Calibri" w:cs="Arial"/>
          <w:szCs w:val="22"/>
        </w:rPr>
        <w:t xml:space="preserve"> = definitely high RoB; </w:t>
      </w:r>
      <w:r w:rsidRPr="007D5C47">
        <w:rPr>
          <w:rFonts w:eastAsia="Calibri" w:cs="Arial"/>
          <w:color w:val="A6A6A6" w:themeColor="background1" w:themeShade="A6"/>
          <w:szCs w:val="22"/>
          <w:highlight w:val="lightGray"/>
        </w:rPr>
        <w:t>NA</w:t>
      </w:r>
      <w:r w:rsidRPr="00E45AB2">
        <w:rPr>
          <w:rFonts w:eastAsia="Calibri" w:cs="Arial"/>
          <w:szCs w:val="22"/>
        </w:rPr>
        <w:t xml:space="preserve"> = not applicable to this study design </w:t>
      </w:r>
    </w:p>
    <w:p w14:paraId="4255EC31" w14:textId="77777777" w:rsidR="0046764B" w:rsidRPr="0046764B" w:rsidRDefault="0046764B" w:rsidP="0046764B">
      <w:r w:rsidRPr="0046764B">
        <w:t>Tier 1 = Low risk of bias (RoB); Tier 2 = Moderate risk of bias (RoB); Tier 3 = High risk of bias (RoB)</w:t>
      </w:r>
    </w:p>
    <w:tbl>
      <w:tblPr>
        <w:tblStyle w:val="SLROption2"/>
        <w:tblW w:w="0" w:type="auto"/>
        <w:tblLook w:val="04A0" w:firstRow="1" w:lastRow="0" w:firstColumn="1" w:lastColumn="0" w:noHBand="0" w:noVBand="1"/>
      </w:tblPr>
      <w:tblGrid>
        <w:gridCol w:w="1457"/>
        <w:gridCol w:w="1856"/>
        <w:gridCol w:w="1834"/>
        <w:gridCol w:w="956"/>
        <w:gridCol w:w="616"/>
        <w:gridCol w:w="616"/>
        <w:gridCol w:w="598"/>
        <w:gridCol w:w="603"/>
        <w:gridCol w:w="587"/>
        <w:gridCol w:w="572"/>
        <w:gridCol w:w="604"/>
        <w:gridCol w:w="636"/>
        <w:gridCol w:w="703"/>
        <w:gridCol w:w="613"/>
        <w:gridCol w:w="704"/>
        <w:gridCol w:w="989"/>
      </w:tblGrid>
      <w:tr w:rsidR="003F0560" w:rsidRPr="00A93B00" w14:paraId="750D5522" w14:textId="77777777" w:rsidTr="00563383">
        <w:trPr>
          <w:cnfStyle w:val="100000000000" w:firstRow="1" w:lastRow="0" w:firstColumn="0" w:lastColumn="0" w:oddVBand="0" w:evenVBand="0" w:oddHBand="0" w:evenHBand="0" w:firstRowFirstColumn="0" w:firstRowLastColumn="0" w:lastRowFirstColumn="0" w:lastRowLastColumn="0"/>
          <w:cantSplit/>
          <w:trHeight w:val="2508"/>
        </w:trPr>
        <w:tc>
          <w:tcPr>
            <w:tcW w:w="1457" w:type="dxa"/>
            <w:textDirection w:val="btLr"/>
            <w:vAlign w:val="center"/>
          </w:tcPr>
          <w:p w14:paraId="5BCCA10B" w14:textId="77777777" w:rsidR="003F0560" w:rsidRPr="00A93B00" w:rsidRDefault="003F0560" w:rsidP="00563383">
            <w:pPr>
              <w:ind w:left="113" w:right="113"/>
              <w:jc w:val="right"/>
              <w:rPr>
                <w:sz w:val="20"/>
              </w:rPr>
            </w:pPr>
            <w:r w:rsidRPr="00A93B00">
              <w:rPr>
                <w:sz w:val="20"/>
              </w:rPr>
              <w:t>Health Outcome</w:t>
            </w:r>
          </w:p>
        </w:tc>
        <w:tc>
          <w:tcPr>
            <w:tcW w:w="1856" w:type="dxa"/>
            <w:textDirection w:val="btLr"/>
            <w:vAlign w:val="center"/>
          </w:tcPr>
          <w:p w14:paraId="544B19D5" w14:textId="77777777" w:rsidR="003F0560" w:rsidRPr="00A93B00" w:rsidRDefault="003F0560" w:rsidP="00563383">
            <w:pPr>
              <w:ind w:left="113" w:right="113"/>
              <w:jc w:val="right"/>
              <w:rPr>
                <w:sz w:val="20"/>
              </w:rPr>
            </w:pPr>
            <w:r w:rsidRPr="00A93B00">
              <w:rPr>
                <w:sz w:val="20"/>
              </w:rPr>
              <w:t>Specific Outcome</w:t>
            </w:r>
          </w:p>
        </w:tc>
        <w:tc>
          <w:tcPr>
            <w:tcW w:w="1834" w:type="dxa"/>
            <w:textDirection w:val="btLr"/>
            <w:vAlign w:val="center"/>
          </w:tcPr>
          <w:p w14:paraId="602ADD5D" w14:textId="77777777" w:rsidR="003F0560" w:rsidRPr="00A93B00" w:rsidRDefault="003F0560" w:rsidP="00563383">
            <w:pPr>
              <w:ind w:left="113" w:right="113"/>
              <w:jc w:val="right"/>
              <w:rPr>
                <w:sz w:val="20"/>
              </w:rPr>
            </w:pPr>
            <w:r w:rsidRPr="00A93B00">
              <w:rPr>
                <w:sz w:val="20"/>
              </w:rPr>
              <w:t>Study Type</w:t>
            </w:r>
          </w:p>
        </w:tc>
        <w:tc>
          <w:tcPr>
            <w:tcW w:w="956" w:type="dxa"/>
            <w:textDirection w:val="btLr"/>
            <w:vAlign w:val="center"/>
          </w:tcPr>
          <w:p w14:paraId="677B2295" w14:textId="77777777" w:rsidR="003F0560" w:rsidRPr="00A93B00" w:rsidRDefault="003F0560" w:rsidP="00563383">
            <w:pPr>
              <w:ind w:left="113" w:right="113"/>
              <w:jc w:val="right"/>
              <w:rPr>
                <w:sz w:val="20"/>
              </w:rPr>
            </w:pPr>
            <w:r w:rsidRPr="00A93B00">
              <w:rPr>
                <w:sz w:val="20"/>
              </w:rPr>
              <w:t>Study</w:t>
            </w:r>
          </w:p>
        </w:tc>
        <w:tc>
          <w:tcPr>
            <w:tcW w:w="616" w:type="dxa"/>
            <w:textDirection w:val="btLr"/>
            <w:vAlign w:val="center"/>
          </w:tcPr>
          <w:p w14:paraId="79EA9A3F" w14:textId="77777777" w:rsidR="003F0560" w:rsidRPr="00A93B00" w:rsidRDefault="003F0560" w:rsidP="00563383">
            <w:pPr>
              <w:ind w:left="113" w:right="113"/>
              <w:jc w:val="right"/>
              <w:rPr>
                <w:sz w:val="20"/>
              </w:rPr>
            </w:pPr>
            <w:r w:rsidRPr="00A93B00">
              <w:rPr>
                <w:sz w:val="20"/>
              </w:rPr>
              <w:t>1. Randomisation</w:t>
            </w:r>
          </w:p>
        </w:tc>
        <w:tc>
          <w:tcPr>
            <w:tcW w:w="616" w:type="dxa"/>
            <w:textDirection w:val="btLr"/>
            <w:vAlign w:val="center"/>
          </w:tcPr>
          <w:p w14:paraId="382C6736" w14:textId="77777777" w:rsidR="003F0560" w:rsidRPr="00A93B00" w:rsidRDefault="003F0560" w:rsidP="00563383">
            <w:pPr>
              <w:ind w:left="113" w:right="113"/>
              <w:jc w:val="right"/>
              <w:rPr>
                <w:sz w:val="20"/>
              </w:rPr>
            </w:pPr>
            <w:r w:rsidRPr="00A93B00">
              <w:rPr>
                <w:sz w:val="20"/>
              </w:rPr>
              <w:t>2. Allocation concealment</w:t>
            </w:r>
          </w:p>
        </w:tc>
        <w:tc>
          <w:tcPr>
            <w:tcW w:w="598" w:type="dxa"/>
            <w:textDirection w:val="btLr"/>
            <w:vAlign w:val="center"/>
          </w:tcPr>
          <w:p w14:paraId="1A805411" w14:textId="77777777" w:rsidR="003F0560" w:rsidRPr="00A93B00" w:rsidRDefault="003F0560" w:rsidP="00563383">
            <w:pPr>
              <w:ind w:left="113" w:right="113"/>
              <w:jc w:val="right"/>
              <w:rPr>
                <w:sz w:val="20"/>
              </w:rPr>
            </w:pPr>
            <w:r w:rsidRPr="00A93B00">
              <w:rPr>
                <w:sz w:val="20"/>
              </w:rPr>
              <w:t>3. Comparison groups</w:t>
            </w:r>
          </w:p>
        </w:tc>
        <w:tc>
          <w:tcPr>
            <w:tcW w:w="603" w:type="dxa"/>
            <w:textDirection w:val="btLr"/>
            <w:vAlign w:val="center"/>
          </w:tcPr>
          <w:p w14:paraId="4825D4A9" w14:textId="77777777" w:rsidR="003F0560" w:rsidRPr="00A93B00" w:rsidRDefault="003F0560" w:rsidP="00563383">
            <w:pPr>
              <w:ind w:left="113" w:right="113"/>
              <w:jc w:val="right"/>
              <w:rPr>
                <w:sz w:val="20"/>
              </w:rPr>
            </w:pPr>
            <w:r w:rsidRPr="00A93B00">
              <w:rPr>
                <w:sz w:val="20"/>
              </w:rPr>
              <w:t>4. KEY - Confounding</w:t>
            </w:r>
          </w:p>
        </w:tc>
        <w:tc>
          <w:tcPr>
            <w:tcW w:w="587" w:type="dxa"/>
            <w:textDirection w:val="btLr"/>
            <w:vAlign w:val="center"/>
          </w:tcPr>
          <w:p w14:paraId="6E5C31FB" w14:textId="77777777" w:rsidR="003F0560" w:rsidRPr="00A93B00" w:rsidRDefault="003F0560" w:rsidP="00563383">
            <w:pPr>
              <w:ind w:left="113" w:right="113"/>
              <w:jc w:val="right"/>
              <w:rPr>
                <w:sz w:val="20"/>
              </w:rPr>
            </w:pPr>
            <w:r w:rsidRPr="00A93B00">
              <w:rPr>
                <w:sz w:val="20"/>
              </w:rPr>
              <w:t>5. Identical conditions</w:t>
            </w:r>
          </w:p>
        </w:tc>
        <w:tc>
          <w:tcPr>
            <w:tcW w:w="572" w:type="dxa"/>
            <w:textDirection w:val="btLr"/>
            <w:vAlign w:val="center"/>
          </w:tcPr>
          <w:p w14:paraId="61F65B2C" w14:textId="77777777" w:rsidR="003F0560" w:rsidRPr="00A93B00" w:rsidRDefault="003F0560" w:rsidP="00563383">
            <w:pPr>
              <w:ind w:left="113" w:right="113"/>
              <w:jc w:val="right"/>
              <w:rPr>
                <w:sz w:val="20"/>
              </w:rPr>
            </w:pPr>
            <w:r w:rsidRPr="00A93B00">
              <w:rPr>
                <w:sz w:val="20"/>
              </w:rPr>
              <w:t xml:space="preserve">6. Blinding </w:t>
            </w:r>
          </w:p>
        </w:tc>
        <w:tc>
          <w:tcPr>
            <w:tcW w:w="604" w:type="dxa"/>
            <w:textDirection w:val="btLr"/>
            <w:vAlign w:val="center"/>
          </w:tcPr>
          <w:p w14:paraId="4314A3E4" w14:textId="77777777" w:rsidR="003F0560" w:rsidRPr="00A93B00" w:rsidRDefault="003F0560" w:rsidP="00563383">
            <w:pPr>
              <w:ind w:left="113" w:right="113"/>
              <w:jc w:val="right"/>
              <w:rPr>
                <w:sz w:val="20"/>
              </w:rPr>
            </w:pPr>
            <w:r w:rsidRPr="00A93B00">
              <w:rPr>
                <w:sz w:val="20"/>
              </w:rPr>
              <w:t>7. Attrition / exclusion</w:t>
            </w:r>
          </w:p>
        </w:tc>
        <w:tc>
          <w:tcPr>
            <w:tcW w:w="636" w:type="dxa"/>
            <w:textDirection w:val="btLr"/>
            <w:vAlign w:val="center"/>
          </w:tcPr>
          <w:p w14:paraId="09E033CE" w14:textId="77777777" w:rsidR="003F0560" w:rsidRPr="00A93B00" w:rsidRDefault="003F0560" w:rsidP="00563383">
            <w:pPr>
              <w:ind w:left="113" w:right="113"/>
              <w:jc w:val="right"/>
              <w:rPr>
                <w:sz w:val="20"/>
              </w:rPr>
            </w:pPr>
            <w:r w:rsidRPr="00A93B00">
              <w:rPr>
                <w:sz w:val="20"/>
              </w:rPr>
              <w:t>8. KEY - Exposure characterisation</w:t>
            </w:r>
          </w:p>
        </w:tc>
        <w:tc>
          <w:tcPr>
            <w:tcW w:w="703" w:type="dxa"/>
            <w:textDirection w:val="btLr"/>
          </w:tcPr>
          <w:p w14:paraId="79300E5E" w14:textId="77777777" w:rsidR="003F0560" w:rsidRPr="00A93B00" w:rsidRDefault="003F0560" w:rsidP="00563383">
            <w:pPr>
              <w:ind w:left="113" w:right="113"/>
              <w:jc w:val="right"/>
              <w:rPr>
                <w:sz w:val="20"/>
              </w:rPr>
            </w:pPr>
            <w:r w:rsidRPr="00A93B00">
              <w:rPr>
                <w:sz w:val="20"/>
              </w:rPr>
              <w:t>9. KEY - Outcome assessment</w:t>
            </w:r>
          </w:p>
        </w:tc>
        <w:tc>
          <w:tcPr>
            <w:tcW w:w="613" w:type="dxa"/>
            <w:textDirection w:val="btLr"/>
          </w:tcPr>
          <w:p w14:paraId="43A4369E" w14:textId="77777777" w:rsidR="003F0560" w:rsidRPr="00A93B00" w:rsidRDefault="003F0560" w:rsidP="00563383">
            <w:pPr>
              <w:ind w:left="113" w:right="113"/>
              <w:jc w:val="right"/>
              <w:rPr>
                <w:sz w:val="20"/>
              </w:rPr>
            </w:pPr>
            <w:r w:rsidRPr="00A93B00">
              <w:rPr>
                <w:sz w:val="20"/>
              </w:rPr>
              <w:t>10. Selective reporting</w:t>
            </w:r>
          </w:p>
        </w:tc>
        <w:tc>
          <w:tcPr>
            <w:tcW w:w="704" w:type="dxa"/>
            <w:textDirection w:val="btLr"/>
          </w:tcPr>
          <w:p w14:paraId="0DD018A7" w14:textId="77777777" w:rsidR="003F0560" w:rsidRPr="00A93B00" w:rsidRDefault="003F0560" w:rsidP="00563383">
            <w:pPr>
              <w:ind w:left="113" w:right="113"/>
              <w:jc w:val="right"/>
              <w:rPr>
                <w:sz w:val="20"/>
              </w:rPr>
            </w:pPr>
            <w:r w:rsidRPr="00A93B00">
              <w:rPr>
                <w:sz w:val="20"/>
              </w:rPr>
              <w:t>11. Other threats</w:t>
            </w:r>
          </w:p>
        </w:tc>
        <w:tc>
          <w:tcPr>
            <w:tcW w:w="989" w:type="dxa"/>
            <w:shd w:val="clear" w:color="auto" w:fill="909064" w:themeFill="background2" w:themeFillShade="80"/>
            <w:textDirection w:val="btLr"/>
            <w:vAlign w:val="center"/>
          </w:tcPr>
          <w:p w14:paraId="034E7C90" w14:textId="77777777" w:rsidR="003F0560" w:rsidRPr="00A93B00" w:rsidRDefault="003F0560" w:rsidP="00563383">
            <w:pPr>
              <w:ind w:left="113" w:right="113"/>
              <w:rPr>
                <w:b/>
                <w:bCs/>
                <w:sz w:val="20"/>
              </w:rPr>
            </w:pPr>
            <w:r>
              <w:rPr>
                <w:b/>
                <w:bCs/>
                <w:color w:val="auto"/>
                <w:sz w:val="20"/>
              </w:rPr>
              <w:t>Risk of Bias</w:t>
            </w:r>
            <w:r w:rsidRPr="00A93B00">
              <w:rPr>
                <w:b/>
                <w:bCs/>
                <w:color w:val="auto"/>
                <w:sz w:val="20"/>
              </w:rPr>
              <w:t xml:space="preserve"> Tier</w:t>
            </w:r>
          </w:p>
        </w:tc>
      </w:tr>
      <w:tr w:rsidR="003F0560" w:rsidRPr="00A93B00" w14:paraId="2A917AA8" w14:textId="77777777" w:rsidTr="00563383">
        <w:tc>
          <w:tcPr>
            <w:tcW w:w="1457" w:type="dxa"/>
          </w:tcPr>
          <w:p w14:paraId="1B87FBBB" w14:textId="77777777" w:rsidR="003F0560" w:rsidRPr="00A93B00" w:rsidRDefault="003F0560" w:rsidP="00563383">
            <w:pPr>
              <w:rPr>
                <w:sz w:val="20"/>
              </w:rPr>
            </w:pPr>
            <w:r w:rsidRPr="00A93B00">
              <w:rPr>
                <w:sz w:val="20"/>
              </w:rPr>
              <w:t>Neurological</w:t>
            </w:r>
          </w:p>
        </w:tc>
        <w:tc>
          <w:tcPr>
            <w:tcW w:w="1856" w:type="dxa"/>
          </w:tcPr>
          <w:p w14:paraId="4AD10196" w14:textId="77777777" w:rsidR="003F0560" w:rsidRPr="00A93B00" w:rsidRDefault="003F0560" w:rsidP="00563383">
            <w:pPr>
              <w:rPr>
                <w:sz w:val="20"/>
              </w:rPr>
            </w:pPr>
            <w:r w:rsidRPr="00A93B00">
              <w:rPr>
                <w:sz w:val="20"/>
              </w:rPr>
              <w:t xml:space="preserve">Neuropathy severity </w:t>
            </w:r>
          </w:p>
        </w:tc>
        <w:tc>
          <w:tcPr>
            <w:tcW w:w="1834" w:type="dxa"/>
          </w:tcPr>
          <w:p w14:paraId="4F36AA5D" w14:textId="77777777" w:rsidR="003F0560" w:rsidRPr="00A93B00" w:rsidRDefault="003F0560" w:rsidP="00563383">
            <w:pPr>
              <w:rPr>
                <w:sz w:val="20"/>
              </w:rPr>
            </w:pPr>
            <w:r w:rsidRPr="00A93B00">
              <w:rPr>
                <w:sz w:val="20"/>
              </w:rPr>
              <w:t xml:space="preserve">Human cross – sectional </w:t>
            </w:r>
          </w:p>
        </w:tc>
        <w:tc>
          <w:tcPr>
            <w:tcW w:w="956" w:type="dxa"/>
          </w:tcPr>
          <w:p w14:paraId="7F328793" w14:textId="77777777" w:rsidR="003F0560" w:rsidRPr="00A93B00" w:rsidRDefault="003F0560" w:rsidP="00563383">
            <w:pPr>
              <w:rPr>
                <w:sz w:val="20"/>
              </w:rPr>
            </w:pPr>
            <w:r w:rsidRPr="00A93B00">
              <w:rPr>
                <w:sz w:val="20"/>
              </w:rPr>
              <w:t>Stewart et al. 2022</w:t>
            </w:r>
          </w:p>
        </w:tc>
        <w:tc>
          <w:tcPr>
            <w:tcW w:w="616" w:type="dxa"/>
            <w:shd w:val="clear" w:color="auto" w:fill="D9D9D9" w:themeFill="background1" w:themeFillShade="D9"/>
            <w:vAlign w:val="bottom"/>
          </w:tcPr>
          <w:p w14:paraId="508811C8" w14:textId="77777777" w:rsidR="003F0560" w:rsidRPr="00B9475E" w:rsidRDefault="003F0560" w:rsidP="00563383">
            <w:pPr>
              <w:rPr>
                <w:rFonts w:asciiTheme="minorHAnsi" w:hAnsiTheme="minorHAnsi" w:cstheme="minorHAnsi"/>
                <w:color w:val="A6A6A6" w:themeColor="background1" w:themeShade="A6"/>
                <w:sz w:val="20"/>
              </w:rPr>
            </w:pPr>
            <w:r w:rsidRPr="00B9475E">
              <w:rPr>
                <w:rFonts w:asciiTheme="minorHAnsi" w:eastAsia="Times New Roman" w:hAnsiTheme="minorHAnsi" w:cstheme="minorHAnsi"/>
                <w:color w:val="A6A6A6" w:themeColor="background1" w:themeShade="A6"/>
                <w:sz w:val="20"/>
                <w:lang w:eastAsia="en-AU"/>
              </w:rPr>
              <w:t>NA</w:t>
            </w:r>
          </w:p>
        </w:tc>
        <w:tc>
          <w:tcPr>
            <w:tcW w:w="616" w:type="dxa"/>
            <w:shd w:val="clear" w:color="auto" w:fill="D9D9D9" w:themeFill="background1" w:themeFillShade="D9"/>
            <w:vAlign w:val="bottom"/>
          </w:tcPr>
          <w:p w14:paraId="0F1EF768" w14:textId="77777777" w:rsidR="003F0560" w:rsidRPr="00B9475E" w:rsidRDefault="003F0560" w:rsidP="00563383">
            <w:pPr>
              <w:rPr>
                <w:rFonts w:asciiTheme="minorHAnsi" w:hAnsiTheme="minorHAnsi" w:cstheme="minorHAnsi"/>
                <w:color w:val="A6A6A6" w:themeColor="background1" w:themeShade="A6"/>
                <w:sz w:val="20"/>
              </w:rPr>
            </w:pPr>
            <w:r w:rsidRPr="00B9475E">
              <w:rPr>
                <w:rFonts w:asciiTheme="minorHAnsi" w:eastAsia="Times New Roman" w:hAnsiTheme="minorHAnsi" w:cstheme="minorHAnsi"/>
                <w:color w:val="A6A6A6" w:themeColor="background1" w:themeShade="A6"/>
                <w:sz w:val="20"/>
                <w:lang w:eastAsia="en-AU"/>
              </w:rPr>
              <w:t>NA</w:t>
            </w:r>
          </w:p>
        </w:tc>
        <w:tc>
          <w:tcPr>
            <w:tcW w:w="598" w:type="dxa"/>
            <w:shd w:val="clear" w:color="auto" w:fill="92D050"/>
            <w:vAlign w:val="bottom"/>
          </w:tcPr>
          <w:p w14:paraId="32060AC7"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603" w:type="dxa"/>
            <w:shd w:val="clear" w:color="auto" w:fill="FECED3"/>
            <w:vAlign w:val="bottom"/>
          </w:tcPr>
          <w:p w14:paraId="2CD83E66"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587" w:type="dxa"/>
            <w:shd w:val="clear" w:color="auto" w:fill="D9D9D9" w:themeFill="background1" w:themeFillShade="D9"/>
            <w:vAlign w:val="bottom"/>
          </w:tcPr>
          <w:p w14:paraId="7EDE9B2E" w14:textId="77777777" w:rsidR="003F0560" w:rsidRPr="00B9475E" w:rsidRDefault="003F0560" w:rsidP="00563383">
            <w:pPr>
              <w:rPr>
                <w:rFonts w:asciiTheme="minorHAnsi" w:hAnsiTheme="minorHAnsi" w:cstheme="minorHAnsi"/>
                <w:color w:val="A6A6A6" w:themeColor="background1" w:themeShade="A6"/>
                <w:sz w:val="20"/>
              </w:rPr>
            </w:pPr>
            <w:r w:rsidRPr="00B9475E">
              <w:rPr>
                <w:rFonts w:asciiTheme="minorHAnsi" w:eastAsia="Times New Roman" w:hAnsiTheme="minorHAnsi" w:cstheme="minorHAnsi"/>
                <w:color w:val="A6A6A6" w:themeColor="background1" w:themeShade="A6"/>
                <w:sz w:val="20"/>
                <w:lang w:eastAsia="en-AU"/>
              </w:rPr>
              <w:t>NA</w:t>
            </w:r>
          </w:p>
        </w:tc>
        <w:tc>
          <w:tcPr>
            <w:tcW w:w="572" w:type="dxa"/>
            <w:shd w:val="clear" w:color="auto" w:fill="FECED3"/>
            <w:vAlign w:val="bottom"/>
          </w:tcPr>
          <w:p w14:paraId="3CF42288"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NR</w:t>
            </w:r>
          </w:p>
        </w:tc>
        <w:tc>
          <w:tcPr>
            <w:tcW w:w="604" w:type="dxa"/>
            <w:shd w:val="clear" w:color="auto" w:fill="FECED3"/>
            <w:vAlign w:val="bottom"/>
          </w:tcPr>
          <w:p w14:paraId="7CDD87C1"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636" w:type="dxa"/>
            <w:shd w:val="clear" w:color="auto" w:fill="FECED3"/>
            <w:vAlign w:val="bottom"/>
          </w:tcPr>
          <w:p w14:paraId="59ADFAD6"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703" w:type="dxa"/>
            <w:shd w:val="clear" w:color="auto" w:fill="92D050"/>
            <w:vAlign w:val="bottom"/>
          </w:tcPr>
          <w:p w14:paraId="027CCA2C"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613" w:type="dxa"/>
            <w:shd w:val="clear" w:color="auto" w:fill="92D050"/>
            <w:vAlign w:val="bottom"/>
          </w:tcPr>
          <w:p w14:paraId="0864B914"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704" w:type="dxa"/>
            <w:shd w:val="clear" w:color="auto" w:fill="FECED3"/>
            <w:vAlign w:val="bottom"/>
          </w:tcPr>
          <w:p w14:paraId="1B1CE580"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989" w:type="dxa"/>
          </w:tcPr>
          <w:p w14:paraId="3E9D1092" w14:textId="77777777" w:rsidR="003F0560" w:rsidRPr="00A93B00" w:rsidRDefault="003F0560" w:rsidP="00563383">
            <w:pPr>
              <w:jc w:val="center"/>
              <w:rPr>
                <w:sz w:val="20"/>
              </w:rPr>
            </w:pPr>
            <w:r>
              <w:rPr>
                <w:sz w:val="20"/>
              </w:rPr>
              <w:t>3</w:t>
            </w:r>
          </w:p>
        </w:tc>
      </w:tr>
      <w:tr w:rsidR="003F0560" w:rsidRPr="00A93B00" w14:paraId="37D24654" w14:textId="77777777" w:rsidTr="00563383">
        <w:tc>
          <w:tcPr>
            <w:tcW w:w="1457" w:type="dxa"/>
          </w:tcPr>
          <w:p w14:paraId="2A1B5773" w14:textId="77777777" w:rsidR="003F0560" w:rsidRPr="00A93B00" w:rsidRDefault="003F0560" w:rsidP="00563383">
            <w:pPr>
              <w:rPr>
                <w:sz w:val="20"/>
              </w:rPr>
            </w:pPr>
            <w:r w:rsidRPr="00A93B00">
              <w:rPr>
                <w:sz w:val="20"/>
              </w:rPr>
              <w:t>Neurological</w:t>
            </w:r>
          </w:p>
        </w:tc>
        <w:tc>
          <w:tcPr>
            <w:tcW w:w="1856" w:type="dxa"/>
          </w:tcPr>
          <w:p w14:paraId="75F69723" w14:textId="77777777" w:rsidR="003F0560" w:rsidRPr="00A93B00" w:rsidRDefault="003F0560" w:rsidP="00563383">
            <w:pPr>
              <w:rPr>
                <w:sz w:val="20"/>
              </w:rPr>
            </w:pPr>
            <w:r w:rsidRPr="00A93B00">
              <w:rPr>
                <w:sz w:val="20"/>
              </w:rPr>
              <w:t>Sensorimotor polyneuropathy (PN)</w:t>
            </w:r>
          </w:p>
        </w:tc>
        <w:tc>
          <w:tcPr>
            <w:tcW w:w="1834" w:type="dxa"/>
          </w:tcPr>
          <w:p w14:paraId="10111B0B" w14:textId="77777777" w:rsidR="003F0560" w:rsidRDefault="003F0560" w:rsidP="00563383">
            <w:pPr>
              <w:rPr>
                <w:sz w:val="20"/>
              </w:rPr>
            </w:pPr>
            <w:r w:rsidRPr="00A93B00">
              <w:rPr>
                <w:sz w:val="20"/>
              </w:rPr>
              <w:t>Human case series</w:t>
            </w:r>
          </w:p>
        </w:tc>
        <w:tc>
          <w:tcPr>
            <w:tcW w:w="956" w:type="dxa"/>
          </w:tcPr>
          <w:p w14:paraId="7B473C40" w14:textId="77777777" w:rsidR="003F0560" w:rsidRPr="00A93B00" w:rsidRDefault="003F0560" w:rsidP="00563383">
            <w:pPr>
              <w:rPr>
                <w:sz w:val="20"/>
              </w:rPr>
            </w:pPr>
            <w:r w:rsidRPr="00A93B00">
              <w:rPr>
                <w:sz w:val="20"/>
              </w:rPr>
              <w:t>Gdynia et al. 2025</w:t>
            </w:r>
          </w:p>
        </w:tc>
        <w:tc>
          <w:tcPr>
            <w:tcW w:w="616" w:type="dxa"/>
            <w:shd w:val="clear" w:color="auto" w:fill="D9D9D9" w:themeFill="background1" w:themeFillShade="D9"/>
            <w:vAlign w:val="bottom"/>
          </w:tcPr>
          <w:p w14:paraId="76DF597C" w14:textId="77777777" w:rsidR="003F0560" w:rsidRPr="00B9475E" w:rsidRDefault="003F0560" w:rsidP="00563383">
            <w:pPr>
              <w:rPr>
                <w:rFonts w:asciiTheme="minorHAnsi" w:eastAsia="Times New Roman" w:hAnsiTheme="minorHAnsi" w:cstheme="minorHAnsi"/>
                <w:color w:val="A6A6A6" w:themeColor="background1" w:themeShade="A6"/>
                <w:sz w:val="20"/>
                <w:lang w:eastAsia="en-AU"/>
              </w:rPr>
            </w:pPr>
            <w:r w:rsidRPr="00B9475E">
              <w:rPr>
                <w:rFonts w:asciiTheme="minorHAnsi" w:eastAsia="Times New Roman" w:hAnsiTheme="minorHAnsi" w:cstheme="minorHAnsi"/>
                <w:color w:val="A6A6A6" w:themeColor="background1" w:themeShade="A6"/>
                <w:sz w:val="20"/>
                <w:lang w:eastAsia="en-AU"/>
              </w:rPr>
              <w:t>NA</w:t>
            </w:r>
          </w:p>
        </w:tc>
        <w:tc>
          <w:tcPr>
            <w:tcW w:w="616" w:type="dxa"/>
            <w:shd w:val="clear" w:color="auto" w:fill="D9D9D9" w:themeFill="background1" w:themeFillShade="D9"/>
            <w:vAlign w:val="bottom"/>
          </w:tcPr>
          <w:p w14:paraId="7178DC29" w14:textId="77777777" w:rsidR="003F0560" w:rsidRPr="00B9475E" w:rsidRDefault="003F0560" w:rsidP="00563383">
            <w:pPr>
              <w:rPr>
                <w:rFonts w:asciiTheme="minorHAnsi" w:eastAsia="Times New Roman" w:hAnsiTheme="minorHAnsi" w:cstheme="minorHAnsi"/>
                <w:color w:val="A6A6A6" w:themeColor="background1" w:themeShade="A6"/>
                <w:sz w:val="20"/>
                <w:lang w:eastAsia="en-AU"/>
              </w:rPr>
            </w:pPr>
            <w:r w:rsidRPr="00B9475E">
              <w:rPr>
                <w:rFonts w:asciiTheme="minorHAnsi" w:eastAsia="Times New Roman" w:hAnsiTheme="minorHAnsi" w:cstheme="minorHAnsi"/>
                <w:color w:val="A6A6A6" w:themeColor="background1" w:themeShade="A6"/>
                <w:sz w:val="20"/>
                <w:lang w:eastAsia="en-AU"/>
              </w:rPr>
              <w:t>NA</w:t>
            </w:r>
          </w:p>
        </w:tc>
        <w:tc>
          <w:tcPr>
            <w:tcW w:w="598" w:type="dxa"/>
            <w:shd w:val="clear" w:color="auto" w:fill="D9D9D9" w:themeFill="background1" w:themeFillShade="D9"/>
            <w:vAlign w:val="bottom"/>
          </w:tcPr>
          <w:p w14:paraId="44A3034F" w14:textId="77777777" w:rsidR="003F0560" w:rsidRPr="00B9475E" w:rsidRDefault="003F0560" w:rsidP="00563383">
            <w:pPr>
              <w:rPr>
                <w:rFonts w:asciiTheme="minorHAnsi" w:eastAsia="Times New Roman" w:hAnsiTheme="minorHAnsi" w:cstheme="minorHAnsi"/>
                <w:color w:val="A6A6A6" w:themeColor="background1" w:themeShade="A6"/>
                <w:sz w:val="20"/>
                <w:lang w:eastAsia="en-AU"/>
              </w:rPr>
            </w:pPr>
            <w:r w:rsidRPr="00B9475E">
              <w:rPr>
                <w:rFonts w:asciiTheme="minorHAnsi" w:eastAsia="Times New Roman" w:hAnsiTheme="minorHAnsi" w:cstheme="minorHAnsi"/>
                <w:color w:val="A6A6A6" w:themeColor="background1" w:themeShade="A6"/>
                <w:sz w:val="20"/>
                <w:lang w:eastAsia="en-AU"/>
              </w:rPr>
              <w:t>NA</w:t>
            </w:r>
          </w:p>
        </w:tc>
        <w:tc>
          <w:tcPr>
            <w:tcW w:w="603" w:type="dxa"/>
            <w:shd w:val="clear" w:color="auto" w:fill="FECED3"/>
            <w:vAlign w:val="bottom"/>
          </w:tcPr>
          <w:p w14:paraId="3CC2D5A0" w14:textId="77777777" w:rsidR="003F0560" w:rsidRPr="00A93B00" w:rsidRDefault="003F0560" w:rsidP="00563383">
            <w:pPr>
              <w:rPr>
                <w:rFonts w:asciiTheme="minorHAnsi" w:eastAsia="Times New Roman" w:hAnsiTheme="minorHAnsi" w:cstheme="minorHAnsi"/>
                <w:color w:val="000000"/>
                <w:sz w:val="20"/>
                <w:lang w:eastAsia="en-AU"/>
              </w:rPr>
            </w:pPr>
            <w:r w:rsidRPr="00A93B00">
              <w:rPr>
                <w:rFonts w:asciiTheme="minorHAnsi" w:eastAsia="Times New Roman" w:hAnsiTheme="minorHAnsi" w:cstheme="minorHAnsi"/>
                <w:color w:val="000000"/>
                <w:sz w:val="20"/>
                <w:lang w:eastAsia="en-AU"/>
              </w:rPr>
              <w:t>−</w:t>
            </w:r>
          </w:p>
        </w:tc>
        <w:tc>
          <w:tcPr>
            <w:tcW w:w="587" w:type="dxa"/>
            <w:shd w:val="clear" w:color="auto" w:fill="D9D9D9" w:themeFill="background1" w:themeFillShade="D9"/>
            <w:vAlign w:val="bottom"/>
          </w:tcPr>
          <w:p w14:paraId="198A327E" w14:textId="77777777" w:rsidR="003F0560" w:rsidRPr="00B9475E" w:rsidRDefault="003F0560" w:rsidP="00563383">
            <w:pPr>
              <w:rPr>
                <w:rFonts w:asciiTheme="minorHAnsi" w:eastAsia="Times New Roman" w:hAnsiTheme="minorHAnsi" w:cstheme="minorHAnsi"/>
                <w:color w:val="A6A6A6" w:themeColor="background1" w:themeShade="A6"/>
                <w:sz w:val="20"/>
                <w:lang w:eastAsia="en-AU"/>
              </w:rPr>
            </w:pPr>
            <w:r w:rsidRPr="00B9475E">
              <w:rPr>
                <w:rFonts w:asciiTheme="minorHAnsi" w:eastAsia="Times New Roman" w:hAnsiTheme="minorHAnsi" w:cstheme="minorHAnsi"/>
                <w:color w:val="A6A6A6" w:themeColor="background1" w:themeShade="A6"/>
                <w:sz w:val="20"/>
                <w:lang w:eastAsia="en-AU"/>
              </w:rPr>
              <w:t>NA</w:t>
            </w:r>
          </w:p>
        </w:tc>
        <w:tc>
          <w:tcPr>
            <w:tcW w:w="572" w:type="dxa"/>
            <w:shd w:val="clear" w:color="auto" w:fill="D9D9D9" w:themeFill="background1" w:themeFillShade="D9"/>
            <w:vAlign w:val="bottom"/>
          </w:tcPr>
          <w:p w14:paraId="65BFDDAB" w14:textId="77777777" w:rsidR="003F0560" w:rsidRPr="00B9475E" w:rsidRDefault="003F0560" w:rsidP="00563383">
            <w:pPr>
              <w:rPr>
                <w:rFonts w:asciiTheme="minorHAnsi" w:eastAsia="Times New Roman" w:hAnsiTheme="minorHAnsi" w:cstheme="minorHAnsi"/>
                <w:color w:val="A6A6A6" w:themeColor="background1" w:themeShade="A6"/>
                <w:sz w:val="20"/>
                <w:lang w:eastAsia="en-AU"/>
              </w:rPr>
            </w:pPr>
            <w:r w:rsidRPr="00B9475E">
              <w:rPr>
                <w:rFonts w:asciiTheme="minorHAnsi" w:eastAsia="Times New Roman" w:hAnsiTheme="minorHAnsi" w:cstheme="minorHAnsi"/>
                <w:color w:val="A6A6A6" w:themeColor="background1" w:themeShade="A6"/>
                <w:sz w:val="20"/>
                <w:lang w:eastAsia="en-AU"/>
              </w:rPr>
              <w:t>NA</w:t>
            </w:r>
          </w:p>
        </w:tc>
        <w:tc>
          <w:tcPr>
            <w:tcW w:w="604" w:type="dxa"/>
            <w:shd w:val="clear" w:color="auto" w:fill="FECED3"/>
            <w:vAlign w:val="bottom"/>
          </w:tcPr>
          <w:p w14:paraId="0CA7D76B" w14:textId="77777777" w:rsidR="003F0560" w:rsidRPr="00A93B00" w:rsidRDefault="003F0560" w:rsidP="00563383">
            <w:pPr>
              <w:rPr>
                <w:rFonts w:asciiTheme="minorHAnsi" w:eastAsia="Times New Roman" w:hAnsiTheme="minorHAnsi" w:cstheme="minorHAnsi"/>
                <w:color w:val="000000"/>
                <w:sz w:val="20"/>
                <w:lang w:eastAsia="en-AU"/>
              </w:rPr>
            </w:pPr>
            <w:r w:rsidRPr="00A93B00">
              <w:rPr>
                <w:rFonts w:asciiTheme="minorHAnsi" w:eastAsia="Times New Roman" w:hAnsiTheme="minorHAnsi" w:cstheme="minorHAnsi"/>
                <w:color w:val="000000"/>
                <w:sz w:val="20"/>
                <w:lang w:eastAsia="en-AU"/>
              </w:rPr>
              <w:t>−</w:t>
            </w:r>
          </w:p>
        </w:tc>
        <w:tc>
          <w:tcPr>
            <w:tcW w:w="636" w:type="dxa"/>
            <w:shd w:val="clear" w:color="auto" w:fill="FECED3"/>
            <w:vAlign w:val="bottom"/>
          </w:tcPr>
          <w:p w14:paraId="1DFFE5BC" w14:textId="77777777" w:rsidR="003F0560" w:rsidRPr="00A93B00" w:rsidRDefault="003F0560" w:rsidP="00563383">
            <w:pPr>
              <w:rPr>
                <w:rFonts w:asciiTheme="minorHAnsi" w:eastAsia="Times New Roman" w:hAnsiTheme="minorHAnsi" w:cstheme="minorHAnsi"/>
                <w:color w:val="000000"/>
                <w:sz w:val="20"/>
                <w:lang w:eastAsia="en-AU"/>
              </w:rPr>
            </w:pPr>
            <w:r w:rsidRPr="00A93B00">
              <w:rPr>
                <w:rFonts w:asciiTheme="minorHAnsi" w:eastAsia="Times New Roman" w:hAnsiTheme="minorHAnsi" w:cstheme="minorHAnsi"/>
                <w:color w:val="000000"/>
                <w:sz w:val="20"/>
                <w:lang w:eastAsia="en-AU"/>
              </w:rPr>
              <w:t>−</w:t>
            </w:r>
          </w:p>
        </w:tc>
        <w:tc>
          <w:tcPr>
            <w:tcW w:w="703" w:type="dxa"/>
            <w:shd w:val="clear" w:color="auto" w:fill="92D050"/>
            <w:vAlign w:val="bottom"/>
          </w:tcPr>
          <w:p w14:paraId="7D1D2A2B" w14:textId="77777777" w:rsidR="003F0560" w:rsidRPr="00A93B00" w:rsidRDefault="003F0560" w:rsidP="00563383">
            <w:pPr>
              <w:rPr>
                <w:rFonts w:asciiTheme="minorHAnsi" w:eastAsia="Times New Roman" w:hAnsiTheme="minorHAnsi" w:cstheme="minorHAnsi"/>
                <w:color w:val="000000"/>
                <w:sz w:val="20"/>
                <w:lang w:eastAsia="en-AU"/>
              </w:rPr>
            </w:pPr>
            <w:r w:rsidRPr="00A93B00">
              <w:rPr>
                <w:rFonts w:asciiTheme="minorHAnsi" w:eastAsia="Times New Roman" w:hAnsiTheme="minorHAnsi" w:cstheme="minorHAnsi"/>
                <w:color w:val="000000"/>
                <w:sz w:val="20"/>
                <w:lang w:eastAsia="en-AU"/>
              </w:rPr>
              <w:t>+</w:t>
            </w:r>
          </w:p>
        </w:tc>
        <w:tc>
          <w:tcPr>
            <w:tcW w:w="613" w:type="dxa"/>
            <w:shd w:val="clear" w:color="auto" w:fill="92D050"/>
            <w:vAlign w:val="bottom"/>
          </w:tcPr>
          <w:p w14:paraId="62E7C1C2" w14:textId="77777777" w:rsidR="003F0560" w:rsidRPr="00A93B00" w:rsidRDefault="003F0560" w:rsidP="00563383">
            <w:pPr>
              <w:rPr>
                <w:rFonts w:asciiTheme="minorHAnsi" w:eastAsia="Times New Roman" w:hAnsiTheme="minorHAnsi" w:cstheme="minorHAnsi"/>
                <w:color w:val="000000"/>
                <w:sz w:val="20"/>
                <w:lang w:eastAsia="en-AU"/>
              </w:rPr>
            </w:pPr>
            <w:r w:rsidRPr="00A93B00">
              <w:rPr>
                <w:rFonts w:asciiTheme="minorHAnsi" w:eastAsia="Times New Roman" w:hAnsiTheme="minorHAnsi" w:cstheme="minorHAnsi"/>
                <w:color w:val="000000"/>
                <w:sz w:val="20"/>
                <w:lang w:eastAsia="en-AU"/>
              </w:rPr>
              <w:t>+</w:t>
            </w:r>
          </w:p>
        </w:tc>
        <w:tc>
          <w:tcPr>
            <w:tcW w:w="704" w:type="dxa"/>
            <w:shd w:val="clear" w:color="auto" w:fill="FECED3"/>
            <w:vAlign w:val="bottom"/>
          </w:tcPr>
          <w:p w14:paraId="70011F58" w14:textId="77777777" w:rsidR="003F0560" w:rsidRPr="00A93B00" w:rsidRDefault="003F0560" w:rsidP="00563383">
            <w:pPr>
              <w:rPr>
                <w:rFonts w:asciiTheme="minorHAnsi" w:eastAsia="Times New Roman" w:hAnsiTheme="minorHAnsi" w:cstheme="minorHAnsi"/>
                <w:color w:val="000000"/>
                <w:sz w:val="20"/>
                <w:lang w:eastAsia="en-AU"/>
              </w:rPr>
            </w:pPr>
            <w:r w:rsidRPr="00A93B00">
              <w:rPr>
                <w:rFonts w:asciiTheme="minorHAnsi" w:eastAsia="Times New Roman" w:hAnsiTheme="minorHAnsi" w:cstheme="minorHAnsi"/>
                <w:color w:val="000000"/>
                <w:sz w:val="20"/>
                <w:lang w:eastAsia="en-AU"/>
              </w:rPr>
              <w:t>−</w:t>
            </w:r>
          </w:p>
        </w:tc>
        <w:tc>
          <w:tcPr>
            <w:tcW w:w="989" w:type="dxa"/>
            <w:vAlign w:val="bottom"/>
          </w:tcPr>
          <w:p w14:paraId="761C5413" w14:textId="77777777" w:rsidR="003F0560" w:rsidRPr="00A93B00" w:rsidRDefault="003F0560" w:rsidP="00563383">
            <w:pPr>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3</w:t>
            </w:r>
          </w:p>
        </w:tc>
      </w:tr>
      <w:tr w:rsidR="003F0560" w:rsidRPr="00A93B00" w14:paraId="4E070A07" w14:textId="77777777" w:rsidTr="00563383">
        <w:tc>
          <w:tcPr>
            <w:tcW w:w="1457" w:type="dxa"/>
          </w:tcPr>
          <w:p w14:paraId="18E0CDE0" w14:textId="77777777" w:rsidR="003F0560" w:rsidRPr="00A93B00" w:rsidRDefault="003F0560" w:rsidP="00563383">
            <w:pPr>
              <w:rPr>
                <w:sz w:val="20"/>
              </w:rPr>
            </w:pPr>
            <w:r w:rsidRPr="00A93B00">
              <w:rPr>
                <w:sz w:val="20"/>
              </w:rPr>
              <w:t>Neurological</w:t>
            </w:r>
          </w:p>
        </w:tc>
        <w:tc>
          <w:tcPr>
            <w:tcW w:w="1856" w:type="dxa"/>
          </w:tcPr>
          <w:p w14:paraId="0346B730" w14:textId="77777777" w:rsidR="003F0560" w:rsidRPr="00A93B00" w:rsidRDefault="003F0560" w:rsidP="00563383">
            <w:pPr>
              <w:rPr>
                <w:sz w:val="20"/>
              </w:rPr>
            </w:pPr>
            <w:r w:rsidRPr="00A93B00">
              <w:rPr>
                <w:sz w:val="20"/>
              </w:rPr>
              <w:t>Peripheral neuropathy</w:t>
            </w:r>
          </w:p>
        </w:tc>
        <w:tc>
          <w:tcPr>
            <w:tcW w:w="1834" w:type="dxa"/>
          </w:tcPr>
          <w:p w14:paraId="4AEE5160" w14:textId="77777777" w:rsidR="003F0560" w:rsidRPr="00A93B00" w:rsidRDefault="003F0560" w:rsidP="00563383">
            <w:pPr>
              <w:rPr>
                <w:sz w:val="20"/>
              </w:rPr>
            </w:pPr>
            <w:r>
              <w:rPr>
                <w:sz w:val="20"/>
              </w:rPr>
              <w:t>Human case control</w:t>
            </w:r>
          </w:p>
        </w:tc>
        <w:tc>
          <w:tcPr>
            <w:tcW w:w="956" w:type="dxa"/>
          </w:tcPr>
          <w:p w14:paraId="33B4BEC6" w14:textId="42E8449C" w:rsidR="003F0560" w:rsidRPr="00A93B00" w:rsidRDefault="003F0560" w:rsidP="00563383">
            <w:pPr>
              <w:rPr>
                <w:sz w:val="20"/>
              </w:rPr>
            </w:pPr>
            <w:r w:rsidRPr="00A93B00">
              <w:rPr>
                <w:sz w:val="20"/>
              </w:rPr>
              <w:t xml:space="preserve">Paluszny </w:t>
            </w:r>
            <w:r w:rsidR="00A26F96">
              <w:rPr>
                <w:sz w:val="20"/>
              </w:rPr>
              <w:t>and Qiu</w:t>
            </w:r>
            <w:r w:rsidRPr="00A93B00">
              <w:rPr>
                <w:sz w:val="20"/>
              </w:rPr>
              <w:t xml:space="preserve"> 2023</w:t>
            </w:r>
          </w:p>
        </w:tc>
        <w:tc>
          <w:tcPr>
            <w:tcW w:w="616" w:type="dxa"/>
            <w:shd w:val="clear" w:color="auto" w:fill="D9D9D9" w:themeFill="background1" w:themeFillShade="D9"/>
            <w:vAlign w:val="bottom"/>
          </w:tcPr>
          <w:p w14:paraId="380775D1" w14:textId="77777777" w:rsidR="003F0560" w:rsidRPr="00B9475E" w:rsidRDefault="003F0560" w:rsidP="00563383">
            <w:pPr>
              <w:rPr>
                <w:rFonts w:asciiTheme="minorHAnsi" w:hAnsiTheme="minorHAnsi" w:cstheme="minorHAnsi"/>
                <w:color w:val="A6A6A6" w:themeColor="background1" w:themeShade="A6"/>
                <w:sz w:val="20"/>
              </w:rPr>
            </w:pPr>
            <w:r w:rsidRPr="00B9475E">
              <w:rPr>
                <w:rFonts w:asciiTheme="minorHAnsi" w:eastAsia="Times New Roman" w:hAnsiTheme="minorHAnsi" w:cstheme="minorHAnsi"/>
                <w:color w:val="A6A6A6" w:themeColor="background1" w:themeShade="A6"/>
                <w:sz w:val="20"/>
                <w:lang w:eastAsia="en-AU"/>
              </w:rPr>
              <w:t>NA</w:t>
            </w:r>
          </w:p>
        </w:tc>
        <w:tc>
          <w:tcPr>
            <w:tcW w:w="616" w:type="dxa"/>
            <w:shd w:val="clear" w:color="auto" w:fill="D9D9D9" w:themeFill="background1" w:themeFillShade="D9"/>
            <w:vAlign w:val="bottom"/>
          </w:tcPr>
          <w:p w14:paraId="113F9C22" w14:textId="77777777" w:rsidR="003F0560" w:rsidRPr="00B9475E" w:rsidRDefault="003F0560" w:rsidP="00563383">
            <w:pPr>
              <w:rPr>
                <w:rFonts w:asciiTheme="minorHAnsi" w:hAnsiTheme="minorHAnsi" w:cstheme="minorHAnsi"/>
                <w:color w:val="A6A6A6" w:themeColor="background1" w:themeShade="A6"/>
                <w:sz w:val="20"/>
              </w:rPr>
            </w:pPr>
            <w:r w:rsidRPr="00B9475E">
              <w:rPr>
                <w:rFonts w:asciiTheme="minorHAnsi" w:eastAsia="Times New Roman" w:hAnsiTheme="minorHAnsi" w:cstheme="minorHAnsi"/>
                <w:color w:val="A6A6A6" w:themeColor="background1" w:themeShade="A6"/>
                <w:sz w:val="20"/>
                <w:lang w:eastAsia="en-AU"/>
              </w:rPr>
              <w:t>NA</w:t>
            </w:r>
          </w:p>
        </w:tc>
        <w:tc>
          <w:tcPr>
            <w:tcW w:w="598" w:type="dxa"/>
            <w:shd w:val="clear" w:color="auto" w:fill="D9D9D9" w:themeFill="background1" w:themeFillShade="D9"/>
            <w:vAlign w:val="bottom"/>
          </w:tcPr>
          <w:p w14:paraId="50558996" w14:textId="77777777" w:rsidR="003F0560" w:rsidRPr="00B9475E" w:rsidRDefault="003F0560" w:rsidP="00563383">
            <w:pPr>
              <w:rPr>
                <w:rFonts w:asciiTheme="minorHAnsi" w:hAnsiTheme="minorHAnsi" w:cstheme="minorHAnsi"/>
                <w:color w:val="A6A6A6" w:themeColor="background1" w:themeShade="A6"/>
                <w:sz w:val="20"/>
              </w:rPr>
            </w:pPr>
            <w:r w:rsidRPr="00B9475E">
              <w:rPr>
                <w:rFonts w:asciiTheme="minorHAnsi" w:eastAsia="Times New Roman" w:hAnsiTheme="minorHAnsi" w:cstheme="minorHAnsi"/>
                <w:color w:val="A6A6A6" w:themeColor="background1" w:themeShade="A6"/>
                <w:sz w:val="20"/>
                <w:lang w:eastAsia="en-AU"/>
              </w:rPr>
              <w:t>NA</w:t>
            </w:r>
          </w:p>
        </w:tc>
        <w:tc>
          <w:tcPr>
            <w:tcW w:w="603" w:type="dxa"/>
            <w:shd w:val="clear" w:color="auto" w:fill="EE0000"/>
            <w:vAlign w:val="bottom"/>
          </w:tcPr>
          <w:p w14:paraId="7C8C1309"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587" w:type="dxa"/>
            <w:shd w:val="clear" w:color="auto" w:fill="D9D9D9" w:themeFill="background1" w:themeFillShade="D9"/>
            <w:vAlign w:val="bottom"/>
          </w:tcPr>
          <w:p w14:paraId="24C32E6B" w14:textId="77777777" w:rsidR="003F0560" w:rsidRPr="00B9475E" w:rsidRDefault="003F0560" w:rsidP="00563383">
            <w:pPr>
              <w:rPr>
                <w:rFonts w:asciiTheme="minorHAnsi" w:hAnsiTheme="minorHAnsi" w:cstheme="minorHAnsi"/>
                <w:color w:val="A6A6A6" w:themeColor="background1" w:themeShade="A6"/>
                <w:sz w:val="20"/>
              </w:rPr>
            </w:pPr>
            <w:r w:rsidRPr="00B9475E">
              <w:rPr>
                <w:rFonts w:asciiTheme="minorHAnsi" w:eastAsia="Times New Roman" w:hAnsiTheme="minorHAnsi" w:cstheme="minorHAnsi"/>
                <w:color w:val="A6A6A6" w:themeColor="background1" w:themeShade="A6"/>
                <w:sz w:val="20"/>
                <w:lang w:eastAsia="en-AU"/>
              </w:rPr>
              <w:t>NA</w:t>
            </w:r>
          </w:p>
        </w:tc>
        <w:tc>
          <w:tcPr>
            <w:tcW w:w="572" w:type="dxa"/>
            <w:shd w:val="clear" w:color="auto" w:fill="D9D9D9" w:themeFill="background1" w:themeFillShade="D9"/>
            <w:vAlign w:val="bottom"/>
          </w:tcPr>
          <w:p w14:paraId="6ED872F2" w14:textId="77777777" w:rsidR="003F0560" w:rsidRPr="00B9475E" w:rsidRDefault="003F0560" w:rsidP="00563383">
            <w:pPr>
              <w:rPr>
                <w:rFonts w:asciiTheme="minorHAnsi" w:hAnsiTheme="minorHAnsi" w:cstheme="minorHAnsi"/>
                <w:color w:val="A6A6A6" w:themeColor="background1" w:themeShade="A6"/>
                <w:sz w:val="20"/>
              </w:rPr>
            </w:pPr>
            <w:r w:rsidRPr="00B9475E">
              <w:rPr>
                <w:rFonts w:asciiTheme="minorHAnsi" w:eastAsia="Times New Roman" w:hAnsiTheme="minorHAnsi" w:cstheme="minorHAnsi"/>
                <w:color w:val="A6A6A6" w:themeColor="background1" w:themeShade="A6"/>
                <w:sz w:val="20"/>
                <w:lang w:eastAsia="en-AU"/>
              </w:rPr>
              <w:t>NA</w:t>
            </w:r>
          </w:p>
        </w:tc>
        <w:tc>
          <w:tcPr>
            <w:tcW w:w="604" w:type="dxa"/>
            <w:shd w:val="clear" w:color="auto" w:fill="FECED3"/>
            <w:vAlign w:val="bottom"/>
          </w:tcPr>
          <w:p w14:paraId="00BE90F9"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636" w:type="dxa"/>
            <w:shd w:val="clear" w:color="auto" w:fill="FECED3"/>
            <w:vAlign w:val="bottom"/>
          </w:tcPr>
          <w:p w14:paraId="29CC5908"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703" w:type="dxa"/>
            <w:shd w:val="clear" w:color="auto" w:fill="92D050"/>
            <w:vAlign w:val="bottom"/>
          </w:tcPr>
          <w:p w14:paraId="1F8040B5"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613" w:type="dxa"/>
            <w:shd w:val="clear" w:color="auto" w:fill="92D050"/>
            <w:vAlign w:val="bottom"/>
          </w:tcPr>
          <w:p w14:paraId="163F1298"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704" w:type="dxa"/>
            <w:shd w:val="clear" w:color="auto" w:fill="FECED3"/>
            <w:vAlign w:val="bottom"/>
          </w:tcPr>
          <w:p w14:paraId="0CB92135"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989" w:type="dxa"/>
            <w:vAlign w:val="bottom"/>
          </w:tcPr>
          <w:p w14:paraId="353BB121" w14:textId="77777777" w:rsidR="003F0560" w:rsidRPr="00A93B00" w:rsidRDefault="003F0560" w:rsidP="00563383">
            <w:pPr>
              <w:jc w:val="center"/>
              <w:rPr>
                <w:rFonts w:asciiTheme="minorHAnsi" w:hAnsiTheme="minorHAnsi" w:cstheme="minorHAnsi"/>
                <w:sz w:val="20"/>
              </w:rPr>
            </w:pPr>
            <w:r>
              <w:rPr>
                <w:rFonts w:asciiTheme="minorHAnsi" w:eastAsia="Times New Roman" w:hAnsiTheme="minorHAnsi" w:cstheme="minorHAnsi"/>
                <w:color w:val="000000"/>
                <w:sz w:val="20"/>
                <w:lang w:eastAsia="en-AU"/>
              </w:rPr>
              <w:t>3</w:t>
            </w:r>
          </w:p>
        </w:tc>
      </w:tr>
      <w:tr w:rsidR="003F0560" w:rsidRPr="00A93B00" w14:paraId="718C50C8" w14:textId="77777777" w:rsidTr="00563383">
        <w:tc>
          <w:tcPr>
            <w:tcW w:w="1457" w:type="dxa"/>
          </w:tcPr>
          <w:p w14:paraId="7F18983A" w14:textId="77777777" w:rsidR="003F0560" w:rsidRPr="00A93B00" w:rsidRDefault="003F0560" w:rsidP="00563383">
            <w:pPr>
              <w:rPr>
                <w:sz w:val="20"/>
              </w:rPr>
            </w:pPr>
            <w:r w:rsidRPr="00A93B00">
              <w:rPr>
                <w:sz w:val="20"/>
              </w:rPr>
              <w:t>Neurological</w:t>
            </w:r>
          </w:p>
        </w:tc>
        <w:tc>
          <w:tcPr>
            <w:tcW w:w="1856" w:type="dxa"/>
          </w:tcPr>
          <w:p w14:paraId="6D94DDF5" w14:textId="77777777" w:rsidR="003F0560" w:rsidRPr="00A93B00" w:rsidRDefault="003F0560" w:rsidP="00563383">
            <w:pPr>
              <w:rPr>
                <w:sz w:val="20"/>
              </w:rPr>
            </w:pPr>
            <w:r w:rsidRPr="00A93B00">
              <w:rPr>
                <w:sz w:val="20"/>
              </w:rPr>
              <w:t>Neuropathy reporting patterns</w:t>
            </w:r>
          </w:p>
        </w:tc>
        <w:tc>
          <w:tcPr>
            <w:tcW w:w="1834" w:type="dxa"/>
          </w:tcPr>
          <w:p w14:paraId="0313E7A2" w14:textId="77777777" w:rsidR="003F0560" w:rsidRPr="00A93B00" w:rsidRDefault="003F0560" w:rsidP="00563383">
            <w:pPr>
              <w:rPr>
                <w:sz w:val="20"/>
              </w:rPr>
            </w:pPr>
            <w:r w:rsidRPr="00A93B00">
              <w:rPr>
                <w:sz w:val="20"/>
              </w:rPr>
              <w:t>Pharmacovigilance study</w:t>
            </w:r>
          </w:p>
        </w:tc>
        <w:tc>
          <w:tcPr>
            <w:tcW w:w="956" w:type="dxa"/>
          </w:tcPr>
          <w:p w14:paraId="2DA9ED6C" w14:textId="77777777" w:rsidR="003F0560" w:rsidRPr="00A93B00" w:rsidRDefault="003F0560" w:rsidP="00563383">
            <w:pPr>
              <w:rPr>
                <w:sz w:val="20"/>
              </w:rPr>
            </w:pPr>
            <w:r w:rsidRPr="00A93B00">
              <w:rPr>
                <w:sz w:val="20"/>
              </w:rPr>
              <w:t>van Hunsel et al. 2025</w:t>
            </w:r>
          </w:p>
        </w:tc>
        <w:tc>
          <w:tcPr>
            <w:tcW w:w="616" w:type="dxa"/>
            <w:shd w:val="clear" w:color="auto" w:fill="D9D9D9" w:themeFill="background1" w:themeFillShade="D9"/>
            <w:vAlign w:val="bottom"/>
          </w:tcPr>
          <w:p w14:paraId="6B060B38" w14:textId="77777777" w:rsidR="003F0560" w:rsidRPr="00B9475E" w:rsidRDefault="003F0560" w:rsidP="00563383">
            <w:pPr>
              <w:rPr>
                <w:rFonts w:asciiTheme="minorHAnsi" w:hAnsiTheme="minorHAnsi" w:cstheme="minorHAnsi"/>
                <w:color w:val="A6A6A6" w:themeColor="background1" w:themeShade="A6"/>
                <w:sz w:val="20"/>
              </w:rPr>
            </w:pPr>
            <w:r w:rsidRPr="00B9475E">
              <w:rPr>
                <w:rFonts w:asciiTheme="minorHAnsi" w:eastAsia="Times New Roman" w:hAnsiTheme="minorHAnsi" w:cstheme="minorHAnsi"/>
                <w:color w:val="A6A6A6" w:themeColor="background1" w:themeShade="A6"/>
                <w:sz w:val="20"/>
                <w:lang w:eastAsia="en-AU"/>
              </w:rPr>
              <w:t>NA</w:t>
            </w:r>
          </w:p>
        </w:tc>
        <w:tc>
          <w:tcPr>
            <w:tcW w:w="616" w:type="dxa"/>
            <w:shd w:val="clear" w:color="auto" w:fill="D9D9D9" w:themeFill="background1" w:themeFillShade="D9"/>
            <w:vAlign w:val="bottom"/>
          </w:tcPr>
          <w:p w14:paraId="61E96305" w14:textId="77777777" w:rsidR="003F0560" w:rsidRPr="00B9475E" w:rsidRDefault="003F0560" w:rsidP="00563383">
            <w:pPr>
              <w:rPr>
                <w:rFonts w:asciiTheme="minorHAnsi" w:hAnsiTheme="minorHAnsi" w:cstheme="minorHAnsi"/>
                <w:color w:val="A6A6A6" w:themeColor="background1" w:themeShade="A6"/>
                <w:sz w:val="20"/>
              </w:rPr>
            </w:pPr>
            <w:r w:rsidRPr="00B9475E">
              <w:rPr>
                <w:rFonts w:asciiTheme="minorHAnsi" w:eastAsia="Times New Roman" w:hAnsiTheme="minorHAnsi" w:cstheme="minorHAnsi"/>
                <w:color w:val="A6A6A6" w:themeColor="background1" w:themeShade="A6"/>
                <w:sz w:val="20"/>
                <w:lang w:eastAsia="en-AU"/>
              </w:rPr>
              <w:t>NA</w:t>
            </w:r>
          </w:p>
        </w:tc>
        <w:tc>
          <w:tcPr>
            <w:tcW w:w="598" w:type="dxa"/>
            <w:shd w:val="clear" w:color="auto" w:fill="FECED3"/>
            <w:vAlign w:val="bottom"/>
          </w:tcPr>
          <w:p w14:paraId="5188A470"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603" w:type="dxa"/>
            <w:shd w:val="clear" w:color="auto" w:fill="EE0000"/>
            <w:vAlign w:val="bottom"/>
          </w:tcPr>
          <w:p w14:paraId="02192C91"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587" w:type="dxa"/>
            <w:shd w:val="clear" w:color="auto" w:fill="D9D9D9" w:themeFill="background1" w:themeFillShade="D9"/>
            <w:vAlign w:val="bottom"/>
          </w:tcPr>
          <w:p w14:paraId="1ACF5BEB" w14:textId="77777777" w:rsidR="003F0560" w:rsidRPr="00B9475E" w:rsidRDefault="003F0560" w:rsidP="00563383">
            <w:pPr>
              <w:rPr>
                <w:rFonts w:asciiTheme="minorHAnsi" w:hAnsiTheme="minorHAnsi" w:cstheme="minorHAnsi"/>
                <w:color w:val="A6A6A6" w:themeColor="background1" w:themeShade="A6"/>
                <w:sz w:val="20"/>
              </w:rPr>
            </w:pPr>
            <w:r w:rsidRPr="00B9475E">
              <w:rPr>
                <w:rFonts w:asciiTheme="minorHAnsi" w:eastAsia="Times New Roman" w:hAnsiTheme="minorHAnsi" w:cstheme="minorHAnsi"/>
                <w:color w:val="A6A6A6" w:themeColor="background1" w:themeShade="A6"/>
                <w:sz w:val="20"/>
                <w:lang w:eastAsia="en-AU"/>
              </w:rPr>
              <w:t>NA</w:t>
            </w:r>
          </w:p>
        </w:tc>
        <w:tc>
          <w:tcPr>
            <w:tcW w:w="572" w:type="dxa"/>
            <w:shd w:val="clear" w:color="auto" w:fill="D9D9D9" w:themeFill="background1" w:themeFillShade="D9"/>
            <w:vAlign w:val="bottom"/>
          </w:tcPr>
          <w:p w14:paraId="2006046B" w14:textId="77777777" w:rsidR="003F0560" w:rsidRPr="00B9475E" w:rsidRDefault="003F0560" w:rsidP="00563383">
            <w:pPr>
              <w:rPr>
                <w:rFonts w:asciiTheme="minorHAnsi" w:hAnsiTheme="minorHAnsi" w:cstheme="minorHAnsi"/>
                <w:color w:val="A6A6A6" w:themeColor="background1" w:themeShade="A6"/>
                <w:sz w:val="20"/>
              </w:rPr>
            </w:pPr>
            <w:r w:rsidRPr="00B9475E">
              <w:rPr>
                <w:rFonts w:asciiTheme="minorHAnsi" w:eastAsia="Times New Roman" w:hAnsiTheme="minorHAnsi" w:cstheme="minorHAnsi"/>
                <w:color w:val="A6A6A6" w:themeColor="background1" w:themeShade="A6"/>
                <w:sz w:val="20"/>
                <w:lang w:eastAsia="en-AU"/>
              </w:rPr>
              <w:t>NA</w:t>
            </w:r>
          </w:p>
        </w:tc>
        <w:tc>
          <w:tcPr>
            <w:tcW w:w="604" w:type="dxa"/>
            <w:shd w:val="clear" w:color="auto" w:fill="FECED3"/>
            <w:vAlign w:val="bottom"/>
          </w:tcPr>
          <w:p w14:paraId="21E43046"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636" w:type="dxa"/>
            <w:shd w:val="clear" w:color="auto" w:fill="EE0000"/>
            <w:vAlign w:val="bottom"/>
          </w:tcPr>
          <w:p w14:paraId="4A1CB822"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703" w:type="dxa"/>
            <w:shd w:val="clear" w:color="auto" w:fill="FECED3"/>
            <w:vAlign w:val="bottom"/>
          </w:tcPr>
          <w:p w14:paraId="4AD0CDDD"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613" w:type="dxa"/>
            <w:shd w:val="clear" w:color="auto" w:fill="92D050"/>
            <w:vAlign w:val="bottom"/>
          </w:tcPr>
          <w:p w14:paraId="47766523"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704" w:type="dxa"/>
            <w:shd w:val="clear" w:color="auto" w:fill="FECED3"/>
            <w:vAlign w:val="bottom"/>
          </w:tcPr>
          <w:p w14:paraId="2412BEFE"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989" w:type="dxa"/>
            <w:vAlign w:val="bottom"/>
          </w:tcPr>
          <w:p w14:paraId="7E35D07D" w14:textId="77777777" w:rsidR="003F0560" w:rsidRPr="00A93B00" w:rsidRDefault="003F0560" w:rsidP="00563383">
            <w:pPr>
              <w:jc w:val="center"/>
              <w:rPr>
                <w:rFonts w:asciiTheme="minorHAnsi" w:hAnsiTheme="minorHAnsi" w:cstheme="minorHAnsi"/>
                <w:sz w:val="20"/>
              </w:rPr>
            </w:pPr>
            <w:r>
              <w:rPr>
                <w:rFonts w:asciiTheme="minorHAnsi" w:eastAsia="Times New Roman" w:hAnsiTheme="minorHAnsi" w:cstheme="minorHAnsi"/>
                <w:color w:val="000000"/>
                <w:sz w:val="20"/>
                <w:lang w:eastAsia="en-AU"/>
              </w:rPr>
              <w:t>3</w:t>
            </w:r>
          </w:p>
        </w:tc>
      </w:tr>
      <w:tr w:rsidR="003F0560" w:rsidRPr="00A93B00" w14:paraId="41818849" w14:textId="77777777" w:rsidTr="00563383">
        <w:tc>
          <w:tcPr>
            <w:tcW w:w="1457" w:type="dxa"/>
          </w:tcPr>
          <w:p w14:paraId="2F03EEC9" w14:textId="77777777" w:rsidR="003F0560" w:rsidRPr="00A93B00" w:rsidRDefault="003F0560" w:rsidP="00563383">
            <w:pPr>
              <w:rPr>
                <w:sz w:val="20"/>
              </w:rPr>
            </w:pPr>
            <w:r w:rsidRPr="00A93B00">
              <w:rPr>
                <w:sz w:val="20"/>
              </w:rPr>
              <w:t>Neurological</w:t>
            </w:r>
          </w:p>
        </w:tc>
        <w:tc>
          <w:tcPr>
            <w:tcW w:w="1856" w:type="dxa"/>
          </w:tcPr>
          <w:p w14:paraId="44EC5EAD" w14:textId="77777777" w:rsidR="003F0560" w:rsidRPr="00A93B00" w:rsidRDefault="003F0560" w:rsidP="00563383">
            <w:pPr>
              <w:rPr>
                <w:sz w:val="20"/>
              </w:rPr>
            </w:pPr>
            <w:r w:rsidRPr="00A93B00">
              <w:rPr>
                <w:sz w:val="20"/>
              </w:rPr>
              <w:t>Neurotoxicity / neuronal damage</w:t>
            </w:r>
          </w:p>
        </w:tc>
        <w:tc>
          <w:tcPr>
            <w:tcW w:w="1834" w:type="dxa"/>
          </w:tcPr>
          <w:p w14:paraId="3AF8DB87" w14:textId="77777777" w:rsidR="003F0560" w:rsidRPr="00A93B00" w:rsidRDefault="003F0560" w:rsidP="00563383">
            <w:pPr>
              <w:rPr>
                <w:sz w:val="20"/>
              </w:rPr>
            </w:pPr>
            <w:r>
              <w:rPr>
                <w:sz w:val="20"/>
              </w:rPr>
              <w:t xml:space="preserve">Animal </w:t>
            </w:r>
          </w:p>
        </w:tc>
        <w:tc>
          <w:tcPr>
            <w:tcW w:w="956" w:type="dxa"/>
          </w:tcPr>
          <w:p w14:paraId="780AAB39" w14:textId="639CF314" w:rsidR="003F0560" w:rsidRPr="00A93B00" w:rsidRDefault="003F0560" w:rsidP="00563383">
            <w:pPr>
              <w:rPr>
                <w:sz w:val="20"/>
              </w:rPr>
            </w:pPr>
            <w:r w:rsidRPr="00A93B00">
              <w:rPr>
                <w:sz w:val="20"/>
              </w:rPr>
              <w:t>Sano et al. 202</w:t>
            </w:r>
            <w:r w:rsidR="00A26F96">
              <w:rPr>
                <w:sz w:val="20"/>
              </w:rPr>
              <w:t>2</w:t>
            </w:r>
          </w:p>
        </w:tc>
        <w:tc>
          <w:tcPr>
            <w:tcW w:w="616" w:type="dxa"/>
            <w:shd w:val="clear" w:color="auto" w:fill="92D050"/>
            <w:vAlign w:val="bottom"/>
          </w:tcPr>
          <w:p w14:paraId="4C579A19"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616" w:type="dxa"/>
            <w:shd w:val="clear" w:color="auto" w:fill="FECED3"/>
            <w:vAlign w:val="bottom"/>
          </w:tcPr>
          <w:p w14:paraId="57BF9C9A"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NR</w:t>
            </w:r>
          </w:p>
        </w:tc>
        <w:tc>
          <w:tcPr>
            <w:tcW w:w="598" w:type="dxa"/>
            <w:shd w:val="clear" w:color="auto" w:fill="92D050"/>
            <w:vAlign w:val="bottom"/>
          </w:tcPr>
          <w:p w14:paraId="6CE7B2E2" w14:textId="77777777" w:rsidR="003F0560" w:rsidRPr="004D253D" w:rsidRDefault="003F0560" w:rsidP="00563383">
            <w:pPr>
              <w:rPr>
                <w:rFonts w:asciiTheme="minorHAnsi" w:hAnsiTheme="minorHAnsi" w:cstheme="minorHAnsi"/>
                <w:color w:val="1E1E1E" w:themeColor="text1"/>
                <w:sz w:val="20"/>
              </w:rPr>
            </w:pPr>
            <w:r w:rsidRPr="004D253D">
              <w:rPr>
                <w:rFonts w:asciiTheme="minorHAnsi" w:eastAsia="Times New Roman" w:hAnsiTheme="minorHAnsi" w:cstheme="minorHAnsi"/>
                <w:color w:val="1E1E1E" w:themeColor="text1"/>
                <w:sz w:val="20"/>
                <w:lang w:eastAsia="en-AU"/>
              </w:rPr>
              <w:t xml:space="preserve"> +</w:t>
            </w:r>
          </w:p>
        </w:tc>
        <w:tc>
          <w:tcPr>
            <w:tcW w:w="603" w:type="dxa"/>
            <w:shd w:val="clear" w:color="auto" w:fill="92D050"/>
            <w:vAlign w:val="bottom"/>
          </w:tcPr>
          <w:p w14:paraId="0FC67A5F"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587" w:type="dxa"/>
            <w:shd w:val="clear" w:color="auto" w:fill="00B050"/>
            <w:vAlign w:val="bottom"/>
          </w:tcPr>
          <w:p w14:paraId="4C514223"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 xml:space="preserve"> ++</w:t>
            </w:r>
          </w:p>
        </w:tc>
        <w:tc>
          <w:tcPr>
            <w:tcW w:w="572" w:type="dxa"/>
            <w:shd w:val="clear" w:color="auto" w:fill="FECED3"/>
            <w:vAlign w:val="bottom"/>
          </w:tcPr>
          <w:p w14:paraId="64631852"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NR</w:t>
            </w:r>
          </w:p>
        </w:tc>
        <w:tc>
          <w:tcPr>
            <w:tcW w:w="604" w:type="dxa"/>
            <w:shd w:val="clear" w:color="auto" w:fill="92D050"/>
            <w:vAlign w:val="bottom"/>
          </w:tcPr>
          <w:p w14:paraId="48A8F94D"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636" w:type="dxa"/>
            <w:shd w:val="clear" w:color="auto" w:fill="00B050"/>
            <w:vAlign w:val="bottom"/>
          </w:tcPr>
          <w:p w14:paraId="1570CDF3"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 xml:space="preserve"> ++</w:t>
            </w:r>
          </w:p>
        </w:tc>
        <w:tc>
          <w:tcPr>
            <w:tcW w:w="703" w:type="dxa"/>
            <w:shd w:val="clear" w:color="auto" w:fill="FECED3"/>
            <w:vAlign w:val="bottom"/>
          </w:tcPr>
          <w:p w14:paraId="2399A7FD"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613" w:type="dxa"/>
            <w:shd w:val="clear" w:color="auto" w:fill="92D050"/>
            <w:vAlign w:val="bottom"/>
          </w:tcPr>
          <w:p w14:paraId="58CE5E0A"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704" w:type="dxa"/>
            <w:shd w:val="clear" w:color="auto" w:fill="FECED3"/>
            <w:vAlign w:val="bottom"/>
          </w:tcPr>
          <w:p w14:paraId="7FFA8A42" w14:textId="77777777" w:rsidR="003F0560" w:rsidRPr="00A93B00" w:rsidRDefault="003F0560" w:rsidP="00563383">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989" w:type="dxa"/>
            <w:vAlign w:val="bottom"/>
          </w:tcPr>
          <w:p w14:paraId="49970401" w14:textId="77777777" w:rsidR="003F0560" w:rsidRPr="00A93B00" w:rsidRDefault="003F0560" w:rsidP="00563383">
            <w:pPr>
              <w:jc w:val="center"/>
              <w:rPr>
                <w:rFonts w:asciiTheme="minorHAnsi" w:hAnsiTheme="minorHAnsi" w:cstheme="minorHAnsi"/>
                <w:sz w:val="20"/>
              </w:rPr>
            </w:pPr>
            <w:r>
              <w:rPr>
                <w:rFonts w:asciiTheme="minorHAnsi" w:hAnsiTheme="minorHAnsi" w:cstheme="minorHAnsi"/>
                <w:sz w:val="20"/>
              </w:rPr>
              <w:t>3</w:t>
            </w:r>
          </w:p>
        </w:tc>
      </w:tr>
      <w:tr w:rsidR="003F0560" w:rsidRPr="00A93B00" w14:paraId="139FF30D" w14:textId="77777777" w:rsidTr="00563383">
        <w:tc>
          <w:tcPr>
            <w:tcW w:w="1457" w:type="dxa"/>
          </w:tcPr>
          <w:p w14:paraId="21561DE8" w14:textId="77777777" w:rsidR="003F0560" w:rsidRPr="00A93B00" w:rsidRDefault="003F0560" w:rsidP="00563383">
            <w:pPr>
              <w:rPr>
                <w:sz w:val="20"/>
              </w:rPr>
            </w:pPr>
            <w:r w:rsidRPr="00A93B00">
              <w:rPr>
                <w:sz w:val="20"/>
              </w:rPr>
              <w:t>Neurological</w:t>
            </w:r>
          </w:p>
        </w:tc>
        <w:tc>
          <w:tcPr>
            <w:tcW w:w="1856" w:type="dxa"/>
          </w:tcPr>
          <w:p w14:paraId="7FC60865" w14:textId="77777777" w:rsidR="003F0560" w:rsidRPr="00A93B00" w:rsidRDefault="003F0560" w:rsidP="00563383">
            <w:pPr>
              <w:rPr>
                <w:sz w:val="20"/>
              </w:rPr>
            </w:pPr>
            <w:r w:rsidRPr="00A93B00">
              <w:rPr>
                <w:sz w:val="20"/>
              </w:rPr>
              <w:t>Peripheral neurotoxicity</w:t>
            </w:r>
          </w:p>
        </w:tc>
        <w:tc>
          <w:tcPr>
            <w:tcW w:w="1834" w:type="dxa"/>
          </w:tcPr>
          <w:p w14:paraId="6B3D16F4" w14:textId="77777777" w:rsidR="003F0560" w:rsidRPr="00A93B00" w:rsidRDefault="003F0560" w:rsidP="00563383">
            <w:pPr>
              <w:rPr>
                <w:sz w:val="20"/>
              </w:rPr>
            </w:pPr>
            <w:r>
              <w:rPr>
                <w:sz w:val="20"/>
              </w:rPr>
              <w:t>Animal</w:t>
            </w:r>
          </w:p>
        </w:tc>
        <w:tc>
          <w:tcPr>
            <w:tcW w:w="956" w:type="dxa"/>
          </w:tcPr>
          <w:p w14:paraId="21A6900B" w14:textId="77777777" w:rsidR="003F0560" w:rsidRPr="00A93B00" w:rsidRDefault="003F0560" w:rsidP="00563383">
            <w:pPr>
              <w:rPr>
                <w:sz w:val="20"/>
              </w:rPr>
            </w:pPr>
            <w:r w:rsidRPr="00C8296D">
              <w:rPr>
                <w:sz w:val="20"/>
              </w:rPr>
              <w:t>Theil et al. 2023</w:t>
            </w:r>
          </w:p>
        </w:tc>
        <w:tc>
          <w:tcPr>
            <w:tcW w:w="616" w:type="dxa"/>
            <w:shd w:val="clear" w:color="auto" w:fill="92D050"/>
            <w:vAlign w:val="bottom"/>
          </w:tcPr>
          <w:p w14:paraId="0DF0C426" w14:textId="77777777" w:rsidR="003F0560" w:rsidRPr="00C8296D" w:rsidRDefault="003F0560" w:rsidP="00563383">
            <w:pPr>
              <w:rPr>
                <w:rFonts w:asciiTheme="minorHAnsi" w:hAnsiTheme="minorHAnsi" w:cstheme="minorHAnsi"/>
                <w:sz w:val="20"/>
              </w:rPr>
            </w:pPr>
            <w:r w:rsidRPr="00C8296D">
              <w:rPr>
                <w:rFonts w:asciiTheme="minorHAnsi" w:eastAsia="Times New Roman" w:hAnsiTheme="minorHAnsi" w:cstheme="minorHAnsi"/>
                <w:color w:val="000000"/>
                <w:sz w:val="20"/>
                <w:lang w:eastAsia="en-AU"/>
              </w:rPr>
              <w:t>+</w:t>
            </w:r>
          </w:p>
        </w:tc>
        <w:tc>
          <w:tcPr>
            <w:tcW w:w="616" w:type="dxa"/>
            <w:shd w:val="clear" w:color="auto" w:fill="FECED3"/>
            <w:vAlign w:val="bottom"/>
          </w:tcPr>
          <w:p w14:paraId="68A1AA96" w14:textId="77777777" w:rsidR="003F0560" w:rsidRPr="00C8296D" w:rsidRDefault="003F0560" w:rsidP="00563383">
            <w:pPr>
              <w:rPr>
                <w:rFonts w:asciiTheme="minorHAnsi" w:hAnsiTheme="minorHAnsi" w:cstheme="minorHAnsi"/>
                <w:sz w:val="20"/>
              </w:rPr>
            </w:pPr>
            <w:r w:rsidRPr="00C8296D">
              <w:rPr>
                <w:rFonts w:asciiTheme="minorHAnsi" w:eastAsia="Times New Roman" w:hAnsiTheme="minorHAnsi" w:cstheme="minorHAnsi"/>
                <w:color w:val="000000"/>
                <w:sz w:val="20"/>
                <w:lang w:eastAsia="en-AU"/>
              </w:rPr>
              <w:t>NR</w:t>
            </w:r>
          </w:p>
        </w:tc>
        <w:tc>
          <w:tcPr>
            <w:tcW w:w="598" w:type="dxa"/>
            <w:shd w:val="clear" w:color="auto" w:fill="00B050"/>
            <w:vAlign w:val="bottom"/>
          </w:tcPr>
          <w:p w14:paraId="1D1A32F5" w14:textId="77777777" w:rsidR="003F0560" w:rsidRPr="00C8296D" w:rsidRDefault="003F0560" w:rsidP="00563383">
            <w:pPr>
              <w:rPr>
                <w:rFonts w:asciiTheme="minorHAnsi" w:hAnsiTheme="minorHAnsi" w:cstheme="minorHAnsi"/>
                <w:sz w:val="20"/>
              </w:rPr>
            </w:pPr>
            <w:r w:rsidRPr="00C8296D">
              <w:rPr>
                <w:rFonts w:asciiTheme="minorHAnsi" w:eastAsia="Times New Roman" w:hAnsiTheme="minorHAnsi" w:cstheme="minorHAnsi"/>
                <w:color w:val="000000"/>
                <w:sz w:val="20"/>
                <w:lang w:eastAsia="en-AU"/>
              </w:rPr>
              <w:t xml:space="preserve"> ++</w:t>
            </w:r>
          </w:p>
        </w:tc>
        <w:tc>
          <w:tcPr>
            <w:tcW w:w="603" w:type="dxa"/>
            <w:shd w:val="clear" w:color="auto" w:fill="92D050"/>
            <w:vAlign w:val="bottom"/>
          </w:tcPr>
          <w:p w14:paraId="11219B27" w14:textId="77777777" w:rsidR="003F0560" w:rsidRPr="00C8296D" w:rsidRDefault="003F0560" w:rsidP="00563383">
            <w:pPr>
              <w:rPr>
                <w:rFonts w:asciiTheme="minorHAnsi" w:hAnsiTheme="minorHAnsi" w:cstheme="minorHAnsi"/>
                <w:sz w:val="20"/>
              </w:rPr>
            </w:pPr>
            <w:r w:rsidRPr="00C8296D">
              <w:rPr>
                <w:rFonts w:asciiTheme="minorHAnsi" w:eastAsia="Times New Roman" w:hAnsiTheme="minorHAnsi" w:cstheme="minorHAnsi"/>
                <w:color w:val="000000"/>
                <w:sz w:val="20"/>
                <w:lang w:eastAsia="en-AU"/>
              </w:rPr>
              <w:t>+</w:t>
            </w:r>
          </w:p>
        </w:tc>
        <w:tc>
          <w:tcPr>
            <w:tcW w:w="587" w:type="dxa"/>
            <w:shd w:val="clear" w:color="auto" w:fill="92D050"/>
            <w:vAlign w:val="bottom"/>
          </w:tcPr>
          <w:p w14:paraId="5149D8D8" w14:textId="77777777" w:rsidR="003F0560" w:rsidRPr="00C8296D" w:rsidRDefault="003F0560" w:rsidP="00563383">
            <w:pPr>
              <w:rPr>
                <w:rFonts w:asciiTheme="minorHAnsi" w:hAnsiTheme="minorHAnsi" w:cstheme="minorHAnsi"/>
                <w:sz w:val="20"/>
              </w:rPr>
            </w:pPr>
            <w:r w:rsidRPr="00C8296D">
              <w:rPr>
                <w:rFonts w:asciiTheme="minorHAnsi" w:eastAsia="Times New Roman" w:hAnsiTheme="minorHAnsi" w:cstheme="minorHAnsi"/>
                <w:color w:val="000000"/>
                <w:sz w:val="20"/>
                <w:lang w:eastAsia="en-AU"/>
              </w:rPr>
              <w:t>+</w:t>
            </w:r>
          </w:p>
        </w:tc>
        <w:tc>
          <w:tcPr>
            <w:tcW w:w="572" w:type="dxa"/>
            <w:shd w:val="clear" w:color="auto" w:fill="FECED3"/>
            <w:vAlign w:val="bottom"/>
          </w:tcPr>
          <w:p w14:paraId="1910C0B8" w14:textId="77777777" w:rsidR="003F0560" w:rsidRPr="00C8296D" w:rsidRDefault="003F0560" w:rsidP="00563383">
            <w:pPr>
              <w:rPr>
                <w:rFonts w:asciiTheme="minorHAnsi" w:hAnsiTheme="minorHAnsi" w:cstheme="minorHAnsi"/>
                <w:sz w:val="20"/>
              </w:rPr>
            </w:pPr>
            <w:r w:rsidRPr="00C8296D">
              <w:rPr>
                <w:rFonts w:asciiTheme="minorHAnsi" w:eastAsia="Times New Roman" w:hAnsiTheme="minorHAnsi" w:cstheme="minorHAnsi"/>
                <w:color w:val="000000"/>
                <w:sz w:val="20"/>
                <w:lang w:eastAsia="en-AU"/>
              </w:rPr>
              <w:t>NR</w:t>
            </w:r>
          </w:p>
        </w:tc>
        <w:tc>
          <w:tcPr>
            <w:tcW w:w="604" w:type="dxa"/>
            <w:shd w:val="clear" w:color="auto" w:fill="92D050"/>
            <w:vAlign w:val="bottom"/>
          </w:tcPr>
          <w:p w14:paraId="32BE1C0D" w14:textId="77777777" w:rsidR="003F0560" w:rsidRPr="00C8296D" w:rsidRDefault="003F0560" w:rsidP="00563383">
            <w:pPr>
              <w:rPr>
                <w:rFonts w:asciiTheme="minorHAnsi" w:hAnsiTheme="minorHAnsi" w:cstheme="minorHAnsi"/>
                <w:sz w:val="20"/>
              </w:rPr>
            </w:pPr>
            <w:r w:rsidRPr="00C8296D">
              <w:rPr>
                <w:rFonts w:asciiTheme="minorHAnsi" w:eastAsia="Times New Roman" w:hAnsiTheme="minorHAnsi" w:cstheme="minorHAnsi"/>
                <w:color w:val="000000"/>
                <w:sz w:val="20"/>
                <w:lang w:eastAsia="en-AU"/>
              </w:rPr>
              <w:t>+</w:t>
            </w:r>
          </w:p>
        </w:tc>
        <w:tc>
          <w:tcPr>
            <w:tcW w:w="636" w:type="dxa"/>
            <w:shd w:val="clear" w:color="auto" w:fill="92D050"/>
            <w:vAlign w:val="bottom"/>
          </w:tcPr>
          <w:p w14:paraId="4246E3F5" w14:textId="77777777" w:rsidR="003F0560" w:rsidRPr="00C8296D" w:rsidRDefault="003F0560" w:rsidP="00563383">
            <w:pPr>
              <w:rPr>
                <w:rFonts w:asciiTheme="minorHAnsi" w:hAnsiTheme="minorHAnsi" w:cstheme="minorHAnsi"/>
                <w:sz w:val="20"/>
              </w:rPr>
            </w:pPr>
            <w:r w:rsidRPr="00C8296D">
              <w:rPr>
                <w:rFonts w:asciiTheme="minorHAnsi" w:eastAsia="Times New Roman" w:hAnsiTheme="minorHAnsi" w:cstheme="minorHAnsi"/>
                <w:color w:val="000000"/>
                <w:sz w:val="20"/>
                <w:lang w:eastAsia="en-AU"/>
              </w:rPr>
              <w:t>+</w:t>
            </w:r>
          </w:p>
        </w:tc>
        <w:tc>
          <w:tcPr>
            <w:tcW w:w="703" w:type="dxa"/>
            <w:shd w:val="clear" w:color="auto" w:fill="92D050"/>
            <w:vAlign w:val="bottom"/>
          </w:tcPr>
          <w:p w14:paraId="34A4018D" w14:textId="77777777" w:rsidR="003F0560" w:rsidRPr="00C8296D" w:rsidRDefault="003F0560" w:rsidP="00563383">
            <w:pPr>
              <w:rPr>
                <w:rFonts w:asciiTheme="minorHAnsi" w:hAnsiTheme="minorHAnsi" w:cstheme="minorHAnsi"/>
                <w:sz w:val="20"/>
              </w:rPr>
            </w:pPr>
            <w:r w:rsidRPr="00C8296D">
              <w:rPr>
                <w:rFonts w:asciiTheme="minorHAnsi" w:eastAsia="Times New Roman" w:hAnsiTheme="minorHAnsi" w:cstheme="minorHAnsi"/>
                <w:color w:val="000000"/>
                <w:sz w:val="20"/>
                <w:lang w:eastAsia="en-AU"/>
              </w:rPr>
              <w:t>+</w:t>
            </w:r>
          </w:p>
        </w:tc>
        <w:tc>
          <w:tcPr>
            <w:tcW w:w="613" w:type="dxa"/>
            <w:shd w:val="clear" w:color="auto" w:fill="92D050"/>
            <w:vAlign w:val="bottom"/>
          </w:tcPr>
          <w:p w14:paraId="12DC4602" w14:textId="77777777" w:rsidR="003F0560" w:rsidRPr="00C8296D" w:rsidRDefault="003F0560" w:rsidP="00563383">
            <w:pPr>
              <w:rPr>
                <w:rFonts w:asciiTheme="minorHAnsi" w:hAnsiTheme="minorHAnsi" w:cstheme="minorHAnsi"/>
                <w:sz w:val="20"/>
              </w:rPr>
            </w:pPr>
            <w:r w:rsidRPr="00C8296D">
              <w:rPr>
                <w:rFonts w:asciiTheme="minorHAnsi" w:eastAsia="Times New Roman" w:hAnsiTheme="minorHAnsi" w:cstheme="minorHAnsi"/>
                <w:color w:val="000000"/>
                <w:sz w:val="20"/>
                <w:lang w:eastAsia="en-AU"/>
              </w:rPr>
              <w:t>+</w:t>
            </w:r>
          </w:p>
        </w:tc>
        <w:tc>
          <w:tcPr>
            <w:tcW w:w="704" w:type="dxa"/>
            <w:shd w:val="clear" w:color="auto" w:fill="FECED3"/>
            <w:vAlign w:val="bottom"/>
          </w:tcPr>
          <w:p w14:paraId="27766EA7" w14:textId="77777777" w:rsidR="003F0560" w:rsidRPr="00C8296D" w:rsidRDefault="003F0560" w:rsidP="00563383">
            <w:pPr>
              <w:rPr>
                <w:rFonts w:asciiTheme="minorHAnsi" w:hAnsiTheme="minorHAnsi" w:cstheme="minorHAnsi"/>
                <w:sz w:val="20"/>
              </w:rPr>
            </w:pPr>
            <w:r w:rsidRPr="00C8296D">
              <w:rPr>
                <w:rFonts w:asciiTheme="minorHAnsi" w:eastAsia="Times New Roman" w:hAnsiTheme="minorHAnsi" w:cstheme="minorHAnsi"/>
                <w:color w:val="000000"/>
                <w:sz w:val="20"/>
                <w:lang w:eastAsia="en-AU"/>
              </w:rPr>
              <w:t>−</w:t>
            </w:r>
          </w:p>
        </w:tc>
        <w:tc>
          <w:tcPr>
            <w:tcW w:w="989" w:type="dxa"/>
            <w:vAlign w:val="bottom"/>
          </w:tcPr>
          <w:p w14:paraId="057FD1CA" w14:textId="77777777" w:rsidR="003F0560" w:rsidRPr="00C8296D" w:rsidRDefault="003F0560" w:rsidP="00563383">
            <w:pPr>
              <w:jc w:val="center"/>
              <w:rPr>
                <w:rFonts w:asciiTheme="minorHAnsi" w:hAnsiTheme="minorHAnsi" w:cstheme="minorHAnsi"/>
                <w:sz w:val="20"/>
              </w:rPr>
            </w:pPr>
            <w:r w:rsidRPr="00C8296D">
              <w:rPr>
                <w:rFonts w:asciiTheme="minorHAnsi" w:eastAsia="Times New Roman" w:hAnsiTheme="minorHAnsi" w:cstheme="minorHAnsi"/>
                <w:color w:val="000000"/>
                <w:sz w:val="20"/>
                <w:lang w:eastAsia="en-AU"/>
              </w:rPr>
              <w:t>2</w:t>
            </w:r>
          </w:p>
        </w:tc>
      </w:tr>
      <w:tr w:rsidR="003F0560" w:rsidRPr="00A93B00" w14:paraId="0134FF53" w14:textId="77777777" w:rsidTr="00563383">
        <w:tc>
          <w:tcPr>
            <w:tcW w:w="1457" w:type="dxa"/>
          </w:tcPr>
          <w:p w14:paraId="7A3BE3D4" w14:textId="77777777" w:rsidR="003F0560" w:rsidRDefault="003F0560" w:rsidP="00563383">
            <w:pPr>
              <w:rPr>
                <w:sz w:val="20"/>
              </w:rPr>
            </w:pPr>
            <w:r>
              <w:rPr>
                <w:sz w:val="20"/>
              </w:rPr>
              <w:lastRenderedPageBreak/>
              <w:t xml:space="preserve">Other </w:t>
            </w:r>
          </w:p>
        </w:tc>
        <w:tc>
          <w:tcPr>
            <w:tcW w:w="1856" w:type="dxa"/>
          </w:tcPr>
          <w:p w14:paraId="66A03F5D" w14:textId="77777777" w:rsidR="003F0560" w:rsidRPr="00C8296D" w:rsidRDefault="003F0560" w:rsidP="00563383">
            <w:pPr>
              <w:rPr>
                <w:sz w:val="20"/>
              </w:rPr>
            </w:pPr>
            <w:r w:rsidRPr="00C8296D">
              <w:rPr>
                <w:sz w:val="20"/>
              </w:rPr>
              <w:t>Plasma B6 vitamer responses</w:t>
            </w:r>
          </w:p>
        </w:tc>
        <w:tc>
          <w:tcPr>
            <w:tcW w:w="1834" w:type="dxa"/>
          </w:tcPr>
          <w:p w14:paraId="2CABBCA9" w14:textId="77777777" w:rsidR="003F0560" w:rsidRDefault="003F0560" w:rsidP="00563383">
            <w:pPr>
              <w:rPr>
                <w:sz w:val="20"/>
              </w:rPr>
            </w:pPr>
            <w:r>
              <w:rPr>
                <w:sz w:val="20"/>
              </w:rPr>
              <w:t>Human cross - sectional</w:t>
            </w:r>
          </w:p>
        </w:tc>
        <w:tc>
          <w:tcPr>
            <w:tcW w:w="956" w:type="dxa"/>
          </w:tcPr>
          <w:p w14:paraId="53716C1F" w14:textId="77777777" w:rsidR="003F0560" w:rsidRPr="00C8296D" w:rsidRDefault="003F0560" w:rsidP="00563383">
            <w:pPr>
              <w:rPr>
                <w:sz w:val="20"/>
              </w:rPr>
            </w:pPr>
            <w:r w:rsidRPr="00C8296D">
              <w:rPr>
                <w:sz w:val="20"/>
              </w:rPr>
              <w:t>Whyte et al. 2024</w:t>
            </w:r>
          </w:p>
        </w:tc>
        <w:tc>
          <w:tcPr>
            <w:tcW w:w="616"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414DBB1A" w14:textId="77777777" w:rsidR="003F0560" w:rsidRPr="00B9475E" w:rsidRDefault="003F0560" w:rsidP="00563383">
            <w:pPr>
              <w:rPr>
                <w:rFonts w:asciiTheme="minorHAnsi" w:eastAsia="Times New Roman" w:hAnsiTheme="minorHAnsi" w:cstheme="minorHAnsi"/>
                <w:color w:val="A6A6A6" w:themeColor="background1" w:themeShade="A6"/>
                <w:sz w:val="20"/>
                <w:lang w:eastAsia="en-AU"/>
              </w:rPr>
            </w:pPr>
            <w:r w:rsidRPr="00B9475E">
              <w:rPr>
                <w:rFonts w:asciiTheme="minorHAnsi" w:hAnsiTheme="minorHAnsi" w:cstheme="minorHAnsi"/>
                <w:color w:val="A6A6A6" w:themeColor="background1" w:themeShade="A6"/>
                <w:szCs w:val="22"/>
              </w:rPr>
              <w:t>NA</w:t>
            </w:r>
          </w:p>
        </w:tc>
        <w:tc>
          <w:tcPr>
            <w:tcW w:w="6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E0FA61E" w14:textId="77777777" w:rsidR="003F0560" w:rsidRPr="00B9475E" w:rsidRDefault="003F0560" w:rsidP="00563383">
            <w:pPr>
              <w:rPr>
                <w:rFonts w:asciiTheme="minorHAnsi" w:eastAsia="Times New Roman" w:hAnsiTheme="minorHAnsi" w:cstheme="minorHAnsi"/>
                <w:color w:val="A6A6A6" w:themeColor="background1" w:themeShade="A6"/>
                <w:sz w:val="20"/>
                <w:lang w:eastAsia="en-AU"/>
              </w:rPr>
            </w:pPr>
            <w:r w:rsidRPr="00B9475E">
              <w:rPr>
                <w:rFonts w:asciiTheme="minorHAnsi" w:hAnsiTheme="minorHAnsi" w:cstheme="minorHAnsi"/>
                <w:color w:val="A6A6A6" w:themeColor="background1" w:themeShade="A6"/>
                <w:szCs w:val="22"/>
              </w:rPr>
              <w:t>NA</w:t>
            </w:r>
          </w:p>
        </w:tc>
        <w:tc>
          <w:tcPr>
            <w:tcW w:w="598" w:type="dxa"/>
            <w:tcBorders>
              <w:top w:val="single" w:sz="4" w:space="0" w:color="auto"/>
              <w:left w:val="single" w:sz="4" w:space="0" w:color="auto"/>
              <w:bottom w:val="single" w:sz="4" w:space="0" w:color="auto"/>
              <w:right w:val="single" w:sz="4" w:space="0" w:color="auto"/>
            </w:tcBorders>
            <w:shd w:val="clear" w:color="auto" w:fill="92D050"/>
            <w:vAlign w:val="bottom"/>
          </w:tcPr>
          <w:p w14:paraId="1964A64A" w14:textId="77777777" w:rsidR="003F0560" w:rsidRPr="00C8296D" w:rsidRDefault="003F0560" w:rsidP="00563383">
            <w:pPr>
              <w:rPr>
                <w:rFonts w:asciiTheme="minorHAnsi" w:eastAsia="Times New Roman" w:hAnsiTheme="minorHAnsi" w:cstheme="minorHAnsi"/>
                <w:color w:val="000000"/>
                <w:sz w:val="20"/>
                <w:lang w:eastAsia="en-AU"/>
              </w:rPr>
            </w:pPr>
            <w:r w:rsidRPr="00C8296D">
              <w:rPr>
                <w:rFonts w:asciiTheme="minorHAnsi" w:hAnsiTheme="minorHAnsi" w:cstheme="minorHAnsi"/>
                <w:color w:val="000000"/>
                <w:szCs w:val="22"/>
              </w:rPr>
              <w:t>+</w:t>
            </w:r>
          </w:p>
        </w:tc>
        <w:tc>
          <w:tcPr>
            <w:tcW w:w="603" w:type="dxa"/>
            <w:tcBorders>
              <w:top w:val="single" w:sz="4" w:space="0" w:color="auto"/>
              <w:left w:val="single" w:sz="4" w:space="0" w:color="auto"/>
              <w:bottom w:val="single" w:sz="4" w:space="0" w:color="auto"/>
              <w:right w:val="single" w:sz="4" w:space="0" w:color="auto"/>
            </w:tcBorders>
            <w:shd w:val="clear" w:color="auto" w:fill="FECED3"/>
            <w:vAlign w:val="bottom"/>
          </w:tcPr>
          <w:p w14:paraId="454C331C" w14:textId="77777777" w:rsidR="003F0560" w:rsidRPr="00C8296D" w:rsidRDefault="003F0560" w:rsidP="00563383">
            <w:pPr>
              <w:rPr>
                <w:rFonts w:asciiTheme="minorHAnsi" w:eastAsia="Times New Roman" w:hAnsiTheme="minorHAnsi" w:cstheme="minorHAnsi"/>
                <w:color w:val="000000"/>
                <w:sz w:val="20"/>
                <w:lang w:eastAsia="en-AU"/>
              </w:rPr>
            </w:pPr>
            <w:r w:rsidRPr="00C8296D">
              <w:rPr>
                <w:rFonts w:asciiTheme="minorHAnsi" w:hAnsiTheme="minorHAnsi" w:cstheme="minorHAnsi"/>
                <w:color w:val="000000"/>
                <w:szCs w:val="22"/>
              </w:rPr>
              <w:t>−</w:t>
            </w:r>
          </w:p>
        </w:tc>
        <w:tc>
          <w:tcPr>
            <w:tcW w:w="587" w:type="dxa"/>
            <w:tcBorders>
              <w:top w:val="single" w:sz="4" w:space="0" w:color="auto"/>
              <w:left w:val="single" w:sz="4" w:space="0" w:color="auto"/>
              <w:bottom w:val="single" w:sz="4" w:space="0" w:color="auto"/>
              <w:right w:val="single" w:sz="4" w:space="0" w:color="auto"/>
            </w:tcBorders>
            <w:shd w:val="clear" w:color="auto" w:fill="FECED3"/>
            <w:vAlign w:val="bottom"/>
          </w:tcPr>
          <w:p w14:paraId="175184ED" w14:textId="77777777" w:rsidR="003F0560" w:rsidRPr="00C8296D" w:rsidRDefault="003F0560" w:rsidP="00563383">
            <w:pPr>
              <w:rPr>
                <w:rFonts w:asciiTheme="minorHAnsi" w:eastAsia="Times New Roman" w:hAnsiTheme="minorHAnsi" w:cstheme="minorHAnsi"/>
                <w:color w:val="000000"/>
                <w:sz w:val="20"/>
                <w:lang w:eastAsia="en-AU"/>
              </w:rPr>
            </w:pPr>
            <w:r w:rsidRPr="00C8296D">
              <w:rPr>
                <w:rFonts w:asciiTheme="minorHAnsi" w:hAnsiTheme="minorHAnsi" w:cstheme="minorHAnsi"/>
                <w:color w:val="000000"/>
                <w:szCs w:val="22"/>
              </w:rPr>
              <w:t>−</w:t>
            </w:r>
          </w:p>
        </w:tc>
        <w:tc>
          <w:tcPr>
            <w:tcW w:w="572" w:type="dxa"/>
            <w:tcBorders>
              <w:top w:val="single" w:sz="4" w:space="0" w:color="auto"/>
              <w:left w:val="single" w:sz="4" w:space="0" w:color="auto"/>
              <w:bottom w:val="single" w:sz="4" w:space="0" w:color="auto"/>
              <w:right w:val="single" w:sz="4" w:space="0" w:color="auto"/>
            </w:tcBorders>
            <w:shd w:val="clear" w:color="auto" w:fill="FECED3"/>
            <w:vAlign w:val="bottom"/>
          </w:tcPr>
          <w:p w14:paraId="2D654414" w14:textId="77777777" w:rsidR="003F0560" w:rsidRPr="00C8296D" w:rsidRDefault="003F0560" w:rsidP="00563383">
            <w:pPr>
              <w:rPr>
                <w:rFonts w:asciiTheme="minorHAnsi" w:eastAsia="Times New Roman" w:hAnsiTheme="minorHAnsi" w:cstheme="minorHAnsi"/>
                <w:color w:val="000000"/>
                <w:sz w:val="20"/>
                <w:lang w:eastAsia="en-AU"/>
              </w:rPr>
            </w:pPr>
            <w:r w:rsidRPr="00C8296D">
              <w:rPr>
                <w:rFonts w:asciiTheme="minorHAnsi" w:hAnsiTheme="minorHAnsi" w:cstheme="minorHAnsi"/>
                <w:color w:val="000000"/>
                <w:szCs w:val="22"/>
              </w:rPr>
              <w:t>NR</w:t>
            </w:r>
          </w:p>
        </w:tc>
        <w:tc>
          <w:tcPr>
            <w:tcW w:w="604" w:type="dxa"/>
            <w:tcBorders>
              <w:top w:val="single" w:sz="4" w:space="0" w:color="auto"/>
              <w:left w:val="single" w:sz="4" w:space="0" w:color="auto"/>
              <w:bottom w:val="single" w:sz="4" w:space="0" w:color="auto"/>
              <w:right w:val="single" w:sz="4" w:space="0" w:color="auto"/>
            </w:tcBorders>
            <w:shd w:val="clear" w:color="auto" w:fill="FECED3"/>
            <w:vAlign w:val="bottom"/>
          </w:tcPr>
          <w:p w14:paraId="20F16DC9" w14:textId="77777777" w:rsidR="003F0560" w:rsidRPr="00C8296D" w:rsidRDefault="003F0560" w:rsidP="00563383">
            <w:pPr>
              <w:rPr>
                <w:rFonts w:asciiTheme="minorHAnsi" w:eastAsia="Times New Roman" w:hAnsiTheme="minorHAnsi" w:cstheme="minorHAnsi"/>
                <w:color w:val="000000"/>
                <w:sz w:val="20"/>
                <w:lang w:eastAsia="en-AU"/>
              </w:rPr>
            </w:pPr>
            <w:r w:rsidRPr="00C8296D">
              <w:rPr>
                <w:rFonts w:asciiTheme="minorHAnsi" w:hAnsiTheme="minorHAnsi" w:cstheme="minorHAnsi"/>
                <w:color w:val="000000"/>
                <w:szCs w:val="22"/>
              </w:rPr>
              <w:t>−</w:t>
            </w:r>
          </w:p>
        </w:tc>
        <w:tc>
          <w:tcPr>
            <w:tcW w:w="636" w:type="dxa"/>
            <w:tcBorders>
              <w:top w:val="single" w:sz="4" w:space="0" w:color="auto"/>
              <w:left w:val="single" w:sz="4" w:space="0" w:color="auto"/>
              <w:bottom w:val="single" w:sz="4" w:space="0" w:color="auto"/>
              <w:right w:val="single" w:sz="4" w:space="0" w:color="auto"/>
            </w:tcBorders>
            <w:shd w:val="clear" w:color="auto" w:fill="92D050"/>
            <w:vAlign w:val="bottom"/>
          </w:tcPr>
          <w:p w14:paraId="690D8C89" w14:textId="77777777" w:rsidR="003F0560" w:rsidRPr="00C8296D" w:rsidRDefault="003F0560" w:rsidP="00563383">
            <w:pPr>
              <w:rPr>
                <w:rFonts w:asciiTheme="minorHAnsi" w:eastAsia="Times New Roman" w:hAnsiTheme="minorHAnsi" w:cstheme="minorHAnsi"/>
                <w:color w:val="000000"/>
                <w:sz w:val="20"/>
                <w:lang w:eastAsia="en-AU"/>
              </w:rPr>
            </w:pPr>
            <w:r w:rsidRPr="00C8296D">
              <w:rPr>
                <w:rFonts w:asciiTheme="minorHAnsi" w:hAnsiTheme="minorHAnsi" w:cstheme="minorHAnsi"/>
                <w:color w:val="000000"/>
                <w:szCs w:val="22"/>
              </w:rPr>
              <w:t>+</w:t>
            </w:r>
          </w:p>
        </w:tc>
        <w:tc>
          <w:tcPr>
            <w:tcW w:w="703" w:type="dxa"/>
            <w:tcBorders>
              <w:top w:val="single" w:sz="4" w:space="0" w:color="auto"/>
              <w:left w:val="single" w:sz="4" w:space="0" w:color="auto"/>
              <w:bottom w:val="single" w:sz="4" w:space="0" w:color="auto"/>
              <w:right w:val="single" w:sz="4" w:space="0" w:color="auto"/>
            </w:tcBorders>
            <w:shd w:val="clear" w:color="auto" w:fill="92D050"/>
            <w:vAlign w:val="bottom"/>
          </w:tcPr>
          <w:p w14:paraId="47D55FC7" w14:textId="77777777" w:rsidR="003F0560" w:rsidRPr="00C8296D" w:rsidRDefault="003F0560" w:rsidP="00563383">
            <w:pPr>
              <w:rPr>
                <w:rFonts w:asciiTheme="minorHAnsi" w:eastAsia="Times New Roman" w:hAnsiTheme="minorHAnsi" w:cstheme="minorHAnsi"/>
                <w:color w:val="000000"/>
                <w:sz w:val="20"/>
                <w:lang w:eastAsia="en-AU"/>
              </w:rPr>
            </w:pPr>
            <w:r w:rsidRPr="00C8296D">
              <w:rPr>
                <w:rFonts w:asciiTheme="minorHAnsi" w:hAnsiTheme="minorHAnsi" w:cstheme="minorHAnsi"/>
                <w:color w:val="000000"/>
                <w:szCs w:val="22"/>
              </w:rPr>
              <w:t>+</w:t>
            </w:r>
          </w:p>
        </w:tc>
        <w:tc>
          <w:tcPr>
            <w:tcW w:w="613" w:type="dxa"/>
            <w:tcBorders>
              <w:top w:val="single" w:sz="4" w:space="0" w:color="auto"/>
              <w:left w:val="single" w:sz="4" w:space="0" w:color="auto"/>
              <w:bottom w:val="single" w:sz="4" w:space="0" w:color="auto"/>
              <w:right w:val="single" w:sz="4" w:space="0" w:color="auto"/>
            </w:tcBorders>
            <w:shd w:val="clear" w:color="auto" w:fill="92D050"/>
            <w:vAlign w:val="bottom"/>
          </w:tcPr>
          <w:p w14:paraId="5FC8205F" w14:textId="77777777" w:rsidR="003F0560" w:rsidRPr="00C8296D" w:rsidRDefault="003F0560" w:rsidP="00563383">
            <w:pPr>
              <w:rPr>
                <w:rFonts w:asciiTheme="minorHAnsi" w:eastAsia="Times New Roman" w:hAnsiTheme="minorHAnsi" w:cstheme="minorHAnsi"/>
                <w:color w:val="000000"/>
                <w:sz w:val="20"/>
                <w:lang w:eastAsia="en-AU"/>
              </w:rPr>
            </w:pPr>
            <w:r w:rsidRPr="00C8296D">
              <w:rPr>
                <w:rFonts w:asciiTheme="minorHAnsi" w:hAnsiTheme="minorHAnsi" w:cstheme="minorHAnsi"/>
                <w:color w:val="000000"/>
                <w:szCs w:val="22"/>
              </w:rPr>
              <w:t>+</w:t>
            </w:r>
          </w:p>
        </w:tc>
        <w:tc>
          <w:tcPr>
            <w:tcW w:w="704" w:type="dxa"/>
            <w:tcBorders>
              <w:top w:val="single" w:sz="4" w:space="0" w:color="auto"/>
              <w:left w:val="single" w:sz="4" w:space="0" w:color="auto"/>
              <w:bottom w:val="single" w:sz="4" w:space="0" w:color="auto"/>
              <w:right w:val="single" w:sz="4" w:space="0" w:color="auto"/>
            </w:tcBorders>
            <w:shd w:val="clear" w:color="auto" w:fill="FECED3"/>
            <w:vAlign w:val="bottom"/>
          </w:tcPr>
          <w:p w14:paraId="1B8EB681" w14:textId="77777777" w:rsidR="003F0560" w:rsidRPr="00C8296D" w:rsidRDefault="003F0560" w:rsidP="00563383">
            <w:pPr>
              <w:rPr>
                <w:rFonts w:asciiTheme="minorHAnsi" w:eastAsia="Times New Roman" w:hAnsiTheme="minorHAnsi" w:cstheme="minorHAnsi"/>
                <w:color w:val="000000"/>
                <w:sz w:val="20"/>
                <w:lang w:eastAsia="en-AU"/>
              </w:rPr>
            </w:pPr>
            <w:r w:rsidRPr="00C8296D">
              <w:rPr>
                <w:rFonts w:asciiTheme="minorHAnsi" w:hAnsiTheme="minorHAnsi" w:cstheme="minorHAnsi"/>
                <w:color w:val="000000"/>
                <w:szCs w:val="22"/>
              </w:rPr>
              <w:t>−</w:t>
            </w:r>
          </w:p>
        </w:tc>
        <w:tc>
          <w:tcPr>
            <w:tcW w:w="989" w:type="dxa"/>
            <w:tcBorders>
              <w:top w:val="single" w:sz="4" w:space="0" w:color="auto"/>
              <w:left w:val="single" w:sz="4" w:space="0" w:color="auto"/>
              <w:bottom w:val="single" w:sz="4" w:space="0" w:color="auto"/>
              <w:right w:val="single" w:sz="4" w:space="0" w:color="auto"/>
            </w:tcBorders>
            <w:vAlign w:val="bottom"/>
          </w:tcPr>
          <w:p w14:paraId="4CFC2C1C" w14:textId="77777777" w:rsidR="003F0560" w:rsidRPr="00C8296D" w:rsidRDefault="003F0560" w:rsidP="00563383">
            <w:pPr>
              <w:jc w:val="center"/>
              <w:rPr>
                <w:rFonts w:asciiTheme="minorHAnsi" w:eastAsia="Times New Roman" w:hAnsiTheme="minorHAnsi" w:cstheme="minorHAnsi"/>
                <w:color w:val="000000"/>
                <w:sz w:val="20"/>
                <w:lang w:eastAsia="en-AU"/>
              </w:rPr>
            </w:pPr>
            <w:r>
              <w:rPr>
                <w:rFonts w:asciiTheme="minorHAnsi" w:hAnsiTheme="minorHAnsi" w:cstheme="minorHAnsi"/>
                <w:color w:val="000000"/>
                <w:szCs w:val="22"/>
              </w:rPr>
              <w:t>2</w:t>
            </w:r>
          </w:p>
        </w:tc>
      </w:tr>
    </w:tbl>
    <w:p w14:paraId="504E486F" w14:textId="3601BF68" w:rsidR="00A26F96" w:rsidRDefault="00A26F96" w:rsidP="00A752AF">
      <w:r>
        <w:br w:type="page"/>
      </w:r>
    </w:p>
    <w:p w14:paraId="7C18BCE3" w14:textId="77777777" w:rsidR="0046764B" w:rsidRDefault="0046764B" w:rsidP="00A752AF"/>
    <w:p w14:paraId="0AAD432E" w14:textId="0B5708A1" w:rsidR="0046764B" w:rsidRDefault="00430257" w:rsidP="00430257">
      <w:pPr>
        <w:rPr>
          <w:b/>
        </w:rPr>
      </w:pPr>
      <w:bookmarkStart w:id="54" w:name="_Ref232237873"/>
      <w:bookmarkStart w:id="55" w:name="_Toc233031611"/>
      <w:r w:rsidRPr="004474B5">
        <w:rPr>
          <w:b/>
        </w:rPr>
        <w:t xml:space="preserve">Table </w:t>
      </w:r>
      <w:r w:rsidRPr="004474B5">
        <w:rPr>
          <w:b/>
        </w:rPr>
        <w:fldChar w:fldCharType="begin"/>
      </w:r>
      <w:r w:rsidRPr="004474B5">
        <w:rPr>
          <w:b/>
        </w:rPr>
        <w:instrText xml:space="preserve"> SEQ Table \* ARABIC </w:instrText>
      </w:r>
      <w:r w:rsidRPr="004474B5">
        <w:rPr>
          <w:b/>
        </w:rPr>
        <w:fldChar w:fldCharType="separate"/>
      </w:r>
      <w:r w:rsidR="0052675C">
        <w:rPr>
          <w:b/>
          <w:noProof/>
        </w:rPr>
        <w:t>7</w:t>
      </w:r>
      <w:r w:rsidRPr="004474B5">
        <w:fldChar w:fldCharType="end"/>
      </w:r>
      <w:bookmarkEnd w:id="54"/>
      <w:r w:rsidRPr="004474B5">
        <w:rPr>
          <w:b/>
        </w:rPr>
        <w:tab/>
        <w:t xml:space="preserve">Summary of </w:t>
      </w:r>
      <w:bookmarkStart w:id="56" w:name="_Ref218672989"/>
      <w:r>
        <w:rPr>
          <w:b/>
        </w:rPr>
        <w:t>initial confidence rating for new primary studies</w:t>
      </w:r>
      <w:bookmarkEnd w:id="55"/>
    </w:p>
    <w:p w14:paraId="09321B36" w14:textId="77777777" w:rsidR="00430257" w:rsidRDefault="00430257" w:rsidP="00430257">
      <w:r>
        <w:t>Rating Key: Yes – criterion met; No – criterion not met; NA – not applicable for this study type.</w:t>
      </w:r>
    </w:p>
    <w:p w14:paraId="042AFF0F" w14:textId="624A9EF6" w:rsidR="00430257" w:rsidRDefault="00430257" w:rsidP="00430257">
      <w:r>
        <w:t>Confidence rating: High confidence; Moderate confidence; Low confidence.</w:t>
      </w:r>
    </w:p>
    <w:p w14:paraId="3E69874E" w14:textId="77777777" w:rsidR="005D76E8" w:rsidRDefault="005D76E8" w:rsidP="005D76E8">
      <w:pPr>
        <w:pStyle w:val="BodyText"/>
      </w:pPr>
    </w:p>
    <w:tbl>
      <w:tblPr>
        <w:tblStyle w:val="SLROption2"/>
        <w:tblW w:w="5000" w:type="pct"/>
        <w:tblLook w:val="04A0" w:firstRow="1" w:lastRow="0" w:firstColumn="1" w:lastColumn="0" w:noHBand="0" w:noVBand="1"/>
      </w:tblPr>
      <w:tblGrid>
        <w:gridCol w:w="1455"/>
        <w:gridCol w:w="2112"/>
        <w:gridCol w:w="1035"/>
        <w:gridCol w:w="1036"/>
        <w:gridCol w:w="1036"/>
        <w:gridCol w:w="1036"/>
        <w:gridCol w:w="1033"/>
        <w:gridCol w:w="1033"/>
        <w:gridCol w:w="1033"/>
        <w:gridCol w:w="1033"/>
        <w:gridCol w:w="1137"/>
        <w:gridCol w:w="1129"/>
      </w:tblGrid>
      <w:tr w:rsidR="005D76E8" w:rsidRPr="00AB7709" w14:paraId="67B194D4" w14:textId="77777777" w:rsidTr="00AA6A3D">
        <w:trPr>
          <w:cnfStyle w:val="100000000000" w:firstRow="1" w:lastRow="0" w:firstColumn="0" w:lastColumn="0" w:oddVBand="0" w:evenVBand="0" w:oddHBand="0" w:evenHBand="0" w:firstRowFirstColumn="0" w:firstRowLastColumn="0" w:lastRowFirstColumn="0" w:lastRowLastColumn="0"/>
          <w:cantSplit/>
          <w:trHeight w:val="2626"/>
        </w:trPr>
        <w:tc>
          <w:tcPr>
            <w:tcW w:w="516" w:type="pct"/>
            <w:textDirection w:val="btLr"/>
            <w:vAlign w:val="center"/>
          </w:tcPr>
          <w:p w14:paraId="71787F71" w14:textId="77777777" w:rsidR="005D76E8" w:rsidRPr="00AB7709" w:rsidRDefault="005D76E8" w:rsidP="00350D90">
            <w:pPr>
              <w:ind w:left="113" w:right="113"/>
              <w:rPr>
                <w:rFonts w:asciiTheme="minorHAnsi" w:hAnsiTheme="minorHAnsi" w:cstheme="minorHAnsi"/>
                <w:sz w:val="20"/>
              </w:rPr>
            </w:pPr>
            <w:r w:rsidRPr="00AB7709">
              <w:rPr>
                <w:rFonts w:asciiTheme="minorHAnsi" w:hAnsiTheme="minorHAnsi" w:cstheme="minorHAnsi"/>
                <w:sz w:val="20"/>
              </w:rPr>
              <w:t>Health Outcome</w:t>
            </w:r>
          </w:p>
        </w:tc>
        <w:tc>
          <w:tcPr>
            <w:tcW w:w="749" w:type="pct"/>
            <w:textDirection w:val="btLr"/>
            <w:vAlign w:val="center"/>
          </w:tcPr>
          <w:p w14:paraId="36BE1686" w14:textId="77777777" w:rsidR="005D76E8" w:rsidRPr="00AB7709" w:rsidRDefault="005D76E8" w:rsidP="00350D90">
            <w:pPr>
              <w:ind w:left="113" w:right="113"/>
              <w:rPr>
                <w:rFonts w:asciiTheme="minorHAnsi" w:hAnsiTheme="minorHAnsi" w:cstheme="minorHAnsi"/>
                <w:sz w:val="20"/>
              </w:rPr>
            </w:pPr>
            <w:r w:rsidRPr="00AB7709">
              <w:rPr>
                <w:rFonts w:asciiTheme="minorHAnsi" w:hAnsiTheme="minorHAnsi" w:cstheme="minorHAnsi"/>
                <w:sz w:val="20"/>
              </w:rPr>
              <w:t>Study</w:t>
            </w:r>
            <w:r>
              <w:rPr>
                <w:rFonts w:asciiTheme="minorHAnsi" w:hAnsiTheme="minorHAnsi" w:cstheme="minorHAnsi"/>
                <w:sz w:val="20"/>
              </w:rPr>
              <w:t xml:space="preserve"> Type and ID</w:t>
            </w:r>
          </w:p>
        </w:tc>
        <w:tc>
          <w:tcPr>
            <w:tcW w:w="367" w:type="pct"/>
            <w:textDirection w:val="btLr"/>
            <w:vAlign w:val="center"/>
          </w:tcPr>
          <w:p w14:paraId="3572F1EA" w14:textId="77777777" w:rsidR="005D76E8" w:rsidRPr="00AB7709" w:rsidRDefault="005D76E8" w:rsidP="00350D90">
            <w:pPr>
              <w:ind w:left="113" w:right="113"/>
              <w:rPr>
                <w:rFonts w:asciiTheme="minorHAnsi" w:hAnsiTheme="minorHAnsi" w:cstheme="minorHAnsi"/>
                <w:sz w:val="20"/>
              </w:rPr>
            </w:pPr>
            <w:r w:rsidRPr="00AB7709">
              <w:rPr>
                <w:rFonts w:asciiTheme="minorHAnsi" w:hAnsiTheme="minorHAnsi" w:cstheme="minorHAnsi"/>
                <w:sz w:val="20"/>
              </w:rPr>
              <w:t>Study design - controlled exposure</w:t>
            </w:r>
          </w:p>
        </w:tc>
        <w:tc>
          <w:tcPr>
            <w:tcW w:w="367" w:type="pct"/>
            <w:textDirection w:val="btLr"/>
            <w:vAlign w:val="center"/>
          </w:tcPr>
          <w:p w14:paraId="15B772AE" w14:textId="77777777" w:rsidR="005D76E8" w:rsidRPr="00AB7709" w:rsidRDefault="005D76E8" w:rsidP="00350D90">
            <w:pPr>
              <w:ind w:left="113" w:right="113"/>
              <w:rPr>
                <w:rFonts w:asciiTheme="minorHAnsi" w:hAnsiTheme="minorHAnsi" w:cstheme="minorHAnsi"/>
                <w:sz w:val="20"/>
              </w:rPr>
            </w:pPr>
            <w:r w:rsidRPr="00AB7709">
              <w:rPr>
                <w:rFonts w:asciiTheme="minorHAnsi" w:hAnsiTheme="minorHAnsi" w:cstheme="minorHAnsi"/>
                <w:sz w:val="20"/>
              </w:rPr>
              <w:t>Study designs - Exposure prior to outcome</w:t>
            </w:r>
          </w:p>
        </w:tc>
        <w:tc>
          <w:tcPr>
            <w:tcW w:w="367" w:type="pct"/>
            <w:textDirection w:val="btLr"/>
            <w:vAlign w:val="center"/>
          </w:tcPr>
          <w:p w14:paraId="39B73A6E" w14:textId="579B870B" w:rsidR="005D76E8" w:rsidRPr="00AB7709" w:rsidRDefault="005D76E8" w:rsidP="00350D90">
            <w:pPr>
              <w:ind w:left="113" w:right="113"/>
              <w:rPr>
                <w:rFonts w:asciiTheme="minorHAnsi" w:hAnsiTheme="minorHAnsi" w:cstheme="minorHAnsi"/>
                <w:sz w:val="20"/>
              </w:rPr>
            </w:pPr>
            <w:r w:rsidRPr="00AB7709">
              <w:rPr>
                <w:rFonts w:asciiTheme="minorHAnsi" w:hAnsiTheme="minorHAnsi" w:cstheme="minorHAnsi"/>
                <w:sz w:val="20"/>
              </w:rPr>
              <w:t xml:space="preserve">Study design - Outcome </w:t>
            </w:r>
            <w:r w:rsidR="007D5C47" w:rsidRPr="00AB7709">
              <w:rPr>
                <w:rFonts w:asciiTheme="minorHAnsi" w:hAnsiTheme="minorHAnsi" w:cstheme="minorHAnsi"/>
                <w:sz w:val="20"/>
              </w:rPr>
              <w:t>assessed</w:t>
            </w:r>
            <w:r w:rsidRPr="00AB7709">
              <w:rPr>
                <w:rFonts w:asciiTheme="minorHAnsi" w:hAnsiTheme="minorHAnsi" w:cstheme="minorHAnsi"/>
                <w:sz w:val="20"/>
              </w:rPr>
              <w:t xml:space="preserve"> on </w:t>
            </w:r>
            <w:r w:rsidR="007D5C47" w:rsidRPr="00AB7709">
              <w:rPr>
                <w:rFonts w:asciiTheme="minorHAnsi" w:hAnsiTheme="minorHAnsi" w:cstheme="minorHAnsi"/>
                <w:sz w:val="20"/>
              </w:rPr>
              <w:t>individual</w:t>
            </w:r>
            <w:r w:rsidRPr="00AB7709">
              <w:rPr>
                <w:rFonts w:asciiTheme="minorHAnsi" w:hAnsiTheme="minorHAnsi" w:cstheme="minorHAnsi"/>
                <w:sz w:val="20"/>
              </w:rPr>
              <w:t xml:space="preserve"> level</w:t>
            </w:r>
          </w:p>
        </w:tc>
        <w:tc>
          <w:tcPr>
            <w:tcW w:w="367" w:type="pct"/>
            <w:textDirection w:val="btLr"/>
            <w:vAlign w:val="center"/>
          </w:tcPr>
          <w:p w14:paraId="454950CC" w14:textId="77777777" w:rsidR="005D76E8" w:rsidRPr="00AB7709" w:rsidRDefault="005D76E8" w:rsidP="00350D90">
            <w:pPr>
              <w:ind w:left="113" w:right="113"/>
              <w:rPr>
                <w:rFonts w:asciiTheme="minorHAnsi" w:hAnsiTheme="minorHAnsi" w:cstheme="minorHAnsi"/>
                <w:sz w:val="20"/>
              </w:rPr>
            </w:pPr>
            <w:r w:rsidRPr="00AB7709">
              <w:rPr>
                <w:rFonts w:asciiTheme="minorHAnsi" w:hAnsiTheme="minorHAnsi" w:cstheme="minorHAnsi"/>
                <w:sz w:val="20"/>
              </w:rPr>
              <w:t>Study design - Use of comparison group</w:t>
            </w:r>
          </w:p>
        </w:tc>
        <w:tc>
          <w:tcPr>
            <w:tcW w:w="366" w:type="pct"/>
            <w:textDirection w:val="btLr"/>
            <w:vAlign w:val="center"/>
          </w:tcPr>
          <w:p w14:paraId="28AD7CD9" w14:textId="77777777" w:rsidR="005D76E8" w:rsidRPr="00AB7709" w:rsidRDefault="005D76E8" w:rsidP="00350D90">
            <w:pPr>
              <w:ind w:left="113" w:right="113"/>
              <w:rPr>
                <w:rFonts w:asciiTheme="minorHAnsi" w:hAnsiTheme="minorHAnsi" w:cstheme="minorHAnsi"/>
                <w:sz w:val="20"/>
              </w:rPr>
            </w:pPr>
            <w:r w:rsidRPr="00AB7709">
              <w:rPr>
                <w:rFonts w:asciiTheme="minorHAnsi" w:hAnsiTheme="minorHAnsi" w:cstheme="minorHAnsi"/>
                <w:sz w:val="20"/>
              </w:rPr>
              <w:t>Study design - Appropriate statistical analyses</w:t>
            </w:r>
          </w:p>
        </w:tc>
        <w:tc>
          <w:tcPr>
            <w:tcW w:w="366" w:type="pct"/>
            <w:textDirection w:val="btLr"/>
            <w:vAlign w:val="center"/>
          </w:tcPr>
          <w:p w14:paraId="229B6966" w14:textId="77777777" w:rsidR="005D76E8" w:rsidRPr="00AB7709" w:rsidRDefault="005D76E8" w:rsidP="00350D90">
            <w:pPr>
              <w:ind w:left="113" w:right="113"/>
              <w:rPr>
                <w:rFonts w:asciiTheme="minorHAnsi" w:hAnsiTheme="minorHAnsi" w:cstheme="minorHAnsi"/>
                <w:sz w:val="20"/>
              </w:rPr>
            </w:pPr>
            <w:r w:rsidRPr="00AB7709">
              <w:rPr>
                <w:rFonts w:asciiTheme="minorHAnsi" w:hAnsiTheme="minorHAnsi" w:cstheme="minorHAnsi"/>
                <w:sz w:val="20"/>
              </w:rPr>
              <w:t>Study design - Concurrent control group</w:t>
            </w:r>
          </w:p>
        </w:tc>
        <w:tc>
          <w:tcPr>
            <w:tcW w:w="366" w:type="pct"/>
            <w:textDirection w:val="btLr"/>
            <w:vAlign w:val="center"/>
          </w:tcPr>
          <w:p w14:paraId="3F273C5B" w14:textId="77777777" w:rsidR="005D76E8" w:rsidRPr="00AB7709" w:rsidRDefault="005D76E8" w:rsidP="00350D90">
            <w:pPr>
              <w:ind w:left="113" w:right="113"/>
              <w:rPr>
                <w:rFonts w:asciiTheme="minorHAnsi" w:hAnsiTheme="minorHAnsi" w:cstheme="minorHAnsi"/>
                <w:sz w:val="20"/>
              </w:rPr>
            </w:pPr>
            <w:r w:rsidRPr="00AB7709">
              <w:rPr>
                <w:rFonts w:asciiTheme="minorHAnsi" w:hAnsiTheme="minorHAnsi" w:cstheme="minorHAnsi"/>
                <w:sz w:val="20"/>
              </w:rPr>
              <w:t>Study design - Sufficient number of tested per group</w:t>
            </w:r>
          </w:p>
        </w:tc>
        <w:tc>
          <w:tcPr>
            <w:tcW w:w="366" w:type="pct"/>
            <w:textDirection w:val="btLr"/>
            <w:vAlign w:val="center"/>
          </w:tcPr>
          <w:p w14:paraId="5F4341C7" w14:textId="77777777" w:rsidR="005D76E8" w:rsidRPr="00AB7709" w:rsidRDefault="005D76E8" w:rsidP="00350D90">
            <w:pPr>
              <w:ind w:left="113" w:right="113"/>
              <w:rPr>
                <w:rFonts w:asciiTheme="minorHAnsi" w:hAnsiTheme="minorHAnsi" w:cstheme="minorHAnsi"/>
                <w:sz w:val="20"/>
              </w:rPr>
            </w:pPr>
            <w:r w:rsidRPr="00AB7709">
              <w:rPr>
                <w:rFonts w:asciiTheme="minorHAnsi" w:hAnsiTheme="minorHAnsi" w:cstheme="minorHAnsi"/>
                <w:sz w:val="20"/>
              </w:rPr>
              <w:t>Study design - Appropriate parameters to assess adverse effects</w:t>
            </w:r>
          </w:p>
        </w:tc>
        <w:tc>
          <w:tcPr>
            <w:tcW w:w="403" w:type="pct"/>
            <w:shd w:val="clear" w:color="auto" w:fill="909064" w:themeFill="background2" w:themeFillShade="80"/>
            <w:textDirection w:val="btLr"/>
            <w:vAlign w:val="center"/>
          </w:tcPr>
          <w:p w14:paraId="323F5D83" w14:textId="77777777" w:rsidR="005D76E8" w:rsidRPr="00C759DE" w:rsidRDefault="005D76E8" w:rsidP="00350D90">
            <w:pPr>
              <w:ind w:left="113" w:right="113"/>
              <w:rPr>
                <w:rFonts w:asciiTheme="minorHAnsi" w:hAnsiTheme="minorHAnsi" w:cstheme="minorHAnsi"/>
                <w:b/>
                <w:bCs/>
                <w:color w:val="1E1E1E" w:themeColor="text1"/>
                <w:sz w:val="20"/>
              </w:rPr>
            </w:pPr>
            <w:r w:rsidRPr="00C759DE">
              <w:rPr>
                <w:rFonts w:asciiTheme="minorHAnsi" w:hAnsiTheme="minorHAnsi" w:cstheme="minorHAnsi"/>
                <w:b/>
                <w:bCs/>
                <w:color w:val="1E1E1E" w:themeColor="text1"/>
                <w:sz w:val="20"/>
              </w:rPr>
              <w:t>Initial Study confidence</w:t>
            </w:r>
          </w:p>
        </w:tc>
        <w:tc>
          <w:tcPr>
            <w:tcW w:w="400" w:type="pct"/>
            <w:shd w:val="clear" w:color="auto" w:fill="C3C3A9" w:themeFill="background2" w:themeFillShade="BF"/>
            <w:textDirection w:val="btLr"/>
            <w:vAlign w:val="center"/>
          </w:tcPr>
          <w:p w14:paraId="43F34BD9" w14:textId="77777777" w:rsidR="005D76E8" w:rsidRPr="00C759DE" w:rsidRDefault="005D76E8" w:rsidP="00350D90">
            <w:pPr>
              <w:ind w:left="113" w:right="113"/>
              <w:rPr>
                <w:rFonts w:asciiTheme="minorHAnsi" w:hAnsiTheme="minorHAnsi" w:cstheme="minorHAnsi"/>
                <w:b/>
                <w:bCs/>
                <w:color w:val="1E1E1E" w:themeColor="text1"/>
                <w:sz w:val="20"/>
              </w:rPr>
            </w:pPr>
            <w:r>
              <w:rPr>
                <w:rFonts w:asciiTheme="minorHAnsi" w:hAnsiTheme="minorHAnsi" w:cstheme="minorHAnsi"/>
                <w:b/>
                <w:bCs/>
                <w:color w:val="1E1E1E" w:themeColor="text1"/>
                <w:sz w:val="20"/>
              </w:rPr>
              <w:t>Initial Confidence rating</w:t>
            </w:r>
          </w:p>
        </w:tc>
      </w:tr>
      <w:tr w:rsidR="00F731BB" w:rsidRPr="00AB7709" w14:paraId="614043E9" w14:textId="77777777" w:rsidTr="00AA6A3D">
        <w:tc>
          <w:tcPr>
            <w:tcW w:w="516" w:type="pct"/>
          </w:tcPr>
          <w:p w14:paraId="22A7706B" w14:textId="77777777" w:rsidR="00F731BB" w:rsidRPr="00AB7709" w:rsidRDefault="00F731BB" w:rsidP="00350D90">
            <w:pPr>
              <w:rPr>
                <w:rFonts w:asciiTheme="minorHAnsi" w:hAnsiTheme="minorHAnsi" w:cstheme="minorHAnsi"/>
                <w:sz w:val="20"/>
              </w:rPr>
            </w:pPr>
            <w:r w:rsidRPr="00A93B00">
              <w:rPr>
                <w:sz w:val="20"/>
              </w:rPr>
              <w:t>Neurological</w:t>
            </w:r>
          </w:p>
        </w:tc>
        <w:tc>
          <w:tcPr>
            <w:tcW w:w="749" w:type="pct"/>
          </w:tcPr>
          <w:p w14:paraId="0C9085D3" w14:textId="77777777" w:rsidR="00F731BB" w:rsidRDefault="00F731BB" w:rsidP="00350D90">
            <w:pPr>
              <w:rPr>
                <w:sz w:val="20"/>
              </w:rPr>
            </w:pPr>
            <w:r w:rsidRPr="00A93B00">
              <w:rPr>
                <w:sz w:val="20"/>
              </w:rPr>
              <w:t xml:space="preserve">Human cross – sectional </w:t>
            </w:r>
          </w:p>
          <w:p w14:paraId="1F6AB809" w14:textId="77777777" w:rsidR="00F731BB" w:rsidRPr="00AB7709" w:rsidRDefault="00F731BB" w:rsidP="00350D90">
            <w:pPr>
              <w:rPr>
                <w:rFonts w:asciiTheme="minorHAnsi" w:hAnsiTheme="minorHAnsi" w:cstheme="minorHAnsi"/>
                <w:sz w:val="20"/>
              </w:rPr>
            </w:pPr>
            <w:r w:rsidRPr="00AB7709">
              <w:rPr>
                <w:rFonts w:asciiTheme="minorHAnsi" w:hAnsiTheme="minorHAnsi" w:cstheme="minorHAnsi"/>
                <w:sz w:val="20"/>
              </w:rPr>
              <w:t>Stewart et al. 2022</w:t>
            </w:r>
          </w:p>
        </w:tc>
        <w:tc>
          <w:tcPr>
            <w:tcW w:w="367" w:type="pct"/>
            <w:shd w:val="clear" w:color="auto" w:fill="C666D0"/>
          </w:tcPr>
          <w:p w14:paraId="5C22F694" w14:textId="77777777" w:rsidR="00F731BB" w:rsidRPr="00AB7709" w:rsidRDefault="00F731BB" w:rsidP="00350D90">
            <w:pPr>
              <w:rPr>
                <w:rFonts w:asciiTheme="minorHAnsi" w:hAnsiTheme="minorHAnsi" w:cstheme="minorHAnsi"/>
                <w:sz w:val="20"/>
              </w:rPr>
            </w:pPr>
            <w:r>
              <w:rPr>
                <w:rFonts w:asciiTheme="minorHAnsi" w:hAnsiTheme="minorHAnsi" w:cstheme="minorHAnsi"/>
                <w:sz w:val="20"/>
              </w:rPr>
              <w:t>No</w:t>
            </w:r>
          </w:p>
        </w:tc>
        <w:tc>
          <w:tcPr>
            <w:tcW w:w="367" w:type="pct"/>
            <w:shd w:val="clear" w:color="auto" w:fill="C666D0"/>
          </w:tcPr>
          <w:p w14:paraId="445A6647" w14:textId="77777777" w:rsidR="00F731BB" w:rsidRPr="00AB7709" w:rsidRDefault="00F731BB" w:rsidP="00350D90">
            <w:pPr>
              <w:rPr>
                <w:rFonts w:asciiTheme="minorHAnsi" w:hAnsiTheme="minorHAnsi" w:cstheme="minorHAnsi"/>
                <w:sz w:val="20"/>
              </w:rPr>
            </w:pPr>
            <w:r>
              <w:rPr>
                <w:rFonts w:asciiTheme="minorHAnsi" w:hAnsiTheme="minorHAnsi" w:cstheme="minorHAnsi"/>
                <w:sz w:val="20"/>
              </w:rPr>
              <w:t>No</w:t>
            </w:r>
          </w:p>
        </w:tc>
        <w:tc>
          <w:tcPr>
            <w:tcW w:w="367" w:type="pct"/>
            <w:shd w:val="clear" w:color="auto" w:fill="F4E2F6"/>
          </w:tcPr>
          <w:p w14:paraId="5B129BD1" w14:textId="77777777" w:rsidR="00F731BB" w:rsidRPr="00AB7709" w:rsidRDefault="00F731BB" w:rsidP="00350D90">
            <w:pPr>
              <w:rPr>
                <w:rFonts w:asciiTheme="minorHAnsi" w:hAnsiTheme="minorHAnsi" w:cstheme="minorHAnsi"/>
                <w:sz w:val="20"/>
              </w:rPr>
            </w:pPr>
            <w:r>
              <w:rPr>
                <w:rFonts w:asciiTheme="minorHAnsi" w:hAnsiTheme="minorHAnsi" w:cstheme="minorHAnsi"/>
                <w:sz w:val="20"/>
              </w:rPr>
              <w:t>Yes</w:t>
            </w:r>
          </w:p>
        </w:tc>
        <w:tc>
          <w:tcPr>
            <w:tcW w:w="367" w:type="pct"/>
            <w:shd w:val="clear" w:color="auto" w:fill="F4E2F6"/>
          </w:tcPr>
          <w:p w14:paraId="73F07B96" w14:textId="77777777" w:rsidR="00F731BB" w:rsidRPr="00AB7709" w:rsidRDefault="00F731BB" w:rsidP="00350D90">
            <w:pPr>
              <w:rPr>
                <w:rFonts w:asciiTheme="minorHAnsi" w:hAnsiTheme="minorHAnsi" w:cstheme="minorHAnsi"/>
                <w:sz w:val="20"/>
              </w:rPr>
            </w:pPr>
            <w:r>
              <w:rPr>
                <w:rFonts w:asciiTheme="minorHAnsi" w:hAnsiTheme="minorHAnsi" w:cstheme="minorHAnsi"/>
                <w:sz w:val="20"/>
              </w:rPr>
              <w:t>Yes</w:t>
            </w:r>
          </w:p>
        </w:tc>
        <w:tc>
          <w:tcPr>
            <w:tcW w:w="366" w:type="pct"/>
            <w:shd w:val="clear" w:color="auto" w:fill="D9D9D9" w:themeFill="background1" w:themeFillShade="D9"/>
          </w:tcPr>
          <w:p w14:paraId="6BC22173" w14:textId="77777777" w:rsidR="00F731BB" w:rsidRPr="00F35E52" w:rsidRDefault="00F731BB" w:rsidP="00350D90">
            <w:pPr>
              <w:rPr>
                <w:rFonts w:asciiTheme="minorHAnsi" w:hAnsiTheme="minorHAnsi" w:cstheme="minorHAnsi"/>
                <w:color w:val="A6A6A6" w:themeColor="background1" w:themeShade="A6"/>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118A31A4" w14:textId="77777777" w:rsidR="00F731BB" w:rsidRPr="00F35E52" w:rsidRDefault="00F731BB" w:rsidP="00350D90">
            <w:pPr>
              <w:rPr>
                <w:rFonts w:asciiTheme="minorHAnsi" w:hAnsiTheme="minorHAnsi" w:cstheme="minorHAnsi"/>
                <w:color w:val="A6A6A6" w:themeColor="background1" w:themeShade="A6"/>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7D9F139A" w14:textId="77777777" w:rsidR="00F731BB" w:rsidRPr="00F35E52" w:rsidRDefault="00F731BB" w:rsidP="00350D90">
            <w:pPr>
              <w:rPr>
                <w:rFonts w:asciiTheme="minorHAnsi" w:hAnsiTheme="minorHAnsi" w:cstheme="minorHAnsi"/>
                <w:color w:val="A6A6A6" w:themeColor="background1" w:themeShade="A6"/>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5ABFEF88" w14:textId="77777777" w:rsidR="00F731BB" w:rsidRPr="00F35E52" w:rsidRDefault="00F731BB" w:rsidP="00350D90">
            <w:pPr>
              <w:rPr>
                <w:rFonts w:asciiTheme="minorHAnsi" w:hAnsiTheme="minorHAnsi" w:cstheme="minorHAnsi"/>
                <w:color w:val="A6A6A6" w:themeColor="background1" w:themeShade="A6"/>
                <w:sz w:val="20"/>
              </w:rPr>
            </w:pPr>
            <w:r w:rsidRPr="00F35E52">
              <w:rPr>
                <w:rFonts w:asciiTheme="minorHAnsi" w:hAnsiTheme="minorHAnsi" w:cstheme="minorHAnsi"/>
                <w:color w:val="A6A6A6" w:themeColor="background1" w:themeShade="A6"/>
                <w:sz w:val="20"/>
              </w:rPr>
              <w:t>NA</w:t>
            </w:r>
          </w:p>
        </w:tc>
        <w:tc>
          <w:tcPr>
            <w:tcW w:w="403" w:type="pct"/>
          </w:tcPr>
          <w:p w14:paraId="10552686" w14:textId="77777777" w:rsidR="00F731BB" w:rsidRPr="00AB7709" w:rsidRDefault="00F731BB" w:rsidP="00350D90">
            <w:pPr>
              <w:rPr>
                <w:rFonts w:asciiTheme="minorHAnsi" w:hAnsiTheme="minorHAnsi" w:cstheme="minorHAnsi"/>
                <w:sz w:val="20"/>
              </w:rPr>
            </w:pPr>
            <w:r>
              <w:rPr>
                <w:rFonts w:asciiTheme="minorHAnsi" w:hAnsiTheme="minorHAnsi" w:cstheme="minorHAnsi"/>
                <w:sz w:val="20"/>
              </w:rPr>
              <w:t>Low</w:t>
            </w:r>
          </w:p>
        </w:tc>
        <w:tc>
          <w:tcPr>
            <w:tcW w:w="400" w:type="pct"/>
            <w:vMerge w:val="restart"/>
            <w:vAlign w:val="center"/>
          </w:tcPr>
          <w:p w14:paraId="2DB3AEA9" w14:textId="77777777" w:rsidR="00F731BB" w:rsidRDefault="00F731BB" w:rsidP="00350D90">
            <w:pPr>
              <w:jc w:val="center"/>
              <w:rPr>
                <w:rFonts w:asciiTheme="minorHAnsi" w:hAnsiTheme="minorHAnsi" w:cstheme="minorHAnsi"/>
                <w:sz w:val="20"/>
              </w:rPr>
            </w:pPr>
            <w:r>
              <w:rPr>
                <w:rFonts w:asciiTheme="minorHAnsi" w:hAnsiTheme="minorHAnsi" w:cstheme="minorHAnsi"/>
                <w:sz w:val="20"/>
              </w:rPr>
              <w:t>Low</w:t>
            </w:r>
          </w:p>
        </w:tc>
      </w:tr>
      <w:tr w:rsidR="00F731BB" w:rsidRPr="00AB7709" w14:paraId="4AEC920C" w14:textId="77777777" w:rsidTr="00AA6A3D">
        <w:tc>
          <w:tcPr>
            <w:tcW w:w="516" w:type="pct"/>
          </w:tcPr>
          <w:p w14:paraId="20FAD0EC" w14:textId="77777777" w:rsidR="00F731BB" w:rsidRPr="00AB7709" w:rsidRDefault="00F731BB" w:rsidP="00350D90">
            <w:pPr>
              <w:rPr>
                <w:rFonts w:asciiTheme="minorHAnsi" w:hAnsiTheme="minorHAnsi" w:cstheme="minorHAnsi"/>
                <w:sz w:val="20"/>
              </w:rPr>
            </w:pPr>
            <w:r w:rsidRPr="00A93B00">
              <w:rPr>
                <w:sz w:val="20"/>
              </w:rPr>
              <w:t>Neurological</w:t>
            </w:r>
          </w:p>
        </w:tc>
        <w:tc>
          <w:tcPr>
            <w:tcW w:w="749" w:type="pct"/>
          </w:tcPr>
          <w:p w14:paraId="512DBA16" w14:textId="77777777" w:rsidR="00F731BB" w:rsidRDefault="00F731BB" w:rsidP="00350D90">
            <w:pPr>
              <w:rPr>
                <w:sz w:val="20"/>
              </w:rPr>
            </w:pPr>
            <w:r w:rsidRPr="00A93B00">
              <w:rPr>
                <w:sz w:val="20"/>
              </w:rPr>
              <w:t>Human case series</w:t>
            </w:r>
          </w:p>
          <w:p w14:paraId="6248BB5A" w14:textId="77777777" w:rsidR="00F731BB" w:rsidRPr="00AB7709" w:rsidRDefault="00F731BB" w:rsidP="00350D90">
            <w:pPr>
              <w:rPr>
                <w:rFonts w:asciiTheme="minorHAnsi" w:hAnsiTheme="minorHAnsi" w:cstheme="minorHAnsi"/>
                <w:sz w:val="20"/>
              </w:rPr>
            </w:pPr>
            <w:r w:rsidRPr="00AB7709">
              <w:rPr>
                <w:rFonts w:asciiTheme="minorHAnsi" w:hAnsiTheme="minorHAnsi" w:cstheme="minorHAnsi"/>
                <w:sz w:val="20"/>
              </w:rPr>
              <w:t>Gdynia et al. 2025</w:t>
            </w:r>
          </w:p>
        </w:tc>
        <w:tc>
          <w:tcPr>
            <w:tcW w:w="367" w:type="pct"/>
            <w:shd w:val="clear" w:color="auto" w:fill="C666D0"/>
          </w:tcPr>
          <w:p w14:paraId="1B4851FA" w14:textId="77777777" w:rsidR="00F731BB" w:rsidRPr="00AB7709" w:rsidRDefault="00F731BB" w:rsidP="00350D90">
            <w:pPr>
              <w:rPr>
                <w:rFonts w:asciiTheme="minorHAnsi" w:hAnsiTheme="minorHAnsi" w:cstheme="minorHAnsi"/>
                <w:sz w:val="20"/>
              </w:rPr>
            </w:pPr>
            <w:r>
              <w:rPr>
                <w:rFonts w:asciiTheme="minorHAnsi" w:hAnsiTheme="minorHAnsi" w:cstheme="minorHAnsi"/>
                <w:sz w:val="20"/>
              </w:rPr>
              <w:t>No</w:t>
            </w:r>
          </w:p>
        </w:tc>
        <w:tc>
          <w:tcPr>
            <w:tcW w:w="367" w:type="pct"/>
            <w:shd w:val="clear" w:color="auto" w:fill="F4E2F6"/>
          </w:tcPr>
          <w:p w14:paraId="407D94F9" w14:textId="77777777" w:rsidR="00F731BB" w:rsidRPr="00AB7709" w:rsidRDefault="00F731BB" w:rsidP="00350D90">
            <w:pPr>
              <w:rPr>
                <w:rFonts w:asciiTheme="minorHAnsi" w:hAnsiTheme="minorHAnsi" w:cstheme="minorHAnsi"/>
                <w:sz w:val="20"/>
              </w:rPr>
            </w:pPr>
            <w:r>
              <w:rPr>
                <w:rFonts w:asciiTheme="minorHAnsi" w:hAnsiTheme="minorHAnsi" w:cstheme="minorHAnsi"/>
                <w:sz w:val="20"/>
              </w:rPr>
              <w:t>Yes</w:t>
            </w:r>
          </w:p>
        </w:tc>
        <w:tc>
          <w:tcPr>
            <w:tcW w:w="367" w:type="pct"/>
            <w:shd w:val="clear" w:color="auto" w:fill="F4E2F6"/>
          </w:tcPr>
          <w:p w14:paraId="2CC8F44B" w14:textId="77777777" w:rsidR="00F731BB" w:rsidRPr="00AB7709" w:rsidRDefault="00F731BB" w:rsidP="00350D90">
            <w:pPr>
              <w:rPr>
                <w:rFonts w:asciiTheme="minorHAnsi" w:hAnsiTheme="minorHAnsi" w:cstheme="minorHAnsi"/>
                <w:sz w:val="20"/>
              </w:rPr>
            </w:pPr>
            <w:r>
              <w:rPr>
                <w:rFonts w:asciiTheme="minorHAnsi" w:hAnsiTheme="minorHAnsi" w:cstheme="minorHAnsi"/>
                <w:sz w:val="20"/>
              </w:rPr>
              <w:t>Yes</w:t>
            </w:r>
          </w:p>
        </w:tc>
        <w:tc>
          <w:tcPr>
            <w:tcW w:w="367" w:type="pct"/>
            <w:shd w:val="clear" w:color="auto" w:fill="C666D0"/>
          </w:tcPr>
          <w:p w14:paraId="3450A0F0" w14:textId="77777777" w:rsidR="00F731BB" w:rsidRPr="00AB7709" w:rsidRDefault="00F731BB" w:rsidP="00350D90">
            <w:pPr>
              <w:rPr>
                <w:rFonts w:asciiTheme="minorHAnsi" w:hAnsiTheme="minorHAnsi" w:cstheme="minorHAnsi"/>
                <w:sz w:val="20"/>
              </w:rPr>
            </w:pPr>
            <w:r>
              <w:rPr>
                <w:rFonts w:asciiTheme="minorHAnsi" w:hAnsiTheme="minorHAnsi" w:cstheme="minorHAnsi"/>
                <w:sz w:val="20"/>
              </w:rPr>
              <w:t>No</w:t>
            </w:r>
          </w:p>
        </w:tc>
        <w:tc>
          <w:tcPr>
            <w:tcW w:w="366" w:type="pct"/>
            <w:shd w:val="clear" w:color="auto" w:fill="D9D9D9" w:themeFill="background1" w:themeFillShade="D9"/>
          </w:tcPr>
          <w:p w14:paraId="143AD9CD" w14:textId="77777777" w:rsidR="00F731BB" w:rsidRPr="00AB7709" w:rsidRDefault="00F731BB" w:rsidP="00350D90">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30C2534F" w14:textId="77777777" w:rsidR="00F731BB" w:rsidRPr="00AB7709" w:rsidRDefault="00F731BB" w:rsidP="00350D90">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2A02BC44" w14:textId="77777777" w:rsidR="00F731BB" w:rsidRPr="00AB7709" w:rsidRDefault="00F731BB" w:rsidP="00350D90">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45FD49E1" w14:textId="77777777" w:rsidR="00F731BB" w:rsidRPr="00AB7709" w:rsidRDefault="00F731BB" w:rsidP="00350D90">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403" w:type="pct"/>
          </w:tcPr>
          <w:p w14:paraId="21081A07" w14:textId="77777777" w:rsidR="00F731BB" w:rsidRPr="00AB7709" w:rsidRDefault="00F731BB" w:rsidP="00350D90">
            <w:pPr>
              <w:rPr>
                <w:rFonts w:asciiTheme="minorHAnsi" w:hAnsiTheme="minorHAnsi" w:cstheme="minorHAnsi"/>
                <w:sz w:val="20"/>
              </w:rPr>
            </w:pPr>
            <w:r>
              <w:rPr>
                <w:rFonts w:asciiTheme="minorHAnsi" w:hAnsiTheme="minorHAnsi" w:cstheme="minorHAnsi"/>
                <w:sz w:val="20"/>
              </w:rPr>
              <w:t>Low</w:t>
            </w:r>
          </w:p>
        </w:tc>
        <w:tc>
          <w:tcPr>
            <w:tcW w:w="400" w:type="pct"/>
            <w:vMerge/>
          </w:tcPr>
          <w:p w14:paraId="4EDB377D" w14:textId="77777777" w:rsidR="00F731BB" w:rsidRDefault="00F731BB" w:rsidP="00350D90">
            <w:pPr>
              <w:rPr>
                <w:rFonts w:asciiTheme="minorHAnsi" w:hAnsiTheme="minorHAnsi" w:cstheme="minorHAnsi"/>
                <w:sz w:val="20"/>
              </w:rPr>
            </w:pPr>
          </w:p>
        </w:tc>
      </w:tr>
      <w:tr w:rsidR="00F731BB" w:rsidRPr="00AB7709" w14:paraId="13E2DBCD" w14:textId="77777777" w:rsidTr="00AA6A3D">
        <w:tc>
          <w:tcPr>
            <w:tcW w:w="516" w:type="pct"/>
          </w:tcPr>
          <w:p w14:paraId="70ABB5D1" w14:textId="77777777" w:rsidR="00F731BB" w:rsidRPr="00AB7709" w:rsidRDefault="00F731BB" w:rsidP="00350D90">
            <w:pPr>
              <w:rPr>
                <w:rFonts w:asciiTheme="minorHAnsi" w:hAnsiTheme="minorHAnsi" w:cstheme="minorHAnsi"/>
                <w:sz w:val="20"/>
              </w:rPr>
            </w:pPr>
            <w:r w:rsidRPr="00A93B00">
              <w:rPr>
                <w:sz w:val="20"/>
              </w:rPr>
              <w:t>Neurological</w:t>
            </w:r>
          </w:p>
        </w:tc>
        <w:tc>
          <w:tcPr>
            <w:tcW w:w="749" w:type="pct"/>
          </w:tcPr>
          <w:p w14:paraId="066AFC81" w14:textId="77777777" w:rsidR="00F731BB" w:rsidRDefault="00F731BB" w:rsidP="00350D90">
            <w:pPr>
              <w:rPr>
                <w:sz w:val="20"/>
              </w:rPr>
            </w:pPr>
            <w:r>
              <w:rPr>
                <w:sz w:val="20"/>
              </w:rPr>
              <w:t>Human case control</w:t>
            </w:r>
          </w:p>
          <w:p w14:paraId="516591CA" w14:textId="17264160" w:rsidR="00F731BB" w:rsidRPr="00AB7709" w:rsidRDefault="00F731BB" w:rsidP="00350D90">
            <w:pPr>
              <w:rPr>
                <w:rFonts w:asciiTheme="minorHAnsi" w:hAnsiTheme="minorHAnsi" w:cstheme="minorHAnsi"/>
                <w:sz w:val="20"/>
              </w:rPr>
            </w:pPr>
            <w:r w:rsidRPr="00AB7709">
              <w:rPr>
                <w:rFonts w:asciiTheme="minorHAnsi" w:hAnsiTheme="minorHAnsi" w:cstheme="minorHAnsi"/>
                <w:sz w:val="20"/>
              </w:rPr>
              <w:t xml:space="preserve">Paluszny </w:t>
            </w:r>
            <w:r w:rsidR="00A26F96">
              <w:rPr>
                <w:rFonts w:asciiTheme="minorHAnsi" w:hAnsiTheme="minorHAnsi" w:cstheme="minorHAnsi"/>
                <w:sz w:val="20"/>
              </w:rPr>
              <w:t>and Qiu</w:t>
            </w:r>
            <w:r w:rsidRPr="00AB7709">
              <w:rPr>
                <w:rFonts w:asciiTheme="minorHAnsi" w:hAnsiTheme="minorHAnsi" w:cstheme="minorHAnsi"/>
                <w:sz w:val="20"/>
              </w:rPr>
              <w:t xml:space="preserve"> 2023</w:t>
            </w:r>
          </w:p>
        </w:tc>
        <w:tc>
          <w:tcPr>
            <w:tcW w:w="367" w:type="pct"/>
            <w:shd w:val="clear" w:color="auto" w:fill="C666D0"/>
          </w:tcPr>
          <w:p w14:paraId="4096E3AD" w14:textId="77777777" w:rsidR="00F731BB" w:rsidRPr="00AB7709" w:rsidRDefault="00F731BB" w:rsidP="00350D90">
            <w:pPr>
              <w:rPr>
                <w:rFonts w:asciiTheme="minorHAnsi" w:hAnsiTheme="minorHAnsi" w:cstheme="minorHAnsi"/>
                <w:sz w:val="20"/>
              </w:rPr>
            </w:pPr>
            <w:r>
              <w:rPr>
                <w:rFonts w:asciiTheme="minorHAnsi" w:hAnsiTheme="minorHAnsi" w:cstheme="minorHAnsi"/>
                <w:sz w:val="20"/>
              </w:rPr>
              <w:t>No</w:t>
            </w:r>
          </w:p>
        </w:tc>
        <w:tc>
          <w:tcPr>
            <w:tcW w:w="367" w:type="pct"/>
            <w:shd w:val="clear" w:color="auto" w:fill="F4E2F6"/>
          </w:tcPr>
          <w:p w14:paraId="77A92FE6" w14:textId="77777777" w:rsidR="00F731BB" w:rsidRPr="00AB7709" w:rsidRDefault="00F731BB" w:rsidP="00350D90">
            <w:pPr>
              <w:rPr>
                <w:rFonts w:asciiTheme="minorHAnsi" w:hAnsiTheme="minorHAnsi" w:cstheme="minorHAnsi"/>
                <w:sz w:val="20"/>
              </w:rPr>
            </w:pPr>
            <w:r>
              <w:rPr>
                <w:rFonts w:asciiTheme="minorHAnsi" w:hAnsiTheme="minorHAnsi" w:cstheme="minorHAnsi"/>
                <w:sz w:val="20"/>
              </w:rPr>
              <w:t>Yes</w:t>
            </w:r>
          </w:p>
        </w:tc>
        <w:tc>
          <w:tcPr>
            <w:tcW w:w="367" w:type="pct"/>
            <w:shd w:val="clear" w:color="auto" w:fill="F4E2F6"/>
          </w:tcPr>
          <w:p w14:paraId="309F7268" w14:textId="77777777" w:rsidR="00F731BB" w:rsidRPr="00AB7709" w:rsidRDefault="00F731BB" w:rsidP="00350D90">
            <w:pPr>
              <w:rPr>
                <w:rFonts w:asciiTheme="minorHAnsi" w:hAnsiTheme="minorHAnsi" w:cstheme="minorHAnsi"/>
                <w:sz w:val="20"/>
              </w:rPr>
            </w:pPr>
            <w:r>
              <w:rPr>
                <w:rFonts w:asciiTheme="minorHAnsi" w:hAnsiTheme="minorHAnsi" w:cstheme="minorHAnsi"/>
                <w:sz w:val="20"/>
              </w:rPr>
              <w:t>Yes</w:t>
            </w:r>
          </w:p>
        </w:tc>
        <w:tc>
          <w:tcPr>
            <w:tcW w:w="367" w:type="pct"/>
            <w:shd w:val="clear" w:color="auto" w:fill="C666D0"/>
          </w:tcPr>
          <w:p w14:paraId="6FF4D054" w14:textId="77777777" w:rsidR="00F731BB" w:rsidRPr="00AB7709" w:rsidRDefault="00F731BB" w:rsidP="00350D90">
            <w:pPr>
              <w:rPr>
                <w:rFonts w:asciiTheme="minorHAnsi" w:hAnsiTheme="minorHAnsi" w:cstheme="minorHAnsi"/>
                <w:sz w:val="20"/>
              </w:rPr>
            </w:pPr>
            <w:r>
              <w:rPr>
                <w:rFonts w:asciiTheme="minorHAnsi" w:hAnsiTheme="minorHAnsi" w:cstheme="minorHAnsi"/>
                <w:sz w:val="20"/>
              </w:rPr>
              <w:t>No</w:t>
            </w:r>
          </w:p>
        </w:tc>
        <w:tc>
          <w:tcPr>
            <w:tcW w:w="366" w:type="pct"/>
            <w:shd w:val="clear" w:color="auto" w:fill="D9D9D9" w:themeFill="background1" w:themeFillShade="D9"/>
          </w:tcPr>
          <w:p w14:paraId="1DE90A79" w14:textId="77777777" w:rsidR="00F731BB" w:rsidRPr="00AB7709" w:rsidRDefault="00F731BB" w:rsidP="00350D90">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1043836D" w14:textId="77777777" w:rsidR="00F731BB" w:rsidRPr="00AB7709" w:rsidRDefault="00F731BB" w:rsidP="00350D90">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09159A4F" w14:textId="77777777" w:rsidR="00F731BB" w:rsidRPr="00AB7709" w:rsidRDefault="00F731BB" w:rsidP="00350D90">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1CCD7489" w14:textId="77777777" w:rsidR="00F731BB" w:rsidRPr="00AB7709" w:rsidRDefault="00F731BB" w:rsidP="00350D90">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403" w:type="pct"/>
          </w:tcPr>
          <w:p w14:paraId="10FC6937" w14:textId="77777777" w:rsidR="00F731BB" w:rsidRPr="00AB7709" w:rsidRDefault="00F731BB" w:rsidP="00350D90">
            <w:pPr>
              <w:rPr>
                <w:rFonts w:asciiTheme="minorHAnsi" w:hAnsiTheme="minorHAnsi" w:cstheme="minorHAnsi"/>
                <w:sz w:val="20"/>
              </w:rPr>
            </w:pPr>
            <w:r>
              <w:rPr>
                <w:rFonts w:asciiTheme="minorHAnsi" w:hAnsiTheme="minorHAnsi" w:cstheme="minorHAnsi"/>
                <w:sz w:val="20"/>
              </w:rPr>
              <w:t>Low</w:t>
            </w:r>
          </w:p>
        </w:tc>
        <w:tc>
          <w:tcPr>
            <w:tcW w:w="400" w:type="pct"/>
            <w:vMerge/>
          </w:tcPr>
          <w:p w14:paraId="3E5D145C" w14:textId="77777777" w:rsidR="00F731BB" w:rsidRDefault="00F731BB" w:rsidP="00350D90">
            <w:pPr>
              <w:rPr>
                <w:rFonts w:asciiTheme="minorHAnsi" w:hAnsiTheme="minorHAnsi" w:cstheme="minorHAnsi"/>
                <w:sz w:val="20"/>
              </w:rPr>
            </w:pPr>
          </w:p>
        </w:tc>
      </w:tr>
      <w:tr w:rsidR="00F731BB" w:rsidRPr="00AB7709" w14:paraId="4BC561A9" w14:textId="77777777" w:rsidTr="00AA6A3D">
        <w:tc>
          <w:tcPr>
            <w:tcW w:w="516" w:type="pct"/>
          </w:tcPr>
          <w:p w14:paraId="0116FACD" w14:textId="77777777" w:rsidR="00F731BB" w:rsidRPr="00AB7709" w:rsidRDefault="00F731BB" w:rsidP="00350D90">
            <w:pPr>
              <w:rPr>
                <w:rFonts w:asciiTheme="minorHAnsi" w:hAnsiTheme="minorHAnsi" w:cstheme="minorHAnsi"/>
                <w:sz w:val="20"/>
              </w:rPr>
            </w:pPr>
            <w:r w:rsidRPr="00A93B00">
              <w:rPr>
                <w:sz w:val="20"/>
              </w:rPr>
              <w:t>Neurological</w:t>
            </w:r>
          </w:p>
        </w:tc>
        <w:tc>
          <w:tcPr>
            <w:tcW w:w="749" w:type="pct"/>
          </w:tcPr>
          <w:p w14:paraId="69A04E35" w14:textId="77777777" w:rsidR="00F731BB" w:rsidRDefault="00F731BB" w:rsidP="00350D90">
            <w:pPr>
              <w:rPr>
                <w:sz w:val="20"/>
              </w:rPr>
            </w:pPr>
            <w:r w:rsidRPr="00A93B00">
              <w:rPr>
                <w:sz w:val="20"/>
              </w:rPr>
              <w:t>Pharmacovigilance study</w:t>
            </w:r>
          </w:p>
          <w:p w14:paraId="45E528E3" w14:textId="77777777" w:rsidR="00F731BB" w:rsidRPr="00AB7709" w:rsidRDefault="00F731BB" w:rsidP="00350D90">
            <w:pPr>
              <w:rPr>
                <w:rFonts w:asciiTheme="minorHAnsi" w:hAnsiTheme="minorHAnsi" w:cstheme="minorHAnsi"/>
                <w:sz w:val="20"/>
              </w:rPr>
            </w:pPr>
            <w:r w:rsidRPr="00AB7709">
              <w:rPr>
                <w:rFonts w:asciiTheme="minorHAnsi" w:hAnsiTheme="minorHAnsi" w:cstheme="minorHAnsi"/>
                <w:sz w:val="20"/>
              </w:rPr>
              <w:t>van Hunsel et al. 2025</w:t>
            </w:r>
          </w:p>
        </w:tc>
        <w:tc>
          <w:tcPr>
            <w:tcW w:w="367" w:type="pct"/>
            <w:shd w:val="clear" w:color="auto" w:fill="C666D0"/>
          </w:tcPr>
          <w:p w14:paraId="035E6569" w14:textId="77777777" w:rsidR="00F731BB" w:rsidRPr="00AB7709" w:rsidRDefault="00F731BB" w:rsidP="00350D90">
            <w:pPr>
              <w:rPr>
                <w:rFonts w:asciiTheme="minorHAnsi" w:hAnsiTheme="minorHAnsi" w:cstheme="minorHAnsi"/>
                <w:sz w:val="20"/>
              </w:rPr>
            </w:pPr>
            <w:r>
              <w:rPr>
                <w:rFonts w:asciiTheme="minorHAnsi" w:hAnsiTheme="minorHAnsi" w:cstheme="minorHAnsi"/>
                <w:sz w:val="20"/>
              </w:rPr>
              <w:t>No</w:t>
            </w:r>
          </w:p>
        </w:tc>
        <w:tc>
          <w:tcPr>
            <w:tcW w:w="367" w:type="pct"/>
            <w:shd w:val="clear" w:color="auto" w:fill="F4E2F6"/>
          </w:tcPr>
          <w:p w14:paraId="5765118F" w14:textId="77777777" w:rsidR="00F731BB" w:rsidRPr="00AB7709" w:rsidRDefault="00F731BB" w:rsidP="00350D90">
            <w:pPr>
              <w:rPr>
                <w:rFonts w:asciiTheme="minorHAnsi" w:hAnsiTheme="minorHAnsi" w:cstheme="minorHAnsi"/>
                <w:sz w:val="20"/>
              </w:rPr>
            </w:pPr>
            <w:r>
              <w:rPr>
                <w:rFonts w:asciiTheme="minorHAnsi" w:hAnsiTheme="minorHAnsi" w:cstheme="minorHAnsi"/>
                <w:sz w:val="20"/>
              </w:rPr>
              <w:t>Yes</w:t>
            </w:r>
          </w:p>
        </w:tc>
        <w:tc>
          <w:tcPr>
            <w:tcW w:w="367" w:type="pct"/>
            <w:shd w:val="clear" w:color="auto" w:fill="F4E2F6"/>
          </w:tcPr>
          <w:p w14:paraId="5B5F7F6D" w14:textId="77777777" w:rsidR="00F731BB" w:rsidRPr="00AB7709" w:rsidRDefault="00F731BB" w:rsidP="00350D90">
            <w:pPr>
              <w:rPr>
                <w:rFonts w:asciiTheme="minorHAnsi" w:hAnsiTheme="minorHAnsi" w:cstheme="minorHAnsi"/>
                <w:sz w:val="20"/>
              </w:rPr>
            </w:pPr>
            <w:r>
              <w:rPr>
                <w:rFonts w:asciiTheme="minorHAnsi" w:hAnsiTheme="minorHAnsi" w:cstheme="minorHAnsi"/>
                <w:sz w:val="20"/>
              </w:rPr>
              <w:t>Yes</w:t>
            </w:r>
          </w:p>
        </w:tc>
        <w:tc>
          <w:tcPr>
            <w:tcW w:w="367" w:type="pct"/>
            <w:shd w:val="clear" w:color="auto" w:fill="C666D0"/>
          </w:tcPr>
          <w:p w14:paraId="79A868B0" w14:textId="77777777" w:rsidR="00F731BB" w:rsidRPr="00AB7709" w:rsidRDefault="00F731BB" w:rsidP="00350D90">
            <w:pPr>
              <w:rPr>
                <w:rFonts w:asciiTheme="minorHAnsi" w:hAnsiTheme="minorHAnsi" w:cstheme="minorHAnsi"/>
                <w:sz w:val="20"/>
              </w:rPr>
            </w:pPr>
            <w:r>
              <w:rPr>
                <w:rFonts w:asciiTheme="minorHAnsi" w:hAnsiTheme="minorHAnsi" w:cstheme="minorHAnsi"/>
                <w:sz w:val="20"/>
              </w:rPr>
              <w:t>No</w:t>
            </w:r>
          </w:p>
        </w:tc>
        <w:tc>
          <w:tcPr>
            <w:tcW w:w="366" w:type="pct"/>
            <w:shd w:val="clear" w:color="auto" w:fill="D9D9D9" w:themeFill="background1" w:themeFillShade="D9"/>
          </w:tcPr>
          <w:p w14:paraId="4CC51DF3" w14:textId="77777777" w:rsidR="00F731BB" w:rsidRPr="00AB7709" w:rsidRDefault="00F731BB" w:rsidP="00350D90">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411AD06A" w14:textId="77777777" w:rsidR="00F731BB" w:rsidRPr="00AB7709" w:rsidRDefault="00F731BB" w:rsidP="00350D90">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3CBA43E1" w14:textId="77777777" w:rsidR="00F731BB" w:rsidRPr="00AB7709" w:rsidRDefault="00F731BB" w:rsidP="00350D90">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50CAF29E" w14:textId="77777777" w:rsidR="00F731BB" w:rsidRPr="00AB7709" w:rsidRDefault="00F731BB" w:rsidP="00350D90">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403" w:type="pct"/>
          </w:tcPr>
          <w:p w14:paraId="14CA761C" w14:textId="77777777" w:rsidR="00F731BB" w:rsidRPr="00AB7709" w:rsidRDefault="00F731BB" w:rsidP="00350D90">
            <w:pPr>
              <w:rPr>
                <w:rFonts w:asciiTheme="minorHAnsi" w:hAnsiTheme="minorHAnsi" w:cstheme="minorHAnsi"/>
                <w:sz w:val="20"/>
              </w:rPr>
            </w:pPr>
            <w:r>
              <w:rPr>
                <w:rFonts w:asciiTheme="minorHAnsi" w:hAnsiTheme="minorHAnsi" w:cstheme="minorHAnsi"/>
                <w:sz w:val="20"/>
              </w:rPr>
              <w:t>Low</w:t>
            </w:r>
          </w:p>
        </w:tc>
        <w:tc>
          <w:tcPr>
            <w:tcW w:w="400" w:type="pct"/>
            <w:vMerge/>
          </w:tcPr>
          <w:p w14:paraId="3621DA6D" w14:textId="77777777" w:rsidR="00F731BB" w:rsidRDefault="00F731BB" w:rsidP="00350D90">
            <w:pPr>
              <w:rPr>
                <w:rFonts w:asciiTheme="minorHAnsi" w:hAnsiTheme="minorHAnsi" w:cstheme="minorHAnsi"/>
                <w:sz w:val="20"/>
              </w:rPr>
            </w:pPr>
          </w:p>
        </w:tc>
      </w:tr>
      <w:tr w:rsidR="005019A7" w:rsidRPr="00AB7709" w14:paraId="6961D5BD" w14:textId="77777777" w:rsidTr="00400348">
        <w:trPr>
          <w:cantSplit/>
        </w:trPr>
        <w:tc>
          <w:tcPr>
            <w:tcW w:w="516" w:type="pct"/>
          </w:tcPr>
          <w:p w14:paraId="6E4076F8" w14:textId="77777777" w:rsidR="005019A7" w:rsidRPr="00A93B00" w:rsidRDefault="005019A7" w:rsidP="005019A7">
            <w:pPr>
              <w:rPr>
                <w:sz w:val="20"/>
              </w:rPr>
            </w:pPr>
            <w:r w:rsidRPr="00A93B00">
              <w:rPr>
                <w:sz w:val="20"/>
              </w:rPr>
              <w:lastRenderedPageBreak/>
              <w:t>Neurological</w:t>
            </w:r>
          </w:p>
        </w:tc>
        <w:tc>
          <w:tcPr>
            <w:tcW w:w="749" w:type="pct"/>
          </w:tcPr>
          <w:p w14:paraId="3A20FB7C" w14:textId="77777777" w:rsidR="005019A7" w:rsidRDefault="005019A7" w:rsidP="005019A7">
            <w:pPr>
              <w:rPr>
                <w:sz w:val="20"/>
              </w:rPr>
            </w:pPr>
            <w:r>
              <w:rPr>
                <w:sz w:val="20"/>
              </w:rPr>
              <w:t xml:space="preserve">Animal </w:t>
            </w:r>
          </w:p>
          <w:p w14:paraId="1E5C9366" w14:textId="31A6C410" w:rsidR="005019A7" w:rsidRPr="00AB7709" w:rsidRDefault="005019A7" w:rsidP="005019A7">
            <w:pPr>
              <w:rPr>
                <w:rFonts w:asciiTheme="minorHAnsi" w:hAnsiTheme="minorHAnsi" w:cstheme="minorHAnsi"/>
                <w:sz w:val="20"/>
              </w:rPr>
            </w:pPr>
            <w:r w:rsidRPr="00AB7709">
              <w:rPr>
                <w:rFonts w:asciiTheme="minorHAnsi" w:hAnsiTheme="minorHAnsi" w:cstheme="minorHAnsi"/>
                <w:sz w:val="20"/>
              </w:rPr>
              <w:t>Sano et al. 202</w:t>
            </w:r>
            <w:r w:rsidR="00A26F96">
              <w:rPr>
                <w:rFonts w:asciiTheme="minorHAnsi" w:hAnsiTheme="minorHAnsi" w:cstheme="minorHAnsi"/>
                <w:sz w:val="20"/>
              </w:rPr>
              <w:t>2</w:t>
            </w:r>
          </w:p>
        </w:tc>
        <w:tc>
          <w:tcPr>
            <w:tcW w:w="367" w:type="pct"/>
            <w:shd w:val="clear" w:color="auto" w:fill="D9D9D9" w:themeFill="background1" w:themeFillShade="D9"/>
          </w:tcPr>
          <w:p w14:paraId="608F713E" w14:textId="77777777" w:rsidR="005019A7" w:rsidRPr="00AB7709" w:rsidRDefault="005019A7" w:rsidP="005019A7">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7" w:type="pct"/>
            <w:shd w:val="clear" w:color="auto" w:fill="D9D9D9" w:themeFill="background1" w:themeFillShade="D9"/>
          </w:tcPr>
          <w:p w14:paraId="79F83269" w14:textId="77777777" w:rsidR="005019A7" w:rsidRPr="00AB7709" w:rsidRDefault="005019A7" w:rsidP="005019A7">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7" w:type="pct"/>
            <w:shd w:val="clear" w:color="auto" w:fill="D9D9D9" w:themeFill="background1" w:themeFillShade="D9"/>
          </w:tcPr>
          <w:p w14:paraId="41B2CCA6" w14:textId="77777777" w:rsidR="005019A7" w:rsidRPr="00AB7709" w:rsidRDefault="005019A7" w:rsidP="005019A7">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7" w:type="pct"/>
            <w:shd w:val="clear" w:color="auto" w:fill="D9D9D9" w:themeFill="background1" w:themeFillShade="D9"/>
          </w:tcPr>
          <w:p w14:paraId="0361C25E" w14:textId="77777777" w:rsidR="005019A7" w:rsidRPr="00AB7709" w:rsidRDefault="005019A7" w:rsidP="005019A7">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6" w:type="pct"/>
            <w:shd w:val="clear" w:color="auto" w:fill="F4E2F6"/>
          </w:tcPr>
          <w:p w14:paraId="586A3D41" w14:textId="77777777" w:rsidR="005019A7" w:rsidRPr="00AB7709" w:rsidRDefault="005019A7" w:rsidP="005019A7">
            <w:pPr>
              <w:rPr>
                <w:rFonts w:asciiTheme="minorHAnsi" w:hAnsiTheme="minorHAnsi" w:cstheme="minorHAnsi"/>
                <w:sz w:val="20"/>
              </w:rPr>
            </w:pPr>
            <w:r>
              <w:rPr>
                <w:rFonts w:asciiTheme="minorHAnsi" w:hAnsiTheme="minorHAnsi" w:cstheme="minorHAnsi"/>
                <w:sz w:val="20"/>
              </w:rPr>
              <w:t>Yes</w:t>
            </w:r>
          </w:p>
        </w:tc>
        <w:tc>
          <w:tcPr>
            <w:tcW w:w="366" w:type="pct"/>
            <w:shd w:val="clear" w:color="auto" w:fill="F4E2F6"/>
          </w:tcPr>
          <w:p w14:paraId="7EBCCDC9" w14:textId="77777777" w:rsidR="005019A7" w:rsidRPr="00AB7709" w:rsidRDefault="005019A7" w:rsidP="005019A7">
            <w:pPr>
              <w:rPr>
                <w:rFonts w:asciiTheme="minorHAnsi" w:hAnsiTheme="minorHAnsi" w:cstheme="minorHAnsi"/>
                <w:sz w:val="20"/>
              </w:rPr>
            </w:pPr>
            <w:r>
              <w:rPr>
                <w:rFonts w:asciiTheme="minorHAnsi" w:hAnsiTheme="minorHAnsi" w:cstheme="minorHAnsi"/>
                <w:sz w:val="20"/>
              </w:rPr>
              <w:t>Yes</w:t>
            </w:r>
          </w:p>
        </w:tc>
        <w:tc>
          <w:tcPr>
            <w:tcW w:w="366" w:type="pct"/>
            <w:shd w:val="clear" w:color="auto" w:fill="C666D0"/>
          </w:tcPr>
          <w:p w14:paraId="2C2F9CCB" w14:textId="6128766D" w:rsidR="005019A7" w:rsidRPr="00AB7709" w:rsidRDefault="005019A7" w:rsidP="005019A7">
            <w:pPr>
              <w:rPr>
                <w:rFonts w:asciiTheme="minorHAnsi" w:hAnsiTheme="minorHAnsi" w:cstheme="minorHAnsi"/>
                <w:sz w:val="20"/>
              </w:rPr>
            </w:pPr>
            <w:r>
              <w:rPr>
                <w:rFonts w:asciiTheme="minorHAnsi" w:hAnsiTheme="minorHAnsi" w:cstheme="minorHAnsi"/>
                <w:sz w:val="20"/>
              </w:rPr>
              <w:t>No</w:t>
            </w:r>
          </w:p>
        </w:tc>
        <w:tc>
          <w:tcPr>
            <w:tcW w:w="366" w:type="pct"/>
            <w:shd w:val="clear" w:color="auto" w:fill="F4E2F6"/>
          </w:tcPr>
          <w:p w14:paraId="399EEC7E" w14:textId="77777777" w:rsidR="005019A7" w:rsidRPr="00AB7709" w:rsidRDefault="005019A7" w:rsidP="005019A7">
            <w:pPr>
              <w:rPr>
                <w:rFonts w:asciiTheme="minorHAnsi" w:hAnsiTheme="minorHAnsi" w:cstheme="minorHAnsi"/>
                <w:sz w:val="20"/>
              </w:rPr>
            </w:pPr>
            <w:r>
              <w:rPr>
                <w:rFonts w:asciiTheme="minorHAnsi" w:hAnsiTheme="minorHAnsi" w:cstheme="minorHAnsi"/>
                <w:sz w:val="20"/>
              </w:rPr>
              <w:t>Yes</w:t>
            </w:r>
          </w:p>
        </w:tc>
        <w:tc>
          <w:tcPr>
            <w:tcW w:w="403" w:type="pct"/>
          </w:tcPr>
          <w:p w14:paraId="20E361F6" w14:textId="34A1A477" w:rsidR="005019A7" w:rsidRPr="00AB7709" w:rsidRDefault="005019A7" w:rsidP="005019A7">
            <w:pPr>
              <w:rPr>
                <w:rFonts w:asciiTheme="minorHAnsi" w:hAnsiTheme="minorHAnsi" w:cstheme="minorHAnsi"/>
                <w:sz w:val="20"/>
              </w:rPr>
            </w:pPr>
            <w:r>
              <w:rPr>
                <w:rFonts w:asciiTheme="minorHAnsi" w:hAnsiTheme="minorHAnsi" w:cstheme="minorHAnsi"/>
                <w:sz w:val="20"/>
              </w:rPr>
              <w:t>Moderate</w:t>
            </w:r>
          </w:p>
        </w:tc>
        <w:tc>
          <w:tcPr>
            <w:tcW w:w="400" w:type="pct"/>
            <w:vMerge w:val="restart"/>
          </w:tcPr>
          <w:p w14:paraId="4E31D915" w14:textId="2E73218B" w:rsidR="005019A7" w:rsidRDefault="00A8484C" w:rsidP="005019A7">
            <w:pPr>
              <w:rPr>
                <w:rFonts w:asciiTheme="minorHAnsi" w:hAnsiTheme="minorHAnsi" w:cstheme="minorHAnsi"/>
                <w:sz w:val="20"/>
              </w:rPr>
            </w:pPr>
            <w:r>
              <w:rPr>
                <w:rFonts w:asciiTheme="minorHAnsi" w:hAnsiTheme="minorHAnsi" w:cstheme="minorHAnsi"/>
                <w:sz w:val="20"/>
              </w:rPr>
              <w:t>Moderate</w:t>
            </w:r>
          </w:p>
        </w:tc>
      </w:tr>
      <w:tr w:rsidR="005D76E8" w:rsidRPr="00AB7709" w14:paraId="36952FAE" w14:textId="77777777" w:rsidTr="00AA6A3D">
        <w:tc>
          <w:tcPr>
            <w:tcW w:w="516" w:type="pct"/>
          </w:tcPr>
          <w:p w14:paraId="6951AF11" w14:textId="77777777" w:rsidR="005D76E8" w:rsidRPr="00A93B00" w:rsidRDefault="005D76E8" w:rsidP="00350D90">
            <w:pPr>
              <w:rPr>
                <w:sz w:val="20"/>
              </w:rPr>
            </w:pPr>
            <w:r w:rsidRPr="00A93B00">
              <w:rPr>
                <w:sz w:val="20"/>
              </w:rPr>
              <w:t>Neurological</w:t>
            </w:r>
          </w:p>
        </w:tc>
        <w:tc>
          <w:tcPr>
            <w:tcW w:w="749" w:type="pct"/>
          </w:tcPr>
          <w:p w14:paraId="7DB5FF3B" w14:textId="77777777" w:rsidR="005D76E8" w:rsidRDefault="005D76E8" w:rsidP="00350D90">
            <w:pPr>
              <w:rPr>
                <w:sz w:val="20"/>
              </w:rPr>
            </w:pPr>
            <w:r>
              <w:rPr>
                <w:sz w:val="20"/>
              </w:rPr>
              <w:t>Animal</w:t>
            </w:r>
          </w:p>
          <w:p w14:paraId="4A0D7564" w14:textId="77777777" w:rsidR="005D76E8" w:rsidRPr="00AB7709" w:rsidRDefault="005D76E8" w:rsidP="00350D90">
            <w:pPr>
              <w:rPr>
                <w:rFonts w:asciiTheme="minorHAnsi" w:hAnsiTheme="minorHAnsi" w:cstheme="minorHAnsi"/>
                <w:sz w:val="20"/>
              </w:rPr>
            </w:pPr>
            <w:r w:rsidRPr="00AB7709">
              <w:rPr>
                <w:rFonts w:asciiTheme="minorHAnsi" w:hAnsiTheme="minorHAnsi" w:cstheme="minorHAnsi"/>
                <w:sz w:val="20"/>
              </w:rPr>
              <w:t>Theil et al. 2023</w:t>
            </w:r>
          </w:p>
        </w:tc>
        <w:tc>
          <w:tcPr>
            <w:tcW w:w="367" w:type="pct"/>
            <w:shd w:val="clear" w:color="auto" w:fill="D9D9D9" w:themeFill="background1" w:themeFillShade="D9"/>
          </w:tcPr>
          <w:p w14:paraId="015D5A05" w14:textId="77777777" w:rsidR="005D76E8" w:rsidRPr="00AB7709" w:rsidRDefault="005D76E8" w:rsidP="00350D90">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7" w:type="pct"/>
            <w:shd w:val="clear" w:color="auto" w:fill="D9D9D9" w:themeFill="background1" w:themeFillShade="D9"/>
          </w:tcPr>
          <w:p w14:paraId="75531960" w14:textId="77777777" w:rsidR="005D76E8" w:rsidRPr="00AB7709" w:rsidRDefault="005D76E8" w:rsidP="00350D90">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7" w:type="pct"/>
            <w:shd w:val="clear" w:color="auto" w:fill="D9D9D9" w:themeFill="background1" w:themeFillShade="D9"/>
          </w:tcPr>
          <w:p w14:paraId="1001747C" w14:textId="77777777" w:rsidR="005D76E8" w:rsidRPr="00AB7709" w:rsidRDefault="005D76E8" w:rsidP="00350D90">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7" w:type="pct"/>
            <w:shd w:val="clear" w:color="auto" w:fill="D9D9D9" w:themeFill="background1" w:themeFillShade="D9"/>
          </w:tcPr>
          <w:p w14:paraId="22DE7AC3" w14:textId="77777777" w:rsidR="005D76E8" w:rsidRPr="00AB7709" w:rsidRDefault="005D76E8" w:rsidP="00350D90">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6" w:type="pct"/>
            <w:shd w:val="clear" w:color="auto" w:fill="F4E2F6"/>
          </w:tcPr>
          <w:p w14:paraId="4C1849C7" w14:textId="77777777" w:rsidR="005D76E8" w:rsidRPr="00AB7709" w:rsidRDefault="005D76E8" w:rsidP="00350D90">
            <w:pPr>
              <w:rPr>
                <w:rFonts w:asciiTheme="minorHAnsi" w:hAnsiTheme="minorHAnsi" w:cstheme="minorHAnsi"/>
                <w:sz w:val="20"/>
              </w:rPr>
            </w:pPr>
            <w:r>
              <w:rPr>
                <w:rFonts w:asciiTheme="minorHAnsi" w:hAnsiTheme="minorHAnsi" w:cstheme="minorHAnsi"/>
                <w:sz w:val="20"/>
              </w:rPr>
              <w:t>Yes</w:t>
            </w:r>
          </w:p>
        </w:tc>
        <w:tc>
          <w:tcPr>
            <w:tcW w:w="366" w:type="pct"/>
            <w:shd w:val="clear" w:color="auto" w:fill="F4E2F6"/>
          </w:tcPr>
          <w:p w14:paraId="5AD3474F" w14:textId="77777777" w:rsidR="005D76E8" w:rsidRPr="00AB7709" w:rsidRDefault="005D76E8" w:rsidP="00350D90">
            <w:pPr>
              <w:rPr>
                <w:rFonts w:asciiTheme="minorHAnsi" w:hAnsiTheme="minorHAnsi" w:cstheme="minorHAnsi"/>
                <w:sz w:val="20"/>
              </w:rPr>
            </w:pPr>
            <w:r>
              <w:rPr>
                <w:rFonts w:asciiTheme="minorHAnsi" w:hAnsiTheme="minorHAnsi" w:cstheme="minorHAnsi"/>
                <w:sz w:val="20"/>
              </w:rPr>
              <w:t>Yes</w:t>
            </w:r>
          </w:p>
        </w:tc>
        <w:tc>
          <w:tcPr>
            <w:tcW w:w="366" w:type="pct"/>
            <w:shd w:val="clear" w:color="auto" w:fill="F4E2F6"/>
          </w:tcPr>
          <w:p w14:paraId="766390BD" w14:textId="77777777" w:rsidR="005D76E8" w:rsidRPr="00AB7709" w:rsidRDefault="005D76E8" w:rsidP="00350D90">
            <w:pPr>
              <w:rPr>
                <w:rFonts w:asciiTheme="minorHAnsi" w:hAnsiTheme="minorHAnsi" w:cstheme="minorHAnsi"/>
                <w:sz w:val="20"/>
              </w:rPr>
            </w:pPr>
            <w:r>
              <w:rPr>
                <w:rFonts w:asciiTheme="minorHAnsi" w:hAnsiTheme="minorHAnsi" w:cstheme="minorHAnsi"/>
                <w:sz w:val="20"/>
              </w:rPr>
              <w:t>Yes</w:t>
            </w:r>
          </w:p>
        </w:tc>
        <w:tc>
          <w:tcPr>
            <w:tcW w:w="366" w:type="pct"/>
            <w:shd w:val="clear" w:color="auto" w:fill="F4E2F6"/>
          </w:tcPr>
          <w:p w14:paraId="64B4AA34" w14:textId="77777777" w:rsidR="005D76E8" w:rsidRPr="00AB7709" w:rsidRDefault="005D76E8" w:rsidP="00350D90">
            <w:pPr>
              <w:rPr>
                <w:rFonts w:asciiTheme="minorHAnsi" w:hAnsiTheme="minorHAnsi" w:cstheme="minorHAnsi"/>
                <w:sz w:val="20"/>
              </w:rPr>
            </w:pPr>
            <w:r>
              <w:rPr>
                <w:rFonts w:asciiTheme="minorHAnsi" w:hAnsiTheme="minorHAnsi" w:cstheme="minorHAnsi"/>
                <w:sz w:val="20"/>
              </w:rPr>
              <w:t>Yes</w:t>
            </w:r>
          </w:p>
        </w:tc>
        <w:tc>
          <w:tcPr>
            <w:tcW w:w="403" w:type="pct"/>
          </w:tcPr>
          <w:p w14:paraId="01F27D5D" w14:textId="77777777" w:rsidR="005D76E8" w:rsidRPr="00AB7709" w:rsidRDefault="005D76E8" w:rsidP="00350D90">
            <w:pPr>
              <w:rPr>
                <w:rFonts w:asciiTheme="minorHAnsi" w:hAnsiTheme="minorHAnsi" w:cstheme="minorHAnsi"/>
                <w:sz w:val="20"/>
              </w:rPr>
            </w:pPr>
            <w:r>
              <w:rPr>
                <w:rFonts w:asciiTheme="minorHAnsi" w:hAnsiTheme="minorHAnsi" w:cstheme="minorHAnsi"/>
                <w:sz w:val="20"/>
              </w:rPr>
              <w:t>High</w:t>
            </w:r>
          </w:p>
        </w:tc>
        <w:tc>
          <w:tcPr>
            <w:tcW w:w="400" w:type="pct"/>
            <w:vMerge/>
          </w:tcPr>
          <w:p w14:paraId="4EBFFE8C" w14:textId="77777777" w:rsidR="005D76E8" w:rsidRDefault="005D76E8" w:rsidP="00350D90">
            <w:pPr>
              <w:rPr>
                <w:rFonts w:asciiTheme="minorHAnsi" w:hAnsiTheme="minorHAnsi" w:cstheme="minorHAnsi"/>
                <w:sz w:val="20"/>
              </w:rPr>
            </w:pPr>
          </w:p>
        </w:tc>
      </w:tr>
      <w:tr w:rsidR="005D76E8" w:rsidRPr="00AB7709" w14:paraId="27B129CA" w14:textId="77777777" w:rsidTr="00AA6A3D">
        <w:tc>
          <w:tcPr>
            <w:tcW w:w="516" w:type="pct"/>
          </w:tcPr>
          <w:p w14:paraId="7972D0A0" w14:textId="77777777" w:rsidR="005D76E8" w:rsidRPr="00A93B00" w:rsidRDefault="005D76E8" w:rsidP="00350D90">
            <w:pPr>
              <w:rPr>
                <w:sz w:val="20"/>
              </w:rPr>
            </w:pPr>
            <w:r>
              <w:rPr>
                <w:sz w:val="20"/>
              </w:rPr>
              <w:t xml:space="preserve">Other </w:t>
            </w:r>
          </w:p>
        </w:tc>
        <w:tc>
          <w:tcPr>
            <w:tcW w:w="749" w:type="pct"/>
          </w:tcPr>
          <w:p w14:paraId="44BA94D1" w14:textId="77777777" w:rsidR="005D76E8" w:rsidRDefault="005D76E8" w:rsidP="00350D90">
            <w:pPr>
              <w:rPr>
                <w:sz w:val="20"/>
              </w:rPr>
            </w:pPr>
            <w:r>
              <w:rPr>
                <w:sz w:val="20"/>
              </w:rPr>
              <w:t>Human cross – sectional</w:t>
            </w:r>
          </w:p>
          <w:p w14:paraId="44EBF828" w14:textId="77777777" w:rsidR="005D76E8" w:rsidRPr="00AB7709" w:rsidRDefault="005D76E8" w:rsidP="00350D90">
            <w:pPr>
              <w:rPr>
                <w:rFonts w:asciiTheme="minorHAnsi" w:hAnsiTheme="minorHAnsi" w:cstheme="minorHAnsi"/>
                <w:sz w:val="20"/>
              </w:rPr>
            </w:pPr>
            <w:r w:rsidRPr="00AB7709">
              <w:rPr>
                <w:rFonts w:asciiTheme="minorHAnsi" w:hAnsiTheme="minorHAnsi" w:cstheme="minorHAnsi"/>
                <w:sz w:val="20"/>
              </w:rPr>
              <w:t>Whyte et al. 2024</w:t>
            </w:r>
          </w:p>
        </w:tc>
        <w:tc>
          <w:tcPr>
            <w:tcW w:w="367" w:type="pct"/>
            <w:shd w:val="clear" w:color="auto" w:fill="C666D0"/>
          </w:tcPr>
          <w:p w14:paraId="2B9BF564" w14:textId="77777777" w:rsidR="005D76E8" w:rsidRPr="00AB7709" w:rsidRDefault="005D76E8" w:rsidP="00350D90">
            <w:pPr>
              <w:rPr>
                <w:rFonts w:asciiTheme="minorHAnsi" w:hAnsiTheme="minorHAnsi" w:cstheme="minorHAnsi"/>
                <w:sz w:val="20"/>
              </w:rPr>
            </w:pPr>
            <w:r>
              <w:rPr>
                <w:rFonts w:asciiTheme="minorHAnsi" w:hAnsiTheme="minorHAnsi" w:cstheme="minorHAnsi"/>
                <w:sz w:val="20"/>
              </w:rPr>
              <w:t>No</w:t>
            </w:r>
          </w:p>
        </w:tc>
        <w:tc>
          <w:tcPr>
            <w:tcW w:w="367" w:type="pct"/>
            <w:shd w:val="clear" w:color="auto" w:fill="C666D0"/>
          </w:tcPr>
          <w:p w14:paraId="1921D585" w14:textId="77777777" w:rsidR="005D76E8" w:rsidRPr="00AB7709" w:rsidRDefault="005D76E8" w:rsidP="00350D90">
            <w:pPr>
              <w:rPr>
                <w:rFonts w:asciiTheme="minorHAnsi" w:hAnsiTheme="minorHAnsi" w:cstheme="minorHAnsi"/>
                <w:sz w:val="20"/>
              </w:rPr>
            </w:pPr>
            <w:r>
              <w:rPr>
                <w:rFonts w:asciiTheme="minorHAnsi" w:hAnsiTheme="minorHAnsi" w:cstheme="minorHAnsi"/>
                <w:sz w:val="20"/>
              </w:rPr>
              <w:t>No</w:t>
            </w:r>
          </w:p>
        </w:tc>
        <w:tc>
          <w:tcPr>
            <w:tcW w:w="367" w:type="pct"/>
            <w:shd w:val="clear" w:color="auto" w:fill="F4E2F6"/>
          </w:tcPr>
          <w:p w14:paraId="42092123" w14:textId="77777777" w:rsidR="005D76E8" w:rsidRPr="00AB7709" w:rsidRDefault="005D76E8" w:rsidP="00350D90">
            <w:pPr>
              <w:rPr>
                <w:rFonts w:asciiTheme="minorHAnsi" w:hAnsiTheme="minorHAnsi" w:cstheme="minorHAnsi"/>
                <w:sz w:val="20"/>
              </w:rPr>
            </w:pPr>
            <w:r>
              <w:rPr>
                <w:rFonts w:asciiTheme="minorHAnsi" w:hAnsiTheme="minorHAnsi" w:cstheme="minorHAnsi"/>
                <w:sz w:val="20"/>
              </w:rPr>
              <w:t>Yes</w:t>
            </w:r>
          </w:p>
        </w:tc>
        <w:tc>
          <w:tcPr>
            <w:tcW w:w="367" w:type="pct"/>
            <w:shd w:val="clear" w:color="auto" w:fill="F4E2F6"/>
          </w:tcPr>
          <w:p w14:paraId="7349230A" w14:textId="77777777" w:rsidR="005D76E8" w:rsidRPr="00AB7709" w:rsidRDefault="005D76E8" w:rsidP="00350D90">
            <w:pPr>
              <w:rPr>
                <w:rFonts w:asciiTheme="minorHAnsi" w:hAnsiTheme="minorHAnsi" w:cstheme="minorHAnsi"/>
                <w:sz w:val="20"/>
              </w:rPr>
            </w:pPr>
            <w:r>
              <w:rPr>
                <w:rFonts w:asciiTheme="minorHAnsi" w:hAnsiTheme="minorHAnsi" w:cstheme="minorHAnsi"/>
                <w:sz w:val="20"/>
              </w:rPr>
              <w:t>Yes</w:t>
            </w:r>
          </w:p>
        </w:tc>
        <w:tc>
          <w:tcPr>
            <w:tcW w:w="366" w:type="pct"/>
            <w:shd w:val="clear" w:color="auto" w:fill="D9D9D9" w:themeFill="background1" w:themeFillShade="D9"/>
          </w:tcPr>
          <w:p w14:paraId="57D222FA" w14:textId="77777777" w:rsidR="005D76E8" w:rsidRPr="00AB7709" w:rsidRDefault="005D76E8" w:rsidP="00350D90">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3394C3D6" w14:textId="77777777" w:rsidR="005D76E8" w:rsidRPr="00AB7709" w:rsidRDefault="005D76E8" w:rsidP="00350D90">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6D29BB9C" w14:textId="77777777" w:rsidR="005D76E8" w:rsidRPr="00AB7709" w:rsidRDefault="005D76E8" w:rsidP="00350D90">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750F4BD3" w14:textId="77777777" w:rsidR="005D76E8" w:rsidRPr="00AB7709" w:rsidRDefault="005D76E8" w:rsidP="00350D90">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403" w:type="pct"/>
          </w:tcPr>
          <w:p w14:paraId="66DCDD1A" w14:textId="77777777" w:rsidR="005D76E8" w:rsidRPr="00AB7709" w:rsidRDefault="005D76E8" w:rsidP="00350D90">
            <w:pPr>
              <w:rPr>
                <w:rFonts w:asciiTheme="minorHAnsi" w:hAnsiTheme="minorHAnsi" w:cstheme="minorHAnsi"/>
                <w:sz w:val="20"/>
              </w:rPr>
            </w:pPr>
            <w:r>
              <w:rPr>
                <w:rFonts w:asciiTheme="minorHAnsi" w:hAnsiTheme="minorHAnsi" w:cstheme="minorHAnsi"/>
                <w:sz w:val="20"/>
              </w:rPr>
              <w:t>Low</w:t>
            </w:r>
          </w:p>
        </w:tc>
        <w:tc>
          <w:tcPr>
            <w:tcW w:w="400" w:type="pct"/>
          </w:tcPr>
          <w:p w14:paraId="421B2D99" w14:textId="77777777" w:rsidR="005D76E8" w:rsidRDefault="005D76E8" w:rsidP="00350D90">
            <w:pPr>
              <w:rPr>
                <w:rFonts w:asciiTheme="minorHAnsi" w:hAnsiTheme="minorHAnsi" w:cstheme="minorHAnsi"/>
                <w:sz w:val="20"/>
              </w:rPr>
            </w:pPr>
            <w:r>
              <w:rPr>
                <w:rFonts w:asciiTheme="minorHAnsi" w:hAnsiTheme="minorHAnsi" w:cstheme="minorHAnsi"/>
                <w:sz w:val="20"/>
              </w:rPr>
              <w:t>-</w:t>
            </w:r>
          </w:p>
        </w:tc>
      </w:tr>
    </w:tbl>
    <w:p w14:paraId="5E86C634" w14:textId="77777777" w:rsidR="00430257" w:rsidRDefault="00430257" w:rsidP="00430257"/>
    <w:p w14:paraId="2D2F74D3" w14:textId="77777777" w:rsidR="005D76E8" w:rsidRDefault="005D76E8" w:rsidP="00430257"/>
    <w:p w14:paraId="181864FF" w14:textId="32756688" w:rsidR="005D76E8" w:rsidRPr="005D76E8" w:rsidRDefault="005D76E8" w:rsidP="00430257">
      <w:pPr>
        <w:rPr>
          <w:b/>
        </w:rPr>
      </w:pPr>
      <w:bookmarkStart w:id="57" w:name="_Ref232237874"/>
      <w:bookmarkStart w:id="58" w:name="_Toc233031612"/>
      <w:r w:rsidRPr="004474B5">
        <w:rPr>
          <w:b/>
        </w:rPr>
        <w:t xml:space="preserve">Table </w:t>
      </w:r>
      <w:r w:rsidRPr="004474B5">
        <w:rPr>
          <w:b/>
        </w:rPr>
        <w:fldChar w:fldCharType="begin"/>
      </w:r>
      <w:r w:rsidRPr="004474B5">
        <w:rPr>
          <w:b/>
        </w:rPr>
        <w:instrText xml:space="preserve"> SEQ Table \* ARABIC </w:instrText>
      </w:r>
      <w:r w:rsidRPr="004474B5">
        <w:rPr>
          <w:b/>
        </w:rPr>
        <w:fldChar w:fldCharType="separate"/>
      </w:r>
      <w:r w:rsidR="0052675C">
        <w:rPr>
          <w:b/>
          <w:noProof/>
        </w:rPr>
        <w:t>8</w:t>
      </w:r>
      <w:r w:rsidRPr="004474B5">
        <w:fldChar w:fldCharType="end"/>
      </w:r>
      <w:bookmarkEnd w:id="57"/>
      <w:r w:rsidRPr="004474B5">
        <w:rPr>
          <w:b/>
        </w:rPr>
        <w:tab/>
      </w:r>
      <w:r>
        <w:rPr>
          <w:b/>
        </w:rPr>
        <w:t>Final confidence rating in the body of evidence</w:t>
      </w:r>
      <w:bookmarkEnd w:id="58"/>
    </w:p>
    <w:tbl>
      <w:tblPr>
        <w:tblStyle w:val="SLROption2"/>
        <w:tblW w:w="0" w:type="auto"/>
        <w:tblLook w:val="04A0" w:firstRow="1" w:lastRow="0" w:firstColumn="1" w:lastColumn="0" w:noHBand="0" w:noVBand="1"/>
      </w:tblPr>
      <w:tblGrid>
        <w:gridCol w:w="3481"/>
        <w:gridCol w:w="3481"/>
        <w:gridCol w:w="3481"/>
        <w:gridCol w:w="3481"/>
      </w:tblGrid>
      <w:tr w:rsidR="005D76E8" w14:paraId="15D6BA1F" w14:textId="77777777" w:rsidTr="00350D90">
        <w:trPr>
          <w:cnfStyle w:val="100000000000" w:firstRow="1" w:lastRow="0" w:firstColumn="0" w:lastColumn="0" w:oddVBand="0" w:evenVBand="0" w:oddHBand="0" w:evenHBand="0" w:firstRowFirstColumn="0" w:firstRowLastColumn="0" w:lastRowFirstColumn="0" w:lastRowLastColumn="0"/>
          <w:trHeight w:val="956"/>
        </w:trPr>
        <w:tc>
          <w:tcPr>
            <w:tcW w:w="3481" w:type="dxa"/>
          </w:tcPr>
          <w:p w14:paraId="3AF9F153" w14:textId="77777777" w:rsidR="005D76E8" w:rsidRDefault="005D76E8" w:rsidP="00350D90">
            <w:r>
              <w:t>Health Outcome</w:t>
            </w:r>
          </w:p>
        </w:tc>
        <w:tc>
          <w:tcPr>
            <w:tcW w:w="3481" w:type="dxa"/>
          </w:tcPr>
          <w:p w14:paraId="21ABDB44" w14:textId="77777777" w:rsidR="005D76E8" w:rsidRDefault="005D76E8" w:rsidP="00350D90">
            <w:r>
              <w:t>Initial confidence</w:t>
            </w:r>
          </w:p>
        </w:tc>
        <w:tc>
          <w:tcPr>
            <w:tcW w:w="3481" w:type="dxa"/>
          </w:tcPr>
          <w:p w14:paraId="59077893" w14:textId="2DC132A1" w:rsidR="005D76E8" w:rsidRDefault="005D76E8" w:rsidP="00350D90">
            <w:r>
              <w:t xml:space="preserve">Adjustments to the </w:t>
            </w:r>
            <w:r w:rsidR="00DF278E">
              <w:t>initial</w:t>
            </w:r>
            <w:r>
              <w:t xml:space="preserve"> confidence rating</w:t>
            </w:r>
          </w:p>
        </w:tc>
        <w:tc>
          <w:tcPr>
            <w:tcW w:w="3481" w:type="dxa"/>
          </w:tcPr>
          <w:p w14:paraId="0EA97413" w14:textId="77777777" w:rsidR="005D76E8" w:rsidRDefault="005D76E8" w:rsidP="00350D90">
            <w:r>
              <w:t>Final confidence</w:t>
            </w:r>
          </w:p>
        </w:tc>
      </w:tr>
      <w:tr w:rsidR="005D76E8" w14:paraId="05863463" w14:textId="77777777" w:rsidTr="00350D90">
        <w:tc>
          <w:tcPr>
            <w:tcW w:w="3481" w:type="dxa"/>
          </w:tcPr>
          <w:p w14:paraId="69AEFA18" w14:textId="77777777" w:rsidR="005D76E8" w:rsidRDefault="005D76E8" w:rsidP="00350D90">
            <w:r>
              <w:t>Neurological effects – Human studies</w:t>
            </w:r>
          </w:p>
        </w:tc>
        <w:tc>
          <w:tcPr>
            <w:tcW w:w="3481" w:type="dxa"/>
          </w:tcPr>
          <w:p w14:paraId="78BD6BD1" w14:textId="77777777" w:rsidR="005D76E8" w:rsidRDefault="005D76E8" w:rsidP="00350D90">
            <w:pPr>
              <w:jc w:val="center"/>
            </w:pPr>
            <w:r>
              <w:t>Low</w:t>
            </w:r>
          </w:p>
        </w:tc>
        <w:tc>
          <w:tcPr>
            <w:tcW w:w="3481" w:type="dxa"/>
          </w:tcPr>
          <w:p w14:paraId="15DE2FDB" w14:textId="77777777" w:rsidR="005D76E8" w:rsidRDefault="005D76E8" w:rsidP="00350D90">
            <w:pPr>
              <w:jc w:val="center"/>
            </w:pPr>
            <w:r w:rsidRPr="00E439E6">
              <w:t>-1 Risk of bias (cross-sectional/case series designs, no comparison groups)</w:t>
            </w:r>
          </w:p>
        </w:tc>
        <w:tc>
          <w:tcPr>
            <w:tcW w:w="3481" w:type="dxa"/>
          </w:tcPr>
          <w:p w14:paraId="07DEB303" w14:textId="77777777" w:rsidR="005D76E8" w:rsidRDefault="005D76E8" w:rsidP="00350D90">
            <w:pPr>
              <w:jc w:val="center"/>
            </w:pPr>
            <w:r>
              <w:t>Low -&gt; Very low</w:t>
            </w:r>
          </w:p>
        </w:tc>
      </w:tr>
      <w:tr w:rsidR="005D76E8" w14:paraId="09F268BC" w14:textId="77777777" w:rsidTr="00350D90">
        <w:tc>
          <w:tcPr>
            <w:tcW w:w="3481" w:type="dxa"/>
          </w:tcPr>
          <w:p w14:paraId="08947995" w14:textId="77777777" w:rsidR="005D76E8" w:rsidRDefault="005D76E8" w:rsidP="00350D90">
            <w:r>
              <w:lastRenderedPageBreak/>
              <w:t>Neurological effects – Animal studies</w:t>
            </w:r>
          </w:p>
        </w:tc>
        <w:tc>
          <w:tcPr>
            <w:tcW w:w="3481" w:type="dxa"/>
          </w:tcPr>
          <w:p w14:paraId="430904C6" w14:textId="006AE525" w:rsidR="005D76E8" w:rsidRDefault="005019A7" w:rsidP="00350D90">
            <w:pPr>
              <w:jc w:val="center"/>
            </w:pPr>
            <w:r>
              <w:t>Moderate</w:t>
            </w:r>
          </w:p>
        </w:tc>
        <w:tc>
          <w:tcPr>
            <w:tcW w:w="3481" w:type="dxa"/>
          </w:tcPr>
          <w:p w14:paraId="4C08E9E2" w14:textId="478AB4A7" w:rsidR="005D76E8" w:rsidRDefault="005D76E8" w:rsidP="00350D90">
            <w:pPr>
              <w:jc w:val="center"/>
            </w:pPr>
            <w:r w:rsidRPr="00E439E6">
              <w:t>-1 Indirectness; +1 Large magnitude of effect</w:t>
            </w:r>
            <w:r w:rsidR="007243D1" w:rsidRPr="007243D1">
              <w:rPr>
                <w:vertAlign w:val="superscript"/>
              </w:rPr>
              <w:t>(1)</w:t>
            </w:r>
            <w:r w:rsidRPr="00E439E6">
              <w:t xml:space="preserve"> </w:t>
            </w:r>
          </w:p>
        </w:tc>
        <w:tc>
          <w:tcPr>
            <w:tcW w:w="3481" w:type="dxa"/>
          </w:tcPr>
          <w:p w14:paraId="0D0167A9" w14:textId="6657AA23" w:rsidR="005D76E8" w:rsidRDefault="005019A7" w:rsidP="00350D90">
            <w:pPr>
              <w:jc w:val="center"/>
            </w:pPr>
            <w:r>
              <w:t>Moderate</w:t>
            </w:r>
          </w:p>
        </w:tc>
      </w:tr>
    </w:tbl>
    <w:p w14:paraId="14A34101" w14:textId="36445F20" w:rsidR="007243D1" w:rsidRPr="00A8484C" w:rsidRDefault="007243D1" w:rsidP="007243D1">
      <w:pPr>
        <w:rPr>
          <w:sz w:val="18"/>
          <w:szCs w:val="16"/>
        </w:rPr>
        <w:sectPr w:rsidR="007243D1" w:rsidRPr="00A8484C" w:rsidSect="00DD189C">
          <w:headerReference w:type="default" r:id="rId26"/>
          <w:footerReference w:type="default" r:id="rId27"/>
          <w:pgSz w:w="16834" w:h="11909" w:orient="landscape" w:code="9"/>
          <w:pgMar w:top="1440" w:right="1440" w:bottom="1440" w:left="1276" w:header="576" w:footer="576" w:gutter="0"/>
          <w:cols w:space="720"/>
          <w:docGrid w:linePitch="360"/>
        </w:sectPr>
      </w:pPr>
      <w:r w:rsidRPr="00A8484C">
        <w:rPr>
          <w:sz w:val="18"/>
          <w:szCs w:val="16"/>
        </w:rPr>
        <w:t>(1) +1 upgrade for dose-response can only be considered for Theil et al. 2023 study</w:t>
      </w:r>
      <w:r w:rsidR="00A8484C">
        <w:rPr>
          <w:sz w:val="18"/>
          <w:szCs w:val="16"/>
        </w:rPr>
        <w:t>.</w:t>
      </w:r>
    </w:p>
    <w:p w14:paraId="702DD14F" w14:textId="439926F5" w:rsidR="00A54567" w:rsidRDefault="00A752AF" w:rsidP="00A54567">
      <w:pPr>
        <w:pStyle w:val="Heading1"/>
      </w:pPr>
      <w:bookmarkStart w:id="59" w:name="_Toc233031601"/>
      <w:bookmarkStart w:id="60" w:name="_Ref233707062"/>
      <w:r w:rsidRPr="005D76E8">
        <w:lastRenderedPageBreak/>
        <w:t>Conclusions</w:t>
      </w:r>
      <w:bookmarkEnd w:id="56"/>
      <w:bookmarkEnd w:id="59"/>
      <w:bookmarkEnd w:id="60"/>
    </w:p>
    <w:p w14:paraId="28C3BFEF" w14:textId="65BC5887" w:rsidR="00A54567" w:rsidRDefault="00A54567" w:rsidP="00A54567">
      <w:r>
        <w:t xml:space="preserve">This Evidence Evaluation Report has assessed the suitability of EFSA's (2023) vitamin B6 </w:t>
      </w:r>
      <w:r w:rsidR="00A26F96">
        <w:t>UL</w:t>
      </w:r>
      <w:r>
        <w:t xml:space="preserve"> for adoption or adaptation in the Australian and New Zealand </w:t>
      </w:r>
      <w:r w:rsidR="006738A1">
        <w:t>context and</w:t>
      </w:r>
      <w:r>
        <w:t xml:space="preserve"> has reviewed recent primary literature published since 2022 to determine whether new evidence is consistent with, or challenges, EFSA's conclusions.</w:t>
      </w:r>
    </w:p>
    <w:p w14:paraId="78A6ED97" w14:textId="059D0E29" w:rsidR="00A54567" w:rsidRDefault="00A54567" w:rsidP="00A54567">
      <w:r>
        <w:t xml:space="preserve">EFSA (2023) was confirmed as the only candidate guidance value meeting the pre-defined credibility threshold and remains the only post-2006 reassessment of the vitamin B6 UL internationally. EFSA's </w:t>
      </w:r>
      <w:r w:rsidR="00A26F96">
        <w:t>RP</w:t>
      </w:r>
      <w:r>
        <w:t xml:space="preserve"> of 50 mg/day is not derived from a single study; it reflects a weight-of-evidence assessment across multiple converging and independent lines of evidence, comprising the Dalton &amp; Dalton (1987) case-control study, a positive rechallenge case, additional case reports, and Dutch and French nutrivigilance data. This distinguishes EFSA's approach from SCF (2000), which relied primarily on the mean intake reported in Dalton &amp; Dalton (1987) alone to derive its higher RP of 100 mg/day. EFSA's human-based derivation (RP of 50 mg/day, UF of 4: ×2 for the inverse dose-time relationship, ×2 for limited data and interindividual variability, giving 12.5 mg/day) was cross-checked against an independent animal-based derivation (Phillips et al. 1978</w:t>
      </w:r>
      <w:r w:rsidR="00A26F96">
        <w:t>,</w:t>
      </w:r>
      <w:r>
        <w:t xml:space="preserve"> dog LOAEL of 50 mg/kg bw/day, UF of 300: ×2 interspecies toxicokinetics, ×2.5 interspecies toxicodynamics, ×10 intraspecies variability, ×2 subchronic-to-chronic extrapolation, ×3 absence of a NOAEL, giving 11.7 mg/day). The concordance between these two independently derived values increased confidence in the final UL of 12 mg/day.</w:t>
      </w:r>
    </w:p>
    <w:p w14:paraId="36F5BBC8" w14:textId="77777777" w:rsidR="00A54567" w:rsidRDefault="00A54567" w:rsidP="00A54567">
      <w:r>
        <w:t>This weight-of-evidence approach, together with the choice of critical effect, points of departure, and uncertainty factor derivations, is considered methodologically sound and suitable for adoption or adaptation in Australia and New Zealand. No population-specific factor has been identified that would render EFSA's approach inappropriate; regulatory differences between the EU and Australia and New Zealand relate to exposure context rather than to the underlying toxicological assessment.</w:t>
      </w:r>
    </w:p>
    <w:p w14:paraId="0C31C04D" w14:textId="346E95C3" w:rsidR="00A54567" w:rsidRDefault="00A54567" w:rsidP="00A54567">
      <w:r>
        <w:t xml:space="preserve">The </w:t>
      </w:r>
      <w:r w:rsidR="00FD0453">
        <w:t xml:space="preserve">main </w:t>
      </w:r>
      <w:r>
        <w:t>caveats relate to the quality of the underlying evidence base rather than to jurisdictional applicability. A formal LOAEL could not be established from human data, and the anchor study within EFSA's weight-of-evidence assessment, Dalton &amp; Dalton (1987), was rated High risk of bias, reflecting self-reported exposure and outcome assessment, absence of blinding and randomisation, and a study population in which cases were drawn from a PMS clinic using vitamin B6 pharmacologically, compared against controls using vitamin B6 as an ordinary supplement, a mismatch that does not cleanly address the general-population exposure question this assessment is trying to inform. This is not unique to EFSA's derivation: the two studies underpinning the current NHMRC (2006) UL (Bernstein &amp; Lobitz 1988; Del Tredici et al. 1985) were also rated High risk of bias. By contrast, the animal study underpinning EFSA's cross-check, Phillips et al. (1978), was rated Low risk of bias. This pattern, uniformly high risk of bias in the human anchor studies across both candidate guidance values, contrasted with low risk of bias in the controlled animal evidence, is a key consideration in interpreting the overall reliability of the vitamin B6 UL regardless of which value is adopted. Despite these limitations, Dalton &amp; Dalton (1987) has been retained as the anchor study in the absence of any more directly applicable general-population dataset. No internationally accepted mode of action for pyridoxine-induced peripheral neuropathy currently exists, limiting biological coherence even though this does not preclude a causal interpretation given the consistency, dose-response, and reversibility observed across the evidence base.</w:t>
      </w:r>
    </w:p>
    <w:p w14:paraId="6BAAF8E0" w14:textId="7534E992" w:rsidR="00A54567" w:rsidRDefault="00A54567" w:rsidP="00A54567">
      <w:r>
        <w:t xml:space="preserve">The review of recent literature did not identify evidence sufficient to revise EFSA's RP, UF, or UL. New human evidence (Gdynia </w:t>
      </w:r>
      <w:r w:rsidR="00A26F96">
        <w:t xml:space="preserve">et al. </w:t>
      </w:r>
      <w:r>
        <w:t xml:space="preserve">2025; Paluszny </w:t>
      </w:r>
      <w:r w:rsidR="00A26F96">
        <w:t xml:space="preserve">and Qiu </w:t>
      </w:r>
      <w:r>
        <w:t xml:space="preserve">2023; van Hunsel </w:t>
      </w:r>
      <w:r w:rsidR="00A26F96">
        <w:t xml:space="preserve">et al. </w:t>
      </w:r>
      <w:r>
        <w:t xml:space="preserve">2025) provides a Very Low confidence signal that neuropathy may occur in some individuals below EFSA's current RP and UL; given small case numbers, retrospective self-reported </w:t>
      </w:r>
      <w:r>
        <w:lastRenderedPageBreak/>
        <w:t xml:space="preserve">exposure, and the possibility of unreported additional B6 sources, this is not a reliable basis for quantitative revision but warrants ongoing pharmacovigilance monitoring. New animal evidence (Sano </w:t>
      </w:r>
      <w:r w:rsidR="00A26F96">
        <w:t xml:space="preserve">et al. </w:t>
      </w:r>
      <w:r>
        <w:t>202</w:t>
      </w:r>
      <w:r w:rsidR="00A26F96">
        <w:t>2</w:t>
      </w:r>
      <w:r>
        <w:t xml:space="preserve">; Theil </w:t>
      </w:r>
      <w:r w:rsidR="00A26F96">
        <w:t xml:space="preserve">et al. </w:t>
      </w:r>
      <w:r>
        <w:t xml:space="preserve">2023) received </w:t>
      </w:r>
      <w:r w:rsidR="00A8484C">
        <w:t>Moderate</w:t>
      </w:r>
      <w:r>
        <w:t xml:space="preserve"> confidence ratings, with Theil </w:t>
      </w:r>
      <w:r w:rsidR="00A26F96">
        <w:t xml:space="preserve">et al. </w:t>
      </w:r>
      <w:r>
        <w:t xml:space="preserve">(2023) corroborating the broader weight-of-evidence basis for EFSA's animal cross-check rather than constituting a separate </w:t>
      </w:r>
      <w:r w:rsidR="00FB1C0A">
        <w:t>basis and</w:t>
      </w:r>
      <w:r>
        <w:t xml:space="preserve"> remains consistent with EFSA's existing dose range.</w:t>
      </w:r>
    </w:p>
    <w:p w14:paraId="191A9E57" w14:textId="3BC9A49C" w:rsidR="00A54567" w:rsidRDefault="006738A1" w:rsidP="00A54567">
      <w:r>
        <w:t>H</w:t>
      </w:r>
      <w:r w:rsidR="00A54567">
        <w:t>epatotoxicity and hepatocellular carcinoma in PNPO-deficient patients receiving very high-dose therapeutic PLP, is not relevant to general-population UL derivation, consistent with the NHMRC Final NRV Methodological Framework's exclusion of non-representative clinical sub-</w:t>
      </w:r>
      <w:r w:rsidR="00FB1C0A">
        <w:t>populations and</w:t>
      </w:r>
      <w:r w:rsidR="00A54567">
        <w:t xml:space="preserve"> is more appropriately addressed through clinical management guidance. Mechanistic evidence on individual susceptibility (Whyte </w:t>
      </w:r>
      <w:r w:rsidR="00A26F96">
        <w:t xml:space="preserve">et al. </w:t>
      </w:r>
      <w:r w:rsidR="00A54567">
        <w:t xml:space="preserve">2024; Zervou </w:t>
      </w:r>
      <w:r w:rsidR="00A26F96">
        <w:t xml:space="preserve">et al. </w:t>
      </w:r>
      <w:r w:rsidR="00A54567">
        <w:t xml:space="preserve">2025) supports toxicokinetic variability in PLP clearance as relevant to the intraspecies component already built into EFSA's uncertainty factor, given that </w:t>
      </w:r>
      <w:r w:rsidR="00FD0453" w:rsidRPr="00FD0453">
        <w:t>TNSALP carrier frequency may be relevant at the population level, with an estimated frequency of approximately 1 in 300</w:t>
      </w:r>
      <w:r w:rsidR="00A54567">
        <w:t>.</w:t>
      </w:r>
    </w:p>
    <w:p w14:paraId="23516A66" w14:textId="09F18C77" w:rsidR="00A752AF" w:rsidRDefault="00F03762" w:rsidP="00A54567">
      <w:r w:rsidRPr="00F03762">
        <w:t xml:space="preserve">Overall, the new evidence identified in this review does not appear sufficient to warrant revision of EFSA's (2023) UL of 12 mg/day, which this evaluation has identified as the most appropriate current guidance value for </w:t>
      </w:r>
      <w:r w:rsidR="00524774">
        <w:t xml:space="preserve">potential </w:t>
      </w:r>
      <w:r w:rsidRPr="00F03762">
        <w:t>adoption or adaptation in Australia and New Zealand, in place of the current NHMRC (2006) UL of 50 mg/day</w:t>
      </w:r>
      <w:r w:rsidR="006738A1" w:rsidRPr="006738A1">
        <w:t xml:space="preserve">. The available evidence remains broadly consistent with the current weight-of-evidence basis for peripheral neuropathy as the critical endpoint, with support from both human and animal data. However, this conclusion should be </w:t>
      </w:r>
      <w:r w:rsidR="00FB1C0A">
        <w:t>interpreted</w:t>
      </w:r>
      <w:r w:rsidR="006738A1" w:rsidRPr="006738A1">
        <w:t xml:space="preserve"> considering the high risk of bias and generally low to very low reliability of the human evidence base, as well as ongoing uncertainties around individual susceptibility and the absence of an established mode of action.</w:t>
      </w:r>
    </w:p>
    <w:p w14:paraId="134D5499" w14:textId="77777777" w:rsidR="00C470D3" w:rsidRPr="00C470D3" w:rsidRDefault="00C470D3" w:rsidP="00C470D3">
      <w:pPr>
        <w:pStyle w:val="Heading1"/>
      </w:pPr>
      <w:bookmarkStart w:id="61" w:name="_Toc233031602"/>
      <w:r w:rsidRPr="00C470D3">
        <w:t>Review Team</w:t>
      </w:r>
      <w:bookmarkEnd w:id="61"/>
    </w:p>
    <w:tbl>
      <w:tblPr>
        <w:tblStyle w:val="SLROption2"/>
        <w:tblW w:w="8926" w:type="dxa"/>
        <w:tblLook w:val="04A0" w:firstRow="1" w:lastRow="0" w:firstColumn="1" w:lastColumn="0" w:noHBand="0" w:noVBand="1"/>
      </w:tblPr>
      <w:tblGrid>
        <w:gridCol w:w="2122"/>
        <w:gridCol w:w="3402"/>
        <w:gridCol w:w="3402"/>
      </w:tblGrid>
      <w:tr w:rsidR="00C470D3" w:rsidRPr="00C470D3" w14:paraId="4ECD965D" w14:textId="77777777" w:rsidTr="00C470D3">
        <w:trPr>
          <w:cnfStyle w:val="100000000000" w:firstRow="1" w:lastRow="0" w:firstColumn="0" w:lastColumn="0" w:oddVBand="0" w:evenVBand="0" w:oddHBand="0" w:evenHBand="0" w:firstRowFirstColumn="0" w:firstRowLastColumn="0" w:lastRowFirstColumn="0" w:lastRowLastColumn="0"/>
        </w:trPr>
        <w:tc>
          <w:tcPr>
            <w:tcW w:w="2122" w:type="dxa"/>
          </w:tcPr>
          <w:p w14:paraId="3AF2B563" w14:textId="77777777" w:rsidR="00C470D3" w:rsidRPr="00C470D3" w:rsidRDefault="00C470D3" w:rsidP="00C470D3">
            <w:pPr>
              <w:pStyle w:val="TableHeading"/>
            </w:pPr>
            <w:r w:rsidRPr="00C470D3">
              <w:t>Name</w:t>
            </w:r>
          </w:p>
        </w:tc>
        <w:tc>
          <w:tcPr>
            <w:tcW w:w="3402" w:type="dxa"/>
          </w:tcPr>
          <w:p w14:paraId="0C256F9C" w14:textId="77777777" w:rsidR="00C470D3" w:rsidRPr="00C470D3" w:rsidRDefault="00C470D3" w:rsidP="00C470D3">
            <w:pPr>
              <w:pStyle w:val="TableHeading"/>
            </w:pPr>
            <w:r w:rsidRPr="00C470D3">
              <w:t>Position</w:t>
            </w:r>
          </w:p>
        </w:tc>
        <w:tc>
          <w:tcPr>
            <w:tcW w:w="3402" w:type="dxa"/>
          </w:tcPr>
          <w:p w14:paraId="13376294" w14:textId="77777777" w:rsidR="00C470D3" w:rsidRPr="00C470D3" w:rsidRDefault="00C470D3" w:rsidP="00C470D3">
            <w:pPr>
              <w:pStyle w:val="TableHeading"/>
            </w:pPr>
            <w:r w:rsidRPr="00C470D3">
              <w:t>Responsibilities</w:t>
            </w:r>
          </w:p>
        </w:tc>
      </w:tr>
      <w:tr w:rsidR="00C470D3" w:rsidRPr="00C470D3" w14:paraId="58DC69E5" w14:textId="77777777" w:rsidTr="00C470D3">
        <w:tc>
          <w:tcPr>
            <w:tcW w:w="2122" w:type="dxa"/>
          </w:tcPr>
          <w:p w14:paraId="400E5C61" w14:textId="76D9D99D" w:rsidR="00C470D3" w:rsidRPr="00C470D3" w:rsidRDefault="00C470D3" w:rsidP="00C470D3">
            <w:pPr>
              <w:pStyle w:val="TableText"/>
            </w:pPr>
            <w:r w:rsidRPr="00C470D3">
              <w:t>Ms Tarah Hagen, MSc DABT RACTRA</w:t>
            </w:r>
          </w:p>
        </w:tc>
        <w:tc>
          <w:tcPr>
            <w:tcW w:w="3402" w:type="dxa"/>
          </w:tcPr>
          <w:p w14:paraId="01FAD2FA" w14:textId="77777777" w:rsidR="00C470D3" w:rsidRPr="00C470D3" w:rsidRDefault="00C470D3" w:rsidP="00C470D3">
            <w:pPr>
              <w:pStyle w:val="TableText"/>
            </w:pPr>
            <w:r w:rsidRPr="00C470D3">
              <w:t>Technical Discipline Manager – Toxicology &amp; Risk Assessment, SLR</w:t>
            </w:r>
          </w:p>
        </w:tc>
        <w:tc>
          <w:tcPr>
            <w:tcW w:w="3402" w:type="dxa"/>
          </w:tcPr>
          <w:p w14:paraId="0E7C7D37" w14:textId="744ECCC8" w:rsidR="00C470D3" w:rsidRPr="00C470D3" w:rsidRDefault="008474D6" w:rsidP="00C470D3">
            <w:pPr>
              <w:pStyle w:val="TableText"/>
            </w:pPr>
            <w:r w:rsidRPr="008474D6">
              <w:t>Technical oversight and internal peer review</w:t>
            </w:r>
          </w:p>
        </w:tc>
      </w:tr>
      <w:tr w:rsidR="008474D6" w:rsidRPr="00C470D3" w14:paraId="23BED9E9" w14:textId="77777777" w:rsidTr="00C470D3">
        <w:tc>
          <w:tcPr>
            <w:tcW w:w="2122" w:type="dxa"/>
          </w:tcPr>
          <w:p w14:paraId="73CEF75C" w14:textId="3392678C" w:rsidR="008474D6" w:rsidRPr="00C470D3" w:rsidRDefault="008474D6" w:rsidP="008474D6">
            <w:pPr>
              <w:pStyle w:val="TableText"/>
            </w:pPr>
            <w:r>
              <w:t>Dr Rhian Cope</w:t>
            </w:r>
            <w:r w:rsidR="0084375D">
              <w:t>,</w:t>
            </w:r>
            <w:r>
              <w:t xml:space="preserve"> PhD DABT DABVT FACTRA</w:t>
            </w:r>
          </w:p>
        </w:tc>
        <w:tc>
          <w:tcPr>
            <w:tcW w:w="3402" w:type="dxa"/>
          </w:tcPr>
          <w:p w14:paraId="65F47B42" w14:textId="5C49ACE4" w:rsidR="008474D6" w:rsidRPr="00C470D3" w:rsidRDefault="008474D6" w:rsidP="008474D6">
            <w:pPr>
              <w:pStyle w:val="TableText"/>
            </w:pPr>
            <w:r>
              <w:t>Technical Director – Toxicology &amp; Risk Assessment, SLR</w:t>
            </w:r>
          </w:p>
        </w:tc>
        <w:tc>
          <w:tcPr>
            <w:tcW w:w="3402" w:type="dxa"/>
          </w:tcPr>
          <w:p w14:paraId="6F29701C" w14:textId="117A95A6" w:rsidR="008474D6" w:rsidRPr="00C470D3" w:rsidRDefault="008474D6" w:rsidP="008474D6">
            <w:pPr>
              <w:pStyle w:val="TableText"/>
            </w:pPr>
            <w:r>
              <w:t>Technical oversight and i</w:t>
            </w:r>
            <w:r w:rsidRPr="00C470D3">
              <w:t>nternal peer review</w:t>
            </w:r>
          </w:p>
        </w:tc>
      </w:tr>
      <w:tr w:rsidR="008474D6" w:rsidRPr="00C470D3" w14:paraId="1FB0B77B" w14:textId="77777777" w:rsidTr="00C470D3">
        <w:tc>
          <w:tcPr>
            <w:tcW w:w="2122" w:type="dxa"/>
          </w:tcPr>
          <w:p w14:paraId="1AD7488A" w14:textId="5914EE95" w:rsidR="008474D6" w:rsidRPr="00C470D3" w:rsidRDefault="008474D6" w:rsidP="008474D6">
            <w:pPr>
              <w:pStyle w:val="TableText"/>
            </w:pPr>
            <w:r>
              <w:t>Dr Maryam Moslehi</w:t>
            </w:r>
            <w:r w:rsidR="0084375D">
              <w:t>, PhD RACTRA</w:t>
            </w:r>
          </w:p>
        </w:tc>
        <w:tc>
          <w:tcPr>
            <w:tcW w:w="3402" w:type="dxa"/>
          </w:tcPr>
          <w:p w14:paraId="5006A183" w14:textId="36A4029E" w:rsidR="008474D6" w:rsidRPr="00C470D3" w:rsidRDefault="008474D6" w:rsidP="008474D6">
            <w:pPr>
              <w:pStyle w:val="TableText"/>
            </w:pPr>
            <w:r>
              <w:t>Associate</w:t>
            </w:r>
            <w:r w:rsidRPr="00C470D3">
              <w:t xml:space="preserve"> Consultant – Toxicology &amp; Risk Assessment, SLR</w:t>
            </w:r>
          </w:p>
        </w:tc>
        <w:tc>
          <w:tcPr>
            <w:tcW w:w="3402" w:type="dxa"/>
          </w:tcPr>
          <w:p w14:paraId="296EEE17" w14:textId="42CD2E44" w:rsidR="008474D6" w:rsidRPr="00C470D3" w:rsidRDefault="008474D6" w:rsidP="008474D6">
            <w:pPr>
              <w:pStyle w:val="TableText"/>
            </w:pPr>
            <w:r w:rsidRPr="005D76E8">
              <w:t>Report author and technical oversight of literature review</w:t>
            </w:r>
          </w:p>
        </w:tc>
      </w:tr>
      <w:tr w:rsidR="008474D6" w:rsidRPr="00C470D3" w14:paraId="6B9C5FC7" w14:textId="77777777" w:rsidTr="00C470D3">
        <w:tc>
          <w:tcPr>
            <w:tcW w:w="2122" w:type="dxa"/>
          </w:tcPr>
          <w:p w14:paraId="3F1DF715" w14:textId="066FA01F" w:rsidR="008474D6" w:rsidRDefault="008474D6" w:rsidP="008474D6">
            <w:pPr>
              <w:pStyle w:val="TableText"/>
            </w:pPr>
            <w:r>
              <w:t>Ms Emma Craven</w:t>
            </w:r>
            <w:r w:rsidR="0084375D">
              <w:t xml:space="preserve"> MSs</w:t>
            </w:r>
          </w:p>
        </w:tc>
        <w:tc>
          <w:tcPr>
            <w:tcW w:w="3402" w:type="dxa"/>
          </w:tcPr>
          <w:p w14:paraId="7B9CBCCA" w14:textId="3EB9208F" w:rsidR="008474D6" w:rsidRDefault="008474D6" w:rsidP="008474D6">
            <w:pPr>
              <w:pStyle w:val="TableText"/>
            </w:pPr>
            <w:r>
              <w:t>Project Consultant – Soils, Geochemistry, Toxicology &amp; Risk, SLR</w:t>
            </w:r>
          </w:p>
        </w:tc>
        <w:tc>
          <w:tcPr>
            <w:tcW w:w="3402" w:type="dxa"/>
          </w:tcPr>
          <w:p w14:paraId="47037B42" w14:textId="592D3C4F" w:rsidR="008474D6" w:rsidRPr="005D76E8" w:rsidRDefault="008474D6" w:rsidP="008474D6">
            <w:pPr>
              <w:pStyle w:val="TableText"/>
            </w:pPr>
            <w:r w:rsidRPr="005D76E8">
              <w:t>Literature searching, preliminary title screen</w:t>
            </w:r>
          </w:p>
        </w:tc>
      </w:tr>
    </w:tbl>
    <w:p w14:paraId="5A7311B0" w14:textId="0202CF4E" w:rsidR="00A752AF" w:rsidRDefault="00C470D3" w:rsidP="00C470D3">
      <w:pPr>
        <w:pStyle w:val="Heading1"/>
      </w:pPr>
      <w:bookmarkStart w:id="62" w:name="_Toc233031603"/>
      <w:r w:rsidRPr="00C470D3">
        <w:t>Declared Interests</w:t>
      </w:r>
      <w:bookmarkEnd w:id="62"/>
    </w:p>
    <w:p w14:paraId="1EE9306A" w14:textId="462390BE" w:rsidR="00A54567" w:rsidRPr="00A54567" w:rsidRDefault="0094548F" w:rsidP="00A54567">
      <w:pPr>
        <w:pStyle w:val="BodyText"/>
      </w:pPr>
      <w:r w:rsidRPr="0094548F">
        <w:t>Please refer to the Disclosure of Interest form</w:t>
      </w:r>
      <w:r w:rsidR="0070308F">
        <w:t>s</w:t>
      </w:r>
      <w:r w:rsidRPr="0094548F">
        <w:t xml:space="preserve"> submitted separately to NHMRC.</w:t>
      </w:r>
    </w:p>
    <w:p w14:paraId="3A3A8077" w14:textId="09A1D331" w:rsidR="00BF52EB" w:rsidRDefault="00BF52EB" w:rsidP="00C470D3">
      <w:pPr>
        <w:pStyle w:val="Heading1"/>
      </w:pPr>
      <w:bookmarkStart w:id="63" w:name="_Toc233031604"/>
      <w:r>
        <w:t>Acknowledgements</w:t>
      </w:r>
    </w:p>
    <w:p w14:paraId="0ACCC130" w14:textId="5A118231" w:rsidR="00BF52EB" w:rsidRPr="00BF52EB" w:rsidRDefault="00BF52EB" w:rsidP="00BF52EB">
      <w:pPr>
        <w:pStyle w:val="BodyText"/>
      </w:pPr>
      <w:r>
        <w:t xml:space="preserve">The authors acknowledge NHMRC and the members of the Committee for their insightful review comments. </w:t>
      </w:r>
    </w:p>
    <w:p w14:paraId="5A7F805F" w14:textId="70424ABF" w:rsidR="00C470D3" w:rsidRDefault="00C470D3" w:rsidP="00C470D3">
      <w:pPr>
        <w:pStyle w:val="Heading1"/>
      </w:pPr>
      <w:r>
        <w:lastRenderedPageBreak/>
        <w:t>References</w:t>
      </w:r>
      <w:bookmarkEnd w:id="63"/>
    </w:p>
    <w:p w14:paraId="6C82F035" w14:textId="77777777" w:rsidR="00FF474D" w:rsidRDefault="00FF474D" w:rsidP="00FF474D">
      <w:r>
        <w:t>Arai, Y., Okanishi, T., Kanai, S., Ohta, K., Sunada, H., Noma, H., &amp; Maegaki, Y. (2023). Identifying risk factors for adverse events of pyridoxal phosphate in infantile epileptic spasms syndrome. Epilepsy &amp; Behavior, 145, 109348.</w:t>
      </w:r>
    </w:p>
    <w:p w14:paraId="0D2AF88E" w14:textId="0B26B0A7" w:rsidR="00C90992" w:rsidRDefault="00C90992" w:rsidP="00C90992">
      <w:r>
        <w:t>Australian Bureau of Statistics (ABS) 2026, Usual nutrient intakes, 2023, ABS, Canberra, viewed 17 June 2026.</w:t>
      </w:r>
    </w:p>
    <w:p w14:paraId="1BD123B7" w14:textId="6C9592FC" w:rsidR="00C90992" w:rsidRDefault="00C90992" w:rsidP="00C90992">
      <w:r>
        <w:t>Australian Bureau of Statistics (ABS) 2025, Dietary supplements, 2023, ABS, Canberra, viewed 17 June 2026.</w:t>
      </w:r>
    </w:p>
    <w:p w14:paraId="764616AA" w14:textId="77777777" w:rsidR="00FF474D" w:rsidRDefault="00FF474D" w:rsidP="00FF474D">
      <w:r>
        <w:t>Bernstein, A. L., &amp; Lobitz, C. S. (1988). A clinical and electrophysiologic study of the treatment of painful diabetic neuropathies with pyridoxine. In Clinical and Physiological Applications of Vitamin B6. Alan R Liss Inc, pp 415–423.</w:t>
      </w:r>
    </w:p>
    <w:p w14:paraId="79E069DF" w14:textId="77777777" w:rsidR="00FF474D" w:rsidRDefault="00FF474D" w:rsidP="00FF474D">
      <w:r>
        <w:t>Bossard, V., Bourmeyster, N., Pasini, S., Dupuis, P., El Balkhi, S., Richard, E., Alarcan, H., Hauet, T., &amp; Thuillier, R. (2022). Problematic rise of vitamin B6 supplementation overuse and potential risk to bariatric surgery patients. Nutrition, 102, 111738.</w:t>
      </w:r>
    </w:p>
    <w:p w14:paraId="314A826E" w14:textId="77777777" w:rsidR="00FF474D" w:rsidRDefault="00FF474D" w:rsidP="00FF474D">
      <w:r>
        <w:t>Brands, M. M., de Puyraimond, C., Gospe, S. M., Schiff, M. M., Jaeger, B., Koot, B. G., Raphael, M. F., Lubout, C. M., Soto, B., Delanne, J., Imbard, A., Zempel, J., Kraal, K. C., Scheenstra, R., &amp; Clayton, P. T. (2026). Hepatocellular carcinoma: A critical complication in patients treated with pyridoxal phosphate. Neuropediatrics, 57, 59–64.</w:t>
      </w:r>
    </w:p>
    <w:p w14:paraId="257662BF" w14:textId="77777777" w:rsidR="00EA629B" w:rsidRDefault="00EA629B" w:rsidP="00EA629B">
      <w:pPr>
        <w:pStyle w:val="BodyText"/>
      </w:pPr>
      <w:r w:rsidRPr="003C5F5C">
        <w:t>Canadian Vigilance Adverse Reaction Online Database</w:t>
      </w:r>
      <w:r>
        <w:t xml:space="preserve">. Accessed on June 11, 2026. Available online: </w:t>
      </w:r>
      <w:hyperlink r:id="rId28" w:history="1">
        <w:r w:rsidRPr="003C5F5C">
          <w:rPr>
            <w:rStyle w:val="Hyperlink"/>
            <w:rFonts w:eastAsiaTheme="minorHAnsi" w:cstheme="minorBidi"/>
            <w:szCs w:val="20"/>
            <w:lang w:val="en-US"/>
          </w:rPr>
          <w:t>https://cvp-pcv.hc-sc.gc.ca/arq-rei/search-recherche</w:t>
        </w:r>
      </w:hyperlink>
    </w:p>
    <w:p w14:paraId="212B863D" w14:textId="3CFB1811" w:rsidR="00EA629B" w:rsidRDefault="00EA629B" w:rsidP="00EA629B">
      <w:pPr>
        <w:pStyle w:val="BodyText"/>
      </w:pPr>
      <w:r w:rsidRPr="003C5F5C">
        <w:t>DAEN</w:t>
      </w:r>
      <w:r>
        <w:t xml:space="preserve">. </w:t>
      </w:r>
      <w:r w:rsidRPr="003C5F5C">
        <w:t xml:space="preserve">Database of Adverse Event Notifications (DAEN) </w:t>
      </w:r>
      <w:r>
        <w:t>–</w:t>
      </w:r>
      <w:r w:rsidRPr="003C5F5C">
        <w:t xml:space="preserve"> medicines</w:t>
      </w:r>
      <w:r>
        <w:t xml:space="preserve">. Accessed on June 11, 2026. Available online: </w:t>
      </w:r>
      <w:hyperlink r:id="rId29" w:history="1">
        <w:r w:rsidRPr="003C5F5C">
          <w:rPr>
            <w:rStyle w:val="Hyperlink"/>
            <w:rFonts w:eastAsiaTheme="minorHAnsi" w:cstheme="minorBidi"/>
            <w:szCs w:val="20"/>
            <w:lang w:val="en-US"/>
          </w:rPr>
          <w:t>https://aems.tga.gov.au/daen-medicines-search/</w:t>
        </w:r>
      </w:hyperlink>
    </w:p>
    <w:p w14:paraId="127A7787" w14:textId="3583ED18" w:rsidR="00FF474D" w:rsidRDefault="00FF474D" w:rsidP="00FF474D">
      <w:r>
        <w:t>Dalton, K., &amp; Dalton, M. J. T. (1987). Characteristics of pyridoxine overdose neuropathy syndrome. Acta Neurologica Scandinavica, 76, 8–11.</w:t>
      </w:r>
    </w:p>
    <w:p w14:paraId="7F48270B" w14:textId="77777777" w:rsidR="00FF474D" w:rsidRDefault="00FF474D" w:rsidP="00FF474D">
      <w:r>
        <w:t>Del Tredici, A. M., Bernstein, A. L., &amp; Chinn, K. (1985). Carpal tunnel syndrome and vitamin B6 therapy. In Vitamin B6: Its Role in Health and Disease. Alan R Liss Inc, pp 459–462.</w:t>
      </w:r>
    </w:p>
    <w:p w14:paraId="129BC82F" w14:textId="261E1927" w:rsidR="00EA629B" w:rsidRDefault="00EA629B" w:rsidP="00FF474D">
      <w:r w:rsidRPr="00EA629B">
        <w:t>EudraVigilance – European database of suspected adverse drug reaction reports. Accessed on June 11, 2026. Available online: https://www.adrreports.eu/en/search_subst.html#</w:t>
      </w:r>
    </w:p>
    <w:p w14:paraId="0E0EC942" w14:textId="31728D19" w:rsidR="00FF474D" w:rsidRDefault="002157DF" w:rsidP="00FF474D">
      <w:r w:rsidRPr="002157DF">
        <w:t>Expert Group on Vitamins and Minerals (EVM) (2003). Safe Upper Levels for Vitamins and Minerals. Food Standards Agency, United Kingdom</w:t>
      </w:r>
      <w:r w:rsidR="00FF474D">
        <w:t>.</w:t>
      </w:r>
    </w:p>
    <w:p w14:paraId="2B76B067" w14:textId="0DD425A0" w:rsidR="00EA629B" w:rsidRDefault="00EA629B" w:rsidP="005064F6">
      <w:r w:rsidRPr="00EA629B">
        <w:t xml:space="preserve">FDA Adverse Event Monitoring System (AEMS) Public Dashboard for Drugs and Biologics. Accessed on June 11, 2026. Available online: </w:t>
      </w:r>
      <w:hyperlink r:id="rId30" w:history="1">
        <w:r w:rsidRPr="00EA629B">
          <w:rPr>
            <w:rStyle w:val="Hyperlink"/>
            <w:rFonts w:eastAsiaTheme="minorHAnsi" w:cstheme="minorBidi"/>
            <w:szCs w:val="20"/>
            <w:lang w:val="en-US"/>
          </w:rPr>
          <w:t>https://fis.fda.gov/sense/app/95239e26-e0be-42d9-a960-9a5f7f1c25ee/sheet/45beeb74-30ab-46be-8267-5756582633b4/state/analysishttps</w:t>
        </w:r>
      </w:hyperlink>
    </w:p>
    <w:p w14:paraId="3B66E1EC" w14:textId="08151296" w:rsidR="005064F6" w:rsidRDefault="005064F6" w:rsidP="005064F6">
      <w:r>
        <w:t>Food Standards Australia New Zealand (FSANZ) 2005a, Application A470 – Formulated Beverages: Attachment 5, Nutrition Assessment, FSANZ, Canberra.</w:t>
      </w:r>
    </w:p>
    <w:p w14:paraId="190B1038" w14:textId="2F7AED02" w:rsidR="005064F6" w:rsidRDefault="005064F6" w:rsidP="005064F6">
      <w:r>
        <w:t>Food Standards Australia New Zealand (FSANZ) 2005b, Application A470 – Formulated Beverages: Attachment 6, Risk Assessment – Micronutrients, FSANZ, Canberra.</w:t>
      </w:r>
    </w:p>
    <w:p w14:paraId="21988953" w14:textId="51081A67" w:rsidR="005064F6" w:rsidRDefault="005064F6" w:rsidP="005064F6">
      <w:r>
        <w:t>Food Standards Australia New Zealand (FSANZ) 2005c, Application A470 – Formulated Beverages: Draft Assessment Report, Part 2: Attachment 5, Nutrition Assessment, FSANZ, Canberra.</w:t>
      </w:r>
    </w:p>
    <w:p w14:paraId="684BB0FB" w14:textId="34C4BCAA" w:rsidR="00FF474D" w:rsidRDefault="002157DF" w:rsidP="00FF474D">
      <w:r w:rsidRPr="002157DF">
        <w:t xml:space="preserve">Gdynia N, Gratzer A and Gdynia HJ (2025). Polyneuropathy due to vitamin B6 hypervitaminosis: a case series and call for more education. </w:t>
      </w:r>
      <w:r w:rsidRPr="002157DF">
        <w:rPr>
          <w:i/>
          <w:iCs/>
        </w:rPr>
        <w:t>Journal of Neurosciences in Rural Practice</w:t>
      </w:r>
      <w:r w:rsidRPr="002157DF">
        <w:t xml:space="preserve">. </w:t>
      </w:r>
      <w:hyperlink r:id="rId31" w:history="1">
        <w:r w:rsidRPr="002157DF">
          <w:rPr>
            <w:rStyle w:val="Hyperlink"/>
            <w:rFonts w:eastAsiaTheme="minorHAnsi" w:cstheme="minorBidi"/>
            <w:szCs w:val="20"/>
            <w:lang w:val="en-AU"/>
          </w:rPr>
          <w:t>https://doi.org/10.25259/JNRP_346_2024</w:t>
        </w:r>
      </w:hyperlink>
    </w:p>
    <w:p w14:paraId="08924DBF" w14:textId="1FE85906" w:rsidR="00C07D22" w:rsidRDefault="00C07D22" w:rsidP="00FF474D">
      <w:r w:rsidRPr="00C07D22">
        <w:lastRenderedPageBreak/>
        <w:t xml:space="preserve">GRADE Working Group. 2024. </w:t>
      </w:r>
      <w:r w:rsidRPr="00C07D22">
        <w:rPr>
          <w:i/>
          <w:iCs/>
        </w:rPr>
        <w:t>The GRADE Book version 1.0</w:t>
      </w:r>
      <w:r w:rsidRPr="00C07D22">
        <w:t xml:space="preserve">. Edited by I. Neumann and H. Schünemann. Updated September 2024. Available from: </w:t>
      </w:r>
      <w:hyperlink r:id="rId32" w:history="1">
        <w:r w:rsidRPr="00C07D22">
          <w:rPr>
            <w:rStyle w:val="Hyperlink"/>
            <w:rFonts w:eastAsiaTheme="minorHAnsi" w:cstheme="minorBidi"/>
            <w:szCs w:val="20"/>
            <w:lang w:val="en-AU"/>
          </w:rPr>
          <w:t>https://book.gradepro.org</w:t>
        </w:r>
      </w:hyperlink>
    </w:p>
    <w:p w14:paraId="20376239" w14:textId="20991899" w:rsidR="0041556B" w:rsidRDefault="0041556B" w:rsidP="00FF474D">
      <w:r w:rsidRPr="0041556B">
        <w:t>He L, Fan Y, Hu Y, Tian C, Tian Y, Zhang J and Ren Y (2025). The potential hazards of high doses of vitamin B6 in treating nausea and vomiting in pregnancy: a systematic review. International Journal of Gynaecology and Obstetrics, 169(1):38–50. https://doi.org/10.1002/ijgo.16032</w:t>
      </w:r>
    </w:p>
    <w:p w14:paraId="3AD17C61" w14:textId="00783FE2" w:rsidR="00FF474D" w:rsidRDefault="002157DF" w:rsidP="00FF474D">
      <w:r w:rsidRPr="002157DF">
        <w:t>Institute of Medicine (IOM) (1998). Dietary Reference Intakes for Thiamin, Riboflavin, Niacin, Vitamin B6, Folate, Vitamin B12, Pantothenic Acid, Biotin, and Choline. National Academies Press, Washington, DC</w:t>
      </w:r>
      <w:r w:rsidR="00FF474D">
        <w:t>.</w:t>
      </w:r>
    </w:p>
    <w:p w14:paraId="23A96CB4" w14:textId="230D969A" w:rsidR="00217819" w:rsidRDefault="00217819" w:rsidP="00FF474D">
      <w:r w:rsidRPr="00217819">
        <w:t>Kościńska-Shukla I, Jaskólska M, Grochowalska K, Okrój M and Chmielewski M (2025). Underestimated pyridoxine consumption and neurotoxicity: a novel manifestation with rheumatologic relevance — a case-based review. Rheumatology International, 45(6):144. https://doi.org/10.1007/s00296-025-05900-9</w:t>
      </w:r>
    </w:p>
    <w:p w14:paraId="119D5DFF" w14:textId="5C2F7507" w:rsidR="00FF474D" w:rsidRDefault="002157DF" w:rsidP="00FF474D">
      <w:r w:rsidRPr="002157DF">
        <w:t xml:space="preserve">Lee JZC, Chow CK, Fung CW, Lui STY and Wong SNS (2025). Case report: hepatocellular carcinoma in a patient with pyridoxamine 5-phosphate oxidase (PNPO) deficiency undergoing pyridoxal 5-phosphate (PLP) treatment. </w:t>
      </w:r>
      <w:r w:rsidRPr="002157DF">
        <w:rPr>
          <w:i/>
          <w:iCs/>
        </w:rPr>
        <w:t>Molecular Genetics and Metabolism Reports</w:t>
      </w:r>
      <w:r w:rsidRPr="002157DF">
        <w:t xml:space="preserve">, 43:101224. </w:t>
      </w:r>
      <w:hyperlink r:id="rId33" w:history="1">
        <w:r w:rsidRPr="002157DF">
          <w:rPr>
            <w:rStyle w:val="Hyperlink"/>
            <w:rFonts w:eastAsiaTheme="minorHAnsi" w:cstheme="minorBidi"/>
            <w:szCs w:val="20"/>
            <w:lang w:val="en-AU"/>
          </w:rPr>
          <w:t>https://doi.org/10.1016/j.ymgmr.2025.101224</w:t>
        </w:r>
      </w:hyperlink>
    </w:p>
    <w:p w14:paraId="39B5F0B6" w14:textId="7B15AD3D" w:rsidR="00217819" w:rsidRDefault="00217819" w:rsidP="00FF474D">
      <w:r w:rsidRPr="00217819">
        <w:t>Modica JS, Déry C, Canissario R, Logigian E, Bonno D, Stanton M, Dupré N, McDermott MP, Bouchard M, Lang AE and Lizarraga KJ (2023). A systematic review of the potential consequences of abnormal serum levels of vitamin B6 in people living with Parkinson's disease. Journal of the Neurological Sciences, 450:120690. https://doi.org/10.1016/j.jns.2023.120690</w:t>
      </w:r>
    </w:p>
    <w:p w14:paraId="5D2BC16C" w14:textId="34ABB11A" w:rsidR="00FF474D" w:rsidRDefault="00FF474D" w:rsidP="00FF474D">
      <w:r>
        <w:t>Moher, D., Liberati, A., Tetzlaff, J., Altman, D. G., &amp; The PRISMA Group (2009). Preferred reporting items for systematic reviews and meta-analyses: The PRISMA statement. PLoS Medicine, 6(7), e1000097.</w:t>
      </w:r>
    </w:p>
    <w:p w14:paraId="72A83881" w14:textId="63037F2F" w:rsidR="00FF474D" w:rsidRPr="002157DF" w:rsidRDefault="002157DF" w:rsidP="00FF474D">
      <w:pPr>
        <w:rPr>
          <w:bCs/>
        </w:rPr>
      </w:pPr>
      <w:r w:rsidRPr="002157DF">
        <w:rPr>
          <w:bCs/>
        </w:rPr>
        <w:t xml:space="preserve">Morris AAM, Sokolová J, Pavlíková M, Gleich F, Kölker S, Dionisi-Vici C, Baumgartner MR, Hannibal L, Blom HJ, Huemer M, Kožich V and E-HOD Consortium (2025). Cystathionine β-synthase deficiency in the E-HOD Registry — Part II: dietary and pharmacological treatment. </w:t>
      </w:r>
      <w:r w:rsidRPr="002157DF">
        <w:rPr>
          <w:bCs/>
          <w:i/>
          <w:iCs/>
        </w:rPr>
        <w:t>Journal of Inherited Metabolic Disease</w:t>
      </w:r>
      <w:r w:rsidRPr="002157DF">
        <w:rPr>
          <w:bCs/>
        </w:rPr>
        <w:t xml:space="preserve">, 48:e12844. </w:t>
      </w:r>
      <w:hyperlink r:id="rId34" w:history="1">
        <w:r w:rsidRPr="002157DF">
          <w:rPr>
            <w:rStyle w:val="Hyperlink"/>
            <w:rFonts w:eastAsiaTheme="minorHAnsi" w:cstheme="minorBidi"/>
            <w:bCs/>
            <w:szCs w:val="20"/>
            <w:lang w:val="en-AU"/>
          </w:rPr>
          <w:t>https://doi.org/10.1002/jimd.12844</w:t>
        </w:r>
      </w:hyperlink>
    </w:p>
    <w:p w14:paraId="6C910339" w14:textId="7F1AF5A7" w:rsidR="00217819" w:rsidRDefault="00217819" w:rsidP="00FF474D">
      <w:r w:rsidRPr="00217819">
        <w:t>Muhamad R, Akrivaki A, Papagiannopoulou G, Zavridis P and Zis P (2023). The role of vitamin B6 in peripheral neuropathy: a systematic review. Nutrients, 15(13):2823. https://doi.org/10.3390/nu15132823</w:t>
      </w:r>
    </w:p>
    <w:p w14:paraId="3A8C98C3" w14:textId="4F8641A4" w:rsidR="00FF474D" w:rsidRDefault="002157DF" w:rsidP="00FF474D">
      <w:r w:rsidRPr="002157DF">
        <w:t>National Health and Medical Research Council (NHMRC) (2006). Nutrient Reference Values for Australia and New Zealand Including Recommended Dietary Intakes. NHMRC, Canberra.</w:t>
      </w:r>
    </w:p>
    <w:p w14:paraId="3ECD39E5" w14:textId="684C6E3B" w:rsidR="00FF474D" w:rsidRDefault="002157DF" w:rsidP="00FF474D">
      <w:r w:rsidRPr="002157DF">
        <w:t>National Toxicology Program Office of Health Assessment and Translation (NTP OHAT) (2019). Handbook for Conducting a Literature-Based Health Assessment Using OHAT Approach for Systematic Review and Evidence Integration. National Institute of Environmental Health Sciences, United States</w:t>
      </w:r>
      <w:r w:rsidR="00FF474D">
        <w:t>.</w:t>
      </w:r>
    </w:p>
    <w:p w14:paraId="052000EF" w14:textId="312DDC05" w:rsidR="00B14B6A" w:rsidRDefault="00B14B6A" w:rsidP="00FF474D">
      <w:r w:rsidRPr="00B14B6A">
        <w:t>Netherlands Ministry of Health, Welfare and Sport. Warenwetregeling Vrijstelling voedingssupplementen [Food Supplements Exemption Regulation]. 20 August 2018. The Hague: Dutch Ministry of Health, Welfare and Sport; 2018.</w:t>
      </w:r>
    </w:p>
    <w:p w14:paraId="20D5C3C1" w14:textId="30485FBC" w:rsidR="006F2818" w:rsidRPr="006F2818" w:rsidRDefault="006F2818" w:rsidP="00FF474D">
      <w:r>
        <w:t xml:space="preserve">NZANS (2012) </w:t>
      </w:r>
      <w:r w:rsidRPr="000D34B3">
        <w:t>A Focus on Nutrition: Key Findings of the 2008/09 New Zealand Adult Nutrition Survey</w:t>
      </w:r>
      <w:r>
        <w:t xml:space="preserve">. Otago and Ministry of Health. 2011. Wellington: Ministry of Health. Published in September 2011 by the Ministry of Health PO Box 5013, Wellington, New Zealand. ISBN 978-0-478-37348-6 (online). HP 5412. </w:t>
      </w:r>
      <w:r w:rsidRPr="000D34B3">
        <w:t>https://www.health.govt.nz/system/files/2011-10/a-focus-on-nutrition-v2.pdf</w:t>
      </w:r>
    </w:p>
    <w:p w14:paraId="6232E3DA" w14:textId="68D3CFBF" w:rsidR="00FF474D" w:rsidRPr="002157DF" w:rsidRDefault="002157DF" w:rsidP="00FF474D">
      <w:pPr>
        <w:rPr>
          <w:bCs/>
        </w:rPr>
      </w:pPr>
      <w:r w:rsidRPr="002157DF">
        <w:rPr>
          <w:bCs/>
        </w:rPr>
        <w:lastRenderedPageBreak/>
        <w:t xml:space="preserve">Paluszny A and Qiu S (2023). Vitamin B6 toxicity secondary to daily multivitamin use: a case report. </w:t>
      </w:r>
      <w:r w:rsidRPr="002157DF">
        <w:rPr>
          <w:bCs/>
          <w:i/>
          <w:iCs/>
        </w:rPr>
        <w:t>Cureus</w:t>
      </w:r>
      <w:r w:rsidRPr="002157DF">
        <w:rPr>
          <w:bCs/>
        </w:rPr>
        <w:t xml:space="preserve">, 15(11):e48792. </w:t>
      </w:r>
      <w:hyperlink r:id="rId35" w:history="1">
        <w:r w:rsidRPr="002157DF">
          <w:rPr>
            <w:rStyle w:val="Hyperlink"/>
            <w:rFonts w:eastAsiaTheme="minorHAnsi" w:cstheme="minorBidi"/>
            <w:bCs/>
            <w:szCs w:val="20"/>
            <w:lang w:val="en-AU"/>
          </w:rPr>
          <w:t>https://doi.org/10.7759/cureus.48792</w:t>
        </w:r>
      </w:hyperlink>
    </w:p>
    <w:p w14:paraId="555BFDFB" w14:textId="4E1E96DD" w:rsidR="00FF474D" w:rsidRPr="002157DF" w:rsidRDefault="002157DF" w:rsidP="00FF474D">
      <w:pPr>
        <w:rPr>
          <w:bCs/>
        </w:rPr>
      </w:pPr>
      <w:r w:rsidRPr="002157DF">
        <w:rPr>
          <w:bCs/>
        </w:rPr>
        <w:t xml:space="preserve">Phillips WEJ, Mills JHL, Charbonneau SM, Tryphonas L, Hatina GV, Zawidzka Z, Bryce FR and Munro IC (1978). Subacute toxicity of pyridoxine hydrochloride in the beagle dog. Toxicology and Applied Pharmacology, 44(2):323–333. </w:t>
      </w:r>
      <w:hyperlink r:id="rId36" w:history="1">
        <w:r w:rsidRPr="002157DF">
          <w:rPr>
            <w:rStyle w:val="Hyperlink"/>
            <w:rFonts w:eastAsiaTheme="minorHAnsi" w:cstheme="minorBidi"/>
            <w:bCs/>
            <w:szCs w:val="20"/>
            <w:lang w:val="en-AU"/>
          </w:rPr>
          <w:t>https://doi.org/10.1016/0041-008X(78)90194-1</w:t>
        </w:r>
      </w:hyperlink>
    </w:p>
    <w:p w14:paraId="4A619C3D" w14:textId="77777777" w:rsidR="0041556B" w:rsidRPr="002157DF" w:rsidRDefault="0041556B" w:rsidP="0041556B">
      <w:pPr>
        <w:rPr>
          <w:bCs/>
        </w:rPr>
      </w:pPr>
      <w:r w:rsidRPr="002157DF">
        <w:rPr>
          <w:bCs/>
        </w:rPr>
        <w:t xml:space="preserve">Sano T, Masuda Y, Yasuno H, Shinozawa T, Watanabe T and Kakehi M (2022). Blood neurofilament light chain as a potential biomarker for central and peripheral nervous toxicity in rats. </w:t>
      </w:r>
      <w:r w:rsidRPr="002157DF">
        <w:rPr>
          <w:bCs/>
          <w:i/>
          <w:iCs/>
        </w:rPr>
        <w:t>Toxicological Sciences</w:t>
      </w:r>
      <w:r w:rsidRPr="002157DF">
        <w:rPr>
          <w:bCs/>
        </w:rPr>
        <w:t xml:space="preserve">, 185(1):10–18. </w:t>
      </w:r>
      <w:hyperlink r:id="rId37" w:history="1">
        <w:r w:rsidRPr="002157DF">
          <w:rPr>
            <w:rStyle w:val="Hyperlink"/>
            <w:rFonts w:eastAsiaTheme="minorHAnsi" w:cstheme="minorBidi"/>
            <w:bCs/>
            <w:szCs w:val="20"/>
            <w:lang w:val="en-AU"/>
          </w:rPr>
          <w:t>https://doi.org/10.1093/toxsci/kfab122</w:t>
        </w:r>
      </w:hyperlink>
    </w:p>
    <w:p w14:paraId="2C414FD9" w14:textId="5C9D45A7" w:rsidR="0041556B" w:rsidRDefault="0041556B" w:rsidP="00FF474D">
      <w:r w:rsidRPr="0041556B">
        <w:t xml:space="preserve">Schellack N, Yotsombut K, Sabet A, Nafach J, Hiew FL and Kulkantrakorn K (2025). Expert consensus on vitamin B6 therapeutic use for patients: guidance on safe dosage, duration and clinical management. Drug, Healthcare and Patient Safety, 17:97–108. </w:t>
      </w:r>
      <w:hyperlink r:id="rId38" w:history="1">
        <w:r w:rsidRPr="00612080">
          <w:rPr>
            <w:rStyle w:val="Hyperlink"/>
            <w:rFonts w:eastAsiaTheme="minorHAnsi" w:cstheme="minorBidi"/>
            <w:szCs w:val="20"/>
            <w:lang w:val="en-AU"/>
          </w:rPr>
          <w:t>https://doi.org/10.2147/DHPS.S499941</w:t>
        </w:r>
      </w:hyperlink>
    </w:p>
    <w:p w14:paraId="452B7394" w14:textId="5B7ED86A" w:rsidR="00FF474D" w:rsidRDefault="00FF474D" w:rsidP="00FF474D">
      <w:r>
        <w:t>S</w:t>
      </w:r>
      <w:r w:rsidR="002157DF">
        <w:t>cientific Committee on Food (S</w:t>
      </w:r>
      <w:r>
        <w:t>CF</w:t>
      </w:r>
      <w:r w:rsidR="002157DF">
        <w:t>)</w:t>
      </w:r>
      <w:r>
        <w:t xml:space="preserve"> (2000). Opinion of the Scientific Committee on Food on the Tolerable Upper Intake Level of Vitamin B6 (SCF/CS/NUT/UPPLEV/16 Final). European Commission, Scientific Committee on Food.</w:t>
      </w:r>
    </w:p>
    <w:p w14:paraId="5B0B550C" w14:textId="4CAFF987" w:rsidR="00FF474D" w:rsidRPr="002157DF" w:rsidRDefault="002157DF" w:rsidP="00FF474D">
      <w:pPr>
        <w:rPr>
          <w:bCs/>
        </w:rPr>
      </w:pPr>
      <w:r w:rsidRPr="002157DF">
        <w:rPr>
          <w:bCs/>
        </w:rPr>
        <w:t xml:space="preserve">Stewart SL, Thomas S, Höke E, Simpson D, Singleton JR and Höke A (2022). Vitamin B6 levels do not correlate with severity of neuropathy in chronic idiopathic axonal polyneuropathy. </w:t>
      </w:r>
      <w:r w:rsidRPr="002157DF">
        <w:rPr>
          <w:bCs/>
          <w:i/>
          <w:iCs/>
        </w:rPr>
        <w:t>Journal of the Peripheral Nervous System</w:t>
      </w:r>
      <w:r w:rsidRPr="002157DF">
        <w:rPr>
          <w:bCs/>
        </w:rPr>
        <w:t xml:space="preserve">, 27(1):31–37. </w:t>
      </w:r>
      <w:hyperlink r:id="rId39" w:history="1">
        <w:r w:rsidRPr="002157DF">
          <w:rPr>
            <w:rStyle w:val="Hyperlink"/>
            <w:rFonts w:eastAsiaTheme="minorHAnsi" w:cstheme="minorBidi"/>
            <w:bCs/>
            <w:szCs w:val="20"/>
            <w:lang w:val="en-AU"/>
          </w:rPr>
          <w:t>https://doi.org/10.1111/jns.12480</w:t>
        </w:r>
      </w:hyperlink>
    </w:p>
    <w:p w14:paraId="65E3C3B5" w14:textId="189DB96D" w:rsidR="00217819" w:rsidRDefault="00217819" w:rsidP="00FF474D">
      <w:pPr>
        <w:rPr>
          <w:bCs/>
        </w:rPr>
      </w:pPr>
      <w:r w:rsidRPr="00217819">
        <w:rPr>
          <w:bCs/>
        </w:rPr>
        <w:t>Sun Y, Yu X, Teng Y and Sun Y (2025). Toxic effects of excess vitamins A, B6, and folic acid on the nervous system. Behavioural Neurology, 2025:7888243. https://doi.org/10.1155/bn/7888243</w:t>
      </w:r>
    </w:p>
    <w:p w14:paraId="5CCA90A3" w14:textId="38CE857C" w:rsidR="00FF474D" w:rsidRPr="002157DF" w:rsidRDefault="002157DF" w:rsidP="00FF474D">
      <w:pPr>
        <w:rPr>
          <w:bCs/>
        </w:rPr>
      </w:pPr>
      <w:r w:rsidRPr="002157DF">
        <w:rPr>
          <w:bCs/>
        </w:rPr>
        <w:t xml:space="preserve">Theil D, Kuhle J, Brees D, Tritto E, Pognan F, Frieauff W, Penraat K, Meseck E, Valdez R and Hartmann A (2023). Neurofilament light chain: a translational safety biomarker for drug-induced peripheral neurotoxicity. </w:t>
      </w:r>
      <w:r w:rsidRPr="002157DF">
        <w:rPr>
          <w:bCs/>
          <w:i/>
          <w:iCs/>
        </w:rPr>
        <w:t>Toxicologic Pathology</w:t>
      </w:r>
      <w:r w:rsidRPr="002157DF">
        <w:rPr>
          <w:bCs/>
        </w:rPr>
        <w:t xml:space="preserve">, 51(3):135–147. </w:t>
      </w:r>
      <w:hyperlink r:id="rId40" w:history="1">
        <w:r w:rsidRPr="002157DF">
          <w:rPr>
            <w:rStyle w:val="Hyperlink"/>
            <w:rFonts w:eastAsiaTheme="minorHAnsi" w:cstheme="minorBidi"/>
            <w:bCs/>
            <w:szCs w:val="20"/>
            <w:lang w:val="en-AU"/>
          </w:rPr>
          <w:t>https://doi.org/10.1177/01926233231180179</w:t>
        </w:r>
      </w:hyperlink>
    </w:p>
    <w:p w14:paraId="5B5E7924" w14:textId="77777777" w:rsidR="00FF474D" w:rsidRDefault="00FF474D" w:rsidP="00FF474D">
      <w:r>
        <w:t>Turck, D., Bohn, T., Castenmiller, J., de Henauw, S., Hirsch-Ernst, K.-I., Knutsen, H. K., Maciuk, A., Mangelsdorf, I., McArdle, H. J., Pelaez, C., Pentieva, K., Siani, A., Thies, F., Tsabouri, S., Vinceti, M., Fairweather-Tait, S., Vrolijk, M., Fabiani, L., Titz, A., &amp; Naska, A. (EFSA Panel on Nutrition, Novel Foods and Food Allergens, NDA) (2023). Scientific opinion on the tolerable upper intake level for vitamin B6. EFSA Journal, 21(5), 8006.</w:t>
      </w:r>
    </w:p>
    <w:p w14:paraId="525A3125" w14:textId="12F9B652" w:rsidR="00FF474D" w:rsidRPr="002157DF" w:rsidRDefault="002157DF" w:rsidP="00FF474D">
      <w:pPr>
        <w:rPr>
          <w:bCs/>
        </w:rPr>
      </w:pPr>
      <w:r w:rsidRPr="002157DF">
        <w:rPr>
          <w:bCs/>
        </w:rPr>
        <w:t xml:space="preserve">van Hunsel F, Scholl J, Vrolijk M and Ekhart C (2025). Impact of regulatory action on dose maximalization for vitamin B6 dietary supplements on the reporting pattern for neuropathy. </w:t>
      </w:r>
      <w:r w:rsidRPr="002157DF">
        <w:rPr>
          <w:bCs/>
          <w:i/>
          <w:iCs/>
        </w:rPr>
        <w:t>Pharmacoepidemiology and Drug Safety</w:t>
      </w:r>
      <w:r w:rsidRPr="002157DF">
        <w:rPr>
          <w:bCs/>
        </w:rPr>
        <w:t xml:space="preserve">, 34:e70108. </w:t>
      </w:r>
      <w:hyperlink r:id="rId41" w:history="1">
        <w:r w:rsidRPr="002157DF">
          <w:rPr>
            <w:rStyle w:val="Hyperlink"/>
            <w:rFonts w:eastAsiaTheme="minorHAnsi" w:cstheme="minorBidi"/>
            <w:bCs/>
            <w:szCs w:val="20"/>
            <w:lang w:val="en-AU"/>
          </w:rPr>
          <w:t>https://doi.org/10.1002/pds.70108</w:t>
        </w:r>
      </w:hyperlink>
    </w:p>
    <w:p w14:paraId="691C34D3" w14:textId="29877099" w:rsidR="00FF474D" w:rsidRPr="002157DF" w:rsidRDefault="002157DF" w:rsidP="00FF474D">
      <w:pPr>
        <w:rPr>
          <w:bCs/>
        </w:rPr>
      </w:pPr>
      <w:r w:rsidRPr="002157DF">
        <w:rPr>
          <w:bCs/>
        </w:rPr>
        <w:t xml:space="preserve">Webster R, Parayil Sankaran B, Bandodkar S, Stormon M, Thomas G, Shun A, Bowen DG, Fielder T, Barclay P, Khalil Y, Mills P, Clayton P and Bhattacharya K (2026). Liver transplantation in PNPO deficiency: management challenges and biological lessons. </w:t>
      </w:r>
      <w:r w:rsidRPr="002157DF">
        <w:rPr>
          <w:bCs/>
          <w:i/>
          <w:iCs/>
        </w:rPr>
        <w:t>JIMD Reports</w:t>
      </w:r>
      <w:r w:rsidRPr="002157DF">
        <w:rPr>
          <w:bCs/>
        </w:rPr>
        <w:t xml:space="preserve">, 67:e70067. </w:t>
      </w:r>
      <w:hyperlink r:id="rId42" w:history="1">
        <w:r w:rsidRPr="002157DF">
          <w:rPr>
            <w:rStyle w:val="Hyperlink"/>
            <w:rFonts w:eastAsiaTheme="minorHAnsi" w:cstheme="minorBidi"/>
            <w:bCs/>
            <w:szCs w:val="20"/>
            <w:lang w:val="en-AU"/>
          </w:rPr>
          <w:t>https://doi.org/10.1002/jmd2.70067</w:t>
        </w:r>
      </w:hyperlink>
    </w:p>
    <w:p w14:paraId="7A23816E" w14:textId="339480E3" w:rsidR="00FF474D" w:rsidRDefault="002157DF" w:rsidP="00FF474D">
      <w:pPr>
        <w:rPr>
          <w:bCs/>
        </w:rPr>
      </w:pPr>
      <w:r w:rsidRPr="002157DF">
        <w:rPr>
          <w:bCs/>
        </w:rPr>
        <w:t>World Health Organization/Food and Agriculture Organization of the United Nations (WHO/FAO) (2004). Vitamin and Mineral Requirements in Human Nutrition. 2nd edition. WHO, Geneva.</w:t>
      </w:r>
    </w:p>
    <w:p w14:paraId="41CD2B47" w14:textId="0532750D" w:rsidR="00EA629B" w:rsidRPr="002157DF" w:rsidRDefault="00EA629B" w:rsidP="00FF474D">
      <w:pPr>
        <w:rPr>
          <w:bCs/>
        </w:rPr>
      </w:pPr>
      <w:r w:rsidRPr="00EA629B">
        <w:rPr>
          <w:bCs/>
        </w:rPr>
        <w:t xml:space="preserve">WHO – VigiAccess. Accessed on June 11, 2026. Available online: </w:t>
      </w:r>
      <w:hyperlink r:id="rId43" w:history="1">
        <w:r w:rsidRPr="00EA629B">
          <w:rPr>
            <w:rStyle w:val="Hyperlink"/>
            <w:rFonts w:eastAsiaTheme="minorHAnsi" w:cstheme="minorBidi"/>
            <w:bCs/>
            <w:szCs w:val="20"/>
            <w:lang w:val="en-US"/>
          </w:rPr>
          <w:t>https://www.vigiaccess.org/</w:t>
        </w:r>
      </w:hyperlink>
    </w:p>
    <w:p w14:paraId="5B40E3FA" w14:textId="77777777" w:rsidR="002157DF" w:rsidRPr="002157DF" w:rsidRDefault="002157DF" w:rsidP="002157DF">
      <w:pPr>
        <w:rPr>
          <w:bCs/>
        </w:rPr>
      </w:pPr>
      <w:r w:rsidRPr="002157DF">
        <w:rPr>
          <w:bCs/>
        </w:rPr>
        <w:t xml:space="preserve">Whyte MP, Zhang F, Mack KE, Wenkert D, Gottesman GS, Ericson KL, Cole JT and Coburn SP (2024). Pyridoxine challenge reflects pediatric hypophosphatasia severity and thereby </w:t>
      </w:r>
      <w:r w:rsidRPr="002157DF">
        <w:rPr>
          <w:bCs/>
        </w:rPr>
        <w:lastRenderedPageBreak/>
        <w:t xml:space="preserve">examines tissue-nonspecific alkaline phosphatase's role in vitamin B6 metabolism. </w:t>
      </w:r>
      <w:r w:rsidRPr="002157DF">
        <w:rPr>
          <w:bCs/>
          <w:i/>
          <w:iCs/>
        </w:rPr>
        <w:t>Bone</w:t>
      </w:r>
      <w:r w:rsidRPr="002157DF">
        <w:rPr>
          <w:bCs/>
        </w:rPr>
        <w:t xml:space="preserve">, 181:117033. </w:t>
      </w:r>
      <w:hyperlink r:id="rId44" w:history="1">
        <w:r w:rsidRPr="002157DF">
          <w:rPr>
            <w:rStyle w:val="Hyperlink"/>
            <w:rFonts w:eastAsiaTheme="minorHAnsi" w:cstheme="minorBidi"/>
            <w:bCs/>
            <w:szCs w:val="20"/>
            <w:lang w:val="en-AU"/>
          </w:rPr>
          <w:t>https://doi.org/10.1016/j.bone.2024.117033</w:t>
        </w:r>
      </w:hyperlink>
    </w:p>
    <w:p w14:paraId="7C3ADA48" w14:textId="119E2324" w:rsidR="00A752AF" w:rsidRPr="002157DF" w:rsidRDefault="002157DF" w:rsidP="00FF474D">
      <w:pPr>
        <w:rPr>
          <w:bCs/>
        </w:rPr>
      </w:pPr>
      <w:r w:rsidRPr="002157DF">
        <w:rPr>
          <w:bCs/>
        </w:rPr>
        <w:t xml:space="preserve">Zervou Z, van Velsen EFS and Zillikens MC (2025). Hypophosphatasia and neuropathic pain: related to vitamin B6 metabolism? </w:t>
      </w:r>
      <w:r w:rsidRPr="002157DF">
        <w:rPr>
          <w:bCs/>
          <w:i/>
          <w:iCs/>
        </w:rPr>
        <w:t>JBMR Plus</w:t>
      </w:r>
      <w:r w:rsidRPr="002157DF">
        <w:rPr>
          <w:bCs/>
        </w:rPr>
        <w:t xml:space="preserve">, 9:ziaf086. </w:t>
      </w:r>
      <w:hyperlink r:id="rId45" w:history="1">
        <w:r w:rsidRPr="002157DF">
          <w:rPr>
            <w:rStyle w:val="Hyperlink"/>
            <w:rFonts w:eastAsiaTheme="minorHAnsi" w:cstheme="minorBidi"/>
            <w:bCs/>
            <w:szCs w:val="20"/>
            <w:lang w:val="en-AU"/>
          </w:rPr>
          <w:t>https://doi.org/10.1093/jbmrpl/ziaf086</w:t>
        </w:r>
      </w:hyperlink>
    </w:p>
    <w:p w14:paraId="77677E9B" w14:textId="58E2A234" w:rsidR="00627CB4" w:rsidRPr="008371FA" w:rsidRDefault="009B0205" w:rsidP="00DD189C">
      <w:r w:rsidRPr="008371FA">
        <w:br w:type="page"/>
      </w:r>
    </w:p>
    <w:p w14:paraId="58710741" w14:textId="77777777" w:rsidR="00426506" w:rsidRPr="008371FA" w:rsidRDefault="00426506" w:rsidP="00627CB4">
      <w:pPr>
        <w:pStyle w:val="BodyText"/>
        <w:sectPr w:rsidR="00426506" w:rsidRPr="008371FA" w:rsidSect="00DD189C">
          <w:headerReference w:type="default" r:id="rId46"/>
          <w:pgSz w:w="11909" w:h="16834" w:code="9"/>
          <w:pgMar w:top="1440" w:right="1440" w:bottom="1276" w:left="1440" w:header="576" w:footer="576" w:gutter="0"/>
          <w:cols w:space="720"/>
          <w:docGrid w:linePitch="360"/>
        </w:sectPr>
      </w:pPr>
    </w:p>
    <w:p w14:paraId="2BB9EB25" w14:textId="77777777" w:rsidR="002D4F98" w:rsidRPr="008371FA" w:rsidRDefault="002D4F98" w:rsidP="00B33D79">
      <w:pPr>
        <w:pStyle w:val="BodyText"/>
      </w:pPr>
    </w:p>
    <w:sectPr w:rsidR="002D4F98" w:rsidRPr="008371FA" w:rsidSect="00627CB4">
      <w:headerReference w:type="default" r:id="rId47"/>
      <w:footerReference w:type="default" r:id="rId48"/>
      <w:pgSz w:w="11909" w:h="16834" w:code="9"/>
      <w:pgMar w:top="1440" w:right="1440" w:bottom="1440"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2D68D" w14:textId="77777777" w:rsidR="00995E0D" w:rsidRDefault="00995E0D" w:rsidP="00B33D79">
      <w:r>
        <w:separator/>
      </w:r>
    </w:p>
    <w:p w14:paraId="242DC37B" w14:textId="77777777" w:rsidR="00995E0D" w:rsidRDefault="00995E0D" w:rsidP="00B33D79"/>
    <w:p w14:paraId="0AB0FA83" w14:textId="77777777" w:rsidR="00995E0D" w:rsidRDefault="00995E0D"/>
  </w:endnote>
  <w:endnote w:type="continuationSeparator" w:id="0">
    <w:p w14:paraId="5645E519" w14:textId="77777777" w:rsidR="00995E0D" w:rsidRDefault="00995E0D" w:rsidP="00B33D79">
      <w:r>
        <w:continuationSeparator/>
      </w:r>
    </w:p>
    <w:p w14:paraId="5272C50D" w14:textId="77777777" w:rsidR="00995E0D" w:rsidRDefault="00995E0D" w:rsidP="00B33D79"/>
    <w:p w14:paraId="17FE5CD1" w14:textId="77777777" w:rsidR="00995E0D" w:rsidRDefault="00995E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igtree">
    <w:panose1 w:val="00000000000000000000"/>
    <w:charset w:val="00"/>
    <w:family w:val="auto"/>
    <w:pitch w:val="variable"/>
    <w:sig w:usb0="A000006F" w:usb1="0000007B" w:usb2="00000000" w:usb3="00000000" w:csb0="00000093"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lbra Light">
    <w:panose1 w:val="00000000000000000000"/>
    <w:charset w:val="00"/>
    <w:family w:val="auto"/>
    <w:pitch w:val="variable"/>
    <w:sig w:usb0="0000000B"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F301E8" w:rsidRPr="003D0FA8" w14:paraId="7C15836A" w14:textId="77777777" w:rsidTr="00591DA0">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50DBD991" w14:textId="77777777" w:rsidR="00F301E8" w:rsidRPr="003D0FA8" w:rsidRDefault="00F301E8" w:rsidP="00F301E8">
          <w:pPr>
            <w:pStyle w:val="Footer"/>
          </w:pPr>
        </w:p>
      </w:tc>
      <w:tc>
        <w:tcPr>
          <w:tcW w:w="1667" w:type="pct"/>
          <w:vAlign w:val="bottom"/>
        </w:tcPr>
        <w:p w14:paraId="1D366579" w14:textId="77777777" w:rsidR="00F301E8" w:rsidRPr="003D0FA8" w:rsidRDefault="00F301E8" w:rsidP="00F301E8">
          <w:pPr>
            <w:pStyle w:val="Footer"/>
          </w:pPr>
          <w:r w:rsidRPr="00CF3B45">
            <w:fldChar w:fldCharType="begin"/>
          </w:r>
          <w:r w:rsidRPr="00CF3B45">
            <w:instrText xml:space="preserve"> PAGE   \* MERGEFORMAT </w:instrText>
          </w:r>
          <w:r w:rsidRPr="00CF3B45">
            <w:fldChar w:fldCharType="separate"/>
          </w:r>
          <w:r>
            <w:t>3</w:t>
          </w:r>
          <w:r w:rsidRPr="00CF3B45">
            <w:rPr>
              <w:noProof/>
            </w:rPr>
            <w:fldChar w:fldCharType="end"/>
          </w:r>
        </w:p>
      </w:tc>
      <w:tc>
        <w:tcPr>
          <w:tcW w:w="1667" w:type="pct"/>
          <w:vAlign w:val="bottom"/>
        </w:tcPr>
        <w:p w14:paraId="4ADF859C" w14:textId="77777777" w:rsidR="00F301E8" w:rsidRPr="003D0FA8" w:rsidRDefault="00F301E8" w:rsidP="00F301E8">
          <w:pPr>
            <w:pStyle w:val="Footer"/>
            <w:jc w:val="right"/>
          </w:pPr>
          <w:r>
            <w:rPr>
              <w:noProof/>
              <w:lang w:eastAsia="en-CA"/>
            </w:rPr>
            <w:drawing>
              <wp:inline distT="0" distB="0" distL="0" distR="0" wp14:anchorId="1178F0EB" wp14:editId="67BF2CC1">
                <wp:extent cx="347345" cy="347345"/>
                <wp:effectExtent l="0" t="0" r="0" b="0"/>
                <wp:docPr id="2035997143" name="Picture 20359971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605F803A" w14:textId="77777777" w:rsidR="00F301E8" w:rsidRPr="003F51B4" w:rsidRDefault="00F301E8" w:rsidP="00F301E8">
    <w:pPr>
      <w:pStyle w:val="Footer"/>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707"/>
      <w:gridCol w:w="4707"/>
    </w:tblGrid>
    <w:tr w:rsidR="00A26F96" w:rsidRPr="003D0FA8" w14:paraId="587FCE5B" w14:textId="77777777" w:rsidTr="0085398C">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7102183E" w14:textId="77777777" w:rsidR="00A26F96" w:rsidRPr="003D0FA8" w:rsidRDefault="00A26F96" w:rsidP="00A9331E">
          <w:pPr>
            <w:pStyle w:val="Footer"/>
            <w:jc w:val="left"/>
          </w:pPr>
        </w:p>
      </w:tc>
      <w:tc>
        <w:tcPr>
          <w:tcW w:w="1667" w:type="pct"/>
          <w:vAlign w:val="bottom"/>
        </w:tcPr>
        <w:p w14:paraId="786901E7" w14:textId="77777777" w:rsidR="00A26F96" w:rsidRPr="003D0FA8" w:rsidRDefault="00A26F96" w:rsidP="00FB6C4C">
          <w:pPr>
            <w:pStyle w:val="Footer"/>
            <w:jc w:val="left"/>
          </w:pPr>
          <w:r w:rsidRPr="00CF3B45">
            <w:fldChar w:fldCharType="begin"/>
          </w:r>
          <w:r w:rsidRPr="00CF3B45">
            <w:instrText xml:space="preserve"> PAGE   \* MERGEFORMAT </w:instrText>
          </w:r>
          <w:r w:rsidRPr="00CF3B45">
            <w:fldChar w:fldCharType="separate"/>
          </w:r>
          <w:r>
            <w:t>i</w:t>
          </w:r>
          <w:r w:rsidRPr="00CF3B45">
            <w:rPr>
              <w:noProof/>
            </w:rPr>
            <w:fldChar w:fldCharType="end"/>
          </w:r>
        </w:p>
      </w:tc>
      <w:tc>
        <w:tcPr>
          <w:tcW w:w="1667" w:type="pct"/>
          <w:vAlign w:val="bottom"/>
        </w:tcPr>
        <w:p w14:paraId="6F7AE3BD" w14:textId="77777777" w:rsidR="00A26F96" w:rsidRPr="003D0FA8" w:rsidRDefault="00A26F96" w:rsidP="00FB6C4C">
          <w:pPr>
            <w:pStyle w:val="Footer"/>
            <w:jc w:val="left"/>
          </w:pPr>
          <w:r>
            <w:rPr>
              <w:noProof/>
              <w:lang w:eastAsia="en-CA"/>
            </w:rPr>
            <w:drawing>
              <wp:inline distT="0" distB="0" distL="0" distR="0" wp14:anchorId="6F98E5B4" wp14:editId="57B10AF9">
                <wp:extent cx="347345" cy="347345"/>
                <wp:effectExtent l="0" t="0" r="0" b="0"/>
                <wp:docPr id="1567891576" name="Picture 15678915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3A1C6D46" w14:textId="77777777" w:rsidR="00A26F96" w:rsidRPr="003F51B4" w:rsidRDefault="00A26F96" w:rsidP="00A9331E">
    <w:pPr>
      <w:pStyle w:val="Footer"/>
      <w:spacing w:before="0"/>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B2FC5" w14:textId="77777777" w:rsidR="00BB3382" w:rsidRPr="00FC0E17" w:rsidRDefault="00BB3382" w:rsidP="00B33D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117D14" w:rsidRPr="003D0FA8" w14:paraId="01374DB5" w14:textId="77777777" w:rsidTr="008C4C8C">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567EB28D" w14:textId="77777777" w:rsidR="00117D14" w:rsidRPr="003D0FA8" w:rsidRDefault="00117D14" w:rsidP="00117D14">
          <w:pPr>
            <w:pStyle w:val="Footer"/>
          </w:pPr>
        </w:p>
      </w:tc>
      <w:tc>
        <w:tcPr>
          <w:tcW w:w="1667" w:type="pct"/>
          <w:vAlign w:val="bottom"/>
        </w:tcPr>
        <w:p w14:paraId="5594A6EF" w14:textId="77777777" w:rsidR="00117D14" w:rsidRPr="003D0FA8" w:rsidRDefault="00117D14" w:rsidP="00117D14">
          <w:pPr>
            <w:pStyle w:val="Footer"/>
          </w:pPr>
          <w:r w:rsidRPr="00CF3B45">
            <w:fldChar w:fldCharType="begin"/>
          </w:r>
          <w:r w:rsidRPr="00CF3B45">
            <w:instrText xml:space="preserve"> PAGE   \* MERGEFORMAT </w:instrText>
          </w:r>
          <w:r w:rsidRPr="00CF3B45">
            <w:fldChar w:fldCharType="separate"/>
          </w:r>
          <w:r>
            <w:t>i</w:t>
          </w:r>
          <w:r w:rsidRPr="00CF3B45">
            <w:rPr>
              <w:noProof/>
            </w:rPr>
            <w:fldChar w:fldCharType="end"/>
          </w:r>
        </w:p>
      </w:tc>
      <w:tc>
        <w:tcPr>
          <w:tcW w:w="1667" w:type="pct"/>
          <w:vAlign w:val="bottom"/>
        </w:tcPr>
        <w:p w14:paraId="42D50540" w14:textId="77777777" w:rsidR="00117D14" w:rsidRPr="003D0FA8" w:rsidRDefault="00117D14" w:rsidP="00117D14">
          <w:pPr>
            <w:pStyle w:val="Footer"/>
            <w:jc w:val="right"/>
          </w:pPr>
          <w:r>
            <w:rPr>
              <w:noProof/>
              <w:lang w:eastAsia="en-CA"/>
            </w:rPr>
            <w:drawing>
              <wp:inline distT="0" distB="0" distL="0" distR="0" wp14:anchorId="0AFC2A4E" wp14:editId="06EF9A0D">
                <wp:extent cx="347345" cy="347345"/>
                <wp:effectExtent l="0" t="0" r="0" b="0"/>
                <wp:docPr id="1374543751" name="Picture 13745437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41ACC9FB" w14:textId="77777777" w:rsidR="00117D14" w:rsidRPr="003F51B4" w:rsidRDefault="00117D14" w:rsidP="00117D14">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CA1660" w:rsidRPr="003D0FA8" w14:paraId="6139380B" w14:textId="77777777" w:rsidTr="007B0E81">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17267876" w14:textId="77777777" w:rsidR="00CA1660" w:rsidRPr="003D0FA8" w:rsidRDefault="00CA1660" w:rsidP="00CA1660">
          <w:pPr>
            <w:pStyle w:val="Footer"/>
          </w:pPr>
        </w:p>
      </w:tc>
      <w:tc>
        <w:tcPr>
          <w:tcW w:w="1667" w:type="pct"/>
          <w:vAlign w:val="bottom"/>
        </w:tcPr>
        <w:p w14:paraId="39E7F8EC" w14:textId="77777777" w:rsidR="00CA1660" w:rsidRPr="003D0FA8" w:rsidRDefault="00CA1660" w:rsidP="00CA1660">
          <w:pPr>
            <w:pStyle w:val="Footer"/>
          </w:pPr>
        </w:p>
      </w:tc>
      <w:tc>
        <w:tcPr>
          <w:tcW w:w="1667" w:type="pct"/>
          <w:vAlign w:val="bottom"/>
        </w:tcPr>
        <w:p w14:paraId="1345361A" w14:textId="77777777" w:rsidR="00CA1660" w:rsidRPr="003D0FA8" w:rsidRDefault="00CA1660" w:rsidP="00CA1660">
          <w:pPr>
            <w:pStyle w:val="Footer"/>
            <w:jc w:val="right"/>
          </w:pPr>
          <w:r>
            <w:rPr>
              <w:noProof/>
              <w:lang w:eastAsia="en-CA"/>
            </w:rPr>
            <w:drawing>
              <wp:inline distT="0" distB="0" distL="0" distR="0" wp14:anchorId="30F5A28A" wp14:editId="5A695C5A">
                <wp:extent cx="347345" cy="347345"/>
                <wp:effectExtent l="0" t="0" r="0" b="0"/>
                <wp:docPr id="130394744" name="Picture 1303947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6B27EB77" w14:textId="77777777" w:rsidR="00CA1660" w:rsidRPr="00037C08" w:rsidRDefault="00CA1660" w:rsidP="00CA1660">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3D0FA8" w:rsidRPr="003D0FA8" w14:paraId="0D7CE3B6" w14:textId="77777777" w:rsidTr="0085398C">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279F582B" w14:textId="77777777" w:rsidR="003D0FA8" w:rsidRPr="003D0FA8" w:rsidRDefault="003D0FA8" w:rsidP="00A9331E">
          <w:pPr>
            <w:pStyle w:val="Footer"/>
            <w:jc w:val="left"/>
          </w:pPr>
        </w:p>
      </w:tc>
      <w:tc>
        <w:tcPr>
          <w:tcW w:w="1667" w:type="pct"/>
          <w:vAlign w:val="bottom"/>
        </w:tcPr>
        <w:p w14:paraId="27063D2B" w14:textId="77777777" w:rsidR="003D0FA8" w:rsidRPr="003D0FA8" w:rsidRDefault="003D0FA8" w:rsidP="0085398C">
          <w:pPr>
            <w:pStyle w:val="Footer"/>
          </w:pPr>
          <w:r w:rsidRPr="00CF3B45">
            <w:fldChar w:fldCharType="begin"/>
          </w:r>
          <w:r w:rsidRPr="00CF3B45">
            <w:instrText xml:space="preserve"> PAGE   \* MERGEFORMAT </w:instrText>
          </w:r>
          <w:r w:rsidRPr="00CF3B45">
            <w:fldChar w:fldCharType="separate"/>
          </w:r>
          <w:r>
            <w:t>i</w:t>
          </w:r>
          <w:r w:rsidRPr="00CF3B45">
            <w:rPr>
              <w:noProof/>
            </w:rPr>
            <w:fldChar w:fldCharType="end"/>
          </w:r>
        </w:p>
      </w:tc>
      <w:tc>
        <w:tcPr>
          <w:tcW w:w="1667" w:type="pct"/>
          <w:vAlign w:val="bottom"/>
        </w:tcPr>
        <w:p w14:paraId="35656267" w14:textId="77777777" w:rsidR="003D0FA8" w:rsidRPr="003D0FA8" w:rsidRDefault="00727D7C" w:rsidP="0085398C">
          <w:pPr>
            <w:pStyle w:val="Footer"/>
            <w:jc w:val="right"/>
          </w:pPr>
          <w:r>
            <w:rPr>
              <w:noProof/>
              <w:lang w:eastAsia="en-CA"/>
            </w:rPr>
            <w:drawing>
              <wp:inline distT="0" distB="0" distL="0" distR="0" wp14:anchorId="1708C8D5" wp14:editId="470D4894">
                <wp:extent cx="347345" cy="347345"/>
                <wp:effectExtent l="0" t="0" r="0" b="0"/>
                <wp:docPr id="738054622" name="Picture 7380546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0B386BE0" w14:textId="77777777" w:rsidR="004460DC" w:rsidRPr="003F51B4" w:rsidRDefault="004460DC" w:rsidP="00A9331E">
    <w:pPr>
      <w:pStyle w:val="Footer"/>
      <w:spacing w:before="0"/>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117D14" w:rsidRPr="003D0FA8" w14:paraId="7A9D2F95" w14:textId="77777777" w:rsidTr="0085398C">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43436453" w14:textId="77777777" w:rsidR="00117D14" w:rsidRPr="003D0FA8" w:rsidRDefault="00117D14" w:rsidP="00A9331E">
          <w:pPr>
            <w:pStyle w:val="Footer"/>
            <w:jc w:val="left"/>
          </w:pPr>
        </w:p>
      </w:tc>
      <w:tc>
        <w:tcPr>
          <w:tcW w:w="1667" w:type="pct"/>
          <w:vAlign w:val="bottom"/>
        </w:tcPr>
        <w:p w14:paraId="0B6CA08B" w14:textId="77777777" w:rsidR="00117D14" w:rsidRPr="003D0FA8" w:rsidRDefault="00117D14" w:rsidP="0085398C">
          <w:pPr>
            <w:pStyle w:val="Footer"/>
          </w:pPr>
          <w:r w:rsidRPr="00CF3B45">
            <w:fldChar w:fldCharType="begin"/>
          </w:r>
          <w:r w:rsidRPr="00CF3B45">
            <w:instrText xml:space="preserve"> PAGE   \* MERGEFORMAT </w:instrText>
          </w:r>
          <w:r w:rsidRPr="00CF3B45">
            <w:fldChar w:fldCharType="separate"/>
          </w:r>
          <w:r>
            <w:t>i</w:t>
          </w:r>
          <w:r w:rsidRPr="00CF3B45">
            <w:rPr>
              <w:noProof/>
            </w:rPr>
            <w:fldChar w:fldCharType="end"/>
          </w:r>
        </w:p>
      </w:tc>
      <w:tc>
        <w:tcPr>
          <w:tcW w:w="1667" w:type="pct"/>
          <w:vAlign w:val="bottom"/>
        </w:tcPr>
        <w:p w14:paraId="6157A68C" w14:textId="77777777" w:rsidR="00117D14" w:rsidRPr="003D0FA8" w:rsidRDefault="00117D14" w:rsidP="0085398C">
          <w:pPr>
            <w:pStyle w:val="Footer"/>
            <w:jc w:val="right"/>
          </w:pPr>
          <w:r>
            <w:rPr>
              <w:noProof/>
              <w:lang w:eastAsia="en-CA"/>
            </w:rPr>
            <w:drawing>
              <wp:inline distT="0" distB="0" distL="0" distR="0" wp14:anchorId="63A62E41" wp14:editId="7949614E">
                <wp:extent cx="347345" cy="347345"/>
                <wp:effectExtent l="0" t="0" r="0" b="0"/>
                <wp:docPr id="604298339" name="Picture 6042983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7B376874" w14:textId="77777777" w:rsidR="00117D14" w:rsidRPr="003F51B4" w:rsidRDefault="00117D14" w:rsidP="00A9331E">
    <w:pPr>
      <w:pStyle w:val="Footer"/>
      <w:spacing w:before="0"/>
      <w:jc w:val="both"/>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117D14" w:rsidRPr="003D0FA8" w14:paraId="2FF32C63" w14:textId="77777777" w:rsidTr="0085398C">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38C83106" w14:textId="77777777" w:rsidR="00117D14" w:rsidRPr="003D0FA8" w:rsidRDefault="00117D14" w:rsidP="00A9331E">
          <w:pPr>
            <w:pStyle w:val="Footer"/>
            <w:jc w:val="left"/>
          </w:pPr>
        </w:p>
      </w:tc>
      <w:tc>
        <w:tcPr>
          <w:tcW w:w="1667" w:type="pct"/>
          <w:vAlign w:val="bottom"/>
        </w:tcPr>
        <w:p w14:paraId="730D7B7C" w14:textId="77777777" w:rsidR="00117D14" w:rsidRPr="003D0FA8" w:rsidRDefault="00117D14" w:rsidP="00FB6C4C">
          <w:pPr>
            <w:pStyle w:val="Footer"/>
            <w:jc w:val="left"/>
          </w:pPr>
          <w:r w:rsidRPr="00CF3B45">
            <w:fldChar w:fldCharType="begin"/>
          </w:r>
          <w:r w:rsidRPr="00CF3B45">
            <w:instrText xml:space="preserve"> PAGE   \* MERGEFORMAT </w:instrText>
          </w:r>
          <w:r w:rsidRPr="00CF3B45">
            <w:fldChar w:fldCharType="separate"/>
          </w:r>
          <w:r>
            <w:t>i</w:t>
          </w:r>
          <w:r w:rsidRPr="00CF3B45">
            <w:rPr>
              <w:noProof/>
            </w:rPr>
            <w:fldChar w:fldCharType="end"/>
          </w:r>
        </w:p>
      </w:tc>
      <w:tc>
        <w:tcPr>
          <w:tcW w:w="1667" w:type="pct"/>
          <w:vAlign w:val="bottom"/>
        </w:tcPr>
        <w:p w14:paraId="674728C0" w14:textId="77777777" w:rsidR="00117D14" w:rsidRPr="003D0FA8" w:rsidRDefault="00117D14" w:rsidP="00FB6C4C">
          <w:pPr>
            <w:pStyle w:val="Footer"/>
            <w:jc w:val="left"/>
          </w:pPr>
          <w:r>
            <w:rPr>
              <w:noProof/>
              <w:lang w:eastAsia="en-CA"/>
            </w:rPr>
            <w:drawing>
              <wp:inline distT="0" distB="0" distL="0" distR="0" wp14:anchorId="0F26EA8B" wp14:editId="63009E0D">
                <wp:extent cx="347345" cy="347345"/>
                <wp:effectExtent l="0" t="0" r="0" b="0"/>
                <wp:docPr id="1067614279" name="Picture 10676142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1EFA9541" w14:textId="77777777" w:rsidR="00117D14" w:rsidRPr="003F51B4" w:rsidRDefault="00117D14" w:rsidP="00A9331E">
    <w:pPr>
      <w:pStyle w:val="Footer"/>
      <w:spacing w:before="0"/>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40687" w14:textId="77777777" w:rsidR="00BB3382" w:rsidRPr="00827FA0" w:rsidRDefault="00BB3382" w:rsidP="00B33D7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707"/>
      <w:gridCol w:w="4707"/>
    </w:tblGrid>
    <w:tr w:rsidR="00A01E44" w:rsidRPr="003D0FA8" w14:paraId="01973FF4" w14:textId="77777777" w:rsidTr="0085398C">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4034B7C7" w14:textId="77777777" w:rsidR="00A01E44" w:rsidRPr="003D0FA8" w:rsidRDefault="00A01E44" w:rsidP="00A9331E">
          <w:pPr>
            <w:pStyle w:val="Footer"/>
            <w:jc w:val="left"/>
          </w:pPr>
        </w:p>
      </w:tc>
      <w:tc>
        <w:tcPr>
          <w:tcW w:w="1667" w:type="pct"/>
          <w:vAlign w:val="bottom"/>
        </w:tcPr>
        <w:p w14:paraId="417B3285" w14:textId="77777777" w:rsidR="00A01E44" w:rsidRPr="003D0FA8" w:rsidRDefault="00A01E44" w:rsidP="00FB6C4C">
          <w:pPr>
            <w:pStyle w:val="Footer"/>
            <w:jc w:val="left"/>
          </w:pPr>
          <w:r w:rsidRPr="00CF3B45">
            <w:fldChar w:fldCharType="begin"/>
          </w:r>
          <w:r w:rsidRPr="00CF3B45">
            <w:instrText xml:space="preserve"> PAGE   \* MERGEFORMAT </w:instrText>
          </w:r>
          <w:r w:rsidRPr="00CF3B45">
            <w:fldChar w:fldCharType="separate"/>
          </w:r>
          <w:r>
            <w:t>i</w:t>
          </w:r>
          <w:r w:rsidRPr="00CF3B45">
            <w:rPr>
              <w:noProof/>
            </w:rPr>
            <w:fldChar w:fldCharType="end"/>
          </w:r>
        </w:p>
      </w:tc>
      <w:tc>
        <w:tcPr>
          <w:tcW w:w="1667" w:type="pct"/>
          <w:vAlign w:val="bottom"/>
        </w:tcPr>
        <w:p w14:paraId="2E4E015E" w14:textId="77777777" w:rsidR="00A01E44" w:rsidRPr="003D0FA8" w:rsidRDefault="00A01E44" w:rsidP="00FB6C4C">
          <w:pPr>
            <w:pStyle w:val="Footer"/>
            <w:jc w:val="left"/>
          </w:pPr>
          <w:r>
            <w:rPr>
              <w:noProof/>
              <w:lang w:eastAsia="en-CA"/>
            </w:rPr>
            <w:drawing>
              <wp:inline distT="0" distB="0" distL="0" distR="0" wp14:anchorId="375DCF8C" wp14:editId="24EFECC3">
                <wp:extent cx="347345" cy="347345"/>
                <wp:effectExtent l="0" t="0" r="0" b="0"/>
                <wp:docPr id="879557892" name="Picture 8795578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227D2E16" w14:textId="77777777" w:rsidR="00A01E44" w:rsidRPr="003F51B4" w:rsidRDefault="00A01E44" w:rsidP="00A9331E">
    <w:pPr>
      <w:pStyle w:val="Footer"/>
      <w:spacing w:before="0"/>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A26F96" w:rsidRPr="003D0FA8" w14:paraId="37425EA2" w14:textId="77777777" w:rsidTr="0085398C">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195E694B" w14:textId="77777777" w:rsidR="00A26F96" w:rsidRPr="003D0FA8" w:rsidRDefault="00A26F96" w:rsidP="00A9331E">
          <w:pPr>
            <w:pStyle w:val="Footer"/>
            <w:jc w:val="left"/>
          </w:pPr>
        </w:p>
      </w:tc>
      <w:tc>
        <w:tcPr>
          <w:tcW w:w="1667" w:type="pct"/>
          <w:vAlign w:val="bottom"/>
        </w:tcPr>
        <w:p w14:paraId="55FA21B6" w14:textId="77777777" w:rsidR="00A26F96" w:rsidRPr="003D0FA8" w:rsidRDefault="00A26F96" w:rsidP="00FB6C4C">
          <w:pPr>
            <w:pStyle w:val="Footer"/>
            <w:jc w:val="left"/>
          </w:pPr>
          <w:r w:rsidRPr="00CF3B45">
            <w:fldChar w:fldCharType="begin"/>
          </w:r>
          <w:r w:rsidRPr="00CF3B45">
            <w:instrText xml:space="preserve"> PAGE   \* MERGEFORMAT </w:instrText>
          </w:r>
          <w:r w:rsidRPr="00CF3B45">
            <w:fldChar w:fldCharType="separate"/>
          </w:r>
          <w:r>
            <w:t>i</w:t>
          </w:r>
          <w:r w:rsidRPr="00CF3B45">
            <w:rPr>
              <w:noProof/>
            </w:rPr>
            <w:fldChar w:fldCharType="end"/>
          </w:r>
        </w:p>
      </w:tc>
      <w:tc>
        <w:tcPr>
          <w:tcW w:w="1667" w:type="pct"/>
          <w:vAlign w:val="bottom"/>
        </w:tcPr>
        <w:p w14:paraId="77EC172F" w14:textId="77777777" w:rsidR="00A26F96" w:rsidRPr="003D0FA8" w:rsidRDefault="00A26F96" w:rsidP="00FB6C4C">
          <w:pPr>
            <w:pStyle w:val="Footer"/>
            <w:jc w:val="left"/>
          </w:pPr>
          <w:r>
            <w:rPr>
              <w:noProof/>
              <w:lang w:eastAsia="en-CA"/>
            </w:rPr>
            <w:drawing>
              <wp:inline distT="0" distB="0" distL="0" distR="0" wp14:anchorId="0066F4A6" wp14:editId="08C42833">
                <wp:extent cx="347345" cy="347345"/>
                <wp:effectExtent l="0" t="0" r="0" b="0"/>
                <wp:docPr id="1238408960" name="Picture 12384089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083550BC" w14:textId="77777777" w:rsidR="00A26F96" w:rsidRPr="003F51B4" w:rsidRDefault="00A26F96" w:rsidP="00A9331E">
    <w:pPr>
      <w:pStyle w:val="Footer"/>
      <w:spacing w:before="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E9AF9" w14:textId="77777777" w:rsidR="00995E0D" w:rsidRDefault="00995E0D" w:rsidP="00B33D79">
      <w:r>
        <w:separator/>
      </w:r>
    </w:p>
  </w:footnote>
  <w:footnote w:type="continuationSeparator" w:id="0">
    <w:p w14:paraId="16F9D257" w14:textId="77777777" w:rsidR="00995E0D" w:rsidRDefault="00995E0D" w:rsidP="00B33D79">
      <w:r>
        <w:continuationSeparator/>
      </w:r>
    </w:p>
    <w:p w14:paraId="090706DC" w14:textId="77777777" w:rsidR="00995E0D" w:rsidRDefault="00995E0D" w:rsidP="00B33D79"/>
    <w:p w14:paraId="6D9EE2B0" w14:textId="77777777" w:rsidR="00995E0D" w:rsidRDefault="00995E0D"/>
  </w:footnote>
  <w:footnote w:id="1">
    <w:p w14:paraId="66F639D5" w14:textId="77777777" w:rsidR="00F03762" w:rsidRPr="005F6EE0" w:rsidRDefault="00F03762" w:rsidP="00F03762">
      <w:pPr>
        <w:pStyle w:val="FootnoteText"/>
        <w:rPr>
          <w:lang w:val="en-US"/>
        </w:rPr>
      </w:pPr>
      <w:r>
        <w:rPr>
          <w:rStyle w:val="FootnoteReference"/>
        </w:rPr>
        <w:footnoteRef/>
      </w:r>
      <w:r>
        <w:t xml:space="preserve"> </w:t>
      </w:r>
      <w:r w:rsidRPr="003755E6">
        <w:t>The uncertainty factor of 4 comprised a factor of 2 for uncertainty regarding the duration of exposure needed to account for the inverse dose–duration relationship for peripheral neuropathy, and a further factor of 2 for limitations in the available data, including uncertainty in the LOAEL, representativeness of the Dalton and Dalton (1987) study population, interindividual variability and coverage of sensitive groups.</w:t>
      </w:r>
    </w:p>
  </w:footnote>
  <w:footnote w:id="2">
    <w:p w14:paraId="0F159F03" w14:textId="77777777" w:rsidR="00F03762" w:rsidRPr="005F6EE0" w:rsidRDefault="00F03762" w:rsidP="00F03762">
      <w:pPr>
        <w:pStyle w:val="FootnoteText"/>
        <w:rPr>
          <w:lang w:val="en-US"/>
        </w:rPr>
      </w:pPr>
      <w:r>
        <w:rPr>
          <w:rStyle w:val="FootnoteReference"/>
        </w:rPr>
        <w:footnoteRef/>
      </w:r>
      <w:r>
        <w:t xml:space="preserve"> </w:t>
      </w:r>
      <w:r w:rsidRPr="006A753E">
        <w:t>A composite UF of 300 was applied, comprising: ×2 for interspecies toxicokinetics (reduced from the default of 4 based on evidence of shared vitamin B6 metabolism between dogs and humans); ×2.5 for interspecies toxicodynamics (default); ×10 for intraspecies variability in humans (default); ×2 for subchronic-to-chronic duration extrapolation; and ×3 to account for the absence of a NOAEL in this study.</w:t>
      </w:r>
    </w:p>
  </w:footnote>
  <w:footnote w:id="3">
    <w:p w14:paraId="6B6EA7DF" w14:textId="74A29352" w:rsidR="001377BD" w:rsidRDefault="001377BD" w:rsidP="001377BD">
      <w:pPr>
        <w:pStyle w:val="FootnoteText"/>
      </w:pPr>
      <w:r>
        <w:rPr>
          <w:rStyle w:val="FootnoteReference"/>
        </w:rPr>
        <w:footnoteRef/>
      </w:r>
      <w:r>
        <w:t xml:space="preserve"> It is noted as per NHMRC’s Final NRV Methodological Framework: “</w:t>
      </w:r>
      <w:r w:rsidRPr="00CC4415">
        <w:rPr>
          <w:i/>
          <w:iCs/>
        </w:rPr>
        <w:t>ULs are intended for the general healthy population and exclude sub populations with genetic disease or other conditions that predispose them to adverse effects at levels below the general population. Potentially sensitive sub populations should be identified, where possible, and discussed when evaluating the evidence base for the establishment of U</w:t>
      </w:r>
      <w:r w:rsidR="00DA448B">
        <w:rPr>
          <w:i/>
          <w:iCs/>
        </w:rPr>
        <w:t>L</w:t>
      </w:r>
      <w:r w:rsidRPr="00CC4415">
        <w:rPr>
          <w:i/>
          <w:iCs/>
        </w:rPr>
        <w:t>s</w:t>
      </w:r>
      <w:r>
        <w:rPr>
          <w:i/>
          <w:iCs/>
        </w:rPr>
        <w:t>.”</w:t>
      </w:r>
    </w:p>
  </w:footnote>
  <w:footnote w:id="4">
    <w:p w14:paraId="3EDE1C16" w14:textId="77777777" w:rsidR="00AC4857" w:rsidRPr="00073403" w:rsidRDefault="00AC4857" w:rsidP="00AC4857">
      <w:pPr>
        <w:pStyle w:val="FootnoteText"/>
        <w:rPr>
          <w:lang w:val="en-US"/>
        </w:rPr>
      </w:pPr>
      <w:r>
        <w:rPr>
          <w:rStyle w:val="FootnoteReference"/>
        </w:rPr>
        <w:footnoteRef/>
      </w:r>
      <w:r>
        <w:t xml:space="preserve"> </w:t>
      </w:r>
      <w:r w:rsidRPr="006F14A0">
        <w:t>The TGA has already taken action on this basis, including label warnings above 10 mg/day and scheduling changes restricting products above 50 mg/day to pharmacist-only or prescription supply from 1 June 2027. Comparable high-dose B6 products marketed for PMS relief in Australia would therefore generally sit outside the food fortification framework, and this distinction should be kept in mind when interpreting relevance to the dietary UL.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03"/>
      <w:gridCol w:w="3126"/>
    </w:tblGrid>
    <w:tr w:rsidR="00CA1660" w:rsidRPr="00F903CC" w14:paraId="3921D14D" w14:textId="77777777" w:rsidTr="007B0E81">
      <w:tc>
        <w:tcPr>
          <w:tcW w:w="3269" w:type="pct"/>
          <w:tcBorders>
            <w:bottom w:val="single" w:sz="18" w:space="0" w:color="3C533C" w:themeColor="accent1"/>
          </w:tcBorders>
          <w:vAlign w:val="bottom"/>
        </w:tcPr>
        <w:p w14:paraId="2C43104D" w14:textId="1CD9C304" w:rsidR="00CA1660" w:rsidRPr="00F903CC" w:rsidRDefault="00CA1660" w:rsidP="00CA1660">
          <w:pPr>
            <w:pStyle w:val="Header"/>
          </w:pPr>
          <w:r>
            <w:fldChar w:fldCharType="begin"/>
          </w:r>
          <w:r>
            <w:instrText xml:space="preserve"> STYLEREF  "Cover Client Name" </w:instrText>
          </w:r>
          <w:r>
            <w:fldChar w:fldCharType="separate"/>
          </w:r>
          <w:r w:rsidR="0052675C">
            <w:t>National Health and Medical Research Council</w:t>
          </w:r>
          <w:r>
            <w:fldChar w:fldCharType="end"/>
          </w:r>
        </w:p>
        <w:p w14:paraId="23D534CA" w14:textId="50A5F0FD" w:rsidR="00CA1660" w:rsidRPr="00F903CC" w:rsidRDefault="00CA1660" w:rsidP="00CA1660">
          <w:pPr>
            <w:pStyle w:val="Header"/>
          </w:pPr>
          <w:r>
            <w:fldChar w:fldCharType="begin"/>
          </w:r>
          <w:r>
            <w:instrText xml:space="preserve"> STYLEREF  "Cover Title" </w:instrText>
          </w:r>
          <w:r>
            <w:fldChar w:fldCharType="separate"/>
          </w:r>
          <w:r w:rsidR="0052675C">
            <w:t>Evidence Evaluations for Vitamin B6 Upper Level</w:t>
          </w:r>
          <w:r>
            <w:fldChar w:fldCharType="end"/>
          </w:r>
        </w:p>
      </w:tc>
      <w:tc>
        <w:tcPr>
          <w:tcW w:w="1731" w:type="pct"/>
          <w:tcBorders>
            <w:bottom w:val="single" w:sz="18" w:space="0" w:color="3C533C" w:themeColor="accent1"/>
          </w:tcBorders>
          <w:vAlign w:val="bottom"/>
        </w:tcPr>
        <w:p w14:paraId="4556E28E" w14:textId="6C9540EF" w:rsidR="00CA1660" w:rsidRPr="00F903CC" w:rsidRDefault="00CA1660" w:rsidP="00CA1660">
          <w:pPr>
            <w:pStyle w:val="HeaderRight"/>
          </w:pPr>
          <w:r>
            <w:fldChar w:fldCharType="begin"/>
          </w:r>
          <w:r>
            <w:instrText xml:space="preserve"> STYLEREF  "Cover Date" </w:instrText>
          </w:r>
          <w:r>
            <w:fldChar w:fldCharType="separate"/>
          </w:r>
          <w:r w:rsidR="0052675C">
            <w:t>7 August 2026</w:t>
          </w:r>
          <w:r>
            <w:fldChar w:fldCharType="end"/>
          </w:r>
        </w:p>
        <w:p w14:paraId="313E2BC4" w14:textId="69596CA7" w:rsidR="00CA1660" w:rsidRPr="00F903CC" w:rsidRDefault="00CA1660" w:rsidP="00CA1660">
          <w:pPr>
            <w:pStyle w:val="HeaderRight"/>
          </w:pPr>
          <w:r>
            <w:fldChar w:fldCharType="begin"/>
          </w:r>
          <w:r>
            <w:instrText xml:space="preserve"> STYLEREF  "Cover Project Number" </w:instrText>
          </w:r>
          <w:r>
            <w:fldChar w:fldCharType="separate"/>
          </w:r>
          <w:r w:rsidR="0052675C">
            <w:t>SLR Project No.: 640.032359.00001</w:t>
          </w:r>
          <w:r>
            <w:fldChar w:fldCharType="end"/>
          </w:r>
        </w:p>
      </w:tc>
    </w:tr>
  </w:tbl>
  <w:p w14:paraId="61673B4E" w14:textId="77777777" w:rsidR="002E4F6E" w:rsidRPr="00CA1660" w:rsidRDefault="002E4F6E" w:rsidP="00CA16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43700" w14:textId="77777777" w:rsidR="002E4F6E" w:rsidRPr="00C626FB" w:rsidRDefault="00D3501B" w:rsidP="00F903CC">
    <w:pPr>
      <w:pStyle w:val="Header"/>
    </w:pPr>
    <w:r>
      <w:drawing>
        <wp:anchor distT="0" distB="0" distL="114300" distR="114300" simplePos="0" relativeHeight="251656704" behindDoc="1" locked="0" layoutInCell="1" allowOverlap="1" wp14:anchorId="2C24C999" wp14:editId="1A56B220">
          <wp:simplePos x="0" y="0"/>
          <wp:positionH relativeFrom="column">
            <wp:posOffset>-1120140</wp:posOffset>
          </wp:positionH>
          <wp:positionV relativeFrom="page">
            <wp:posOffset>-60325</wp:posOffset>
          </wp:positionV>
          <wp:extent cx="7741285" cy="10950575"/>
          <wp:effectExtent l="0" t="0" r="0" b="3175"/>
          <wp:wrapNone/>
          <wp:docPr id="1279337362" name="Picture 127933736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41285" cy="109505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14"/>
      <w:gridCol w:w="4515"/>
    </w:tblGrid>
    <w:tr w:rsidR="00EB4C64" w:rsidRPr="00F903CC" w14:paraId="56BF1B80" w14:textId="77777777" w:rsidTr="0084375D">
      <w:tc>
        <w:tcPr>
          <w:tcW w:w="2500" w:type="pct"/>
          <w:tcBorders>
            <w:bottom w:val="single" w:sz="18" w:space="0" w:color="3C533C" w:themeColor="accent1"/>
          </w:tcBorders>
          <w:vAlign w:val="bottom"/>
        </w:tcPr>
        <w:p w14:paraId="2140B7CB" w14:textId="6FCA56E3" w:rsidR="00EB4C64" w:rsidRPr="00F903CC" w:rsidRDefault="008F0309" w:rsidP="00F903CC">
          <w:pPr>
            <w:pStyle w:val="Header"/>
          </w:pPr>
          <w:r>
            <w:fldChar w:fldCharType="begin"/>
          </w:r>
          <w:r>
            <w:instrText xml:space="preserve"> STYLEREF  "Cover Client Name" </w:instrText>
          </w:r>
          <w:r>
            <w:fldChar w:fldCharType="separate"/>
          </w:r>
          <w:r w:rsidR="0052675C">
            <w:t>National Health and Medical Research Council</w:t>
          </w:r>
          <w:r>
            <w:fldChar w:fldCharType="end"/>
          </w:r>
        </w:p>
        <w:p w14:paraId="4AD7B618" w14:textId="43DB9226" w:rsidR="00EB4C64" w:rsidRPr="00F903CC" w:rsidRDefault="008F0309" w:rsidP="00F903CC">
          <w:pPr>
            <w:pStyle w:val="Header"/>
          </w:pPr>
          <w:r>
            <w:fldChar w:fldCharType="begin"/>
          </w:r>
          <w:r>
            <w:instrText xml:space="preserve"> STYLEREF  "Cover Title" </w:instrText>
          </w:r>
          <w:r>
            <w:fldChar w:fldCharType="separate"/>
          </w:r>
          <w:r w:rsidR="0052675C">
            <w:t>Evidence Evaluations for Vitamin B6 Upper Level</w:t>
          </w:r>
          <w:r>
            <w:fldChar w:fldCharType="end"/>
          </w:r>
        </w:p>
      </w:tc>
      <w:tc>
        <w:tcPr>
          <w:tcW w:w="2500" w:type="pct"/>
          <w:tcBorders>
            <w:bottom w:val="single" w:sz="18" w:space="0" w:color="3C533C" w:themeColor="accent1"/>
          </w:tcBorders>
          <w:vAlign w:val="bottom"/>
        </w:tcPr>
        <w:p w14:paraId="50719E45" w14:textId="0182CED1" w:rsidR="00EB4C64" w:rsidRPr="00F903CC" w:rsidRDefault="008F0309" w:rsidP="00F903CC">
          <w:pPr>
            <w:pStyle w:val="HeaderRight"/>
          </w:pPr>
          <w:r>
            <w:fldChar w:fldCharType="begin"/>
          </w:r>
          <w:r>
            <w:instrText xml:space="preserve"> STYLEREF  "Cover Date" </w:instrText>
          </w:r>
          <w:r>
            <w:fldChar w:fldCharType="separate"/>
          </w:r>
          <w:r w:rsidR="0052675C">
            <w:t>7 August 2026</w:t>
          </w:r>
          <w:r>
            <w:fldChar w:fldCharType="end"/>
          </w:r>
        </w:p>
        <w:p w14:paraId="31D197F5" w14:textId="7590BC60" w:rsidR="00EB4C64" w:rsidRDefault="008F0309" w:rsidP="00CC4C53">
          <w:pPr>
            <w:pStyle w:val="HeaderRight"/>
            <w:ind w:left="-524"/>
          </w:pPr>
          <w:r>
            <w:fldChar w:fldCharType="begin"/>
          </w:r>
          <w:r>
            <w:instrText xml:space="preserve"> STYLEREF  "Cover Project Number" </w:instrText>
          </w:r>
          <w:r>
            <w:fldChar w:fldCharType="separate"/>
          </w:r>
          <w:r w:rsidR="0052675C">
            <w:t>SLR Project No.: 640.032359.00001</w:t>
          </w:r>
          <w:r>
            <w:fldChar w:fldCharType="end"/>
          </w:r>
        </w:p>
        <w:p w14:paraId="50BF5224" w14:textId="711A4657" w:rsidR="00CC4C53" w:rsidRPr="00F903CC" w:rsidRDefault="00CC4C53" w:rsidP="00F903CC">
          <w:pPr>
            <w:pStyle w:val="HeaderRight"/>
          </w:pPr>
          <w:r>
            <w:t xml:space="preserve">SLR Ref No.: </w:t>
          </w:r>
          <w:fldSimple w:instr=" FILENAME   \* MERGEFORMAT ">
            <w:r w:rsidR="0052675C">
              <w:t>640.032359.00001-v2.0-07082026-Vit B6 UL-Evaluation report</w:t>
            </w:r>
          </w:fldSimple>
        </w:p>
      </w:tc>
    </w:tr>
  </w:tbl>
  <w:p w14:paraId="7C8ED0F7" w14:textId="2FF1B37F" w:rsidR="00EB4C64" w:rsidRPr="00F903CC" w:rsidRDefault="00EB4C64" w:rsidP="00F903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03"/>
      <w:gridCol w:w="3126"/>
    </w:tblGrid>
    <w:tr w:rsidR="00CA1660" w:rsidRPr="00F903CC" w14:paraId="23FC1CD5" w14:textId="77777777" w:rsidTr="007B0E81">
      <w:tc>
        <w:tcPr>
          <w:tcW w:w="3269" w:type="pct"/>
          <w:tcBorders>
            <w:bottom w:val="single" w:sz="18" w:space="0" w:color="3C533C" w:themeColor="accent1"/>
          </w:tcBorders>
          <w:vAlign w:val="bottom"/>
        </w:tcPr>
        <w:p w14:paraId="140D18F2" w14:textId="3B019781" w:rsidR="00CA1660" w:rsidRPr="00F903CC" w:rsidRDefault="00CA1660" w:rsidP="00CA1660">
          <w:pPr>
            <w:pStyle w:val="Header"/>
          </w:pPr>
          <w:r>
            <w:fldChar w:fldCharType="begin"/>
          </w:r>
          <w:r>
            <w:instrText xml:space="preserve"> STYLEREF  "Cover Client Name" </w:instrText>
          </w:r>
          <w:r>
            <w:fldChar w:fldCharType="separate"/>
          </w:r>
          <w:r w:rsidR="0052675C">
            <w:t>National Health and Medical Research Council</w:t>
          </w:r>
          <w:r>
            <w:fldChar w:fldCharType="end"/>
          </w:r>
        </w:p>
        <w:p w14:paraId="5582B6E2" w14:textId="67D41FA3" w:rsidR="00CA1660" w:rsidRPr="00F903CC" w:rsidRDefault="00CA1660" w:rsidP="00CA1660">
          <w:pPr>
            <w:pStyle w:val="Header"/>
          </w:pPr>
          <w:r>
            <w:fldChar w:fldCharType="begin"/>
          </w:r>
          <w:r>
            <w:instrText xml:space="preserve"> STYLEREF  "Cover Title" </w:instrText>
          </w:r>
          <w:r>
            <w:fldChar w:fldCharType="separate"/>
          </w:r>
          <w:r w:rsidR="0052675C">
            <w:t>Evidence Evaluations for Vitamin B6 Upper Level</w:t>
          </w:r>
          <w:r>
            <w:fldChar w:fldCharType="end"/>
          </w:r>
        </w:p>
      </w:tc>
      <w:tc>
        <w:tcPr>
          <w:tcW w:w="1731" w:type="pct"/>
          <w:tcBorders>
            <w:bottom w:val="single" w:sz="18" w:space="0" w:color="3C533C" w:themeColor="accent1"/>
          </w:tcBorders>
          <w:vAlign w:val="bottom"/>
        </w:tcPr>
        <w:p w14:paraId="12AED412" w14:textId="438FD5DE" w:rsidR="00CA1660" w:rsidRPr="00F903CC" w:rsidRDefault="00CA1660" w:rsidP="00CA1660">
          <w:pPr>
            <w:pStyle w:val="HeaderRight"/>
          </w:pPr>
          <w:r>
            <w:fldChar w:fldCharType="begin"/>
          </w:r>
          <w:r>
            <w:instrText xml:space="preserve"> STYLEREF  "Cover Date" </w:instrText>
          </w:r>
          <w:r>
            <w:fldChar w:fldCharType="separate"/>
          </w:r>
          <w:r w:rsidR="0052675C">
            <w:t>7 August 2026</w:t>
          </w:r>
          <w:r>
            <w:fldChar w:fldCharType="end"/>
          </w:r>
        </w:p>
        <w:p w14:paraId="580A7374" w14:textId="7A5E51C3" w:rsidR="00CA1660" w:rsidRPr="00F903CC" w:rsidRDefault="00CA1660" w:rsidP="00CA1660">
          <w:pPr>
            <w:pStyle w:val="HeaderRight"/>
          </w:pPr>
          <w:r>
            <w:fldChar w:fldCharType="begin"/>
          </w:r>
          <w:r>
            <w:instrText xml:space="preserve"> STYLEREF  "Cover Project Number" </w:instrText>
          </w:r>
          <w:r>
            <w:fldChar w:fldCharType="separate"/>
          </w:r>
          <w:r w:rsidR="0052675C">
            <w:t>SLR Project No.: 640.032359.00001</w:t>
          </w:r>
          <w:r>
            <w:fldChar w:fldCharType="end"/>
          </w:r>
        </w:p>
      </w:tc>
    </w:tr>
  </w:tbl>
  <w:p w14:paraId="19EADC3E" w14:textId="77777777" w:rsidR="003C62BD" w:rsidRPr="00CA1660" w:rsidRDefault="003C62BD" w:rsidP="00CA166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14"/>
      <w:gridCol w:w="4515"/>
    </w:tblGrid>
    <w:tr w:rsidR="00A01E44" w:rsidRPr="00F903CC" w14:paraId="4A4F1016" w14:textId="77777777" w:rsidTr="0084375D">
      <w:tc>
        <w:tcPr>
          <w:tcW w:w="2500" w:type="pct"/>
          <w:tcBorders>
            <w:bottom w:val="single" w:sz="18" w:space="0" w:color="3C533C" w:themeColor="accent1"/>
          </w:tcBorders>
          <w:vAlign w:val="bottom"/>
        </w:tcPr>
        <w:p w14:paraId="418233AC" w14:textId="348A16B7" w:rsidR="00A01E44" w:rsidRPr="00F903CC" w:rsidRDefault="00A01E44" w:rsidP="00F903CC">
          <w:pPr>
            <w:pStyle w:val="Header"/>
          </w:pPr>
          <w:r>
            <w:fldChar w:fldCharType="begin"/>
          </w:r>
          <w:r>
            <w:instrText xml:space="preserve"> STYLEREF  "Cover Client Name" </w:instrText>
          </w:r>
          <w:r>
            <w:fldChar w:fldCharType="separate"/>
          </w:r>
          <w:r w:rsidR="0052675C">
            <w:t>National Health and Medical Research Council</w:t>
          </w:r>
          <w:r>
            <w:fldChar w:fldCharType="end"/>
          </w:r>
        </w:p>
        <w:p w14:paraId="3B053197" w14:textId="10A52582" w:rsidR="00A01E44" w:rsidRPr="00F903CC" w:rsidRDefault="00A01E44" w:rsidP="00F903CC">
          <w:pPr>
            <w:pStyle w:val="Header"/>
          </w:pPr>
          <w:r>
            <w:fldChar w:fldCharType="begin"/>
          </w:r>
          <w:r>
            <w:instrText xml:space="preserve"> STYLEREF  "Cover Title" </w:instrText>
          </w:r>
          <w:r>
            <w:fldChar w:fldCharType="separate"/>
          </w:r>
          <w:r w:rsidR="0052675C">
            <w:t>Evidence Evaluations for Vitamin B6 Upper Level</w:t>
          </w:r>
          <w:r>
            <w:fldChar w:fldCharType="end"/>
          </w:r>
        </w:p>
      </w:tc>
      <w:tc>
        <w:tcPr>
          <w:tcW w:w="2500" w:type="pct"/>
          <w:tcBorders>
            <w:bottom w:val="single" w:sz="18" w:space="0" w:color="3C533C" w:themeColor="accent1"/>
          </w:tcBorders>
          <w:vAlign w:val="bottom"/>
        </w:tcPr>
        <w:p w14:paraId="514C3B1B" w14:textId="5406C0D0" w:rsidR="00A01E44" w:rsidRPr="00F903CC" w:rsidRDefault="00A01E44" w:rsidP="00F903CC">
          <w:pPr>
            <w:pStyle w:val="HeaderRight"/>
          </w:pPr>
          <w:r>
            <w:fldChar w:fldCharType="begin"/>
          </w:r>
          <w:r>
            <w:instrText xml:space="preserve"> STYLEREF  "Cover Date" </w:instrText>
          </w:r>
          <w:r>
            <w:fldChar w:fldCharType="separate"/>
          </w:r>
          <w:r w:rsidR="0052675C">
            <w:t>7 August 2026</w:t>
          </w:r>
          <w:r>
            <w:fldChar w:fldCharType="end"/>
          </w:r>
        </w:p>
        <w:p w14:paraId="74845F0F" w14:textId="3B238CB7" w:rsidR="00A01E44" w:rsidRDefault="00A01E44" w:rsidP="00CC4C53">
          <w:pPr>
            <w:pStyle w:val="HeaderRight"/>
            <w:ind w:left="-524"/>
          </w:pPr>
          <w:r>
            <w:fldChar w:fldCharType="begin"/>
          </w:r>
          <w:r>
            <w:instrText xml:space="preserve"> STYLEREF  "Cover Project Number" </w:instrText>
          </w:r>
          <w:r>
            <w:fldChar w:fldCharType="separate"/>
          </w:r>
          <w:r w:rsidR="0052675C">
            <w:t>SLR Project No.: 640.032359.00001</w:t>
          </w:r>
          <w:r>
            <w:fldChar w:fldCharType="end"/>
          </w:r>
        </w:p>
        <w:p w14:paraId="153FC401" w14:textId="41C354E0" w:rsidR="00A01E44" w:rsidRPr="00F903CC" w:rsidRDefault="00A01E44" w:rsidP="00F903CC">
          <w:pPr>
            <w:pStyle w:val="HeaderRight"/>
          </w:pPr>
          <w:r>
            <w:t xml:space="preserve">SLR Ref No.: </w:t>
          </w:r>
          <w:fldSimple w:instr=" FILENAME   \* MERGEFORMAT ">
            <w:r w:rsidR="0052675C">
              <w:t>640.032359.00001-v2.0-07082026-Vit B6 UL-Evaluation report</w:t>
            </w:r>
          </w:fldSimple>
        </w:p>
      </w:tc>
    </w:tr>
  </w:tbl>
  <w:p w14:paraId="5628FEE6" w14:textId="54BB9B04" w:rsidR="00A01E44" w:rsidRPr="00F903CC" w:rsidRDefault="00A01E44" w:rsidP="00F903C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14"/>
      <w:gridCol w:w="4515"/>
    </w:tblGrid>
    <w:tr w:rsidR="00A26F96" w:rsidRPr="00F903CC" w14:paraId="0D83548A" w14:textId="77777777" w:rsidTr="0084375D">
      <w:tc>
        <w:tcPr>
          <w:tcW w:w="2500" w:type="pct"/>
          <w:tcBorders>
            <w:bottom w:val="single" w:sz="18" w:space="0" w:color="3C533C" w:themeColor="accent1"/>
          </w:tcBorders>
          <w:vAlign w:val="bottom"/>
        </w:tcPr>
        <w:p w14:paraId="2AB5CD44" w14:textId="7E2DB6C6" w:rsidR="00A26F96" w:rsidRPr="00F903CC" w:rsidRDefault="00A26F96" w:rsidP="00F903CC">
          <w:pPr>
            <w:pStyle w:val="Header"/>
          </w:pPr>
          <w:r>
            <w:fldChar w:fldCharType="begin"/>
          </w:r>
          <w:r>
            <w:instrText xml:space="preserve"> STYLEREF  "Cover Client Name" </w:instrText>
          </w:r>
          <w:r>
            <w:fldChar w:fldCharType="separate"/>
          </w:r>
          <w:r w:rsidR="0052675C">
            <w:t>National Health and Medical Research Council</w:t>
          </w:r>
          <w:r>
            <w:fldChar w:fldCharType="end"/>
          </w:r>
        </w:p>
        <w:p w14:paraId="1B9083C6" w14:textId="670C522C" w:rsidR="00A26F96" w:rsidRPr="00F903CC" w:rsidRDefault="00A26F96" w:rsidP="00F903CC">
          <w:pPr>
            <w:pStyle w:val="Header"/>
          </w:pPr>
          <w:r>
            <w:fldChar w:fldCharType="begin"/>
          </w:r>
          <w:r>
            <w:instrText xml:space="preserve"> STYLEREF  "Cover Title" </w:instrText>
          </w:r>
          <w:r>
            <w:fldChar w:fldCharType="separate"/>
          </w:r>
          <w:r w:rsidR="0052675C">
            <w:t>Evidence Evaluations for Vitamin B6 Upper Level</w:t>
          </w:r>
          <w:r>
            <w:fldChar w:fldCharType="end"/>
          </w:r>
        </w:p>
      </w:tc>
      <w:tc>
        <w:tcPr>
          <w:tcW w:w="2500" w:type="pct"/>
          <w:tcBorders>
            <w:bottom w:val="single" w:sz="18" w:space="0" w:color="3C533C" w:themeColor="accent1"/>
          </w:tcBorders>
          <w:vAlign w:val="bottom"/>
        </w:tcPr>
        <w:p w14:paraId="121BF3C9" w14:textId="071E5274" w:rsidR="00A26F96" w:rsidRPr="00F903CC" w:rsidRDefault="00A26F96" w:rsidP="00F903CC">
          <w:pPr>
            <w:pStyle w:val="HeaderRight"/>
          </w:pPr>
          <w:r>
            <w:fldChar w:fldCharType="begin"/>
          </w:r>
          <w:r>
            <w:instrText xml:space="preserve"> STYLEREF  "Cover Date" </w:instrText>
          </w:r>
          <w:r>
            <w:fldChar w:fldCharType="separate"/>
          </w:r>
          <w:r w:rsidR="0052675C">
            <w:t>7 August 2026</w:t>
          </w:r>
          <w:r>
            <w:fldChar w:fldCharType="end"/>
          </w:r>
        </w:p>
        <w:p w14:paraId="556429FA" w14:textId="11E1F516" w:rsidR="00A26F96" w:rsidRDefault="00A26F96" w:rsidP="00CC4C53">
          <w:pPr>
            <w:pStyle w:val="HeaderRight"/>
            <w:ind w:left="-524"/>
          </w:pPr>
          <w:r>
            <w:fldChar w:fldCharType="begin"/>
          </w:r>
          <w:r>
            <w:instrText xml:space="preserve"> STYLEREF  "Cover Project Number" </w:instrText>
          </w:r>
          <w:r>
            <w:fldChar w:fldCharType="separate"/>
          </w:r>
          <w:r w:rsidR="0052675C">
            <w:t>SLR Project No.: 640.032359.00001</w:t>
          </w:r>
          <w:r>
            <w:fldChar w:fldCharType="end"/>
          </w:r>
        </w:p>
        <w:p w14:paraId="7EAB525A" w14:textId="43235DE6" w:rsidR="00A26F96" w:rsidRPr="00F903CC" w:rsidRDefault="00A26F96" w:rsidP="00F903CC">
          <w:pPr>
            <w:pStyle w:val="HeaderRight"/>
          </w:pPr>
          <w:r>
            <w:t xml:space="preserve">SLR Ref No.: </w:t>
          </w:r>
          <w:fldSimple w:instr=" FILENAME   \* MERGEFORMAT ">
            <w:r w:rsidR="0052675C">
              <w:t>640.032359.00001-v2.0-07082026-Vit B6 UL-Evaluation report</w:t>
            </w:r>
          </w:fldSimple>
        </w:p>
      </w:tc>
    </w:tr>
  </w:tbl>
  <w:p w14:paraId="024EDFC5" w14:textId="203DFEDF" w:rsidR="00A26F96" w:rsidRPr="00F903CC" w:rsidRDefault="00A26F96" w:rsidP="00F903C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14"/>
      <w:gridCol w:w="4515"/>
    </w:tblGrid>
    <w:tr w:rsidR="00A26F96" w:rsidRPr="00F903CC" w14:paraId="26000E81" w14:textId="77777777" w:rsidTr="0084375D">
      <w:tc>
        <w:tcPr>
          <w:tcW w:w="2500" w:type="pct"/>
          <w:tcBorders>
            <w:bottom w:val="single" w:sz="18" w:space="0" w:color="3C533C" w:themeColor="accent1"/>
          </w:tcBorders>
          <w:vAlign w:val="bottom"/>
        </w:tcPr>
        <w:p w14:paraId="5E8FAFFA" w14:textId="01D20E01" w:rsidR="00A26F96" w:rsidRPr="00F903CC" w:rsidRDefault="00A26F96" w:rsidP="00F903CC">
          <w:pPr>
            <w:pStyle w:val="Header"/>
          </w:pPr>
          <w:r>
            <w:fldChar w:fldCharType="begin"/>
          </w:r>
          <w:r>
            <w:instrText xml:space="preserve"> STYLEREF  "Cover Client Name" </w:instrText>
          </w:r>
          <w:r>
            <w:fldChar w:fldCharType="separate"/>
          </w:r>
          <w:r w:rsidR="0052675C">
            <w:t>National Health and Medical Research Council</w:t>
          </w:r>
          <w:r>
            <w:fldChar w:fldCharType="end"/>
          </w:r>
        </w:p>
        <w:p w14:paraId="495EE8E7" w14:textId="4D6A6498" w:rsidR="00A26F96" w:rsidRPr="00F903CC" w:rsidRDefault="00A26F96" w:rsidP="00F903CC">
          <w:pPr>
            <w:pStyle w:val="Header"/>
          </w:pPr>
          <w:r>
            <w:fldChar w:fldCharType="begin"/>
          </w:r>
          <w:r>
            <w:instrText xml:space="preserve"> STYLEREF  "Cover Title" </w:instrText>
          </w:r>
          <w:r>
            <w:fldChar w:fldCharType="separate"/>
          </w:r>
          <w:r w:rsidR="0052675C">
            <w:t>Evidence Evaluations for Vitamin B6 Upper Level</w:t>
          </w:r>
          <w:r>
            <w:fldChar w:fldCharType="end"/>
          </w:r>
        </w:p>
      </w:tc>
      <w:tc>
        <w:tcPr>
          <w:tcW w:w="2500" w:type="pct"/>
          <w:tcBorders>
            <w:bottom w:val="single" w:sz="18" w:space="0" w:color="3C533C" w:themeColor="accent1"/>
          </w:tcBorders>
          <w:vAlign w:val="bottom"/>
        </w:tcPr>
        <w:p w14:paraId="5919D303" w14:textId="3422F104" w:rsidR="00A26F96" w:rsidRPr="00F903CC" w:rsidRDefault="00A26F96" w:rsidP="00F903CC">
          <w:pPr>
            <w:pStyle w:val="HeaderRight"/>
          </w:pPr>
          <w:r>
            <w:fldChar w:fldCharType="begin"/>
          </w:r>
          <w:r>
            <w:instrText xml:space="preserve"> STYLEREF  "Cover Date" </w:instrText>
          </w:r>
          <w:r>
            <w:fldChar w:fldCharType="separate"/>
          </w:r>
          <w:r w:rsidR="0052675C">
            <w:t>7 August 2026</w:t>
          </w:r>
          <w:r>
            <w:fldChar w:fldCharType="end"/>
          </w:r>
        </w:p>
        <w:p w14:paraId="4EC105E9" w14:textId="7577F0CC" w:rsidR="00A26F96" w:rsidRDefault="00A26F96" w:rsidP="00CC4C53">
          <w:pPr>
            <w:pStyle w:val="HeaderRight"/>
            <w:ind w:left="-524"/>
          </w:pPr>
          <w:r>
            <w:fldChar w:fldCharType="begin"/>
          </w:r>
          <w:r>
            <w:instrText xml:space="preserve"> STYLEREF  "Cover Project Number" </w:instrText>
          </w:r>
          <w:r>
            <w:fldChar w:fldCharType="separate"/>
          </w:r>
          <w:r w:rsidR="0052675C">
            <w:t>SLR Project No.: 640.032359.00001</w:t>
          </w:r>
          <w:r>
            <w:fldChar w:fldCharType="end"/>
          </w:r>
        </w:p>
        <w:p w14:paraId="5E0CA418" w14:textId="6802AD41" w:rsidR="00A26F96" w:rsidRPr="00F903CC" w:rsidRDefault="00A26F96" w:rsidP="00F903CC">
          <w:pPr>
            <w:pStyle w:val="HeaderRight"/>
          </w:pPr>
          <w:r>
            <w:t xml:space="preserve">SLR Ref No.: </w:t>
          </w:r>
          <w:fldSimple w:instr=" FILENAME   \* MERGEFORMAT ">
            <w:r w:rsidR="0052675C">
              <w:t>640.032359.00001-v2.0-07082026-Vit B6 UL-Evaluation report</w:t>
            </w:r>
          </w:fldSimple>
        </w:p>
      </w:tc>
    </w:tr>
  </w:tbl>
  <w:p w14:paraId="6B391FE9" w14:textId="7C0C8A3A" w:rsidR="00A26F96" w:rsidRPr="00F903CC" w:rsidRDefault="00A26F96" w:rsidP="00F903C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14"/>
      <w:gridCol w:w="4515"/>
    </w:tblGrid>
    <w:tr w:rsidR="00A26F96" w:rsidRPr="00F903CC" w14:paraId="4EB5F3AF" w14:textId="77777777" w:rsidTr="0084375D">
      <w:tc>
        <w:tcPr>
          <w:tcW w:w="2500" w:type="pct"/>
          <w:tcBorders>
            <w:bottom w:val="single" w:sz="18" w:space="0" w:color="3C533C" w:themeColor="accent1"/>
          </w:tcBorders>
          <w:vAlign w:val="bottom"/>
        </w:tcPr>
        <w:p w14:paraId="2C7BF539" w14:textId="1456B6E9" w:rsidR="00A26F96" w:rsidRPr="00F903CC" w:rsidRDefault="00A26F96" w:rsidP="00F903CC">
          <w:pPr>
            <w:pStyle w:val="Header"/>
          </w:pPr>
          <w:r>
            <w:fldChar w:fldCharType="begin"/>
          </w:r>
          <w:r>
            <w:instrText xml:space="preserve"> STYLEREF  "Cover Client Name" </w:instrText>
          </w:r>
          <w:r>
            <w:fldChar w:fldCharType="separate"/>
          </w:r>
          <w:r w:rsidR="0052675C">
            <w:t>National Health and Medical Research Council</w:t>
          </w:r>
          <w:r>
            <w:fldChar w:fldCharType="end"/>
          </w:r>
        </w:p>
        <w:p w14:paraId="2A7B664C" w14:textId="5763B378" w:rsidR="00A26F96" w:rsidRPr="00F903CC" w:rsidRDefault="00A26F96" w:rsidP="00F903CC">
          <w:pPr>
            <w:pStyle w:val="Header"/>
          </w:pPr>
          <w:r>
            <w:fldChar w:fldCharType="begin"/>
          </w:r>
          <w:r>
            <w:instrText xml:space="preserve"> STYLEREF  "Cover Title" </w:instrText>
          </w:r>
          <w:r>
            <w:fldChar w:fldCharType="separate"/>
          </w:r>
          <w:r w:rsidR="0052675C">
            <w:t>Evidence Evaluations for Vitamin B6 Upper Level</w:t>
          </w:r>
          <w:r>
            <w:fldChar w:fldCharType="end"/>
          </w:r>
        </w:p>
      </w:tc>
      <w:tc>
        <w:tcPr>
          <w:tcW w:w="2500" w:type="pct"/>
          <w:tcBorders>
            <w:bottom w:val="single" w:sz="18" w:space="0" w:color="3C533C" w:themeColor="accent1"/>
          </w:tcBorders>
          <w:vAlign w:val="bottom"/>
        </w:tcPr>
        <w:p w14:paraId="5B103C3D" w14:textId="519C1A9F" w:rsidR="00A26F96" w:rsidRPr="00F903CC" w:rsidRDefault="00A26F96" w:rsidP="00F903CC">
          <w:pPr>
            <w:pStyle w:val="HeaderRight"/>
          </w:pPr>
          <w:r>
            <w:fldChar w:fldCharType="begin"/>
          </w:r>
          <w:r>
            <w:instrText xml:space="preserve"> STYLEREF  "Cover Date" </w:instrText>
          </w:r>
          <w:r>
            <w:fldChar w:fldCharType="separate"/>
          </w:r>
          <w:r w:rsidR="0052675C">
            <w:t>7 August 2026</w:t>
          </w:r>
          <w:r>
            <w:fldChar w:fldCharType="end"/>
          </w:r>
        </w:p>
        <w:p w14:paraId="18E3C6B4" w14:textId="2193CC5F" w:rsidR="00A26F96" w:rsidRDefault="00A26F96" w:rsidP="00CC4C53">
          <w:pPr>
            <w:pStyle w:val="HeaderRight"/>
            <w:ind w:left="-524"/>
          </w:pPr>
          <w:r>
            <w:fldChar w:fldCharType="begin"/>
          </w:r>
          <w:r>
            <w:instrText xml:space="preserve"> STYLEREF  "Cover Project Number" </w:instrText>
          </w:r>
          <w:r>
            <w:fldChar w:fldCharType="separate"/>
          </w:r>
          <w:r w:rsidR="0052675C">
            <w:t>SLR Project No.: 640.032359.00001</w:t>
          </w:r>
          <w:r>
            <w:fldChar w:fldCharType="end"/>
          </w:r>
        </w:p>
        <w:p w14:paraId="754AB95C" w14:textId="4EAA4331" w:rsidR="00A26F96" w:rsidRPr="00F903CC" w:rsidRDefault="00A26F96" w:rsidP="00F903CC">
          <w:pPr>
            <w:pStyle w:val="HeaderRight"/>
          </w:pPr>
          <w:r>
            <w:t xml:space="preserve">SLR Ref No.: </w:t>
          </w:r>
          <w:fldSimple w:instr=" FILENAME   \* MERGEFORMAT ">
            <w:r w:rsidR="0052675C">
              <w:t>640.032359.00001-v2.0-07082026-Vit B6 UL-Evaluation report</w:t>
            </w:r>
          </w:fldSimple>
        </w:p>
      </w:tc>
    </w:tr>
  </w:tbl>
  <w:p w14:paraId="355264C1" w14:textId="75C3267C" w:rsidR="00A26F96" w:rsidRPr="00F903CC" w:rsidRDefault="00A26F96" w:rsidP="00F903C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B66DD" w14:textId="77777777" w:rsidR="00BB3382" w:rsidRPr="005C2FFE" w:rsidRDefault="007A332A" w:rsidP="00F903CC">
    <w:pPr>
      <w:pStyle w:val="Header"/>
    </w:pPr>
    <w:r>
      <w:drawing>
        <wp:anchor distT="0" distB="0" distL="114300" distR="114300" simplePos="0" relativeHeight="251657728" behindDoc="1" locked="0" layoutInCell="1" allowOverlap="1" wp14:anchorId="20E24EAF" wp14:editId="24F151F6">
          <wp:simplePos x="0" y="0"/>
          <wp:positionH relativeFrom="column">
            <wp:posOffset>-914400</wp:posOffset>
          </wp:positionH>
          <wp:positionV relativeFrom="paragraph">
            <wp:posOffset>-365760</wp:posOffset>
          </wp:positionV>
          <wp:extent cx="7557587" cy="10689771"/>
          <wp:effectExtent l="0" t="0" r="5715" b="0"/>
          <wp:wrapNone/>
          <wp:docPr id="10" name="Picture 10"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67671" cy="1070403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481890"/>
    <w:lvl w:ilvl="0">
      <w:start w:val="1"/>
      <w:numFmt w:val="decimal"/>
      <w:pStyle w:val="ListNumber5"/>
      <w:lvlText w:val="%1."/>
      <w:lvlJc w:val="left"/>
      <w:pPr>
        <w:tabs>
          <w:tab w:val="num" w:pos="10872"/>
        </w:tabs>
        <w:ind w:left="10872" w:hanging="360"/>
      </w:pPr>
    </w:lvl>
  </w:abstractNum>
  <w:abstractNum w:abstractNumId="1" w15:restartNumberingAfterBreak="0">
    <w:nsid w:val="FFFFFF80"/>
    <w:multiLevelType w:val="singleLevel"/>
    <w:tmpl w:val="13949644"/>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09BE6FF5"/>
    <w:multiLevelType w:val="hybridMultilevel"/>
    <w:tmpl w:val="99A4A708"/>
    <w:lvl w:ilvl="0" w:tplc="5F12B6F0">
      <w:start w:val="1"/>
      <w:numFmt w:val="decimal"/>
      <w:lvlText w:val="%1."/>
      <w:lvlJc w:val="left"/>
      <w:pPr>
        <w:ind w:left="1440" w:hanging="360"/>
      </w:pPr>
    </w:lvl>
    <w:lvl w:ilvl="1" w:tplc="CC3EDB74">
      <w:start w:val="1"/>
      <w:numFmt w:val="decimal"/>
      <w:lvlText w:val="%2."/>
      <w:lvlJc w:val="left"/>
      <w:pPr>
        <w:ind w:left="1440" w:hanging="360"/>
      </w:pPr>
    </w:lvl>
    <w:lvl w:ilvl="2" w:tplc="B100D462">
      <w:start w:val="1"/>
      <w:numFmt w:val="decimal"/>
      <w:lvlText w:val="%3."/>
      <w:lvlJc w:val="left"/>
      <w:pPr>
        <w:ind w:left="1440" w:hanging="360"/>
      </w:pPr>
    </w:lvl>
    <w:lvl w:ilvl="3" w:tplc="31665EEE">
      <w:start w:val="1"/>
      <w:numFmt w:val="decimal"/>
      <w:lvlText w:val="%4."/>
      <w:lvlJc w:val="left"/>
      <w:pPr>
        <w:ind w:left="1440" w:hanging="360"/>
      </w:pPr>
    </w:lvl>
    <w:lvl w:ilvl="4" w:tplc="4844CD8E">
      <w:start w:val="1"/>
      <w:numFmt w:val="decimal"/>
      <w:lvlText w:val="%5."/>
      <w:lvlJc w:val="left"/>
      <w:pPr>
        <w:ind w:left="1440" w:hanging="360"/>
      </w:pPr>
    </w:lvl>
    <w:lvl w:ilvl="5" w:tplc="665A0656">
      <w:start w:val="1"/>
      <w:numFmt w:val="decimal"/>
      <w:lvlText w:val="%6."/>
      <w:lvlJc w:val="left"/>
      <w:pPr>
        <w:ind w:left="1440" w:hanging="360"/>
      </w:pPr>
    </w:lvl>
    <w:lvl w:ilvl="6" w:tplc="95C67730">
      <w:start w:val="1"/>
      <w:numFmt w:val="decimal"/>
      <w:lvlText w:val="%7."/>
      <w:lvlJc w:val="left"/>
      <w:pPr>
        <w:ind w:left="1440" w:hanging="360"/>
      </w:pPr>
    </w:lvl>
    <w:lvl w:ilvl="7" w:tplc="F7866144">
      <w:start w:val="1"/>
      <w:numFmt w:val="decimal"/>
      <w:lvlText w:val="%8."/>
      <w:lvlJc w:val="left"/>
      <w:pPr>
        <w:ind w:left="1440" w:hanging="360"/>
      </w:pPr>
    </w:lvl>
    <w:lvl w:ilvl="8" w:tplc="EAFAFA38">
      <w:start w:val="1"/>
      <w:numFmt w:val="decimal"/>
      <w:lvlText w:val="%9."/>
      <w:lvlJc w:val="left"/>
      <w:pPr>
        <w:ind w:left="1440" w:hanging="360"/>
      </w:pPr>
    </w:lvl>
  </w:abstractNum>
  <w:abstractNum w:abstractNumId="3" w15:restartNumberingAfterBreak="0">
    <w:nsid w:val="0B5A28D7"/>
    <w:multiLevelType w:val="multilevel"/>
    <w:tmpl w:val="6E9CB6D0"/>
    <w:lvl w:ilvl="0">
      <w:start w:val="1"/>
      <w:numFmt w:val="decimal"/>
      <w:pStyle w:val="ListNumber"/>
      <w:lvlText w:val="%1"/>
      <w:lvlJc w:val="left"/>
      <w:pPr>
        <w:tabs>
          <w:tab w:val="num" w:pos="720"/>
        </w:tabs>
        <w:ind w:left="720" w:hanging="360"/>
      </w:pPr>
      <w:rPr>
        <w:rFonts w:hint="default"/>
      </w:rPr>
    </w:lvl>
    <w:lvl w:ilvl="1">
      <w:start w:val="1"/>
      <w:numFmt w:val="lowerLetter"/>
      <w:pStyle w:val="ListNumber2"/>
      <w:lvlText w:val="%2)"/>
      <w:lvlJc w:val="left"/>
      <w:pPr>
        <w:tabs>
          <w:tab w:val="num" w:pos="180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lowerLetter"/>
      <w:pStyle w:val="ListNumber4"/>
      <w:lvlText w:val="%4."/>
      <w:lvlJc w:val="left"/>
      <w:pPr>
        <w:ind w:left="1800" w:hanging="360"/>
      </w:pPr>
      <w:rPr>
        <w:rFonts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B9E65D5"/>
    <w:multiLevelType w:val="multilevel"/>
    <w:tmpl w:val="050018D6"/>
    <w:lvl w:ilvl="0">
      <w:start w:val="1"/>
      <w:numFmt w:val="decimal"/>
      <w:pStyle w:val="BodyTextParagraphNumbered"/>
      <w:lvlText w:val="%1."/>
      <w:lvlJc w:val="left"/>
      <w:pPr>
        <w:ind w:left="360" w:hanging="360"/>
      </w:pPr>
      <w:rPr>
        <w:rFonts w:hint="default"/>
      </w:rPr>
    </w:lvl>
    <w:lvl w:ilvl="1">
      <w:start w:val="1"/>
      <w:numFmt w:val="decimal"/>
      <w:lvlText w:val="%1.%2."/>
      <w:lvlJc w:val="left"/>
      <w:pPr>
        <w:ind w:left="864" w:hanging="504"/>
      </w:pPr>
      <w:rPr>
        <w:rFonts w:hint="default"/>
      </w:rPr>
    </w:lvl>
    <w:lvl w:ilvl="2">
      <w:start w:val="1"/>
      <w:numFmt w:val="decimal"/>
      <w:lvlText w:val="%1.%2.%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CF83E09"/>
    <w:multiLevelType w:val="multilevel"/>
    <w:tmpl w:val="697AE732"/>
    <w:styleLink w:val="ListBullets"/>
    <w:lvl w:ilvl="0">
      <w:start w:val="1"/>
      <w:numFmt w:val="bullet"/>
      <w:lvlText w:val=""/>
      <w:lvlJc w:val="left"/>
      <w:pPr>
        <w:tabs>
          <w:tab w:val="num" w:pos="720"/>
        </w:tabs>
        <w:ind w:left="720" w:hanging="360"/>
      </w:pPr>
      <w:rPr>
        <w:rFonts w:ascii="Symbol" w:hAnsi="Symbol" w:hint="default"/>
        <w:color w:val="565656" w:themeColor="text1" w:themeTint="BF"/>
        <w:sz w:val="20"/>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Arial" w:hAnsi="Arial" w:hint="default"/>
      </w:rPr>
    </w:lvl>
    <w:lvl w:ilvl="3">
      <w:start w:val="1"/>
      <w:numFmt w:val="bullet"/>
      <w:lvlText w:val=""/>
      <w:lvlJc w:val="left"/>
      <w:pPr>
        <w:tabs>
          <w:tab w:val="num" w:pos="1800"/>
        </w:tabs>
        <w:ind w:left="1800" w:hanging="360"/>
      </w:pPr>
      <w:rPr>
        <w:rFonts w:ascii="Symbol" w:hAnsi="Symbol" w:hint="default"/>
        <w:sz w:val="16"/>
      </w:rPr>
    </w:lvl>
    <w:lvl w:ilvl="4">
      <w:start w:val="1"/>
      <w:numFmt w:val="bullet"/>
      <w:lvlText w:val="~"/>
      <w:lvlJc w:val="left"/>
      <w:pPr>
        <w:tabs>
          <w:tab w:val="num" w:pos="2160"/>
        </w:tabs>
        <w:ind w:left="2160" w:hanging="360"/>
      </w:pPr>
      <w:rPr>
        <w:rFonts w:ascii="Arial" w:hAnsi="Arial" w:hint="default"/>
      </w:rPr>
    </w:lvl>
    <w:lvl w:ilvl="5">
      <w:start w:val="1"/>
      <w:numFmt w:val="none"/>
      <w:lvlText w:val=""/>
      <w:lvlJc w:val="left"/>
      <w:pPr>
        <w:tabs>
          <w:tab w:val="num" w:pos="2520"/>
        </w:tabs>
        <w:ind w:left="2520" w:hanging="360"/>
      </w:pPr>
      <w:rPr>
        <w:rFonts w:hint="default"/>
      </w:rPr>
    </w:lvl>
    <w:lvl w:ilvl="6">
      <w:start w:val="1"/>
      <w:numFmt w:val="none"/>
      <w:lvlText w:val=""/>
      <w:lvlJc w:val="left"/>
      <w:pPr>
        <w:tabs>
          <w:tab w:val="num" w:pos="2880"/>
        </w:tabs>
        <w:ind w:left="2880" w:hanging="360"/>
      </w:pPr>
      <w:rPr>
        <w:rFonts w:hint="default"/>
      </w:rPr>
    </w:lvl>
    <w:lvl w:ilvl="7">
      <w:start w:val="1"/>
      <w:numFmt w:val="none"/>
      <w:lvlText w:val=""/>
      <w:lvlJc w:val="left"/>
      <w:pPr>
        <w:tabs>
          <w:tab w:val="num" w:pos="3240"/>
        </w:tabs>
        <w:ind w:left="3240" w:hanging="360"/>
      </w:pPr>
      <w:rPr>
        <w:rFonts w:hint="default"/>
      </w:rPr>
    </w:lvl>
    <w:lvl w:ilvl="8">
      <w:start w:val="1"/>
      <w:numFmt w:val="none"/>
      <w:lvlText w:val=""/>
      <w:lvlJc w:val="left"/>
      <w:pPr>
        <w:tabs>
          <w:tab w:val="num" w:pos="3600"/>
        </w:tabs>
        <w:ind w:left="3600" w:hanging="360"/>
      </w:pPr>
      <w:rPr>
        <w:rFonts w:hint="default"/>
      </w:rPr>
    </w:lvl>
  </w:abstractNum>
  <w:abstractNum w:abstractNumId="6" w15:restartNumberingAfterBreak="0">
    <w:nsid w:val="11CA34D5"/>
    <w:multiLevelType w:val="hybridMultilevel"/>
    <w:tmpl w:val="2FC042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43582A"/>
    <w:multiLevelType w:val="hybridMultilevel"/>
    <w:tmpl w:val="2F82F186"/>
    <w:lvl w:ilvl="0" w:tplc="36722AC0">
      <w:start w:val="1"/>
      <w:numFmt w:val="decimal"/>
      <w:lvlText w:val="%1)"/>
      <w:lvlJc w:val="left"/>
      <w:pPr>
        <w:ind w:left="1080" w:hanging="360"/>
      </w:pPr>
    </w:lvl>
    <w:lvl w:ilvl="1" w:tplc="94EED20E">
      <w:start w:val="1"/>
      <w:numFmt w:val="decimal"/>
      <w:lvlText w:val="%2)"/>
      <w:lvlJc w:val="left"/>
      <w:pPr>
        <w:ind w:left="1080" w:hanging="360"/>
      </w:pPr>
    </w:lvl>
    <w:lvl w:ilvl="2" w:tplc="FAA8B780">
      <w:start w:val="1"/>
      <w:numFmt w:val="decimal"/>
      <w:lvlText w:val="%3)"/>
      <w:lvlJc w:val="left"/>
      <w:pPr>
        <w:ind w:left="1080" w:hanging="360"/>
      </w:pPr>
    </w:lvl>
    <w:lvl w:ilvl="3" w:tplc="558E9A34">
      <w:start w:val="1"/>
      <w:numFmt w:val="decimal"/>
      <w:lvlText w:val="%4)"/>
      <w:lvlJc w:val="left"/>
      <w:pPr>
        <w:ind w:left="1080" w:hanging="360"/>
      </w:pPr>
    </w:lvl>
    <w:lvl w:ilvl="4" w:tplc="4ECC47A8">
      <w:start w:val="1"/>
      <w:numFmt w:val="decimal"/>
      <w:lvlText w:val="%5)"/>
      <w:lvlJc w:val="left"/>
      <w:pPr>
        <w:ind w:left="1080" w:hanging="360"/>
      </w:pPr>
    </w:lvl>
    <w:lvl w:ilvl="5" w:tplc="8EC0FDF4">
      <w:start w:val="1"/>
      <w:numFmt w:val="decimal"/>
      <w:lvlText w:val="%6)"/>
      <w:lvlJc w:val="left"/>
      <w:pPr>
        <w:ind w:left="1080" w:hanging="360"/>
      </w:pPr>
    </w:lvl>
    <w:lvl w:ilvl="6" w:tplc="133C6022">
      <w:start w:val="1"/>
      <w:numFmt w:val="decimal"/>
      <w:lvlText w:val="%7)"/>
      <w:lvlJc w:val="left"/>
      <w:pPr>
        <w:ind w:left="1080" w:hanging="360"/>
      </w:pPr>
    </w:lvl>
    <w:lvl w:ilvl="7" w:tplc="68645D50">
      <w:start w:val="1"/>
      <w:numFmt w:val="decimal"/>
      <w:lvlText w:val="%8)"/>
      <w:lvlJc w:val="left"/>
      <w:pPr>
        <w:ind w:left="1080" w:hanging="360"/>
      </w:pPr>
    </w:lvl>
    <w:lvl w:ilvl="8" w:tplc="382A19D4">
      <w:start w:val="1"/>
      <w:numFmt w:val="decimal"/>
      <w:lvlText w:val="%9)"/>
      <w:lvlJc w:val="left"/>
      <w:pPr>
        <w:ind w:left="1080" w:hanging="360"/>
      </w:pPr>
    </w:lvl>
  </w:abstractNum>
  <w:abstractNum w:abstractNumId="8" w15:restartNumberingAfterBreak="0">
    <w:nsid w:val="13CB09FE"/>
    <w:multiLevelType w:val="multilevel"/>
    <w:tmpl w:val="4C1C281C"/>
    <w:lvl w:ilvl="0">
      <w:start w:val="1"/>
      <w:numFmt w:val="decimal"/>
      <w:pStyle w:val="Heading1"/>
      <w:lvlText w:val="%1.0"/>
      <w:lvlJc w:val="left"/>
      <w:pPr>
        <w:tabs>
          <w:tab w:val="num" w:pos="1008"/>
        </w:tabs>
        <w:ind w:left="1008" w:hanging="1008"/>
      </w:pPr>
      <w:rPr>
        <w:rFonts w:hint="default"/>
      </w:rPr>
    </w:lvl>
    <w:lvl w:ilvl="1">
      <w:start w:val="1"/>
      <w:numFmt w:val="decimal"/>
      <w:pStyle w:val="Heading2"/>
      <w:lvlText w:val="%1.%2"/>
      <w:lvlJc w:val="left"/>
      <w:pPr>
        <w:tabs>
          <w:tab w:val="num" w:pos="1008"/>
        </w:tabs>
        <w:ind w:left="1008" w:hanging="1008"/>
      </w:pPr>
    </w:lvl>
    <w:lvl w:ilvl="2">
      <w:start w:val="1"/>
      <w:numFmt w:val="decimal"/>
      <w:pStyle w:val="Heading3"/>
      <w:lvlText w:val="%1.%2.%3"/>
      <w:lvlJc w:val="left"/>
      <w:pPr>
        <w:tabs>
          <w:tab w:val="num" w:pos="1008"/>
        </w:tabs>
        <w:ind w:left="1008" w:hanging="1008"/>
      </w:pPr>
      <w:rPr>
        <w:rFonts w:hint="default"/>
      </w:rPr>
    </w:lvl>
    <w:lvl w:ilvl="3">
      <w:start w:val="1"/>
      <w:numFmt w:val="decimal"/>
      <w:pStyle w:val="Heading4"/>
      <w:lvlText w:val="%1.%2.%3.%4"/>
      <w:lvlJc w:val="left"/>
      <w:pPr>
        <w:tabs>
          <w:tab w:val="num" w:pos="1008"/>
        </w:tabs>
        <w:ind w:left="1008" w:hanging="1008"/>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Roman"/>
      <w:lvlText w:val="%8."/>
      <w:lvlJc w:val="left"/>
      <w:pPr>
        <w:tabs>
          <w:tab w:val="num" w:pos="720"/>
        </w:tabs>
        <w:ind w:left="720" w:hanging="720"/>
      </w:pPr>
      <w:rPr>
        <w:rFonts w:hint="default"/>
      </w:rPr>
    </w:lvl>
    <w:lvl w:ilvl="8">
      <w:start w:val="1"/>
      <w:numFmt w:val="upperRoman"/>
      <w:lvlText w:val="%9."/>
      <w:lvlJc w:val="left"/>
      <w:pPr>
        <w:tabs>
          <w:tab w:val="num" w:pos="720"/>
        </w:tabs>
        <w:ind w:left="720" w:hanging="720"/>
      </w:pPr>
      <w:rPr>
        <w:rFonts w:hint="default"/>
      </w:rPr>
    </w:lvl>
  </w:abstractNum>
  <w:abstractNum w:abstractNumId="9" w15:restartNumberingAfterBreak="0">
    <w:nsid w:val="14453EAF"/>
    <w:multiLevelType w:val="hybridMultilevel"/>
    <w:tmpl w:val="E730A95A"/>
    <w:lvl w:ilvl="0" w:tplc="88C8FB5E">
      <w:start w:val="1"/>
      <w:numFmt w:val="decimal"/>
      <w:lvlText w:val="%1)"/>
      <w:lvlJc w:val="left"/>
      <w:pPr>
        <w:ind w:left="1080" w:hanging="360"/>
      </w:pPr>
    </w:lvl>
    <w:lvl w:ilvl="1" w:tplc="C85E4B58">
      <w:start w:val="1"/>
      <w:numFmt w:val="decimal"/>
      <w:lvlText w:val="%2)"/>
      <w:lvlJc w:val="left"/>
      <w:pPr>
        <w:ind w:left="1080" w:hanging="360"/>
      </w:pPr>
    </w:lvl>
    <w:lvl w:ilvl="2" w:tplc="F9C4821C">
      <w:start w:val="1"/>
      <w:numFmt w:val="decimal"/>
      <w:lvlText w:val="%3)"/>
      <w:lvlJc w:val="left"/>
      <w:pPr>
        <w:ind w:left="1080" w:hanging="360"/>
      </w:pPr>
    </w:lvl>
    <w:lvl w:ilvl="3" w:tplc="044888FC">
      <w:start w:val="1"/>
      <w:numFmt w:val="decimal"/>
      <w:lvlText w:val="%4)"/>
      <w:lvlJc w:val="left"/>
      <w:pPr>
        <w:ind w:left="1080" w:hanging="360"/>
      </w:pPr>
    </w:lvl>
    <w:lvl w:ilvl="4" w:tplc="B1127994">
      <w:start w:val="1"/>
      <w:numFmt w:val="decimal"/>
      <w:lvlText w:val="%5)"/>
      <w:lvlJc w:val="left"/>
      <w:pPr>
        <w:ind w:left="1080" w:hanging="360"/>
      </w:pPr>
    </w:lvl>
    <w:lvl w:ilvl="5" w:tplc="A23437A6">
      <w:start w:val="1"/>
      <w:numFmt w:val="decimal"/>
      <w:lvlText w:val="%6)"/>
      <w:lvlJc w:val="left"/>
      <w:pPr>
        <w:ind w:left="1080" w:hanging="360"/>
      </w:pPr>
    </w:lvl>
    <w:lvl w:ilvl="6" w:tplc="49D4964C">
      <w:start w:val="1"/>
      <w:numFmt w:val="decimal"/>
      <w:lvlText w:val="%7)"/>
      <w:lvlJc w:val="left"/>
      <w:pPr>
        <w:ind w:left="1080" w:hanging="360"/>
      </w:pPr>
    </w:lvl>
    <w:lvl w:ilvl="7" w:tplc="58F8A84A">
      <w:start w:val="1"/>
      <w:numFmt w:val="decimal"/>
      <w:lvlText w:val="%8)"/>
      <w:lvlJc w:val="left"/>
      <w:pPr>
        <w:ind w:left="1080" w:hanging="360"/>
      </w:pPr>
    </w:lvl>
    <w:lvl w:ilvl="8" w:tplc="B0D20940">
      <w:start w:val="1"/>
      <w:numFmt w:val="decimal"/>
      <w:lvlText w:val="%9)"/>
      <w:lvlJc w:val="left"/>
      <w:pPr>
        <w:ind w:left="1080" w:hanging="360"/>
      </w:pPr>
    </w:lvl>
  </w:abstractNum>
  <w:abstractNum w:abstractNumId="10" w15:restartNumberingAfterBreak="0">
    <w:nsid w:val="236F237C"/>
    <w:multiLevelType w:val="hybridMultilevel"/>
    <w:tmpl w:val="F1B8E0CE"/>
    <w:lvl w:ilvl="0" w:tplc="E9087A3C">
      <w:start w:val="1"/>
      <w:numFmt w:val="bullet"/>
      <w:lvlText w:val=""/>
      <w:lvlJc w:val="left"/>
      <w:pPr>
        <w:ind w:left="1080" w:hanging="360"/>
      </w:pPr>
      <w:rPr>
        <w:rFonts w:ascii="Symbol" w:hAnsi="Symbol"/>
      </w:rPr>
    </w:lvl>
    <w:lvl w:ilvl="1" w:tplc="B6D82966">
      <w:start w:val="1"/>
      <w:numFmt w:val="bullet"/>
      <w:lvlText w:val=""/>
      <w:lvlJc w:val="left"/>
      <w:pPr>
        <w:ind w:left="1080" w:hanging="360"/>
      </w:pPr>
      <w:rPr>
        <w:rFonts w:ascii="Symbol" w:hAnsi="Symbol"/>
      </w:rPr>
    </w:lvl>
    <w:lvl w:ilvl="2" w:tplc="7D663744">
      <w:start w:val="1"/>
      <w:numFmt w:val="bullet"/>
      <w:lvlText w:val=""/>
      <w:lvlJc w:val="left"/>
      <w:pPr>
        <w:ind w:left="1080" w:hanging="360"/>
      </w:pPr>
      <w:rPr>
        <w:rFonts w:ascii="Symbol" w:hAnsi="Symbol"/>
      </w:rPr>
    </w:lvl>
    <w:lvl w:ilvl="3" w:tplc="9314F87A">
      <w:start w:val="1"/>
      <w:numFmt w:val="bullet"/>
      <w:lvlText w:val=""/>
      <w:lvlJc w:val="left"/>
      <w:pPr>
        <w:ind w:left="1080" w:hanging="360"/>
      </w:pPr>
      <w:rPr>
        <w:rFonts w:ascii="Symbol" w:hAnsi="Symbol"/>
      </w:rPr>
    </w:lvl>
    <w:lvl w:ilvl="4" w:tplc="2B1E867C">
      <w:start w:val="1"/>
      <w:numFmt w:val="bullet"/>
      <w:lvlText w:val=""/>
      <w:lvlJc w:val="left"/>
      <w:pPr>
        <w:ind w:left="1080" w:hanging="360"/>
      </w:pPr>
      <w:rPr>
        <w:rFonts w:ascii="Symbol" w:hAnsi="Symbol"/>
      </w:rPr>
    </w:lvl>
    <w:lvl w:ilvl="5" w:tplc="A7D62712">
      <w:start w:val="1"/>
      <w:numFmt w:val="bullet"/>
      <w:lvlText w:val=""/>
      <w:lvlJc w:val="left"/>
      <w:pPr>
        <w:ind w:left="1080" w:hanging="360"/>
      </w:pPr>
      <w:rPr>
        <w:rFonts w:ascii="Symbol" w:hAnsi="Symbol"/>
      </w:rPr>
    </w:lvl>
    <w:lvl w:ilvl="6" w:tplc="6180E178">
      <w:start w:val="1"/>
      <w:numFmt w:val="bullet"/>
      <w:lvlText w:val=""/>
      <w:lvlJc w:val="left"/>
      <w:pPr>
        <w:ind w:left="1080" w:hanging="360"/>
      </w:pPr>
      <w:rPr>
        <w:rFonts w:ascii="Symbol" w:hAnsi="Symbol"/>
      </w:rPr>
    </w:lvl>
    <w:lvl w:ilvl="7" w:tplc="77624914">
      <w:start w:val="1"/>
      <w:numFmt w:val="bullet"/>
      <w:lvlText w:val=""/>
      <w:lvlJc w:val="left"/>
      <w:pPr>
        <w:ind w:left="1080" w:hanging="360"/>
      </w:pPr>
      <w:rPr>
        <w:rFonts w:ascii="Symbol" w:hAnsi="Symbol"/>
      </w:rPr>
    </w:lvl>
    <w:lvl w:ilvl="8" w:tplc="D29C5D54">
      <w:start w:val="1"/>
      <w:numFmt w:val="bullet"/>
      <w:lvlText w:val=""/>
      <w:lvlJc w:val="left"/>
      <w:pPr>
        <w:ind w:left="1080" w:hanging="360"/>
      </w:pPr>
      <w:rPr>
        <w:rFonts w:ascii="Symbol" w:hAnsi="Symbol"/>
      </w:rPr>
    </w:lvl>
  </w:abstractNum>
  <w:abstractNum w:abstractNumId="11" w15:restartNumberingAfterBreak="0">
    <w:nsid w:val="270C3135"/>
    <w:multiLevelType w:val="multilevel"/>
    <w:tmpl w:val="957E6CC6"/>
    <w:lvl w:ilvl="0">
      <w:start w:val="1"/>
      <w:numFmt w:val="decimal"/>
      <w:pStyle w:val="Table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ACA41F1"/>
    <w:multiLevelType w:val="hybridMultilevel"/>
    <w:tmpl w:val="08BC978A"/>
    <w:lvl w:ilvl="0" w:tplc="F9A620B2">
      <w:start w:val="1"/>
      <w:numFmt w:val="decimal"/>
      <w:lvlText w:val="%1."/>
      <w:lvlJc w:val="left"/>
      <w:pPr>
        <w:ind w:left="1440" w:hanging="360"/>
      </w:pPr>
    </w:lvl>
    <w:lvl w:ilvl="1" w:tplc="94FC0CEE">
      <w:start w:val="1"/>
      <w:numFmt w:val="decimal"/>
      <w:lvlText w:val="%2."/>
      <w:lvlJc w:val="left"/>
      <w:pPr>
        <w:ind w:left="1440" w:hanging="360"/>
      </w:pPr>
    </w:lvl>
    <w:lvl w:ilvl="2" w:tplc="7A908B14">
      <w:start w:val="1"/>
      <w:numFmt w:val="decimal"/>
      <w:lvlText w:val="%3."/>
      <w:lvlJc w:val="left"/>
      <w:pPr>
        <w:ind w:left="1440" w:hanging="360"/>
      </w:pPr>
    </w:lvl>
    <w:lvl w:ilvl="3" w:tplc="1DD02F1A">
      <w:start w:val="1"/>
      <w:numFmt w:val="decimal"/>
      <w:lvlText w:val="%4."/>
      <w:lvlJc w:val="left"/>
      <w:pPr>
        <w:ind w:left="1440" w:hanging="360"/>
      </w:pPr>
    </w:lvl>
    <w:lvl w:ilvl="4" w:tplc="6D08310E">
      <w:start w:val="1"/>
      <w:numFmt w:val="decimal"/>
      <w:lvlText w:val="%5."/>
      <w:lvlJc w:val="left"/>
      <w:pPr>
        <w:ind w:left="1440" w:hanging="360"/>
      </w:pPr>
    </w:lvl>
    <w:lvl w:ilvl="5" w:tplc="32BCDBEE">
      <w:start w:val="1"/>
      <w:numFmt w:val="decimal"/>
      <w:lvlText w:val="%6."/>
      <w:lvlJc w:val="left"/>
      <w:pPr>
        <w:ind w:left="1440" w:hanging="360"/>
      </w:pPr>
    </w:lvl>
    <w:lvl w:ilvl="6" w:tplc="EA64C1C4">
      <w:start w:val="1"/>
      <w:numFmt w:val="decimal"/>
      <w:lvlText w:val="%7."/>
      <w:lvlJc w:val="left"/>
      <w:pPr>
        <w:ind w:left="1440" w:hanging="360"/>
      </w:pPr>
    </w:lvl>
    <w:lvl w:ilvl="7" w:tplc="0590E8CE">
      <w:start w:val="1"/>
      <w:numFmt w:val="decimal"/>
      <w:lvlText w:val="%8."/>
      <w:lvlJc w:val="left"/>
      <w:pPr>
        <w:ind w:left="1440" w:hanging="360"/>
      </w:pPr>
    </w:lvl>
    <w:lvl w:ilvl="8" w:tplc="DE90D8EA">
      <w:start w:val="1"/>
      <w:numFmt w:val="decimal"/>
      <w:lvlText w:val="%9."/>
      <w:lvlJc w:val="left"/>
      <w:pPr>
        <w:ind w:left="1440" w:hanging="360"/>
      </w:pPr>
    </w:lvl>
  </w:abstractNum>
  <w:abstractNum w:abstractNumId="13" w15:restartNumberingAfterBreak="0">
    <w:nsid w:val="3D203FCB"/>
    <w:multiLevelType w:val="multilevel"/>
    <w:tmpl w:val="4E0463D2"/>
    <w:lvl w:ilvl="0">
      <w:start w:val="1"/>
      <w:numFmt w:val="upperLetter"/>
      <w:pStyle w:val="Heading7"/>
      <w:lvlText w:val="Appendix %1"/>
      <w:lvlJc w:val="left"/>
      <w:pPr>
        <w:ind w:left="3456" w:hanging="3456"/>
      </w:pPr>
      <w:rPr>
        <w:rFonts w:hint="default"/>
      </w:rPr>
    </w:lvl>
    <w:lvl w:ilvl="1">
      <w:start w:val="1"/>
      <w:numFmt w:val="decimal"/>
      <w:pStyle w:val="Heading8"/>
      <w:lvlText w:val="%1.%2"/>
      <w:lvlJc w:val="left"/>
      <w:pPr>
        <w:ind w:left="720" w:hanging="720"/>
      </w:pPr>
      <w:rPr>
        <w:rFonts w:hint="default"/>
      </w:rPr>
    </w:lvl>
    <w:lvl w:ilvl="2">
      <w:start w:val="1"/>
      <w:numFmt w:val="decimal"/>
      <w:pStyle w:val="Heading9"/>
      <w:lvlText w:val="%1.%2.%3"/>
      <w:lvlJc w:val="left"/>
      <w:pPr>
        <w:ind w:left="864" w:hanging="864"/>
      </w:pPr>
      <w:rPr>
        <w:rFonts w:hint="default"/>
      </w:rPr>
    </w:lvl>
    <w:lvl w:ilvl="3">
      <w:start w:val="1"/>
      <w:numFmt w:val="decimal"/>
      <w:lvlText w:val="%4."/>
      <w:lvlJc w:val="left"/>
      <w:pPr>
        <w:ind w:left="3254" w:hanging="360"/>
      </w:pPr>
      <w:rPr>
        <w:rFonts w:hint="default"/>
      </w:rPr>
    </w:lvl>
    <w:lvl w:ilvl="4">
      <w:start w:val="1"/>
      <w:numFmt w:val="lowerLetter"/>
      <w:lvlText w:val="%5."/>
      <w:lvlJc w:val="left"/>
      <w:pPr>
        <w:ind w:left="3974" w:hanging="360"/>
      </w:pPr>
      <w:rPr>
        <w:rFonts w:hint="default"/>
      </w:rPr>
    </w:lvl>
    <w:lvl w:ilvl="5">
      <w:start w:val="1"/>
      <w:numFmt w:val="lowerRoman"/>
      <w:lvlText w:val="%6."/>
      <w:lvlJc w:val="right"/>
      <w:pPr>
        <w:ind w:left="4694" w:hanging="180"/>
      </w:pPr>
      <w:rPr>
        <w:rFonts w:hint="default"/>
      </w:rPr>
    </w:lvl>
    <w:lvl w:ilvl="6">
      <w:start w:val="1"/>
      <w:numFmt w:val="decimal"/>
      <w:lvlText w:val="%7."/>
      <w:lvlJc w:val="left"/>
      <w:pPr>
        <w:ind w:left="5414" w:hanging="360"/>
      </w:pPr>
      <w:rPr>
        <w:rFonts w:hint="default"/>
      </w:rPr>
    </w:lvl>
    <w:lvl w:ilvl="7">
      <w:start w:val="1"/>
      <w:numFmt w:val="lowerLetter"/>
      <w:lvlText w:val="%8."/>
      <w:lvlJc w:val="left"/>
      <w:pPr>
        <w:ind w:left="6134" w:hanging="360"/>
      </w:pPr>
      <w:rPr>
        <w:rFonts w:hint="default"/>
      </w:rPr>
    </w:lvl>
    <w:lvl w:ilvl="8">
      <w:start w:val="1"/>
      <w:numFmt w:val="lowerRoman"/>
      <w:lvlText w:val="%9."/>
      <w:lvlJc w:val="right"/>
      <w:pPr>
        <w:ind w:left="6854" w:hanging="180"/>
      </w:pPr>
      <w:rPr>
        <w:rFonts w:hint="default"/>
      </w:rPr>
    </w:lvl>
  </w:abstractNum>
  <w:abstractNum w:abstractNumId="14" w15:restartNumberingAfterBreak="0">
    <w:nsid w:val="45EB05DE"/>
    <w:multiLevelType w:val="hybridMultilevel"/>
    <w:tmpl w:val="A3BA7F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6142117"/>
    <w:multiLevelType w:val="hybridMultilevel"/>
    <w:tmpl w:val="66EA9F66"/>
    <w:lvl w:ilvl="0" w:tplc="BB80D1B0">
      <w:start w:val="1"/>
      <w:numFmt w:val="bullet"/>
      <w:lvlText w:val=""/>
      <w:lvlJc w:val="left"/>
      <w:pPr>
        <w:ind w:left="1080" w:hanging="360"/>
      </w:pPr>
      <w:rPr>
        <w:rFonts w:ascii="Symbol" w:hAnsi="Symbol"/>
      </w:rPr>
    </w:lvl>
    <w:lvl w:ilvl="1" w:tplc="F5820E56">
      <w:start w:val="1"/>
      <w:numFmt w:val="bullet"/>
      <w:lvlText w:val=""/>
      <w:lvlJc w:val="left"/>
      <w:pPr>
        <w:ind w:left="1080" w:hanging="360"/>
      </w:pPr>
      <w:rPr>
        <w:rFonts w:ascii="Symbol" w:hAnsi="Symbol"/>
      </w:rPr>
    </w:lvl>
    <w:lvl w:ilvl="2" w:tplc="7336514A">
      <w:start w:val="1"/>
      <w:numFmt w:val="bullet"/>
      <w:lvlText w:val=""/>
      <w:lvlJc w:val="left"/>
      <w:pPr>
        <w:ind w:left="1080" w:hanging="360"/>
      </w:pPr>
      <w:rPr>
        <w:rFonts w:ascii="Symbol" w:hAnsi="Symbol"/>
      </w:rPr>
    </w:lvl>
    <w:lvl w:ilvl="3" w:tplc="F5BCD69E">
      <w:start w:val="1"/>
      <w:numFmt w:val="bullet"/>
      <w:lvlText w:val=""/>
      <w:lvlJc w:val="left"/>
      <w:pPr>
        <w:ind w:left="1080" w:hanging="360"/>
      </w:pPr>
      <w:rPr>
        <w:rFonts w:ascii="Symbol" w:hAnsi="Symbol"/>
      </w:rPr>
    </w:lvl>
    <w:lvl w:ilvl="4" w:tplc="1CEA982E">
      <w:start w:val="1"/>
      <w:numFmt w:val="bullet"/>
      <w:lvlText w:val=""/>
      <w:lvlJc w:val="left"/>
      <w:pPr>
        <w:ind w:left="1080" w:hanging="360"/>
      </w:pPr>
      <w:rPr>
        <w:rFonts w:ascii="Symbol" w:hAnsi="Symbol"/>
      </w:rPr>
    </w:lvl>
    <w:lvl w:ilvl="5" w:tplc="8AE642FC">
      <w:start w:val="1"/>
      <w:numFmt w:val="bullet"/>
      <w:lvlText w:val=""/>
      <w:lvlJc w:val="left"/>
      <w:pPr>
        <w:ind w:left="1080" w:hanging="360"/>
      </w:pPr>
      <w:rPr>
        <w:rFonts w:ascii="Symbol" w:hAnsi="Symbol"/>
      </w:rPr>
    </w:lvl>
    <w:lvl w:ilvl="6" w:tplc="2B1E9E94">
      <w:start w:val="1"/>
      <w:numFmt w:val="bullet"/>
      <w:lvlText w:val=""/>
      <w:lvlJc w:val="left"/>
      <w:pPr>
        <w:ind w:left="1080" w:hanging="360"/>
      </w:pPr>
      <w:rPr>
        <w:rFonts w:ascii="Symbol" w:hAnsi="Symbol"/>
      </w:rPr>
    </w:lvl>
    <w:lvl w:ilvl="7" w:tplc="02E68C5E">
      <w:start w:val="1"/>
      <w:numFmt w:val="bullet"/>
      <w:lvlText w:val=""/>
      <w:lvlJc w:val="left"/>
      <w:pPr>
        <w:ind w:left="1080" w:hanging="360"/>
      </w:pPr>
      <w:rPr>
        <w:rFonts w:ascii="Symbol" w:hAnsi="Symbol"/>
      </w:rPr>
    </w:lvl>
    <w:lvl w:ilvl="8" w:tplc="802CBC02">
      <w:start w:val="1"/>
      <w:numFmt w:val="bullet"/>
      <w:lvlText w:val=""/>
      <w:lvlJc w:val="left"/>
      <w:pPr>
        <w:ind w:left="1080" w:hanging="360"/>
      </w:pPr>
      <w:rPr>
        <w:rFonts w:ascii="Symbol" w:hAnsi="Symbol"/>
      </w:rPr>
    </w:lvl>
  </w:abstractNum>
  <w:abstractNum w:abstractNumId="16" w15:restartNumberingAfterBreak="0">
    <w:nsid w:val="48412951"/>
    <w:multiLevelType w:val="hybridMultilevel"/>
    <w:tmpl w:val="A73C496E"/>
    <w:lvl w:ilvl="0" w:tplc="6142ACBA">
      <w:start w:val="1"/>
      <w:numFmt w:val="decimal"/>
      <w:lvlText w:val="%1."/>
      <w:lvlJc w:val="left"/>
      <w:pPr>
        <w:ind w:left="1020" w:hanging="360"/>
      </w:pPr>
    </w:lvl>
    <w:lvl w:ilvl="1" w:tplc="D1C27F30">
      <w:start w:val="1"/>
      <w:numFmt w:val="decimal"/>
      <w:lvlText w:val="%2."/>
      <w:lvlJc w:val="left"/>
      <w:pPr>
        <w:ind w:left="1020" w:hanging="360"/>
      </w:pPr>
    </w:lvl>
    <w:lvl w:ilvl="2" w:tplc="B9E62372">
      <w:start w:val="1"/>
      <w:numFmt w:val="decimal"/>
      <w:lvlText w:val="%3."/>
      <w:lvlJc w:val="left"/>
      <w:pPr>
        <w:ind w:left="1020" w:hanging="360"/>
      </w:pPr>
    </w:lvl>
    <w:lvl w:ilvl="3" w:tplc="493AA340">
      <w:start w:val="1"/>
      <w:numFmt w:val="decimal"/>
      <w:lvlText w:val="%4."/>
      <w:lvlJc w:val="left"/>
      <w:pPr>
        <w:ind w:left="1020" w:hanging="360"/>
      </w:pPr>
    </w:lvl>
    <w:lvl w:ilvl="4" w:tplc="48A43962">
      <w:start w:val="1"/>
      <w:numFmt w:val="decimal"/>
      <w:lvlText w:val="%5."/>
      <w:lvlJc w:val="left"/>
      <w:pPr>
        <w:ind w:left="1020" w:hanging="360"/>
      </w:pPr>
    </w:lvl>
    <w:lvl w:ilvl="5" w:tplc="B39E2372">
      <w:start w:val="1"/>
      <w:numFmt w:val="decimal"/>
      <w:lvlText w:val="%6."/>
      <w:lvlJc w:val="left"/>
      <w:pPr>
        <w:ind w:left="1020" w:hanging="360"/>
      </w:pPr>
    </w:lvl>
    <w:lvl w:ilvl="6" w:tplc="596A9434">
      <w:start w:val="1"/>
      <w:numFmt w:val="decimal"/>
      <w:lvlText w:val="%7."/>
      <w:lvlJc w:val="left"/>
      <w:pPr>
        <w:ind w:left="1020" w:hanging="360"/>
      </w:pPr>
    </w:lvl>
    <w:lvl w:ilvl="7" w:tplc="24CAAF64">
      <w:start w:val="1"/>
      <w:numFmt w:val="decimal"/>
      <w:lvlText w:val="%8."/>
      <w:lvlJc w:val="left"/>
      <w:pPr>
        <w:ind w:left="1020" w:hanging="360"/>
      </w:pPr>
    </w:lvl>
    <w:lvl w:ilvl="8" w:tplc="249841D2">
      <w:start w:val="1"/>
      <w:numFmt w:val="decimal"/>
      <w:lvlText w:val="%9."/>
      <w:lvlJc w:val="left"/>
      <w:pPr>
        <w:ind w:left="1020" w:hanging="360"/>
      </w:pPr>
    </w:lvl>
  </w:abstractNum>
  <w:abstractNum w:abstractNumId="17" w15:restartNumberingAfterBreak="0">
    <w:nsid w:val="4C8D13AE"/>
    <w:multiLevelType w:val="hybridMultilevel"/>
    <w:tmpl w:val="281E7B8C"/>
    <w:lvl w:ilvl="0" w:tplc="142079D4">
      <w:start w:val="5"/>
      <w:numFmt w:val="bullet"/>
      <w:lvlText w:val="-"/>
      <w:lvlJc w:val="left"/>
      <w:pPr>
        <w:ind w:left="720" w:hanging="360"/>
      </w:pPr>
      <w:rPr>
        <w:rFonts w:ascii="Arial" w:eastAsia="Arial" w:hAnsi="Arial" w:cs="Arial" w:hint="default"/>
        <w:i/>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A47C0D"/>
    <w:multiLevelType w:val="hybridMultilevel"/>
    <w:tmpl w:val="84F8A99C"/>
    <w:lvl w:ilvl="0" w:tplc="519400E0">
      <w:start w:val="1"/>
      <w:numFmt w:val="decimal"/>
      <w:lvlText w:val="%1)"/>
      <w:lvlJc w:val="left"/>
      <w:pPr>
        <w:ind w:left="1080" w:hanging="360"/>
      </w:pPr>
    </w:lvl>
    <w:lvl w:ilvl="1" w:tplc="04F239E0">
      <w:start w:val="1"/>
      <w:numFmt w:val="decimal"/>
      <w:lvlText w:val="%2)"/>
      <w:lvlJc w:val="left"/>
      <w:pPr>
        <w:ind w:left="1080" w:hanging="360"/>
      </w:pPr>
    </w:lvl>
    <w:lvl w:ilvl="2" w:tplc="9B2C8106">
      <w:start w:val="1"/>
      <w:numFmt w:val="decimal"/>
      <w:lvlText w:val="%3)"/>
      <w:lvlJc w:val="left"/>
      <w:pPr>
        <w:ind w:left="1080" w:hanging="360"/>
      </w:pPr>
    </w:lvl>
    <w:lvl w:ilvl="3" w:tplc="21B0C970">
      <w:start w:val="1"/>
      <w:numFmt w:val="decimal"/>
      <w:lvlText w:val="%4)"/>
      <w:lvlJc w:val="left"/>
      <w:pPr>
        <w:ind w:left="1080" w:hanging="360"/>
      </w:pPr>
    </w:lvl>
    <w:lvl w:ilvl="4" w:tplc="4A1684C6">
      <w:start w:val="1"/>
      <w:numFmt w:val="decimal"/>
      <w:lvlText w:val="%5)"/>
      <w:lvlJc w:val="left"/>
      <w:pPr>
        <w:ind w:left="1080" w:hanging="360"/>
      </w:pPr>
    </w:lvl>
    <w:lvl w:ilvl="5" w:tplc="48DC77E0">
      <w:start w:val="1"/>
      <w:numFmt w:val="decimal"/>
      <w:lvlText w:val="%6)"/>
      <w:lvlJc w:val="left"/>
      <w:pPr>
        <w:ind w:left="1080" w:hanging="360"/>
      </w:pPr>
    </w:lvl>
    <w:lvl w:ilvl="6" w:tplc="52CE30E0">
      <w:start w:val="1"/>
      <w:numFmt w:val="decimal"/>
      <w:lvlText w:val="%7)"/>
      <w:lvlJc w:val="left"/>
      <w:pPr>
        <w:ind w:left="1080" w:hanging="360"/>
      </w:pPr>
    </w:lvl>
    <w:lvl w:ilvl="7" w:tplc="6E0070F2">
      <w:start w:val="1"/>
      <w:numFmt w:val="decimal"/>
      <w:lvlText w:val="%8)"/>
      <w:lvlJc w:val="left"/>
      <w:pPr>
        <w:ind w:left="1080" w:hanging="360"/>
      </w:pPr>
    </w:lvl>
    <w:lvl w:ilvl="8" w:tplc="6116DE06">
      <w:start w:val="1"/>
      <w:numFmt w:val="decimal"/>
      <w:lvlText w:val="%9)"/>
      <w:lvlJc w:val="left"/>
      <w:pPr>
        <w:ind w:left="1080" w:hanging="360"/>
      </w:pPr>
    </w:lvl>
  </w:abstractNum>
  <w:abstractNum w:abstractNumId="19" w15:restartNumberingAfterBreak="0">
    <w:nsid w:val="4EA72241"/>
    <w:multiLevelType w:val="hybridMultilevel"/>
    <w:tmpl w:val="86A28A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840E2E"/>
    <w:multiLevelType w:val="multilevel"/>
    <w:tmpl w:val="CEA88D4E"/>
    <w:lvl w:ilvl="0">
      <w:start w:val="1"/>
      <w:numFmt w:val="bullet"/>
      <w:pStyle w:val="ListBullet"/>
      <w:lvlText w:val=""/>
      <w:lvlJc w:val="left"/>
      <w:pPr>
        <w:tabs>
          <w:tab w:val="num" w:pos="720"/>
        </w:tabs>
        <w:ind w:left="720" w:hanging="360"/>
      </w:pPr>
      <w:rPr>
        <w:rFonts w:ascii="Symbol" w:hAnsi="Symbol" w:hint="default"/>
        <w:color w:val="auto"/>
        <w:sz w:val="22"/>
        <w:szCs w:val="22"/>
      </w:rPr>
    </w:lvl>
    <w:lvl w:ilvl="1">
      <w:start w:val="1"/>
      <w:numFmt w:val="bullet"/>
      <w:pStyle w:val="ListBullet2"/>
      <w:lvlText w:val="o"/>
      <w:lvlJc w:val="left"/>
      <w:pPr>
        <w:ind w:left="1080" w:hanging="360"/>
      </w:pPr>
      <w:rPr>
        <w:rFonts w:ascii="Courier New" w:hAnsi="Courier New" w:cs="Courier New" w:hint="default"/>
      </w:rPr>
    </w:lvl>
    <w:lvl w:ilvl="2">
      <w:start w:val="1"/>
      <w:numFmt w:val="bullet"/>
      <w:pStyle w:val="ListBullet3"/>
      <w:lvlText w:val=""/>
      <w:lvlJc w:val="left"/>
      <w:pPr>
        <w:tabs>
          <w:tab w:val="num" w:pos="1440"/>
        </w:tabs>
        <w:ind w:left="1440" w:hanging="360"/>
      </w:pPr>
      <w:rPr>
        <w:rFonts w:ascii="Symbol" w:hAnsi="Symbol" w:hint="default"/>
      </w:rPr>
    </w:lvl>
    <w:lvl w:ilvl="3">
      <w:start w:val="1"/>
      <w:numFmt w:val="bullet"/>
      <w:pStyle w:val="ListBullet4"/>
      <w:lvlText w:val="o"/>
      <w:lvlJc w:val="left"/>
      <w:pPr>
        <w:ind w:left="1800" w:hanging="360"/>
      </w:pPr>
      <w:rPr>
        <w:rFonts w:ascii="Courier New" w:hAnsi="Courier New" w:cs="Courier New" w:hint="default"/>
      </w:rPr>
    </w:lvl>
    <w:lvl w:ilvl="4">
      <w:start w:val="1"/>
      <w:numFmt w:val="bullet"/>
      <w:lvlText w:val="~"/>
      <w:lvlJc w:val="left"/>
      <w:pPr>
        <w:tabs>
          <w:tab w:val="num" w:pos="2160"/>
        </w:tabs>
        <w:ind w:left="2160" w:hanging="360"/>
      </w:pPr>
      <w:rPr>
        <w:rFonts w:ascii="Arial" w:hAnsi="Arial" w:hint="default"/>
      </w:rPr>
    </w:lvl>
    <w:lvl w:ilvl="5">
      <w:start w:val="1"/>
      <w:numFmt w:val="none"/>
      <w:lvlText w:val=""/>
      <w:lvlJc w:val="left"/>
      <w:pPr>
        <w:tabs>
          <w:tab w:val="num" w:pos="2520"/>
        </w:tabs>
        <w:ind w:left="2520" w:hanging="360"/>
      </w:pPr>
      <w:rPr>
        <w:rFonts w:hint="default"/>
      </w:rPr>
    </w:lvl>
    <w:lvl w:ilvl="6">
      <w:start w:val="1"/>
      <w:numFmt w:val="none"/>
      <w:lvlText w:val=""/>
      <w:lvlJc w:val="left"/>
      <w:pPr>
        <w:tabs>
          <w:tab w:val="num" w:pos="2880"/>
        </w:tabs>
        <w:ind w:left="2880" w:hanging="360"/>
      </w:pPr>
      <w:rPr>
        <w:rFonts w:hint="default"/>
      </w:rPr>
    </w:lvl>
    <w:lvl w:ilvl="7">
      <w:start w:val="1"/>
      <w:numFmt w:val="none"/>
      <w:lvlText w:val=""/>
      <w:lvlJc w:val="left"/>
      <w:pPr>
        <w:tabs>
          <w:tab w:val="num" w:pos="3240"/>
        </w:tabs>
        <w:ind w:left="3240" w:hanging="360"/>
      </w:pPr>
      <w:rPr>
        <w:rFonts w:hint="default"/>
      </w:rPr>
    </w:lvl>
    <w:lvl w:ilvl="8">
      <w:start w:val="1"/>
      <w:numFmt w:val="none"/>
      <w:lvlText w:val=""/>
      <w:lvlJc w:val="left"/>
      <w:pPr>
        <w:tabs>
          <w:tab w:val="num" w:pos="3600"/>
        </w:tabs>
        <w:ind w:left="3600" w:hanging="360"/>
      </w:pPr>
      <w:rPr>
        <w:rFonts w:hint="default"/>
      </w:rPr>
    </w:lvl>
  </w:abstractNum>
  <w:abstractNum w:abstractNumId="21" w15:restartNumberingAfterBreak="0">
    <w:nsid w:val="52E557A7"/>
    <w:multiLevelType w:val="multilevel"/>
    <w:tmpl w:val="738C28AC"/>
    <w:lvl w:ilvl="0">
      <w:start w:val="1"/>
      <w:numFmt w:val="bullet"/>
      <w:pStyle w:val="Table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tabs>
          <w:tab w:val="num" w:pos="1008"/>
        </w:tabs>
        <w:ind w:left="108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5BE40581"/>
    <w:multiLevelType w:val="hybridMultilevel"/>
    <w:tmpl w:val="BAACD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6B74EA0"/>
    <w:multiLevelType w:val="hybridMultilevel"/>
    <w:tmpl w:val="334C4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71C70D3"/>
    <w:multiLevelType w:val="hybridMultilevel"/>
    <w:tmpl w:val="17822218"/>
    <w:lvl w:ilvl="0" w:tplc="5890E250">
      <w:start w:val="1"/>
      <w:numFmt w:val="bullet"/>
      <w:lvlText w:val=""/>
      <w:lvlJc w:val="left"/>
      <w:pPr>
        <w:ind w:left="1080" w:hanging="360"/>
      </w:pPr>
      <w:rPr>
        <w:rFonts w:ascii="Symbol" w:hAnsi="Symbol"/>
      </w:rPr>
    </w:lvl>
    <w:lvl w:ilvl="1" w:tplc="BD62E30C">
      <w:start w:val="1"/>
      <w:numFmt w:val="bullet"/>
      <w:lvlText w:val=""/>
      <w:lvlJc w:val="left"/>
      <w:pPr>
        <w:ind w:left="1080" w:hanging="360"/>
      </w:pPr>
      <w:rPr>
        <w:rFonts w:ascii="Symbol" w:hAnsi="Symbol"/>
      </w:rPr>
    </w:lvl>
    <w:lvl w:ilvl="2" w:tplc="E460D57A">
      <w:start w:val="1"/>
      <w:numFmt w:val="bullet"/>
      <w:lvlText w:val=""/>
      <w:lvlJc w:val="left"/>
      <w:pPr>
        <w:ind w:left="1080" w:hanging="360"/>
      </w:pPr>
      <w:rPr>
        <w:rFonts w:ascii="Symbol" w:hAnsi="Symbol"/>
      </w:rPr>
    </w:lvl>
    <w:lvl w:ilvl="3" w:tplc="5D5E3160">
      <w:start w:val="1"/>
      <w:numFmt w:val="bullet"/>
      <w:lvlText w:val=""/>
      <w:lvlJc w:val="left"/>
      <w:pPr>
        <w:ind w:left="1080" w:hanging="360"/>
      </w:pPr>
      <w:rPr>
        <w:rFonts w:ascii="Symbol" w:hAnsi="Symbol"/>
      </w:rPr>
    </w:lvl>
    <w:lvl w:ilvl="4" w:tplc="760E9060">
      <w:start w:val="1"/>
      <w:numFmt w:val="bullet"/>
      <w:lvlText w:val=""/>
      <w:lvlJc w:val="left"/>
      <w:pPr>
        <w:ind w:left="1080" w:hanging="360"/>
      </w:pPr>
      <w:rPr>
        <w:rFonts w:ascii="Symbol" w:hAnsi="Symbol"/>
      </w:rPr>
    </w:lvl>
    <w:lvl w:ilvl="5" w:tplc="383CD62E">
      <w:start w:val="1"/>
      <w:numFmt w:val="bullet"/>
      <w:lvlText w:val=""/>
      <w:lvlJc w:val="left"/>
      <w:pPr>
        <w:ind w:left="1080" w:hanging="360"/>
      </w:pPr>
      <w:rPr>
        <w:rFonts w:ascii="Symbol" w:hAnsi="Symbol"/>
      </w:rPr>
    </w:lvl>
    <w:lvl w:ilvl="6" w:tplc="365A938C">
      <w:start w:val="1"/>
      <w:numFmt w:val="bullet"/>
      <w:lvlText w:val=""/>
      <w:lvlJc w:val="left"/>
      <w:pPr>
        <w:ind w:left="1080" w:hanging="360"/>
      </w:pPr>
      <w:rPr>
        <w:rFonts w:ascii="Symbol" w:hAnsi="Symbol"/>
      </w:rPr>
    </w:lvl>
    <w:lvl w:ilvl="7" w:tplc="E62CDE74">
      <w:start w:val="1"/>
      <w:numFmt w:val="bullet"/>
      <w:lvlText w:val=""/>
      <w:lvlJc w:val="left"/>
      <w:pPr>
        <w:ind w:left="1080" w:hanging="360"/>
      </w:pPr>
      <w:rPr>
        <w:rFonts w:ascii="Symbol" w:hAnsi="Symbol"/>
      </w:rPr>
    </w:lvl>
    <w:lvl w:ilvl="8" w:tplc="93DABBA0">
      <w:start w:val="1"/>
      <w:numFmt w:val="bullet"/>
      <w:lvlText w:val=""/>
      <w:lvlJc w:val="left"/>
      <w:pPr>
        <w:ind w:left="1080" w:hanging="360"/>
      </w:pPr>
      <w:rPr>
        <w:rFonts w:ascii="Symbol" w:hAnsi="Symbol"/>
      </w:rPr>
    </w:lvl>
  </w:abstractNum>
  <w:abstractNum w:abstractNumId="25" w15:restartNumberingAfterBreak="0">
    <w:nsid w:val="6C386DCE"/>
    <w:multiLevelType w:val="hybridMultilevel"/>
    <w:tmpl w:val="87A40034"/>
    <w:lvl w:ilvl="0" w:tplc="07F47336">
      <w:start w:val="1"/>
      <w:numFmt w:val="bullet"/>
      <w:lvlText w:val=""/>
      <w:lvlJc w:val="left"/>
      <w:pPr>
        <w:ind w:left="1080" w:hanging="360"/>
      </w:pPr>
      <w:rPr>
        <w:rFonts w:ascii="Symbol" w:hAnsi="Symbol"/>
      </w:rPr>
    </w:lvl>
    <w:lvl w:ilvl="1" w:tplc="6AE08824">
      <w:start w:val="1"/>
      <w:numFmt w:val="bullet"/>
      <w:lvlText w:val=""/>
      <w:lvlJc w:val="left"/>
      <w:pPr>
        <w:ind w:left="1080" w:hanging="360"/>
      </w:pPr>
      <w:rPr>
        <w:rFonts w:ascii="Symbol" w:hAnsi="Symbol"/>
      </w:rPr>
    </w:lvl>
    <w:lvl w:ilvl="2" w:tplc="640E0AC4">
      <w:start w:val="1"/>
      <w:numFmt w:val="bullet"/>
      <w:lvlText w:val=""/>
      <w:lvlJc w:val="left"/>
      <w:pPr>
        <w:ind w:left="1080" w:hanging="360"/>
      </w:pPr>
      <w:rPr>
        <w:rFonts w:ascii="Symbol" w:hAnsi="Symbol"/>
      </w:rPr>
    </w:lvl>
    <w:lvl w:ilvl="3" w:tplc="45F2D104">
      <w:start w:val="1"/>
      <w:numFmt w:val="bullet"/>
      <w:lvlText w:val=""/>
      <w:lvlJc w:val="left"/>
      <w:pPr>
        <w:ind w:left="1080" w:hanging="360"/>
      </w:pPr>
      <w:rPr>
        <w:rFonts w:ascii="Symbol" w:hAnsi="Symbol"/>
      </w:rPr>
    </w:lvl>
    <w:lvl w:ilvl="4" w:tplc="3162E7C2">
      <w:start w:val="1"/>
      <w:numFmt w:val="bullet"/>
      <w:lvlText w:val=""/>
      <w:lvlJc w:val="left"/>
      <w:pPr>
        <w:ind w:left="1080" w:hanging="360"/>
      </w:pPr>
      <w:rPr>
        <w:rFonts w:ascii="Symbol" w:hAnsi="Symbol"/>
      </w:rPr>
    </w:lvl>
    <w:lvl w:ilvl="5" w:tplc="B108FD76">
      <w:start w:val="1"/>
      <w:numFmt w:val="bullet"/>
      <w:lvlText w:val=""/>
      <w:lvlJc w:val="left"/>
      <w:pPr>
        <w:ind w:left="1080" w:hanging="360"/>
      </w:pPr>
      <w:rPr>
        <w:rFonts w:ascii="Symbol" w:hAnsi="Symbol"/>
      </w:rPr>
    </w:lvl>
    <w:lvl w:ilvl="6" w:tplc="3EF6EF38">
      <w:start w:val="1"/>
      <w:numFmt w:val="bullet"/>
      <w:lvlText w:val=""/>
      <w:lvlJc w:val="left"/>
      <w:pPr>
        <w:ind w:left="1080" w:hanging="360"/>
      </w:pPr>
      <w:rPr>
        <w:rFonts w:ascii="Symbol" w:hAnsi="Symbol"/>
      </w:rPr>
    </w:lvl>
    <w:lvl w:ilvl="7" w:tplc="CC80EFD4">
      <w:start w:val="1"/>
      <w:numFmt w:val="bullet"/>
      <w:lvlText w:val=""/>
      <w:lvlJc w:val="left"/>
      <w:pPr>
        <w:ind w:left="1080" w:hanging="360"/>
      </w:pPr>
      <w:rPr>
        <w:rFonts w:ascii="Symbol" w:hAnsi="Symbol"/>
      </w:rPr>
    </w:lvl>
    <w:lvl w:ilvl="8" w:tplc="1EC4B8EC">
      <w:start w:val="1"/>
      <w:numFmt w:val="bullet"/>
      <w:lvlText w:val=""/>
      <w:lvlJc w:val="left"/>
      <w:pPr>
        <w:ind w:left="1080" w:hanging="360"/>
      </w:pPr>
      <w:rPr>
        <w:rFonts w:ascii="Symbol" w:hAnsi="Symbol"/>
      </w:rPr>
    </w:lvl>
  </w:abstractNum>
  <w:abstractNum w:abstractNumId="26" w15:restartNumberingAfterBreak="0">
    <w:nsid w:val="6F6256FF"/>
    <w:multiLevelType w:val="multilevel"/>
    <w:tmpl w:val="EED6142C"/>
    <w:styleLink w:val="Headings"/>
    <w:lvl w:ilvl="0">
      <w:start w:val="1"/>
      <w:numFmt w:val="decimal"/>
      <w:lvlText w:val="%1."/>
      <w:lvlJc w:val="left"/>
      <w:pPr>
        <w:ind w:left="0" w:firstLine="0"/>
      </w:pPr>
      <w:rPr>
        <w:rFonts w:ascii="Arial" w:hAnsi="Arial" w:hint="default"/>
      </w:rPr>
    </w:lvl>
    <w:lvl w:ilvl="1">
      <w:start w:val="1"/>
      <w:numFmt w:val="decimal"/>
      <w:lvlText w:val="%1.%2"/>
      <w:lvlJc w:val="left"/>
      <w:pPr>
        <w:tabs>
          <w:tab w:val="num" w:pos="1008"/>
        </w:tabs>
        <w:ind w:left="1008" w:hanging="1008"/>
      </w:pPr>
      <w:rPr>
        <w:rFonts w:hint="default"/>
      </w:rPr>
    </w:lvl>
    <w:lvl w:ilvl="2">
      <w:start w:val="1"/>
      <w:numFmt w:val="decimal"/>
      <w:lvlText w:val="%1.%2.%3"/>
      <w:lvlJc w:val="left"/>
      <w:pPr>
        <w:tabs>
          <w:tab w:val="num" w:pos="1008"/>
        </w:tabs>
        <w:ind w:left="1008" w:hanging="1008"/>
      </w:pPr>
      <w:rPr>
        <w:rFonts w:hint="default"/>
      </w:rPr>
    </w:lvl>
    <w:lvl w:ilvl="3">
      <w:start w:val="1"/>
      <w:numFmt w:val="decimal"/>
      <w:lvlText w:val="%1.%2.%3.%4"/>
      <w:lvlJc w:val="left"/>
      <w:pPr>
        <w:tabs>
          <w:tab w:val="num" w:pos="1008"/>
        </w:tabs>
        <w:ind w:left="1008" w:hanging="1008"/>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712D1B68"/>
    <w:multiLevelType w:val="hybridMultilevel"/>
    <w:tmpl w:val="174E77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96928145">
    <w:abstractNumId w:val="8"/>
  </w:num>
  <w:num w:numId="2" w16cid:durableId="739863849">
    <w:abstractNumId w:val="13"/>
  </w:num>
  <w:num w:numId="3" w16cid:durableId="112555201">
    <w:abstractNumId w:val="26"/>
  </w:num>
  <w:num w:numId="4" w16cid:durableId="535582882">
    <w:abstractNumId w:val="1"/>
  </w:num>
  <w:num w:numId="5" w16cid:durableId="1495490904">
    <w:abstractNumId w:val="3"/>
  </w:num>
  <w:num w:numId="6" w16cid:durableId="1951742972">
    <w:abstractNumId w:val="0"/>
  </w:num>
  <w:num w:numId="7" w16cid:durableId="1229533281">
    <w:abstractNumId w:val="5"/>
  </w:num>
  <w:num w:numId="8" w16cid:durableId="870266071">
    <w:abstractNumId w:val="21"/>
  </w:num>
  <w:num w:numId="9" w16cid:durableId="136454743">
    <w:abstractNumId w:val="11"/>
  </w:num>
  <w:num w:numId="10" w16cid:durableId="1990011695">
    <w:abstractNumId w:val="20"/>
  </w:num>
  <w:num w:numId="11" w16cid:durableId="1573154903">
    <w:abstractNumId w:val="4"/>
  </w:num>
  <w:num w:numId="12" w16cid:durableId="1982929216">
    <w:abstractNumId w:val="27"/>
  </w:num>
  <w:num w:numId="13" w16cid:durableId="73170245">
    <w:abstractNumId w:val="6"/>
  </w:num>
  <w:num w:numId="14" w16cid:durableId="474875180">
    <w:abstractNumId w:val="17"/>
  </w:num>
  <w:num w:numId="15" w16cid:durableId="1981835772">
    <w:abstractNumId w:val="14"/>
  </w:num>
  <w:num w:numId="16" w16cid:durableId="1219780232">
    <w:abstractNumId w:val="22"/>
  </w:num>
  <w:num w:numId="17" w16cid:durableId="668563509">
    <w:abstractNumId w:val="19"/>
  </w:num>
  <w:num w:numId="18" w16cid:durableId="2068726520">
    <w:abstractNumId w:val="23"/>
  </w:num>
  <w:num w:numId="19" w16cid:durableId="549344320">
    <w:abstractNumId w:val="7"/>
  </w:num>
  <w:num w:numId="20" w16cid:durableId="904530674">
    <w:abstractNumId w:val="16"/>
  </w:num>
  <w:num w:numId="21" w16cid:durableId="687025010">
    <w:abstractNumId w:val="15"/>
  </w:num>
  <w:num w:numId="22" w16cid:durableId="1807166034">
    <w:abstractNumId w:val="25"/>
  </w:num>
  <w:num w:numId="23" w16cid:durableId="448209427">
    <w:abstractNumId w:val="18"/>
  </w:num>
  <w:num w:numId="24" w16cid:durableId="1940336379">
    <w:abstractNumId w:val="2"/>
  </w:num>
  <w:num w:numId="25" w16cid:durableId="2009553424">
    <w:abstractNumId w:val="10"/>
  </w:num>
  <w:num w:numId="26" w16cid:durableId="1267156473">
    <w:abstractNumId w:val="24"/>
  </w:num>
  <w:num w:numId="27" w16cid:durableId="481510179">
    <w:abstractNumId w:val="9"/>
  </w:num>
  <w:num w:numId="28" w16cid:durableId="187761795">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864"/>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554"/>
    <w:rsid w:val="0000172A"/>
    <w:rsid w:val="00001AA5"/>
    <w:rsid w:val="00001B25"/>
    <w:rsid w:val="00002481"/>
    <w:rsid w:val="000026C1"/>
    <w:rsid w:val="00002836"/>
    <w:rsid w:val="00002CE2"/>
    <w:rsid w:val="00003048"/>
    <w:rsid w:val="00003AFE"/>
    <w:rsid w:val="0000462E"/>
    <w:rsid w:val="0000493C"/>
    <w:rsid w:val="00004977"/>
    <w:rsid w:val="00005EEF"/>
    <w:rsid w:val="0000661D"/>
    <w:rsid w:val="00006F6B"/>
    <w:rsid w:val="000079C4"/>
    <w:rsid w:val="00007E5A"/>
    <w:rsid w:val="00010846"/>
    <w:rsid w:val="00010EF8"/>
    <w:rsid w:val="0001154A"/>
    <w:rsid w:val="00013BA8"/>
    <w:rsid w:val="00016125"/>
    <w:rsid w:val="000177B4"/>
    <w:rsid w:val="000209DC"/>
    <w:rsid w:val="0002126D"/>
    <w:rsid w:val="000214B4"/>
    <w:rsid w:val="00021684"/>
    <w:rsid w:val="0002180B"/>
    <w:rsid w:val="0002189D"/>
    <w:rsid w:val="000224C1"/>
    <w:rsid w:val="00022794"/>
    <w:rsid w:val="00022EAA"/>
    <w:rsid w:val="000230DF"/>
    <w:rsid w:val="00023182"/>
    <w:rsid w:val="0002385A"/>
    <w:rsid w:val="00023913"/>
    <w:rsid w:val="00026839"/>
    <w:rsid w:val="0002714A"/>
    <w:rsid w:val="00027E1A"/>
    <w:rsid w:val="00034356"/>
    <w:rsid w:val="00034A21"/>
    <w:rsid w:val="00034F9A"/>
    <w:rsid w:val="000354AA"/>
    <w:rsid w:val="000357C3"/>
    <w:rsid w:val="0003640F"/>
    <w:rsid w:val="00036AB4"/>
    <w:rsid w:val="00037C08"/>
    <w:rsid w:val="000418E5"/>
    <w:rsid w:val="00042991"/>
    <w:rsid w:val="00042E2A"/>
    <w:rsid w:val="00044D63"/>
    <w:rsid w:val="000453CA"/>
    <w:rsid w:val="00045B02"/>
    <w:rsid w:val="00045BE9"/>
    <w:rsid w:val="000469AD"/>
    <w:rsid w:val="00046B62"/>
    <w:rsid w:val="000512BE"/>
    <w:rsid w:val="00051814"/>
    <w:rsid w:val="0005239A"/>
    <w:rsid w:val="00052C96"/>
    <w:rsid w:val="000547C0"/>
    <w:rsid w:val="00054F31"/>
    <w:rsid w:val="000556AD"/>
    <w:rsid w:val="0005629E"/>
    <w:rsid w:val="00057E89"/>
    <w:rsid w:val="000606A7"/>
    <w:rsid w:val="000614F1"/>
    <w:rsid w:val="00062DC2"/>
    <w:rsid w:val="00063E92"/>
    <w:rsid w:val="000642BD"/>
    <w:rsid w:val="0006478C"/>
    <w:rsid w:val="00066320"/>
    <w:rsid w:val="000679BC"/>
    <w:rsid w:val="000679BF"/>
    <w:rsid w:val="000701EC"/>
    <w:rsid w:val="0007044E"/>
    <w:rsid w:val="00070480"/>
    <w:rsid w:val="000715F4"/>
    <w:rsid w:val="000719D5"/>
    <w:rsid w:val="00073403"/>
    <w:rsid w:val="0007395D"/>
    <w:rsid w:val="000747F2"/>
    <w:rsid w:val="000749ED"/>
    <w:rsid w:val="00076D15"/>
    <w:rsid w:val="0007781A"/>
    <w:rsid w:val="0008044B"/>
    <w:rsid w:val="00080817"/>
    <w:rsid w:val="00080C78"/>
    <w:rsid w:val="00081780"/>
    <w:rsid w:val="000829F8"/>
    <w:rsid w:val="000846F3"/>
    <w:rsid w:val="00084EDF"/>
    <w:rsid w:val="00085F29"/>
    <w:rsid w:val="00086500"/>
    <w:rsid w:val="000900C1"/>
    <w:rsid w:val="00090B95"/>
    <w:rsid w:val="00091192"/>
    <w:rsid w:val="00092321"/>
    <w:rsid w:val="00092DEC"/>
    <w:rsid w:val="000932D7"/>
    <w:rsid w:val="00093329"/>
    <w:rsid w:val="00094D63"/>
    <w:rsid w:val="00095644"/>
    <w:rsid w:val="00096BC3"/>
    <w:rsid w:val="00097CC0"/>
    <w:rsid w:val="00097E24"/>
    <w:rsid w:val="000A0C48"/>
    <w:rsid w:val="000A19F6"/>
    <w:rsid w:val="000A1BFF"/>
    <w:rsid w:val="000A1CF0"/>
    <w:rsid w:val="000A2752"/>
    <w:rsid w:val="000A2D43"/>
    <w:rsid w:val="000A3708"/>
    <w:rsid w:val="000A3B65"/>
    <w:rsid w:val="000A4027"/>
    <w:rsid w:val="000A4802"/>
    <w:rsid w:val="000A4C1D"/>
    <w:rsid w:val="000A59A5"/>
    <w:rsid w:val="000A656A"/>
    <w:rsid w:val="000A6D67"/>
    <w:rsid w:val="000B0607"/>
    <w:rsid w:val="000B0638"/>
    <w:rsid w:val="000B0D06"/>
    <w:rsid w:val="000B12BB"/>
    <w:rsid w:val="000B1446"/>
    <w:rsid w:val="000B166C"/>
    <w:rsid w:val="000B2309"/>
    <w:rsid w:val="000B2EFC"/>
    <w:rsid w:val="000B5A84"/>
    <w:rsid w:val="000B7F59"/>
    <w:rsid w:val="000C003F"/>
    <w:rsid w:val="000C0CA7"/>
    <w:rsid w:val="000C12B4"/>
    <w:rsid w:val="000C16BE"/>
    <w:rsid w:val="000C20C5"/>
    <w:rsid w:val="000C5448"/>
    <w:rsid w:val="000C6F5A"/>
    <w:rsid w:val="000C7A9A"/>
    <w:rsid w:val="000C7B04"/>
    <w:rsid w:val="000D203E"/>
    <w:rsid w:val="000D3BEB"/>
    <w:rsid w:val="000D5AAE"/>
    <w:rsid w:val="000D5B62"/>
    <w:rsid w:val="000D69BB"/>
    <w:rsid w:val="000D6A07"/>
    <w:rsid w:val="000D713E"/>
    <w:rsid w:val="000E022B"/>
    <w:rsid w:val="000E1A99"/>
    <w:rsid w:val="000E1F1E"/>
    <w:rsid w:val="000E1F9A"/>
    <w:rsid w:val="000E25FA"/>
    <w:rsid w:val="000E359A"/>
    <w:rsid w:val="000E390D"/>
    <w:rsid w:val="000E39B5"/>
    <w:rsid w:val="000E43BD"/>
    <w:rsid w:val="000E4C51"/>
    <w:rsid w:val="000E5084"/>
    <w:rsid w:val="000E5D24"/>
    <w:rsid w:val="000E5DB9"/>
    <w:rsid w:val="000F0B21"/>
    <w:rsid w:val="000F1731"/>
    <w:rsid w:val="000F1F06"/>
    <w:rsid w:val="000F3581"/>
    <w:rsid w:val="000F373F"/>
    <w:rsid w:val="000F3767"/>
    <w:rsid w:val="000F3F46"/>
    <w:rsid w:val="000F4480"/>
    <w:rsid w:val="000F4D1E"/>
    <w:rsid w:val="000F65DC"/>
    <w:rsid w:val="000F6BD5"/>
    <w:rsid w:val="00100146"/>
    <w:rsid w:val="00101EB6"/>
    <w:rsid w:val="00102B46"/>
    <w:rsid w:val="001040BB"/>
    <w:rsid w:val="0010476E"/>
    <w:rsid w:val="00104F7A"/>
    <w:rsid w:val="00105F96"/>
    <w:rsid w:val="001061D3"/>
    <w:rsid w:val="0010692B"/>
    <w:rsid w:val="00106A69"/>
    <w:rsid w:val="001100B0"/>
    <w:rsid w:val="00110644"/>
    <w:rsid w:val="00110931"/>
    <w:rsid w:val="001112F7"/>
    <w:rsid w:val="0011274F"/>
    <w:rsid w:val="0011372C"/>
    <w:rsid w:val="00113C0F"/>
    <w:rsid w:val="001168CD"/>
    <w:rsid w:val="001169EB"/>
    <w:rsid w:val="00117D14"/>
    <w:rsid w:val="00120187"/>
    <w:rsid w:val="00120C0F"/>
    <w:rsid w:val="001228EF"/>
    <w:rsid w:val="00123134"/>
    <w:rsid w:val="0012315C"/>
    <w:rsid w:val="00123A43"/>
    <w:rsid w:val="00123EF0"/>
    <w:rsid w:val="001244B0"/>
    <w:rsid w:val="00124537"/>
    <w:rsid w:val="00124721"/>
    <w:rsid w:val="001249B7"/>
    <w:rsid w:val="00125A9F"/>
    <w:rsid w:val="00126BB0"/>
    <w:rsid w:val="00126D4D"/>
    <w:rsid w:val="001272C0"/>
    <w:rsid w:val="00127C88"/>
    <w:rsid w:val="00130303"/>
    <w:rsid w:val="00130A60"/>
    <w:rsid w:val="00130A89"/>
    <w:rsid w:val="00131638"/>
    <w:rsid w:val="00131CFE"/>
    <w:rsid w:val="00131FD9"/>
    <w:rsid w:val="00132A13"/>
    <w:rsid w:val="0013374E"/>
    <w:rsid w:val="00134A0D"/>
    <w:rsid w:val="0013570C"/>
    <w:rsid w:val="001377BD"/>
    <w:rsid w:val="00137B02"/>
    <w:rsid w:val="00140221"/>
    <w:rsid w:val="00140576"/>
    <w:rsid w:val="0014117E"/>
    <w:rsid w:val="00141B07"/>
    <w:rsid w:val="001420F1"/>
    <w:rsid w:val="0014247A"/>
    <w:rsid w:val="00144980"/>
    <w:rsid w:val="00144A98"/>
    <w:rsid w:val="00144FEF"/>
    <w:rsid w:val="00145613"/>
    <w:rsid w:val="001460BA"/>
    <w:rsid w:val="00146FA8"/>
    <w:rsid w:val="00147599"/>
    <w:rsid w:val="00147BCB"/>
    <w:rsid w:val="00151C2D"/>
    <w:rsid w:val="00152D1F"/>
    <w:rsid w:val="00154312"/>
    <w:rsid w:val="00154653"/>
    <w:rsid w:val="00154D56"/>
    <w:rsid w:val="0015580F"/>
    <w:rsid w:val="001566F6"/>
    <w:rsid w:val="00156DDC"/>
    <w:rsid w:val="00157607"/>
    <w:rsid w:val="001606CF"/>
    <w:rsid w:val="00160921"/>
    <w:rsid w:val="00162046"/>
    <w:rsid w:val="00162C5A"/>
    <w:rsid w:val="00162FA4"/>
    <w:rsid w:val="00163913"/>
    <w:rsid w:val="00164145"/>
    <w:rsid w:val="0016481B"/>
    <w:rsid w:val="0016517F"/>
    <w:rsid w:val="00165536"/>
    <w:rsid w:val="0016614F"/>
    <w:rsid w:val="00166218"/>
    <w:rsid w:val="00166E0F"/>
    <w:rsid w:val="001674C0"/>
    <w:rsid w:val="00170131"/>
    <w:rsid w:val="0017106E"/>
    <w:rsid w:val="00171E52"/>
    <w:rsid w:val="00172F85"/>
    <w:rsid w:val="0017522E"/>
    <w:rsid w:val="0017569E"/>
    <w:rsid w:val="001776A1"/>
    <w:rsid w:val="00177748"/>
    <w:rsid w:val="0018047E"/>
    <w:rsid w:val="0018129C"/>
    <w:rsid w:val="001812FB"/>
    <w:rsid w:val="001816D4"/>
    <w:rsid w:val="00182A6B"/>
    <w:rsid w:val="0018388D"/>
    <w:rsid w:val="00184677"/>
    <w:rsid w:val="001849E3"/>
    <w:rsid w:val="0018500F"/>
    <w:rsid w:val="00185DFE"/>
    <w:rsid w:val="00186644"/>
    <w:rsid w:val="00187FEA"/>
    <w:rsid w:val="00190004"/>
    <w:rsid w:val="00190D19"/>
    <w:rsid w:val="001910ED"/>
    <w:rsid w:val="0019120A"/>
    <w:rsid w:val="00192832"/>
    <w:rsid w:val="00192DD8"/>
    <w:rsid w:val="00193655"/>
    <w:rsid w:val="001942B1"/>
    <w:rsid w:val="001A0778"/>
    <w:rsid w:val="001A08D6"/>
    <w:rsid w:val="001A14C3"/>
    <w:rsid w:val="001A2868"/>
    <w:rsid w:val="001A299E"/>
    <w:rsid w:val="001A2C38"/>
    <w:rsid w:val="001A31A2"/>
    <w:rsid w:val="001A39CF"/>
    <w:rsid w:val="001A3B94"/>
    <w:rsid w:val="001A4812"/>
    <w:rsid w:val="001A6AAF"/>
    <w:rsid w:val="001A6C7E"/>
    <w:rsid w:val="001B0A49"/>
    <w:rsid w:val="001B12C8"/>
    <w:rsid w:val="001B1503"/>
    <w:rsid w:val="001B1AD4"/>
    <w:rsid w:val="001B27D3"/>
    <w:rsid w:val="001B2F8C"/>
    <w:rsid w:val="001B314F"/>
    <w:rsid w:val="001B34C2"/>
    <w:rsid w:val="001B3B62"/>
    <w:rsid w:val="001B3FCC"/>
    <w:rsid w:val="001B4499"/>
    <w:rsid w:val="001B4A80"/>
    <w:rsid w:val="001B670F"/>
    <w:rsid w:val="001B71B4"/>
    <w:rsid w:val="001C0359"/>
    <w:rsid w:val="001C1033"/>
    <w:rsid w:val="001C1342"/>
    <w:rsid w:val="001C1713"/>
    <w:rsid w:val="001C1F25"/>
    <w:rsid w:val="001C209A"/>
    <w:rsid w:val="001C3242"/>
    <w:rsid w:val="001C4080"/>
    <w:rsid w:val="001C4EE5"/>
    <w:rsid w:val="001C4FAF"/>
    <w:rsid w:val="001C5813"/>
    <w:rsid w:val="001C5A69"/>
    <w:rsid w:val="001C617B"/>
    <w:rsid w:val="001C6B96"/>
    <w:rsid w:val="001C708A"/>
    <w:rsid w:val="001C70AC"/>
    <w:rsid w:val="001C712B"/>
    <w:rsid w:val="001C7BD0"/>
    <w:rsid w:val="001D1BC5"/>
    <w:rsid w:val="001D28C5"/>
    <w:rsid w:val="001D3727"/>
    <w:rsid w:val="001D4942"/>
    <w:rsid w:val="001D565E"/>
    <w:rsid w:val="001D5666"/>
    <w:rsid w:val="001D6802"/>
    <w:rsid w:val="001D6A67"/>
    <w:rsid w:val="001D6C99"/>
    <w:rsid w:val="001D6F5B"/>
    <w:rsid w:val="001D709D"/>
    <w:rsid w:val="001D78DE"/>
    <w:rsid w:val="001E0386"/>
    <w:rsid w:val="001E1A1D"/>
    <w:rsid w:val="001E2007"/>
    <w:rsid w:val="001E250D"/>
    <w:rsid w:val="001E27CB"/>
    <w:rsid w:val="001E28AB"/>
    <w:rsid w:val="001E37E0"/>
    <w:rsid w:val="001E386C"/>
    <w:rsid w:val="001E3D2C"/>
    <w:rsid w:val="001E428B"/>
    <w:rsid w:val="001E4688"/>
    <w:rsid w:val="001F001C"/>
    <w:rsid w:val="001F0049"/>
    <w:rsid w:val="001F04D6"/>
    <w:rsid w:val="001F0844"/>
    <w:rsid w:val="001F09A2"/>
    <w:rsid w:val="001F1294"/>
    <w:rsid w:val="001F1A94"/>
    <w:rsid w:val="001F1D0B"/>
    <w:rsid w:val="001F1FCC"/>
    <w:rsid w:val="001F2169"/>
    <w:rsid w:val="001F2624"/>
    <w:rsid w:val="001F2775"/>
    <w:rsid w:val="001F27EB"/>
    <w:rsid w:val="001F4CFE"/>
    <w:rsid w:val="001F4D38"/>
    <w:rsid w:val="001F5029"/>
    <w:rsid w:val="001F619A"/>
    <w:rsid w:val="001F61A7"/>
    <w:rsid w:val="001F657D"/>
    <w:rsid w:val="001F7C23"/>
    <w:rsid w:val="0020039D"/>
    <w:rsid w:val="00200B2C"/>
    <w:rsid w:val="00201A59"/>
    <w:rsid w:val="0020297A"/>
    <w:rsid w:val="00203456"/>
    <w:rsid w:val="00203DCD"/>
    <w:rsid w:val="00204953"/>
    <w:rsid w:val="00205741"/>
    <w:rsid w:val="00205784"/>
    <w:rsid w:val="00205A0C"/>
    <w:rsid w:val="00205AE9"/>
    <w:rsid w:val="002066D7"/>
    <w:rsid w:val="00206985"/>
    <w:rsid w:val="002151F9"/>
    <w:rsid w:val="002157DF"/>
    <w:rsid w:val="00215A2A"/>
    <w:rsid w:val="00215C83"/>
    <w:rsid w:val="002171FA"/>
    <w:rsid w:val="00217304"/>
    <w:rsid w:val="00217545"/>
    <w:rsid w:val="00217819"/>
    <w:rsid w:val="00217CDB"/>
    <w:rsid w:val="0022072B"/>
    <w:rsid w:val="00220A97"/>
    <w:rsid w:val="00220D4E"/>
    <w:rsid w:val="0022182D"/>
    <w:rsid w:val="002218D6"/>
    <w:rsid w:val="002233EF"/>
    <w:rsid w:val="0022417E"/>
    <w:rsid w:val="00224268"/>
    <w:rsid w:val="00227704"/>
    <w:rsid w:val="00227ECD"/>
    <w:rsid w:val="0023053A"/>
    <w:rsid w:val="00230B57"/>
    <w:rsid w:val="00232488"/>
    <w:rsid w:val="00232925"/>
    <w:rsid w:val="002329E8"/>
    <w:rsid w:val="002331BE"/>
    <w:rsid w:val="002340E2"/>
    <w:rsid w:val="00234905"/>
    <w:rsid w:val="00234912"/>
    <w:rsid w:val="00235DF7"/>
    <w:rsid w:val="002361EF"/>
    <w:rsid w:val="0023656E"/>
    <w:rsid w:val="00236CFE"/>
    <w:rsid w:val="00236FFA"/>
    <w:rsid w:val="002372DB"/>
    <w:rsid w:val="00237CC5"/>
    <w:rsid w:val="00237CD3"/>
    <w:rsid w:val="002402F8"/>
    <w:rsid w:val="0024045F"/>
    <w:rsid w:val="00241237"/>
    <w:rsid w:val="00241A09"/>
    <w:rsid w:val="00241BE6"/>
    <w:rsid w:val="002429CE"/>
    <w:rsid w:val="0024324B"/>
    <w:rsid w:val="0024352B"/>
    <w:rsid w:val="00244324"/>
    <w:rsid w:val="0024477C"/>
    <w:rsid w:val="00245C33"/>
    <w:rsid w:val="00245DFB"/>
    <w:rsid w:val="00246C13"/>
    <w:rsid w:val="00247668"/>
    <w:rsid w:val="0025326A"/>
    <w:rsid w:val="0025488E"/>
    <w:rsid w:val="002555C5"/>
    <w:rsid w:val="0025571C"/>
    <w:rsid w:val="00255EFA"/>
    <w:rsid w:val="00256B8A"/>
    <w:rsid w:val="00257CFB"/>
    <w:rsid w:val="00260261"/>
    <w:rsid w:val="00260A51"/>
    <w:rsid w:val="00261FE5"/>
    <w:rsid w:val="002630FA"/>
    <w:rsid w:val="00263AB6"/>
    <w:rsid w:val="002640F8"/>
    <w:rsid w:val="002666D9"/>
    <w:rsid w:val="00266F90"/>
    <w:rsid w:val="00270AAE"/>
    <w:rsid w:val="00270BD3"/>
    <w:rsid w:val="00271977"/>
    <w:rsid w:val="00271DD2"/>
    <w:rsid w:val="002727DC"/>
    <w:rsid w:val="00273CB9"/>
    <w:rsid w:val="00273E41"/>
    <w:rsid w:val="00273E99"/>
    <w:rsid w:val="0027564E"/>
    <w:rsid w:val="00275BE8"/>
    <w:rsid w:val="00281D27"/>
    <w:rsid w:val="00282579"/>
    <w:rsid w:val="00282AAA"/>
    <w:rsid w:val="002836C9"/>
    <w:rsid w:val="00283D1B"/>
    <w:rsid w:val="002840A8"/>
    <w:rsid w:val="00284FF7"/>
    <w:rsid w:val="00285D9C"/>
    <w:rsid w:val="002861F2"/>
    <w:rsid w:val="00290B5A"/>
    <w:rsid w:val="002914A4"/>
    <w:rsid w:val="00291912"/>
    <w:rsid w:val="00292979"/>
    <w:rsid w:val="0029415D"/>
    <w:rsid w:val="00295765"/>
    <w:rsid w:val="00296BAA"/>
    <w:rsid w:val="002979D6"/>
    <w:rsid w:val="002A03BB"/>
    <w:rsid w:val="002A1784"/>
    <w:rsid w:val="002A1F7D"/>
    <w:rsid w:val="002A3267"/>
    <w:rsid w:val="002A3F97"/>
    <w:rsid w:val="002A4470"/>
    <w:rsid w:val="002A588F"/>
    <w:rsid w:val="002A5A08"/>
    <w:rsid w:val="002A6364"/>
    <w:rsid w:val="002A6F6E"/>
    <w:rsid w:val="002A75EA"/>
    <w:rsid w:val="002B1824"/>
    <w:rsid w:val="002B1E49"/>
    <w:rsid w:val="002B20E1"/>
    <w:rsid w:val="002B2D98"/>
    <w:rsid w:val="002B3933"/>
    <w:rsid w:val="002B6260"/>
    <w:rsid w:val="002B68B3"/>
    <w:rsid w:val="002B6C6E"/>
    <w:rsid w:val="002C0151"/>
    <w:rsid w:val="002C077E"/>
    <w:rsid w:val="002C0878"/>
    <w:rsid w:val="002C08B6"/>
    <w:rsid w:val="002C1731"/>
    <w:rsid w:val="002C1EC8"/>
    <w:rsid w:val="002C24E1"/>
    <w:rsid w:val="002C37FE"/>
    <w:rsid w:val="002C41AD"/>
    <w:rsid w:val="002C4972"/>
    <w:rsid w:val="002C542A"/>
    <w:rsid w:val="002C5AE0"/>
    <w:rsid w:val="002C60A5"/>
    <w:rsid w:val="002C6510"/>
    <w:rsid w:val="002C6838"/>
    <w:rsid w:val="002C6E63"/>
    <w:rsid w:val="002C7E74"/>
    <w:rsid w:val="002D1E11"/>
    <w:rsid w:val="002D2101"/>
    <w:rsid w:val="002D4F98"/>
    <w:rsid w:val="002D51A4"/>
    <w:rsid w:val="002D5230"/>
    <w:rsid w:val="002D588E"/>
    <w:rsid w:val="002D623A"/>
    <w:rsid w:val="002D6335"/>
    <w:rsid w:val="002D635D"/>
    <w:rsid w:val="002D662D"/>
    <w:rsid w:val="002D7873"/>
    <w:rsid w:val="002E0AB6"/>
    <w:rsid w:val="002E1300"/>
    <w:rsid w:val="002E17D6"/>
    <w:rsid w:val="002E1A96"/>
    <w:rsid w:val="002E1BF0"/>
    <w:rsid w:val="002E3F7F"/>
    <w:rsid w:val="002E433C"/>
    <w:rsid w:val="002E4F6E"/>
    <w:rsid w:val="002E583E"/>
    <w:rsid w:val="002E5DBC"/>
    <w:rsid w:val="002E6404"/>
    <w:rsid w:val="002E7434"/>
    <w:rsid w:val="002F201B"/>
    <w:rsid w:val="002F3AA7"/>
    <w:rsid w:val="002F3F85"/>
    <w:rsid w:val="002F41EF"/>
    <w:rsid w:val="002F49B8"/>
    <w:rsid w:val="002F51D8"/>
    <w:rsid w:val="002F60FC"/>
    <w:rsid w:val="002F79D9"/>
    <w:rsid w:val="00300384"/>
    <w:rsid w:val="00300A1E"/>
    <w:rsid w:val="0030112A"/>
    <w:rsid w:val="00301B36"/>
    <w:rsid w:val="003025BA"/>
    <w:rsid w:val="003029A5"/>
    <w:rsid w:val="00302E39"/>
    <w:rsid w:val="00303029"/>
    <w:rsid w:val="00303AE7"/>
    <w:rsid w:val="00303DAB"/>
    <w:rsid w:val="0030433C"/>
    <w:rsid w:val="003068DB"/>
    <w:rsid w:val="00306CE8"/>
    <w:rsid w:val="00311648"/>
    <w:rsid w:val="00313292"/>
    <w:rsid w:val="003132A5"/>
    <w:rsid w:val="00313791"/>
    <w:rsid w:val="003138E2"/>
    <w:rsid w:val="00313B97"/>
    <w:rsid w:val="00317DA4"/>
    <w:rsid w:val="00320FCE"/>
    <w:rsid w:val="003221C8"/>
    <w:rsid w:val="003221D1"/>
    <w:rsid w:val="003222BD"/>
    <w:rsid w:val="003227D9"/>
    <w:rsid w:val="003231D7"/>
    <w:rsid w:val="00323D7C"/>
    <w:rsid w:val="00324095"/>
    <w:rsid w:val="00324DB2"/>
    <w:rsid w:val="003265F6"/>
    <w:rsid w:val="0032668D"/>
    <w:rsid w:val="003266CE"/>
    <w:rsid w:val="00326F2D"/>
    <w:rsid w:val="00327851"/>
    <w:rsid w:val="00327EF4"/>
    <w:rsid w:val="00327F48"/>
    <w:rsid w:val="00327F5A"/>
    <w:rsid w:val="003300DA"/>
    <w:rsid w:val="003315C2"/>
    <w:rsid w:val="00331B2B"/>
    <w:rsid w:val="00331BBA"/>
    <w:rsid w:val="00332317"/>
    <w:rsid w:val="003327F8"/>
    <w:rsid w:val="00332CF6"/>
    <w:rsid w:val="003333B5"/>
    <w:rsid w:val="00333A62"/>
    <w:rsid w:val="003340A8"/>
    <w:rsid w:val="003345CA"/>
    <w:rsid w:val="0033487B"/>
    <w:rsid w:val="003355B4"/>
    <w:rsid w:val="003356D6"/>
    <w:rsid w:val="003360B4"/>
    <w:rsid w:val="003372E4"/>
    <w:rsid w:val="003402AD"/>
    <w:rsid w:val="003404A1"/>
    <w:rsid w:val="00340C60"/>
    <w:rsid w:val="00341C23"/>
    <w:rsid w:val="00341CFE"/>
    <w:rsid w:val="003420AA"/>
    <w:rsid w:val="00342F24"/>
    <w:rsid w:val="003439DA"/>
    <w:rsid w:val="00343EBC"/>
    <w:rsid w:val="00343ED3"/>
    <w:rsid w:val="003448B1"/>
    <w:rsid w:val="0034491F"/>
    <w:rsid w:val="00344C6F"/>
    <w:rsid w:val="003459A8"/>
    <w:rsid w:val="00347370"/>
    <w:rsid w:val="00347845"/>
    <w:rsid w:val="0035084A"/>
    <w:rsid w:val="00352775"/>
    <w:rsid w:val="00352906"/>
    <w:rsid w:val="0035316D"/>
    <w:rsid w:val="003531A8"/>
    <w:rsid w:val="00354CF3"/>
    <w:rsid w:val="00355021"/>
    <w:rsid w:val="003551BC"/>
    <w:rsid w:val="003563BC"/>
    <w:rsid w:val="00356659"/>
    <w:rsid w:val="00356CC4"/>
    <w:rsid w:val="00357839"/>
    <w:rsid w:val="003578EC"/>
    <w:rsid w:val="00357F9E"/>
    <w:rsid w:val="0036145B"/>
    <w:rsid w:val="003617DD"/>
    <w:rsid w:val="003630EE"/>
    <w:rsid w:val="00363495"/>
    <w:rsid w:val="0036420A"/>
    <w:rsid w:val="00364464"/>
    <w:rsid w:val="00365ED0"/>
    <w:rsid w:val="00365F88"/>
    <w:rsid w:val="00366A1D"/>
    <w:rsid w:val="00367DDB"/>
    <w:rsid w:val="00370090"/>
    <w:rsid w:val="00370129"/>
    <w:rsid w:val="00370730"/>
    <w:rsid w:val="00370EDC"/>
    <w:rsid w:val="0037204B"/>
    <w:rsid w:val="00372F92"/>
    <w:rsid w:val="003734CF"/>
    <w:rsid w:val="00374630"/>
    <w:rsid w:val="003748C9"/>
    <w:rsid w:val="003755E6"/>
    <w:rsid w:val="0037645A"/>
    <w:rsid w:val="00376ABB"/>
    <w:rsid w:val="00376C61"/>
    <w:rsid w:val="00377028"/>
    <w:rsid w:val="00377BA4"/>
    <w:rsid w:val="00377C7B"/>
    <w:rsid w:val="0038018C"/>
    <w:rsid w:val="003801CF"/>
    <w:rsid w:val="00383113"/>
    <w:rsid w:val="0038335F"/>
    <w:rsid w:val="00383C13"/>
    <w:rsid w:val="00383CB2"/>
    <w:rsid w:val="00385029"/>
    <w:rsid w:val="003850A9"/>
    <w:rsid w:val="00385CA3"/>
    <w:rsid w:val="00385EA4"/>
    <w:rsid w:val="00386694"/>
    <w:rsid w:val="00387A78"/>
    <w:rsid w:val="00391645"/>
    <w:rsid w:val="00392DA7"/>
    <w:rsid w:val="00393B68"/>
    <w:rsid w:val="003942ED"/>
    <w:rsid w:val="0039457F"/>
    <w:rsid w:val="00394CDE"/>
    <w:rsid w:val="003952AB"/>
    <w:rsid w:val="00395875"/>
    <w:rsid w:val="003963FD"/>
    <w:rsid w:val="00396470"/>
    <w:rsid w:val="003964C8"/>
    <w:rsid w:val="0039675C"/>
    <w:rsid w:val="00396A59"/>
    <w:rsid w:val="00396D42"/>
    <w:rsid w:val="00397E1B"/>
    <w:rsid w:val="003A03C0"/>
    <w:rsid w:val="003A37CC"/>
    <w:rsid w:val="003A4BDE"/>
    <w:rsid w:val="003A5266"/>
    <w:rsid w:val="003A53B1"/>
    <w:rsid w:val="003A5B59"/>
    <w:rsid w:val="003A5F5E"/>
    <w:rsid w:val="003A5F94"/>
    <w:rsid w:val="003A6FF4"/>
    <w:rsid w:val="003A719D"/>
    <w:rsid w:val="003B1BC7"/>
    <w:rsid w:val="003B3B55"/>
    <w:rsid w:val="003B468F"/>
    <w:rsid w:val="003B5B2B"/>
    <w:rsid w:val="003B6098"/>
    <w:rsid w:val="003B6ADF"/>
    <w:rsid w:val="003B77A4"/>
    <w:rsid w:val="003B7D9A"/>
    <w:rsid w:val="003C0A2A"/>
    <w:rsid w:val="003C0A5F"/>
    <w:rsid w:val="003C21FD"/>
    <w:rsid w:val="003C2AAE"/>
    <w:rsid w:val="003C2D86"/>
    <w:rsid w:val="003C2DEC"/>
    <w:rsid w:val="003C498C"/>
    <w:rsid w:val="003C5EFA"/>
    <w:rsid w:val="003C62BD"/>
    <w:rsid w:val="003C6F09"/>
    <w:rsid w:val="003D0FA8"/>
    <w:rsid w:val="003D1653"/>
    <w:rsid w:val="003D1871"/>
    <w:rsid w:val="003D24A1"/>
    <w:rsid w:val="003D350B"/>
    <w:rsid w:val="003D3EB4"/>
    <w:rsid w:val="003D40F2"/>
    <w:rsid w:val="003D418D"/>
    <w:rsid w:val="003D6CBF"/>
    <w:rsid w:val="003D6F74"/>
    <w:rsid w:val="003D7CA2"/>
    <w:rsid w:val="003E00B1"/>
    <w:rsid w:val="003E01E3"/>
    <w:rsid w:val="003E07C0"/>
    <w:rsid w:val="003E1C15"/>
    <w:rsid w:val="003E1C29"/>
    <w:rsid w:val="003E2F9E"/>
    <w:rsid w:val="003E46B3"/>
    <w:rsid w:val="003E5FC6"/>
    <w:rsid w:val="003E6C16"/>
    <w:rsid w:val="003E7C9C"/>
    <w:rsid w:val="003E7E85"/>
    <w:rsid w:val="003F03E2"/>
    <w:rsid w:val="003F0560"/>
    <w:rsid w:val="003F07D7"/>
    <w:rsid w:val="003F1B95"/>
    <w:rsid w:val="003F275E"/>
    <w:rsid w:val="003F402D"/>
    <w:rsid w:val="003F49A3"/>
    <w:rsid w:val="003F51B4"/>
    <w:rsid w:val="003F536D"/>
    <w:rsid w:val="003F540F"/>
    <w:rsid w:val="003F54CF"/>
    <w:rsid w:val="003F63AE"/>
    <w:rsid w:val="003F6617"/>
    <w:rsid w:val="003F67B4"/>
    <w:rsid w:val="003F6DC6"/>
    <w:rsid w:val="003F6EFC"/>
    <w:rsid w:val="00400348"/>
    <w:rsid w:val="0040038C"/>
    <w:rsid w:val="0040091A"/>
    <w:rsid w:val="0040276E"/>
    <w:rsid w:val="00404BED"/>
    <w:rsid w:val="00404C9E"/>
    <w:rsid w:val="00405428"/>
    <w:rsid w:val="00405C15"/>
    <w:rsid w:val="00405DBD"/>
    <w:rsid w:val="00407691"/>
    <w:rsid w:val="00410A26"/>
    <w:rsid w:val="00411EDB"/>
    <w:rsid w:val="00413F3A"/>
    <w:rsid w:val="00414452"/>
    <w:rsid w:val="00414AD0"/>
    <w:rsid w:val="0041556B"/>
    <w:rsid w:val="00416572"/>
    <w:rsid w:val="00420AAB"/>
    <w:rsid w:val="00420F76"/>
    <w:rsid w:val="00422C1B"/>
    <w:rsid w:val="004239F5"/>
    <w:rsid w:val="00426304"/>
    <w:rsid w:val="00426506"/>
    <w:rsid w:val="00426724"/>
    <w:rsid w:val="00427335"/>
    <w:rsid w:val="00427AAC"/>
    <w:rsid w:val="00430257"/>
    <w:rsid w:val="00430D4C"/>
    <w:rsid w:val="004315B6"/>
    <w:rsid w:val="00432752"/>
    <w:rsid w:val="00433D29"/>
    <w:rsid w:val="00433F95"/>
    <w:rsid w:val="00434FB3"/>
    <w:rsid w:val="00435390"/>
    <w:rsid w:val="00436332"/>
    <w:rsid w:val="004366FD"/>
    <w:rsid w:val="00437AA4"/>
    <w:rsid w:val="0044056F"/>
    <w:rsid w:val="0044123C"/>
    <w:rsid w:val="004415C7"/>
    <w:rsid w:val="00441F28"/>
    <w:rsid w:val="00442C5E"/>
    <w:rsid w:val="00443816"/>
    <w:rsid w:val="004441D5"/>
    <w:rsid w:val="00444550"/>
    <w:rsid w:val="0044456E"/>
    <w:rsid w:val="00445460"/>
    <w:rsid w:val="004457B0"/>
    <w:rsid w:val="004460DC"/>
    <w:rsid w:val="00446E6E"/>
    <w:rsid w:val="004472F6"/>
    <w:rsid w:val="004474B5"/>
    <w:rsid w:val="00450446"/>
    <w:rsid w:val="00450D3E"/>
    <w:rsid w:val="00451B70"/>
    <w:rsid w:val="004534BE"/>
    <w:rsid w:val="00454C50"/>
    <w:rsid w:val="00454E6D"/>
    <w:rsid w:val="0046038A"/>
    <w:rsid w:val="00460EED"/>
    <w:rsid w:val="004612DC"/>
    <w:rsid w:val="004614B6"/>
    <w:rsid w:val="00461A70"/>
    <w:rsid w:val="00462071"/>
    <w:rsid w:val="004627AF"/>
    <w:rsid w:val="00463F8A"/>
    <w:rsid w:val="0046410B"/>
    <w:rsid w:val="00464471"/>
    <w:rsid w:val="00464EF4"/>
    <w:rsid w:val="00467335"/>
    <w:rsid w:val="0046736C"/>
    <w:rsid w:val="0046764B"/>
    <w:rsid w:val="00467EC9"/>
    <w:rsid w:val="004702A2"/>
    <w:rsid w:val="00471433"/>
    <w:rsid w:val="004717EA"/>
    <w:rsid w:val="00471D27"/>
    <w:rsid w:val="00472AF0"/>
    <w:rsid w:val="00474D8C"/>
    <w:rsid w:val="00475A29"/>
    <w:rsid w:val="00475B01"/>
    <w:rsid w:val="00475DCA"/>
    <w:rsid w:val="00476CAB"/>
    <w:rsid w:val="00476EEE"/>
    <w:rsid w:val="0047759C"/>
    <w:rsid w:val="00480363"/>
    <w:rsid w:val="00481DD2"/>
    <w:rsid w:val="00482F84"/>
    <w:rsid w:val="004836D0"/>
    <w:rsid w:val="00483DA1"/>
    <w:rsid w:val="00484435"/>
    <w:rsid w:val="0048462B"/>
    <w:rsid w:val="004848AF"/>
    <w:rsid w:val="004849A8"/>
    <w:rsid w:val="00484F50"/>
    <w:rsid w:val="004850D9"/>
    <w:rsid w:val="00485DF6"/>
    <w:rsid w:val="00486AA2"/>
    <w:rsid w:val="0048702D"/>
    <w:rsid w:val="00487587"/>
    <w:rsid w:val="00487C11"/>
    <w:rsid w:val="00487EB1"/>
    <w:rsid w:val="00490FF1"/>
    <w:rsid w:val="00491381"/>
    <w:rsid w:val="0049210A"/>
    <w:rsid w:val="00492E1C"/>
    <w:rsid w:val="00493242"/>
    <w:rsid w:val="00493A9D"/>
    <w:rsid w:val="00493AB3"/>
    <w:rsid w:val="00494448"/>
    <w:rsid w:val="004944A3"/>
    <w:rsid w:val="0049450C"/>
    <w:rsid w:val="00494F79"/>
    <w:rsid w:val="0049521A"/>
    <w:rsid w:val="0049572F"/>
    <w:rsid w:val="00495EC3"/>
    <w:rsid w:val="00495F94"/>
    <w:rsid w:val="004965F6"/>
    <w:rsid w:val="004A0456"/>
    <w:rsid w:val="004A2D1C"/>
    <w:rsid w:val="004A2EF4"/>
    <w:rsid w:val="004A345C"/>
    <w:rsid w:val="004A3581"/>
    <w:rsid w:val="004A3CA5"/>
    <w:rsid w:val="004A423C"/>
    <w:rsid w:val="004A63BA"/>
    <w:rsid w:val="004A664E"/>
    <w:rsid w:val="004A7045"/>
    <w:rsid w:val="004A7929"/>
    <w:rsid w:val="004B1E20"/>
    <w:rsid w:val="004B23F4"/>
    <w:rsid w:val="004B2FE6"/>
    <w:rsid w:val="004B3870"/>
    <w:rsid w:val="004B54ED"/>
    <w:rsid w:val="004B581C"/>
    <w:rsid w:val="004B6C07"/>
    <w:rsid w:val="004B6C30"/>
    <w:rsid w:val="004B7698"/>
    <w:rsid w:val="004C20C0"/>
    <w:rsid w:val="004C222A"/>
    <w:rsid w:val="004C2874"/>
    <w:rsid w:val="004C293D"/>
    <w:rsid w:val="004C2D2A"/>
    <w:rsid w:val="004C31E1"/>
    <w:rsid w:val="004C442A"/>
    <w:rsid w:val="004C55A5"/>
    <w:rsid w:val="004C635C"/>
    <w:rsid w:val="004C65D1"/>
    <w:rsid w:val="004C7DD7"/>
    <w:rsid w:val="004D081D"/>
    <w:rsid w:val="004D1135"/>
    <w:rsid w:val="004D29B6"/>
    <w:rsid w:val="004D33B2"/>
    <w:rsid w:val="004D3630"/>
    <w:rsid w:val="004D3FB4"/>
    <w:rsid w:val="004D4BAC"/>
    <w:rsid w:val="004D5577"/>
    <w:rsid w:val="004D5B3D"/>
    <w:rsid w:val="004D619C"/>
    <w:rsid w:val="004E0B06"/>
    <w:rsid w:val="004E0E04"/>
    <w:rsid w:val="004E221F"/>
    <w:rsid w:val="004E2798"/>
    <w:rsid w:val="004E2F55"/>
    <w:rsid w:val="004E31F7"/>
    <w:rsid w:val="004E63A3"/>
    <w:rsid w:val="004E6CBB"/>
    <w:rsid w:val="004F12C5"/>
    <w:rsid w:val="004F13E5"/>
    <w:rsid w:val="004F2E55"/>
    <w:rsid w:val="004F46AC"/>
    <w:rsid w:val="004F4E93"/>
    <w:rsid w:val="004F7162"/>
    <w:rsid w:val="004F75C1"/>
    <w:rsid w:val="00500167"/>
    <w:rsid w:val="005001B5"/>
    <w:rsid w:val="0050063F"/>
    <w:rsid w:val="005018CD"/>
    <w:rsid w:val="005019A7"/>
    <w:rsid w:val="00502728"/>
    <w:rsid w:val="00503002"/>
    <w:rsid w:val="00503384"/>
    <w:rsid w:val="00503D43"/>
    <w:rsid w:val="005040C8"/>
    <w:rsid w:val="0050489A"/>
    <w:rsid w:val="0050581D"/>
    <w:rsid w:val="005064F6"/>
    <w:rsid w:val="00506801"/>
    <w:rsid w:val="00507368"/>
    <w:rsid w:val="005074AF"/>
    <w:rsid w:val="00507F5A"/>
    <w:rsid w:val="005107E9"/>
    <w:rsid w:val="005110E5"/>
    <w:rsid w:val="00511483"/>
    <w:rsid w:val="005115B0"/>
    <w:rsid w:val="00512102"/>
    <w:rsid w:val="005128A5"/>
    <w:rsid w:val="00512D60"/>
    <w:rsid w:val="00512DDD"/>
    <w:rsid w:val="005147B0"/>
    <w:rsid w:val="00514B7C"/>
    <w:rsid w:val="005153AF"/>
    <w:rsid w:val="005154B8"/>
    <w:rsid w:val="005164BC"/>
    <w:rsid w:val="00517162"/>
    <w:rsid w:val="0052050B"/>
    <w:rsid w:val="005218A0"/>
    <w:rsid w:val="005219D8"/>
    <w:rsid w:val="005232FC"/>
    <w:rsid w:val="00523453"/>
    <w:rsid w:val="005235C2"/>
    <w:rsid w:val="00523AB2"/>
    <w:rsid w:val="00524774"/>
    <w:rsid w:val="005251DD"/>
    <w:rsid w:val="00525E48"/>
    <w:rsid w:val="0052675C"/>
    <w:rsid w:val="00526997"/>
    <w:rsid w:val="005271A2"/>
    <w:rsid w:val="00527CF6"/>
    <w:rsid w:val="005307FE"/>
    <w:rsid w:val="00531334"/>
    <w:rsid w:val="0053134B"/>
    <w:rsid w:val="00534632"/>
    <w:rsid w:val="00534967"/>
    <w:rsid w:val="00536D29"/>
    <w:rsid w:val="00537768"/>
    <w:rsid w:val="005405E2"/>
    <w:rsid w:val="0054093E"/>
    <w:rsid w:val="005416D2"/>
    <w:rsid w:val="005417FA"/>
    <w:rsid w:val="00543706"/>
    <w:rsid w:val="00544279"/>
    <w:rsid w:val="00544B03"/>
    <w:rsid w:val="005504E0"/>
    <w:rsid w:val="00550698"/>
    <w:rsid w:val="0055148E"/>
    <w:rsid w:val="00551DEE"/>
    <w:rsid w:val="005523DC"/>
    <w:rsid w:val="00552949"/>
    <w:rsid w:val="00552D26"/>
    <w:rsid w:val="00552D72"/>
    <w:rsid w:val="00553BF6"/>
    <w:rsid w:val="00554879"/>
    <w:rsid w:val="00554FFC"/>
    <w:rsid w:val="00557465"/>
    <w:rsid w:val="005578F8"/>
    <w:rsid w:val="00557B42"/>
    <w:rsid w:val="0056009D"/>
    <w:rsid w:val="0056068B"/>
    <w:rsid w:val="00561DA1"/>
    <w:rsid w:val="0056322F"/>
    <w:rsid w:val="00563554"/>
    <w:rsid w:val="00563AF0"/>
    <w:rsid w:val="00563DED"/>
    <w:rsid w:val="00565734"/>
    <w:rsid w:val="005657CB"/>
    <w:rsid w:val="005677BB"/>
    <w:rsid w:val="0056788F"/>
    <w:rsid w:val="005711FF"/>
    <w:rsid w:val="00571878"/>
    <w:rsid w:val="0057231E"/>
    <w:rsid w:val="00572410"/>
    <w:rsid w:val="00572B7F"/>
    <w:rsid w:val="00572E03"/>
    <w:rsid w:val="0057374B"/>
    <w:rsid w:val="0057533F"/>
    <w:rsid w:val="00575B15"/>
    <w:rsid w:val="00577CE3"/>
    <w:rsid w:val="00577E6F"/>
    <w:rsid w:val="0058112B"/>
    <w:rsid w:val="00581364"/>
    <w:rsid w:val="00581EAA"/>
    <w:rsid w:val="00583304"/>
    <w:rsid w:val="0058428E"/>
    <w:rsid w:val="00584CAE"/>
    <w:rsid w:val="00584D40"/>
    <w:rsid w:val="00584E84"/>
    <w:rsid w:val="0058513D"/>
    <w:rsid w:val="005854E1"/>
    <w:rsid w:val="00586AFB"/>
    <w:rsid w:val="00586B7A"/>
    <w:rsid w:val="00587439"/>
    <w:rsid w:val="0058777A"/>
    <w:rsid w:val="00587994"/>
    <w:rsid w:val="00587C3F"/>
    <w:rsid w:val="00592437"/>
    <w:rsid w:val="00593DCE"/>
    <w:rsid w:val="005972E3"/>
    <w:rsid w:val="00597424"/>
    <w:rsid w:val="005975FF"/>
    <w:rsid w:val="005A02B5"/>
    <w:rsid w:val="005A0721"/>
    <w:rsid w:val="005A09C8"/>
    <w:rsid w:val="005A1FDC"/>
    <w:rsid w:val="005A222C"/>
    <w:rsid w:val="005A51C0"/>
    <w:rsid w:val="005A5C10"/>
    <w:rsid w:val="005A6228"/>
    <w:rsid w:val="005A74F6"/>
    <w:rsid w:val="005B035C"/>
    <w:rsid w:val="005B05B9"/>
    <w:rsid w:val="005B089F"/>
    <w:rsid w:val="005B0A19"/>
    <w:rsid w:val="005B1156"/>
    <w:rsid w:val="005B1CEE"/>
    <w:rsid w:val="005B1FAA"/>
    <w:rsid w:val="005B3483"/>
    <w:rsid w:val="005B43F6"/>
    <w:rsid w:val="005B4718"/>
    <w:rsid w:val="005B5097"/>
    <w:rsid w:val="005B51CA"/>
    <w:rsid w:val="005B5DE6"/>
    <w:rsid w:val="005B6532"/>
    <w:rsid w:val="005B7990"/>
    <w:rsid w:val="005C023E"/>
    <w:rsid w:val="005C04E7"/>
    <w:rsid w:val="005C09C3"/>
    <w:rsid w:val="005C2FFE"/>
    <w:rsid w:val="005C30C6"/>
    <w:rsid w:val="005C4055"/>
    <w:rsid w:val="005C4069"/>
    <w:rsid w:val="005C4228"/>
    <w:rsid w:val="005C4602"/>
    <w:rsid w:val="005C5DC2"/>
    <w:rsid w:val="005C717B"/>
    <w:rsid w:val="005C7A41"/>
    <w:rsid w:val="005C7C87"/>
    <w:rsid w:val="005D0A2A"/>
    <w:rsid w:val="005D1656"/>
    <w:rsid w:val="005D220C"/>
    <w:rsid w:val="005D2454"/>
    <w:rsid w:val="005D3AE0"/>
    <w:rsid w:val="005D4AB6"/>
    <w:rsid w:val="005D525B"/>
    <w:rsid w:val="005D6C41"/>
    <w:rsid w:val="005D704B"/>
    <w:rsid w:val="005D70EB"/>
    <w:rsid w:val="005D76E8"/>
    <w:rsid w:val="005E129E"/>
    <w:rsid w:val="005E2A77"/>
    <w:rsid w:val="005E2C66"/>
    <w:rsid w:val="005E537A"/>
    <w:rsid w:val="005E580F"/>
    <w:rsid w:val="005E629A"/>
    <w:rsid w:val="005E6540"/>
    <w:rsid w:val="005F037E"/>
    <w:rsid w:val="005F0C69"/>
    <w:rsid w:val="005F109F"/>
    <w:rsid w:val="005F120D"/>
    <w:rsid w:val="005F2E00"/>
    <w:rsid w:val="005F346B"/>
    <w:rsid w:val="005F34AC"/>
    <w:rsid w:val="005F3592"/>
    <w:rsid w:val="005F44DB"/>
    <w:rsid w:val="005F4DFB"/>
    <w:rsid w:val="005F6045"/>
    <w:rsid w:val="005F6EE0"/>
    <w:rsid w:val="005F7326"/>
    <w:rsid w:val="005F789A"/>
    <w:rsid w:val="005F7B71"/>
    <w:rsid w:val="006020BB"/>
    <w:rsid w:val="0060241A"/>
    <w:rsid w:val="006033BB"/>
    <w:rsid w:val="0060430A"/>
    <w:rsid w:val="006066B5"/>
    <w:rsid w:val="00607179"/>
    <w:rsid w:val="00607721"/>
    <w:rsid w:val="00607905"/>
    <w:rsid w:val="00607E1B"/>
    <w:rsid w:val="00607F38"/>
    <w:rsid w:val="006102A8"/>
    <w:rsid w:val="00610FC1"/>
    <w:rsid w:val="00612AD9"/>
    <w:rsid w:val="0061424A"/>
    <w:rsid w:val="00614916"/>
    <w:rsid w:val="0061669A"/>
    <w:rsid w:val="00616931"/>
    <w:rsid w:val="00616D55"/>
    <w:rsid w:val="00616EEE"/>
    <w:rsid w:val="0062011D"/>
    <w:rsid w:val="006217A5"/>
    <w:rsid w:val="00621FDE"/>
    <w:rsid w:val="00622D25"/>
    <w:rsid w:val="0062382E"/>
    <w:rsid w:val="00623E61"/>
    <w:rsid w:val="006242DB"/>
    <w:rsid w:val="00626FC6"/>
    <w:rsid w:val="00627CB4"/>
    <w:rsid w:val="00627CDA"/>
    <w:rsid w:val="006302BB"/>
    <w:rsid w:val="00630739"/>
    <w:rsid w:val="006318B7"/>
    <w:rsid w:val="00632295"/>
    <w:rsid w:val="006327D6"/>
    <w:rsid w:val="00632C6E"/>
    <w:rsid w:val="0063370E"/>
    <w:rsid w:val="0063406F"/>
    <w:rsid w:val="006343FA"/>
    <w:rsid w:val="00634D25"/>
    <w:rsid w:val="006355D7"/>
    <w:rsid w:val="006357CB"/>
    <w:rsid w:val="006363C9"/>
    <w:rsid w:val="00636B2D"/>
    <w:rsid w:val="00641AFC"/>
    <w:rsid w:val="00641F31"/>
    <w:rsid w:val="0064272F"/>
    <w:rsid w:val="0064291F"/>
    <w:rsid w:val="006437E1"/>
    <w:rsid w:val="00643EF3"/>
    <w:rsid w:val="0064477A"/>
    <w:rsid w:val="00644E1E"/>
    <w:rsid w:val="0064590A"/>
    <w:rsid w:val="0064600A"/>
    <w:rsid w:val="006460FE"/>
    <w:rsid w:val="00646D25"/>
    <w:rsid w:val="006475AE"/>
    <w:rsid w:val="00647BA0"/>
    <w:rsid w:val="00651395"/>
    <w:rsid w:val="00651728"/>
    <w:rsid w:val="006518EB"/>
    <w:rsid w:val="00651DBE"/>
    <w:rsid w:val="00651FB5"/>
    <w:rsid w:val="006526BA"/>
    <w:rsid w:val="00652740"/>
    <w:rsid w:val="00654ABF"/>
    <w:rsid w:val="00655BDF"/>
    <w:rsid w:val="00656CA9"/>
    <w:rsid w:val="00657187"/>
    <w:rsid w:val="0066023A"/>
    <w:rsid w:val="00660BFC"/>
    <w:rsid w:val="00660E88"/>
    <w:rsid w:val="00661C6C"/>
    <w:rsid w:val="00662234"/>
    <w:rsid w:val="006623DB"/>
    <w:rsid w:val="00662B92"/>
    <w:rsid w:val="00663761"/>
    <w:rsid w:val="00663F01"/>
    <w:rsid w:val="00665877"/>
    <w:rsid w:val="00666D1E"/>
    <w:rsid w:val="00667415"/>
    <w:rsid w:val="006679C1"/>
    <w:rsid w:val="00667AEE"/>
    <w:rsid w:val="00667C00"/>
    <w:rsid w:val="00667EFA"/>
    <w:rsid w:val="006703F3"/>
    <w:rsid w:val="006710D1"/>
    <w:rsid w:val="006710DF"/>
    <w:rsid w:val="0067332F"/>
    <w:rsid w:val="0067369B"/>
    <w:rsid w:val="006736B4"/>
    <w:rsid w:val="0067386F"/>
    <w:rsid w:val="006738A1"/>
    <w:rsid w:val="006747DE"/>
    <w:rsid w:val="00674FD9"/>
    <w:rsid w:val="006756F3"/>
    <w:rsid w:val="00680101"/>
    <w:rsid w:val="0068043F"/>
    <w:rsid w:val="006811AF"/>
    <w:rsid w:val="006813F5"/>
    <w:rsid w:val="0068286A"/>
    <w:rsid w:val="00682B3B"/>
    <w:rsid w:val="006837D0"/>
    <w:rsid w:val="00683EF0"/>
    <w:rsid w:val="00684A1C"/>
    <w:rsid w:val="00685CF2"/>
    <w:rsid w:val="00686474"/>
    <w:rsid w:val="0068745F"/>
    <w:rsid w:val="00690627"/>
    <w:rsid w:val="00690CA6"/>
    <w:rsid w:val="006922A5"/>
    <w:rsid w:val="00692435"/>
    <w:rsid w:val="00692DD6"/>
    <w:rsid w:val="00693046"/>
    <w:rsid w:val="0069328D"/>
    <w:rsid w:val="006932C9"/>
    <w:rsid w:val="006944E9"/>
    <w:rsid w:val="006965DA"/>
    <w:rsid w:val="0069663A"/>
    <w:rsid w:val="006A0421"/>
    <w:rsid w:val="006A07CB"/>
    <w:rsid w:val="006A0D85"/>
    <w:rsid w:val="006A140D"/>
    <w:rsid w:val="006A2B9B"/>
    <w:rsid w:val="006A357B"/>
    <w:rsid w:val="006A4EA0"/>
    <w:rsid w:val="006A56C4"/>
    <w:rsid w:val="006A7421"/>
    <w:rsid w:val="006A753E"/>
    <w:rsid w:val="006B00BA"/>
    <w:rsid w:val="006B0D39"/>
    <w:rsid w:val="006B171D"/>
    <w:rsid w:val="006B437E"/>
    <w:rsid w:val="006B47AD"/>
    <w:rsid w:val="006B47B7"/>
    <w:rsid w:val="006B4845"/>
    <w:rsid w:val="006B54A9"/>
    <w:rsid w:val="006B5BE6"/>
    <w:rsid w:val="006B5C96"/>
    <w:rsid w:val="006B6C09"/>
    <w:rsid w:val="006B70A3"/>
    <w:rsid w:val="006C0094"/>
    <w:rsid w:val="006C23B4"/>
    <w:rsid w:val="006C3690"/>
    <w:rsid w:val="006C4174"/>
    <w:rsid w:val="006C49F4"/>
    <w:rsid w:val="006C51AC"/>
    <w:rsid w:val="006C5CF2"/>
    <w:rsid w:val="006C693B"/>
    <w:rsid w:val="006C770C"/>
    <w:rsid w:val="006C7E82"/>
    <w:rsid w:val="006D05DD"/>
    <w:rsid w:val="006D2BCE"/>
    <w:rsid w:val="006D37AB"/>
    <w:rsid w:val="006D390E"/>
    <w:rsid w:val="006D3F13"/>
    <w:rsid w:val="006D4087"/>
    <w:rsid w:val="006D46ED"/>
    <w:rsid w:val="006D47AF"/>
    <w:rsid w:val="006D52A8"/>
    <w:rsid w:val="006D5EC3"/>
    <w:rsid w:val="006D68EA"/>
    <w:rsid w:val="006D7775"/>
    <w:rsid w:val="006E0598"/>
    <w:rsid w:val="006E0F38"/>
    <w:rsid w:val="006E1865"/>
    <w:rsid w:val="006E1B3B"/>
    <w:rsid w:val="006E4648"/>
    <w:rsid w:val="006E4672"/>
    <w:rsid w:val="006E4956"/>
    <w:rsid w:val="006E5079"/>
    <w:rsid w:val="006F0980"/>
    <w:rsid w:val="006F14A0"/>
    <w:rsid w:val="006F1622"/>
    <w:rsid w:val="006F2818"/>
    <w:rsid w:val="006F3A0C"/>
    <w:rsid w:val="006F3EB5"/>
    <w:rsid w:val="006F405B"/>
    <w:rsid w:val="006F488B"/>
    <w:rsid w:val="006F4C49"/>
    <w:rsid w:val="006F6AB5"/>
    <w:rsid w:val="006F6E0F"/>
    <w:rsid w:val="0070028B"/>
    <w:rsid w:val="0070043F"/>
    <w:rsid w:val="00700935"/>
    <w:rsid w:val="00700EB2"/>
    <w:rsid w:val="0070308F"/>
    <w:rsid w:val="00703C0E"/>
    <w:rsid w:val="00705E8B"/>
    <w:rsid w:val="007064F6"/>
    <w:rsid w:val="0070667A"/>
    <w:rsid w:val="00712048"/>
    <w:rsid w:val="00713974"/>
    <w:rsid w:val="007139B4"/>
    <w:rsid w:val="00714B89"/>
    <w:rsid w:val="007150B8"/>
    <w:rsid w:val="00715E56"/>
    <w:rsid w:val="0071661C"/>
    <w:rsid w:val="00716646"/>
    <w:rsid w:val="00716792"/>
    <w:rsid w:val="00716A9C"/>
    <w:rsid w:val="00717061"/>
    <w:rsid w:val="00717B12"/>
    <w:rsid w:val="00720454"/>
    <w:rsid w:val="007230BC"/>
    <w:rsid w:val="00723BCB"/>
    <w:rsid w:val="0072405D"/>
    <w:rsid w:val="007243D1"/>
    <w:rsid w:val="00724651"/>
    <w:rsid w:val="00724C81"/>
    <w:rsid w:val="007254D2"/>
    <w:rsid w:val="00725B09"/>
    <w:rsid w:val="00725D06"/>
    <w:rsid w:val="007274C1"/>
    <w:rsid w:val="007274F0"/>
    <w:rsid w:val="00727910"/>
    <w:rsid w:val="00727C9E"/>
    <w:rsid w:val="00727D7C"/>
    <w:rsid w:val="00730093"/>
    <w:rsid w:val="0073197E"/>
    <w:rsid w:val="00732EFE"/>
    <w:rsid w:val="0073396E"/>
    <w:rsid w:val="00733976"/>
    <w:rsid w:val="00733A61"/>
    <w:rsid w:val="007344A8"/>
    <w:rsid w:val="0073485C"/>
    <w:rsid w:val="007361D0"/>
    <w:rsid w:val="007367AB"/>
    <w:rsid w:val="00737146"/>
    <w:rsid w:val="00740065"/>
    <w:rsid w:val="00740499"/>
    <w:rsid w:val="00740A6C"/>
    <w:rsid w:val="007417D1"/>
    <w:rsid w:val="00741F68"/>
    <w:rsid w:val="00742D9A"/>
    <w:rsid w:val="00743FBD"/>
    <w:rsid w:val="00744873"/>
    <w:rsid w:val="007451EC"/>
    <w:rsid w:val="00745268"/>
    <w:rsid w:val="007453F0"/>
    <w:rsid w:val="007467E4"/>
    <w:rsid w:val="00746E30"/>
    <w:rsid w:val="0075122A"/>
    <w:rsid w:val="007517AE"/>
    <w:rsid w:val="007525B2"/>
    <w:rsid w:val="00752763"/>
    <w:rsid w:val="007527AA"/>
    <w:rsid w:val="00753688"/>
    <w:rsid w:val="00753C11"/>
    <w:rsid w:val="00754378"/>
    <w:rsid w:val="007544F4"/>
    <w:rsid w:val="007555E4"/>
    <w:rsid w:val="00755B74"/>
    <w:rsid w:val="007565A6"/>
    <w:rsid w:val="00756BCD"/>
    <w:rsid w:val="00756D28"/>
    <w:rsid w:val="0075791B"/>
    <w:rsid w:val="007610CC"/>
    <w:rsid w:val="00761503"/>
    <w:rsid w:val="00761FAA"/>
    <w:rsid w:val="0076382B"/>
    <w:rsid w:val="00763847"/>
    <w:rsid w:val="00763AE6"/>
    <w:rsid w:val="00765BF8"/>
    <w:rsid w:val="00765D35"/>
    <w:rsid w:val="00766151"/>
    <w:rsid w:val="00770700"/>
    <w:rsid w:val="00770C26"/>
    <w:rsid w:val="00770E91"/>
    <w:rsid w:val="00771A37"/>
    <w:rsid w:val="00772070"/>
    <w:rsid w:val="0077264B"/>
    <w:rsid w:val="00773420"/>
    <w:rsid w:val="00773ADB"/>
    <w:rsid w:val="00774CC4"/>
    <w:rsid w:val="00774CC9"/>
    <w:rsid w:val="00775976"/>
    <w:rsid w:val="007760EF"/>
    <w:rsid w:val="00777E87"/>
    <w:rsid w:val="007807D4"/>
    <w:rsid w:val="00782223"/>
    <w:rsid w:val="00782C98"/>
    <w:rsid w:val="00784DFA"/>
    <w:rsid w:val="00785BF6"/>
    <w:rsid w:val="00786FCF"/>
    <w:rsid w:val="0078799D"/>
    <w:rsid w:val="00793F5E"/>
    <w:rsid w:val="00794EAB"/>
    <w:rsid w:val="00795497"/>
    <w:rsid w:val="0079656A"/>
    <w:rsid w:val="007A0079"/>
    <w:rsid w:val="007A0161"/>
    <w:rsid w:val="007A068E"/>
    <w:rsid w:val="007A0745"/>
    <w:rsid w:val="007A0E2C"/>
    <w:rsid w:val="007A0EC6"/>
    <w:rsid w:val="007A2238"/>
    <w:rsid w:val="007A3154"/>
    <w:rsid w:val="007A332A"/>
    <w:rsid w:val="007A35F3"/>
    <w:rsid w:val="007A3B4D"/>
    <w:rsid w:val="007A41C8"/>
    <w:rsid w:val="007A49E1"/>
    <w:rsid w:val="007A529D"/>
    <w:rsid w:val="007A53C7"/>
    <w:rsid w:val="007A553D"/>
    <w:rsid w:val="007A5665"/>
    <w:rsid w:val="007A6B61"/>
    <w:rsid w:val="007B03E6"/>
    <w:rsid w:val="007B0571"/>
    <w:rsid w:val="007B07B4"/>
    <w:rsid w:val="007B07B7"/>
    <w:rsid w:val="007B15D6"/>
    <w:rsid w:val="007B1630"/>
    <w:rsid w:val="007B27C2"/>
    <w:rsid w:val="007B35AD"/>
    <w:rsid w:val="007B5340"/>
    <w:rsid w:val="007B5391"/>
    <w:rsid w:val="007B5464"/>
    <w:rsid w:val="007B635D"/>
    <w:rsid w:val="007B709E"/>
    <w:rsid w:val="007B71EC"/>
    <w:rsid w:val="007B754C"/>
    <w:rsid w:val="007C073B"/>
    <w:rsid w:val="007C0B35"/>
    <w:rsid w:val="007C13D9"/>
    <w:rsid w:val="007C24BB"/>
    <w:rsid w:val="007C2B8A"/>
    <w:rsid w:val="007C2D20"/>
    <w:rsid w:val="007C2F7E"/>
    <w:rsid w:val="007C3638"/>
    <w:rsid w:val="007C3FBF"/>
    <w:rsid w:val="007C403F"/>
    <w:rsid w:val="007C4CC3"/>
    <w:rsid w:val="007C5B27"/>
    <w:rsid w:val="007D08BF"/>
    <w:rsid w:val="007D1817"/>
    <w:rsid w:val="007D1DFF"/>
    <w:rsid w:val="007D282E"/>
    <w:rsid w:val="007D5384"/>
    <w:rsid w:val="007D5C47"/>
    <w:rsid w:val="007D5FE7"/>
    <w:rsid w:val="007D62C6"/>
    <w:rsid w:val="007D69E5"/>
    <w:rsid w:val="007D7AA7"/>
    <w:rsid w:val="007E0BDA"/>
    <w:rsid w:val="007E0E56"/>
    <w:rsid w:val="007E18FE"/>
    <w:rsid w:val="007E3131"/>
    <w:rsid w:val="007E3E0E"/>
    <w:rsid w:val="007E425B"/>
    <w:rsid w:val="007E5B62"/>
    <w:rsid w:val="007E6B9F"/>
    <w:rsid w:val="007E6F6D"/>
    <w:rsid w:val="007E7727"/>
    <w:rsid w:val="007E7997"/>
    <w:rsid w:val="007F04AE"/>
    <w:rsid w:val="007F0C30"/>
    <w:rsid w:val="007F17DF"/>
    <w:rsid w:val="007F3143"/>
    <w:rsid w:val="007F3270"/>
    <w:rsid w:val="007F40E6"/>
    <w:rsid w:val="007F4360"/>
    <w:rsid w:val="007F4545"/>
    <w:rsid w:val="007F472D"/>
    <w:rsid w:val="007F63A7"/>
    <w:rsid w:val="007F683E"/>
    <w:rsid w:val="007F6D40"/>
    <w:rsid w:val="007F6FC8"/>
    <w:rsid w:val="007F7396"/>
    <w:rsid w:val="00800607"/>
    <w:rsid w:val="00801B35"/>
    <w:rsid w:val="00803773"/>
    <w:rsid w:val="00803B8C"/>
    <w:rsid w:val="0080432E"/>
    <w:rsid w:val="00804637"/>
    <w:rsid w:val="00804D99"/>
    <w:rsid w:val="00804E6B"/>
    <w:rsid w:val="00805235"/>
    <w:rsid w:val="00805688"/>
    <w:rsid w:val="008057A5"/>
    <w:rsid w:val="00806FCC"/>
    <w:rsid w:val="00811526"/>
    <w:rsid w:val="00812828"/>
    <w:rsid w:val="00812A26"/>
    <w:rsid w:val="00812DD3"/>
    <w:rsid w:val="00813E57"/>
    <w:rsid w:val="008141A4"/>
    <w:rsid w:val="00814723"/>
    <w:rsid w:val="008148D3"/>
    <w:rsid w:val="008152E2"/>
    <w:rsid w:val="008163CB"/>
    <w:rsid w:val="0081708A"/>
    <w:rsid w:val="00817625"/>
    <w:rsid w:val="0082148D"/>
    <w:rsid w:val="00821ADE"/>
    <w:rsid w:val="00821EB7"/>
    <w:rsid w:val="008225BE"/>
    <w:rsid w:val="00822C87"/>
    <w:rsid w:val="00823E85"/>
    <w:rsid w:val="00823FFE"/>
    <w:rsid w:val="00824B32"/>
    <w:rsid w:val="008277AF"/>
    <w:rsid w:val="00827EF6"/>
    <w:rsid w:val="00827FA0"/>
    <w:rsid w:val="008300FC"/>
    <w:rsid w:val="008313D0"/>
    <w:rsid w:val="00832134"/>
    <w:rsid w:val="00832B9E"/>
    <w:rsid w:val="00833A22"/>
    <w:rsid w:val="00833DFA"/>
    <w:rsid w:val="008340D4"/>
    <w:rsid w:val="008344DF"/>
    <w:rsid w:val="00835CF6"/>
    <w:rsid w:val="00835F62"/>
    <w:rsid w:val="008365F3"/>
    <w:rsid w:val="00836BF6"/>
    <w:rsid w:val="008371FA"/>
    <w:rsid w:val="00837DC8"/>
    <w:rsid w:val="008400FF"/>
    <w:rsid w:val="00840C1D"/>
    <w:rsid w:val="0084375D"/>
    <w:rsid w:val="00844A20"/>
    <w:rsid w:val="00844BAF"/>
    <w:rsid w:val="00845BF1"/>
    <w:rsid w:val="00845D40"/>
    <w:rsid w:val="00846241"/>
    <w:rsid w:val="00846DC2"/>
    <w:rsid w:val="008472BD"/>
    <w:rsid w:val="00847483"/>
    <w:rsid w:val="008474D6"/>
    <w:rsid w:val="00847B07"/>
    <w:rsid w:val="00847DDD"/>
    <w:rsid w:val="00847F94"/>
    <w:rsid w:val="00850117"/>
    <w:rsid w:val="00850EF9"/>
    <w:rsid w:val="008514FF"/>
    <w:rsid w:val="00851D4B"/>
    <w:rsid w:val="0085398C"/>
    <w:rsid w:val="00853BB3"/>
    <w:rsid w:val="00854F1F"/>
    <w:rsid w:val="00856EC2"/>
    <w:rsid w:val="00857452"/>
    <w:rsid w:val="008578D9"/>
    <w:rsid w:val="00860E1C"/>
    <w:rsid w:val="00861716"/>
    <w:rsid w:val="0086289F"/>
    <w:rsid w:val="00863064"/>
    <w:rsid w:val="008660F8"/>
    <w:rsid w:val="008673A8"/>
    <w:rsid w:val="00867AEE"/>
    <w:rsid w:val="00871276"/>
    <w:rsid w:val="0087247F"/>
    <w:rsid w:val="00872539"/>
    <w:rsid w:val="00872AB3"/>
    <w:rsid w:val="00872F59"/>
    <w:rsid w:val="00873585"/>
    <w:rsid w:val="00873B72"/>
    <w:rsid w:val="00874492"/>
    <w:rsid w:val="00875439"/>
    <w:rsid w:val="00875780"/>
    <w:rsid w:val="00877873"/>
    <w:rsid w:val="0088059D"/>
    <w:rsid w:val="00881020"/>
    <w:rsid w:val="00882EB3"/>
    <w:rsid w:val="00883B22"/>
    <w:rsid w:val="00883C4C"/>
    <w:rsid w:val="00884F7F"/>
    <w:rsid w:val="00885D63"/>
    <w:rsid w:val="008869A5"/>
    <w:rsid w:val="00887E65"/>
    <w:rsid w:val="00890421"/>
    <w:rsid w:val="00890511"/>
    <w:rsid w:val="008908A9"/>
    <w:rsid w:val="00891F4E"/>
    <w:rsid w:val="008923CF"/>
    <w:rsid w:val="008927C8"/>
    <w:rsid w:val="008934BE"/>
    <w:rsid w:val="00894912"/>
    <w:rsid w:val="00895ED9"/>
    <w:rsid w:val="00896983"/>
    <w:rsid w:val="0089773E"/>
    <w:rsid w:val="008A0FE9"/>
    <w:rsid w:val="008A190A"/>
    <w:rsid w:val="008A2EE2"/>
    <w:rsid w:val="008A3181"/>
    <w:rsid w:val="008A3B42"/>
    <w:rsid w:val="008B0AEC"/>
    <w:rsid w:val="008B2C3C"/>
    <w:rsid w:val="008B372F"/>
    <w:rsid w:val="008B4328"/>
    <w:rsid w:val="008B4813"/>
    <w:rsid w:val="008B507C"/>
    <w:rsid w:val="008B5087"/>
    <w:rsid w:val="008B5244"/>
    <w:rsid w:val="008B5796"/>
    <w:rsid w:val="008B5BE9"/>
    <w:rsid w:val="008B6CC6"/>
    <w:rsid w:val="008B6D47"/>
    <w:rsid w:val="008B6FF4"/>
    <w:rsid w:val="008C0577"/>
    <w:rsid w:val="008C0760"/>
    <w:rsid w:val="008C161D"/>
    <w:rsid w:val="008C1ACD"/>
    <w:rsid w:val="008C1DF9"/>
    <w:rsid w:val="008C2E01"/>
    <w:rsid w:val="008C4B41"/>
    <w:rsid w:val="008C4D82"/>
    <w:rsid w:val="008C55FE"/>
    <w:rsid w:val="008C5C4D"/>
    <w:rsid w:val="008C5D7E"/>
    <w:rsid w:val="008C63E7"/>
    <w:rsid w:val="008C66A5"/>
    <w:rsid w:val="008C6789"/>
    <w:rsid w:val="008C7C62"/>
    <w:rsid w:val="008D01FA"/>
    <w:rsid w:val="008D14B0"/>
    <w:rsid w:val="008D150C"/>
    <w:rsid w:val="008D1F32"/>
    <w:rsid w:val="008D21A5"/>
    <w:rsid w:val="008D21D2"/>
    <w:rsid w:val="008D39C4"/>
    <w:rsid w:val="008D3D42"/>
    <w:rsid w:val="008D438D"/>
    <w:rsid w:val="008D5C6A"/>
    <w:rsid w:val="008D646F"/>
    <w:rsid w:val="008D7F7C"/>
    <w:rsid w:val="008E181E"/>
    <w:rsid w:val="008E19C7"/>
    <w:rsid w:val="008E2C02"/>
    <w:rsid w:val="008E33D2"/>
    <w:rsid w:val="008E3820"/>
    <w:rsid w:val="008E3BE2"/>
    <w:rsid w:val="008E48AF"/>
    <w:rsid w:val="008E6AEA"/>
    <w:rsid w:val="008E6D17"/>
    <w:rsid w:val="008E75DF"/>
    <w:rsid w:val="008E7954"/>
    <w:rsid w:val="008E7F3F"/>
    <w:rsid w:val="008F0309"/>
    <w:rsid w:val="008F0F1C"/>
    <w:rsid w:val="008F298A"/>
    <w:rsid w:val="008F4438"/>
    <w:rsid w:val="008F4924"/>
    <w:rsid w:val="008F5BE6"/>
    <w:rsid w:val="008F6387"/>
    <w:rsid w:val="008F6408"/>
    <w:rsid w:val="008F658B"/>
    <w:rsid w:val="008F7656"/>
    <w:rsid w:val="0090005D"/>
    <w:rsid w:val="00901067"/>
    <w:rsid w:val="00901B49"/>
    <w:rsid w:val="00901E57"/>
    <w:rsid w:val="00902880"/>
    <w:rsid w:val="00903122"/>
    <w:rsid w:val="0090386E"/>
    <w:rsid w:val="00903B3F"/>
    <w:rsid w:val="00903EBC"/>
    <w:rsid w:val="009042E6"/>
    <w:rsid w:val="00904916"/>
    <w:rsid w:val="00904A03"/>
    <w:rsid w:val="00904C87"/>
    <w:rsid w:val="009057C3"/>
    <w:rsid w:val="00906385"/>
    <w:rsid w:val="00907F38"/>
    <w:rsid w:val="009105A0"/>
    <w:rsid w:val="0091128B"/>
    <w:rsid w:val="00912DAB"/>
    <w:rsid w:val="00912DC4"/>
    <w:rsid w:val="00914563"/>
    <w:rsid w:val="00914DE8"/>
    <w:rsid w:val="00915373"/>
    <w:rsid w:val="00915EB8"/>
    <w:rsid w:val="00917D84"/>
    <w:rsid w:val="009203A7"/>
    <w:rsid w:val="00920D7F"/>
    <w:rsid w:val="00921108"/>
    <w:rsid w:val="009238B1"/>
    <w:rsid w:val="00931B68"/>
    <w:rsid w:val="00933301"/>
    <w:rsid w:val="0093459F"/>
    <w:rsid w:val="009366D4"/>
    <w:rsid w:val="00936781"/>
    <w:rsid w:val="009368CA"/>
    <w:rsid w:val="00936AA1"/>
    <w:rsid w:val="00937895"/>
    <w:rsid w:val="00937BC3"/>
    <w:rsid w:val="0094020E"/>
    <w:rsid w:val="00940658"/>
    <w:rsid w:val="00940B56"/>
    <w:rsid w:val="009419D5"/>
    <w:rsid w:val="00941A94"/>
    <w:rsid w:val="00941AA5"/>
    <w:rsid w:val="00941B3A"/>
    <w:rsid w:val="00942099"/>
    <w:rsid w:val="00942176"/>
    <w:rsid w:val="00942593"/>
    <w:rsid w:val="009428C0"/>
    <w:rsid w:val="00943C18"/>
    <w:rsid w:val="00943CBF"/>
    <w:rsid w:val="00943D22"/>
    <w:rsid w:val="009441AB"/>
    <w:rsid w:val="00945040"/>
    <w:rsid w:val="0094531F"/>
    <w:rsid w:val="0094548F"/>
    <w:rsid w:val="0095071D"/>
    <w:rsid w:val="00950967"/>
    <w:rsid w:val="00952C01"/>
    <w:rsid w:val="00953721"/>
    <w:rsid w:val="00956227"/>
    <w:rsid w:val="00956B55"/>
    <w:rsid w:val="00956E90"/>
    <w:rsid w:val="00957F72"/>
    <w:rsid w:val="00960B2F"/>
    <w:rsid w:val="009622BE"/>
    <w:rsid w:val="00965843"/>
    <w:rsid w:val="009668ED"/>
    <w:rsid w:val="00967CD1"/>
    <w:rsid w:val="00970172"/>
    <w:rsid w:val="009701C1"/>
    <w:rsid w:val="009706B5"/>
    <w:rsid w:val="00970A96"/>
    <w:rsid w:val="00970D01"/>
    <w:rsid w:val="00970E96"/>
    <w:rsid w:val="00971127"/>
    <w:rsid w:val="0097276B"/>
    <w:rsid w:val="00972A2A"/>
    <w:rsid w:val="00972CAA"/>
    <w:rsid w:val="00973708"/>
    <w:rsid w:val="00973A2C"/>
    <w:rsid w:val="00973A79"/>
    <w:rsid w:val="00974CC0"/>
    <w:rsid w:val="00975A13"/>
    <w:rsid w:val="0097673B"/>
    <w:rsid w:val="00977087"/>
    <w:rsid w:val="009778BD"/>
    <w:rsid w:val="00980057"/>
    <w:rsid w:val="009805E9"/>
    <w:rsid w:val="00980BBE"/>
    <w:rsid w:val="00980FF3"/>
    <w:rsid w:val="009814FC"/>
    <w:rsid w:val="00982BEF"/>
    <w:rsid w:val="00983990"/>
    <w:rsid w:val="009839E4"/>
    <w:rsid w:val="00984394"/>
    <w:rsid w:val="009846AB"/>
    <w:rsid w:val="00987D05"/>
    <w:rsid w:val="00990328"/>
    <w:rsid w:val="00992174"/>
    <w:rsid w:val="009924DD"/>
    <w:rsid w:val="00992ADA"/>
    <w:rsid w:val="00994EF4"/>
    <w:rsid w:val="00995003"/>
    <w:rsid w:val="00995E0D"/>
    <w:rsid w:val="00996868"/>
    <w:rsid w:val="009969F6"/>
    <w:rsid w:val="009977F9"/>
    <w:rsid w:val="009979F4"/>
    <w:rsid w:val="009A0515"/>
    <w:rsid w:val="009A0B0E"/>
    <w:rsid w:val="009A1516"/>
    <w:rsid w:val="009A1B4C"/>
    <w:rsid w:val="009A1BFB"/>
    <w:rsid w:val="009A2502"/>
    <w:rsid w:val="009A2A74"/>
    <w:rsid w:val="009A32E5"/>
    <w:rsid w:val="009A3300"/>
    <w:rsid w:val="009A386F"/>
    <w:rsid w:val="009A397C"/>
    <w:rsid w:val="009A5D4B"/>
    <w:rsid w:val="009B0205"/>
    <w:rsid w:val="009B150B"/>
    <w:rsid w:val="009B1816"/>
    <w:rsid w:val="009B2A16"/>
    <w:rsid w:val="009B2D7B"/>
    <w:rsid w:val="009B3165"/>
    <w:rsid w:val="009B3A71"/>
    <w:rsid w:val="009B4A0A"/>
    <w:rsid w:val="009B4A90"/>
    <w:rsid w:val="009B4F07"/>
    <w:rsid w:val="009B5F23"/>
    <w:rsid w:val="009B5F6D"/>
    <w:rsid w:val="009B727F"/>
    <w:rsid w:val="009B7BA1"/>
    <w:rsid w:val="009C004E"/>
    <w:rsid w:val="009C0083"/>
    <w:rsid w:val="009C1330"/>
    <w:rsid w:val="009C1EBE"/>
    <w:rsid w:val="009C381F"/>
    <w:rsid w:val="009C5D22"/>
    <w:rsid w:val="009C5D81"/>
    <w:rsid w:val="009C5FEC"/>
    <w:rsid w:val="009C6C39"/>
    <w:rsid w:val="009C6D0C"/>
    <w:rsid w:val="009C7BA4"/>
    <w:rsid w:val="009D03F8"/>
    <w:rsid w:val="009D1781"/>
    <w:rsid w:val="009D1A6F"/>
    <w:rsid w:val="009D1B86"/>
    <w:rsid w:val="009D1CDF"/>
    <w:rsid w:val="009D50C6"/>
    <w:rsid w:val="009D5FC4"/>
    <w:rsid w:val="009D628E"/>
    <w:rsid w:val="009D6B07"/>
    <w:rsid w:val="009D6DE4"/>
    <w:rsid w:val="009E020D"/>
    <w:rsid w:val="009E1E08"/>
    <w:rsid w:val="009E2257"/>
    <w:rsid w:val="009E2CF7"/>
    <w:rsid w:val="009E31F7"/>
    <w:rsid w:val="009E59EE"/>
    <w:rsid w:val="009E5CA5"/>
    <w:rsid w:val="009E6253"/>
    <w:rsid w:val="009E7921"/>
    <w:rsid w:val="009E7A32"/>
    <w:rsid w:val="009F0489"/>
    <w:rsid w:val="009F11E4"/>
    <w:rsid w:val="009F1A62"/>
    <w:rsid w:val="009F1F20"/>
    <w:rsid w:val="009F2292"/>
    <w:rsid w:val="009F2C81"/>
    <w:rsid w:val="009F31A0"/>
    <w:rsid w:val="009F3850"/>
    <w:rsid w:val="009F4409"/>
    <w:rsid w:val="009F448E"/>
    <w:rsid w:val="009F4494"/>
    <w:rsid w:val="009F473E"/>
    <w:rsid w:val="009F6CE4"/>
    <w:rsid w:val="009F6D67"/>
    <w:rsid w:val="00A0056E"/>
    <w:rsid w:val="00A00EEC"/>
    <w:rsid w:val="00A015EA"/>
    <w:rsid w:val="00A01E44"/>
    <w:rsid w:val="00A040D6"/>
    <w:rsid w:val="00A05530"/>
    <w:rsid w:val="00A05B19"/>
    <w:rsid w:val="00A066D8"/>
    <w:rsid w:val="00A06C39"/>
    <w:rsid w:val="00A07C1D"/>
    <w:rsid w:val="00A10431"/>
    <w:rsid w:val="00A121ED"/>
    <w:rsid w:val="00A12F33"/>
    <w:rsid w:val="00A13E42"/>
    <w:rsid w:val="00A14F09"/>
    <w:rsid w:val="00A167E5"/>
    <w:rsid w:val="00A210EA"/>
    <w:rsid w:val="00A21846"/>
    <w:rsid w:val="00A21FD4"/>
    <w:rsid w:val="00A22180"/>
    <w:rsid w:val="00A22242"/>
    <w:rsid w:val="00A22CE9"/>
    <w:rsid w:val="00A2361A"/>
    <w:rsid w:val="00A2365A"/>
    <w:rsid w:val="00A24263"/>
    <w:rsid w:val="00A24F07"/>
    <w:rsid w:val="00A253C5"/>
    <w:rsid w:val="00A2575B"/>
    <w:rsid w:val="00A25B08"/>
    <w:rsid w:val="00A26F96"/>
    <w:rsid w:val="00A2708B"/>
    <w:rsid w:val="00A278C7"/>
    <w:rsid w:val="00A30F66"/>
    <w:rsid w:val="00A31764"/>
    <w:rsid w:val="00A31CDA"/>
    <w:rsid w:val="00A3243D"/>
    <w:rsid w:val="00A32C35"/>
    <w:rsid w:val="00A33153"/>
    <w:rsid w:val="00A3391E"/>
    <w:rsid w:val="00A344B8"/>
    <w:rsid w:val="00A34822"/>
    <w:rsid w:val="00A34A1D"/>
    <w:rsid w:val="00A34A40"/>
    <w:rsid w:val="00A3521F"/>
    <w:rsid w:val="00A35ABB"/>
    <w:rsid w:val="00A36636"/>
    <w:rsid w:val="00A368B4"/>
    <w:rsid w:val="00A36A98"/>
    <w:rsid w:val="00A36B5A"/>
    <w:rsid w:val="00A36CF1"/>
    <w:rsid w:val="00A36EC3"/>
    <w:rsid w:val="00A40412"/>
    <w:rsid w:val="00A40BB4"/>
    <w:rsid w:val="00A41107"/>
    <w:rsid w:val="00A41F2D"/>
    <w:rsid w:val="00A42C0A"/>
    <w:rsid w:val="00A437FD"/>
    <w:rsid w:val="00A43B34"/>
    <w:rsid w:val="00A44535"/>
    <w:rsid w:val="00A4469D"/>
    <w:rsid w:val="00A46552"/>
    <w:rsid w:val="00A46FD8"/>
    <w:rsid w:val="00A4713B"/>
    <w:rsid w:val="00A5016D"/>
    <w:rsid w:val="00A508A8"/>
    <w:rsid w:val="00A50CCA"/>
    <w:rsid w:val="00A513BE"/>
    <w:rsid w:val="00A51523"/>
    <w:rsid w:val="00A5252F"/>
    <w:rsid w:val="00A53A7B"/>
    <w:rsid w:val="00A53B79"/>
    <w:rsid w:val="00A54567"/>
    <w:rsid w:val="00A55381"/>
    <w:rsid w:val="00A5547D"/>
    <w:rsid w:val="00A554E8"/>
    <w:rsid w:val="00A5631A"/>
    <w:rsid w:val="00A5684D"/>
    <w:rsid w:val="00A604D1"/>
    <w:rsid w:val="00A60648"/>
    <w:rsid w:val="00A60A1C"/>
    <w:rsid w:val="00A61411"/>
    <w:rsid w:val="00A6240B"/>
    <w:rsid w:val="00A63DF3"/>
    <w:rsid w:val="00A64C52"/>
    <w:rsid w:val="00A6540C"/>
    <w:rsid w:val="00A65538"/>
    <w:rsid w:val="00A661B3"/>
    <w:rsid w:val="00A66555"/>
    <w:rsid w:val="00A673C3"/>
    <w:rsid w:val="00A67E0A"/>
    <w:rsid w:val="00A71708"/>
    <w:rsid w:val="00A71E79"/>
    <w:rsid w:val="00A7205A"/>
    <w:rsid w:val="00A72798"/>
    <w:rsid w:val="00A72BBB"/>
    <w:rsid w:val="00A752AF"/>
    <w:rsid w:val="00A7548F"/>
    <w:rsid w:val="00A75D33"/>
    <w:rsid w:val="00A75E26"/>
    <w:rsid w:val="00A76844"/>
    <w:rsid w:val="00A769D4"/>
    <w:rsid w:val="00A76C73"/>
    <w:rsid w:val="00A76DB4"/>
    <w:rsid w:val="00A77AB8"/>
    <w:rsid w:val="00A77F31"/>
    <w:rsid w:val="00A81600"/>
    <w:rsid w:val="00A8175C"/>
    <w:rsid w:val="00A82003"/>
    <w:rsid w:val="00A83293"/>
    <w:rsid w:val="00A84283"/>
    <w:rsid w:val="00A8484C"/>
    <w:rsid w:val="00A84E12"/>
    <w:rsid w:val="00A866E7"/>
    <w:rsid w:val="00A86FC2"/>
    <w:rsid w:val="00A87459"/>
    <w:rsid w:val="00A879BE"/>
    <w:rsid w:val="00A87E00"/>
    <w:rsid w:val="00A902C3"/>
    <w:rsid w:val="00A907F2"/>
    <w:rsid w:val="00A9085E"/>
    <w:rsid w:val="00A92B15"/>
    <w:rsid w:val="00A9331E"/>
    <w:rsid w:val="00A936B0"/>
    <w:rsid w:val="00A948C1"/>
    <w:rsid w:val="00A96413"/>
    <w:rsid w:val="00A9687F"/>
    <w:rsid w:val="00A9727F"/>
    <w:rsid w:val="00A97ACA"/>
    <w:rsid w:val="00A97E40"/>
    <w:rsid w:val="00AA1322"/>
    <w:rsid w:val="00AA157D"/>
    <w:rsid w:val="00AA1862"/>
    <w:rsid w:val="00AA1CEA"/>
    <w:rsid w:val="00AA2119"/>
    <w:rsid w:val="00AA256E"/>
    <w:rsid w:val="00AA345D"/>
    <w:rsid w:val="00AA4289"/>
    <w:rsid w:val="00AA5606"/>
    <w:rsid w:val="00AA5D48"/>
    <w:rsid w:val="00AA6671"/>
    <w:rsid w:val="00AA6A3D"/>
    <w:rsid w:val="00AA6AC2"/>
    <w:rsid w:val="00AA6C91"/>
    <w:rsid w:val="00AB0132"/>
    <w:rsid w:val="00AB13E4"/>
    <w:rsid w:val="00AB1716"/>
    <w:rsid w:val="00AB1E7E"/>
    <w:rsid w:val="00AB37C8"/>
    <w:rsid w:val="00AB4130"/>
    <w:rsid w:val="00AB4B40"/>
    <w:rsid w:val="00AB57CE"/>
    <w:rsid w:val="00AB5915"/>
    <w:rsid w:val="00AB64FC"/>
    <w:rsid w:val="00AB6940"/>
    <w:rsid w:val="00AB6F93"/>
    <w:rsid w:val="00AB75D3"/>
    <w:rsid w:val="00AC0645"/>
    <w:rsid w:val="00AC11CD"/>
    <w:rsid w:val="00AC182C"/>
    <w:rsid w:val="00AC1BC7"/>
    <w:rsid w:val="00AC1F10"/>
    <w:rsid w:val="00AC2732"/>
    <w:rsid w:val="00AC2D34"/>
    <w:rsid w:val="00AC43DB"/>
    <w:rsid w:val="00AC4857"/>
    <w:rsid w:val="00AC4C9A"/>
    <w:rsid w:val="00AC4E7B"/>
    <w:rsid w:val="00AC52CF"/>
    <w:rsid w:val="00AC5520"/>
    <w:rsid w:val="00AC5E5B"/>
    <w:rsid w:val="00AC680F"/>
    <w:rsid w:val="00AC682A"/>
    <w:rsid w:val="00AC701E"/>
    <w:rsid w:val="00AD02F2"/>
    <w:rsid w:val="00AD0C90"/>
    <w:rsid w:val="00AD153B"/>
    <w:rsid w:val="00AD23D4"/>
    <w:rsid w:val="00AD2CAC"/>
    <w:rsid w:val="00AD4548"/>
    <w:rsid w:val="00AD57A9"/>
    <w:rsid w:val="00AD680A"/>
    <w:rsid w:val="00AE0902"/>
    <w:rsid w:val="00AE0EEA"/>
    <w:rsid w:val="00AE1495"/>
    <w:rsid w:val="00AE17BF"/>
    <w:rsid w:val="00AE23F1"/>
    <w:rsid w:val="00AE2577"/>
    <w:rsid w:val="00AE2590"/>
    <w:rsid w:val="00AE2641"/>
    <w:rsid w:val="00AE3B1A"/>
    <w:rsid w:val="00AE4324"/>
    <w:rsid w:val="00AE454B"/>
    <w:rsid w:val="00AE4875"/>
    <w:rsid w:val="00AE5899"/>
    <w:rsid w:val="00AE5FB3"/>
    <w:rsid w:val="00AE5FB5"/>
    <w:rsid w:val="00AE6C07"/>
    <w:rsid w:val="00AE7835"/>
    <w:rsid w:val="00AE7A3D"/>
    <w:rsid w:val="00AE7AEB"/>
    <w:rsid w:val="00AF03BB"/>
    <w:rsid w:val="00AF065B"/>
    <w:rsid w:val="00AF0AC0"/>
    <w:rsid w:val="00AF1A3A"/>
    <w:rsid w:val="00AF361B"/>
    <w:rsid w:val="00AF521C"/>
    <w:rsid w:val="00AF53CF"/>
    <w:rsid w:val="00AF553C"/>
    <w:rsid w:val="00AF6D44"/>
    <w:rsid w:val="00AF7433"/>
    <w:rsid w:val="00B0032B"/>
    <w:rsid w:val="00B0051C"/>
    <w:rsid w:val="00B018D2"/>
    <w:rsid w:val="00B02538"/>
    <w:rsid w:val="00B03799"/>
    <w:rsid w:val="00B03904"/>
    <w:rsid w:val="00B05076"/>
    <w:rsid w:val="00B0560A"/>
    <w:rsid w:val="00B07AF9"/>
    <w:rsid w:val="00B10C94"/>
    <w:rsid w:val="00B11F5D"/>
    <w:rsid w:val="00B139DA"/>
    <w:rsid w:val="00B14B6A"/>
    <w:rsid w:val="00B151D1"/>
    <w:rsid w:val="00B15504"/>
    <w:rsid w:val="00B15C97"/>
    <w:rsid w:val="00B16B5A"/>
    <w:rsid w:val="00B17056"/>
    <w:rsid w:val="00B204FD"/>
    <w:rsid w:val="00B20B81"/>
    <w:rsid w:val="00B20F7B"/>
    <w:rsid w:val="00B211DD"/>
    <w:rsid w:val="00B21695"/>
    <w:rsid w:val="00B219F6"/>
    <w:rsid w:val="00B222D7"/>
    <w:rsid w:val="00B2293E"/>
    <w:rsid w:val="00B23475"/>
    <w:rsid w:val="00B2378E"/>
    <w:rsid w:val="00B23798"/>
    <w:rsid w:val="00B240A3"/>
    <w:rsid w:val="00B24555"/>
    <w:rsid w:val="00B260F8"/>
    <w:rsid w:val="00B269A8"/>
    <w:rsid w:val="00B26A69"/>
    <w:rsid w:val="00B271B6"/>
    <w:rsid w:val="00B2797B"/>
    <w:rsid w:val="00B3249F"/>
    <w:rsid w:val="00B33D79"/>
    <w:rsid w:val="00B34A89"/>
    <w:rsid w:val="00B354CF"/>
    <w:rsid w:val="00B35797"/>
    <w:rsid w:val="00B36D39"/>
    <w:rsid w:val="00B36E46"/>
    <w:rsid w:val="00B37116"/>
    <w:rsid w:val="00B37222"/>
    <w:rsid w:val="00B37529"/>
    <w:rsid w:val="00B375B3"/>
    <w:rsid w:val="00B40040"/>
    <w:rsid w:val="00B424F5"/>
    <w:rsid w:val="00B42905"/>
    <w:rsid w:val="00B433E3"/>
    <w:rsid w:val="00B43C84"/>
    <w:rsid w:val="00B44748"/>
    <w:rsid w:val="00B447EA"/>
    <w:rsid w:val="00B44FC9"/>
    <w:rsid w:val="00B4515E"/>
    <w:rsid w:val="00B45F65"/>
    <w:rsid w:val="00B460F0"/>
    <w:rsid w:val="00B46FB9"/>
    <w:rsid w:val="00B4710F"/>
    <w:rsid w:val="00B47421"/>
    <w:rsid w:val="00B47FD8"/>
    <w:rsid w:val="00B50200"/>
    <w:rsid w:val="00B52390"/>
    <w:rsid w:val="00B5364A"/>
    <w:rsid w:val="00B53B44"/>
    <w:rsid w:val="00B53C02"/>
    <w:rsid w:val="00B53E11"/>
    <w:rsid w:val="00B54689"/>
    <w:rsid w:val="00B550ED"/>
    <w:rsid w:val="00B5590A"/>
    <w:rsid w:val="00B56784"/>
    <w:rsid w:val="00B57385"/>
    <w:rsid w:val="00B60658"/>
    <w:rsid w:val="00B61735"/>
    <w:rsid w:val="00B618C3"/>
    <w:rsid w:val="00B62B7A"/>
    <w:rsid w:val="00B646CE"/>
    <w:rsid w:val="00B6529D"/>
    <w:rsid w:val="00B6725C"/>
    <w:rsid w:val="00B70B18"/>
    <w:rsid w:val="00B70D57"/>
    <w:rsid w:val="00B71025"/>
    <w:rsid w:val="00B7190E"/>
    <w:rsid w:val="00B7295A"/>
    <w:rsid w:val="00B729DF"/>
    <w:rsid w:val="00B7336B"/>
    <w:rsid w:val="00B74705"/>
    <w:rsid w:val="00B74E64"/>
    <w:rsid w:val="00B74E88"/>
    <w:rsid w:val="00B75E5C"/>
    <w:rsid w:val="00B76845"/>
    <w:rsid w:val="00B76CFB"/>
    <w:rsid w:val="00B7757F"/>
    <w:rsid w:val="00B77661"/>
    <w:rsid w:val="00B77714"/>
    <w:rsid w:val="00B77B12"/>
    <w:rsid w:val="00B802E4"/>
    <w:rsid w:val="00B82AA8"/>
    <w:rsid w:val="00B8304D"/>
    <w:rsid w:val="00B83069"/>
    <w:rsid w:val="00B83581"/>
    <w:rsid w:val="00B840BA"/>
    <w:rsid w:val="00B849F7"/>
    <w:rsid w:val="00B84C8F"/>
    <w:rsid w:val="00B85621"/>
    <w:rsid w:val="00B86427"/>
    <w:rsid w:val="00B866F5"/>
    <w:rsid w:val="00B877C7"/>
    <w:rsid w:val="00B91332"/>
    <w:rsid w:val="00B91A85"/>
    <w:rsid w:val="00B923D3"/>
    <w:rsid w:val="00B930F6"/>
    <w:rsid w:val="00B93820"/>
    <w:rsid w:val="00B93EAE"/>
    <w:rsid w:val="00B96AA3"/>
    <w:rsid w:val="00B97186"/>
    <w:rsid w:val="00BA1670"/>
    <w:rsid w:val="00BA167E"/>
    <w:rsid w:val="00BA1A11"/>
    <w:rsid w:val="00BA20BC"/>
    <w:rsid w:val="00BA238A"/>
    <w:rsid w:val="00BA3484"/>
    <w:rsid w:val="00BA4CDE"/>
    <w:rsid w:val="00BA5821"/>
    <w:rsid w:val="00BA59D3"/>
    <w:rsid w:val="00BA5DD2"/>
    <w:rsid w:val="00BA623A"/>
    <w:rsid w:val="00BA6EF6"/>
    <w:rsid w:val="00BA75DA"/>
    <w:rsid w:val="00BA7FD4"/>
    <w:rsid w:val="00BB0213"/>
    <w:rsid w:val="00BB113B"/>
    <w:rsid w:val="00BB2181"/>
    <w:rsid w:val="00BB25DD"/>
    <w:rsid w:val="00BB278D"/>
    <w:rsid w:val="00BB2C4C"/>
    <w:rsid w:val="00BB3382"/>
    <w:rsid w:val="00BB4859"/>
    <w:rsid w:val="00BB493F"/>
    <w:rsid w:val="00BB5033"/>
    <w:rsid w:val="00BB5AB8"/>
    <w:rsid w:val="00BB603C"/>
    <w:rsid w:val="00BB63AF"/>
    <w:rsid w:val="00BB6AAE"/>
    <w:rsid w:val="00BB6D38"/>
    <w:rsid w:val="00BC0AE0"/>
    <w:rsid w:val="00BC0F6F"/>
    <w:rsid w:val="00BC1F97"/>
    <w:rsid w:val="00BC2BE4"/>
    <w:rsid w:val="00BC32EA"/>
    <w:rsid w:val="00BC4310"/>
    <w:rsid w:val="00BC466F"/>
    <w:rsid w:val="00BC4937"/>
    <w:rsid w:val="00BC49EA"/>
    <w:rsid w:val="00BC5634"/>
    <w:rsid w:val="00BC5DB6"/>
    <w:rsid w:val="00BC5DDD"/>
    <w:rsid w:val="00BC5F95"/>
    <w:rsid w:val="00BC60A3"/>
    <w:rsid w:val="00BC6584"/>
    <w:rsid w:val="00BC7047"/>
    <w:rsid w:val="00BC716F"/>
    <w:rsid w:val="00BC7AB7"/>
    <w:rsid w:val="00BC7E39"/>
    <w:rsid w:val="00BC7E99"/>
    <w:rsid w:val="00BD076F"/>
    <w:rsid w:val="00BD1212"/>
    <w:rsid w:val="00BD33C4"/>
    <w:rsid w:val="00BD3CF5"/>
    <w:rsid w:val="00BD3E34"/>
    <w:rsid w:val="00BD4279"/>
    <w:rsid w:val="00BD44AD"/>
    <w:rsid w:val="00BD45AD"/>
    <w:rsid w:val="00BD4600"/>
    <w:rsid w:val="00BD4BBD"/>
    <w:rsid w:val="00BD4EB5"/>
    <w:rsid w:val="00BD5D22"/>
    <w:rsid w:val="00BD6C21"/>
    <w:rsid w:val="00BD6F9D"/>
    <w:rsid w:val="00BE04BC"/>
    <w:rsid w:val="00BE1501"/>
    <w:rsid w:val="00BE1E9A"/>
    <w:rsid w:val="00BE265D"/>
    <w:rsid w:val="00BF0530"/>
    <w:rsid w:val="00BF2EDF"/>
    <w:rsid w:val="00BF3ADF"/>
    <w:rsid w:val="00BF3E35"/>
    <w:rsid w:val="00BF4C85"/>
    <w:rsid w:val="00BF4CD7"/>
    <w:rsid w:val="00BF50A6"/>
    <w:rsid w:val="00BF52EB"/>
    <w:rsid w:val="00BF75E7"/>
    <w:rsid w:val="00C00E80"/>
    <w:rsid w:val="00C01C3C"/>
    <w:rsid w:val="00C02DAA"/>
    <w:rsid w:val="00C04183"/>
    <w:rsid w:val="00C041E1"/>
    <w:rsid w:val="00C04A1B"/>
    <w:rsid w:val="00C04D27"/>
    <w:rsid w:val="00C05480"/>
    <w:rsid w:val="00C05D2D"/>
    <w:rsid w:val="00C079BD"/>
    <w:rsid w:val="00C07D22"/>
    <w:rsid w:val="00C104D6"/>
    <w:rsid w:val="00C10BE7"/>
    <w:rsid w:val="00C10EC3"/>
    <w:rsid w:val="00C12595"/>
    <w:rsid w:val="00C12875"/>
    <w:rsid w:val="00C136CC"/>
    <w:rsid w:val="00C13E67"/>
    <w:rsid w:val="00C14CD7"/>
    <w:rsid w:val="00C1580E"/>
    <w:rsid w:val="00C15AE0"/>
    <w:rsid w:val="00C17969"/>
    <w:rsid w:val="00C17EE3"/>
    <w:rsid w:val="00C216B7"/>
    <w:rsid w:val="00C22363"/>
    <w:rsid w:val="00C22F3D"/>
    <w:rsid w:val="00C23333"/>
    <w:rsid w:val="00C23526"/>
    <w:rsid w:val="00C23896"/>
    <w:rsid w:val="00C25EE2"/>
    <w:rsid w:val="00C261B8"/>
    <w:rsid w:val="00C310F2"/>
    <w:rsid w:val="00C32075"/>
    <w:rsid w:val="00C3252B"/>
    <w:rsid w:val="00C32F32"/>
    <w:rsid w:val="00C34079"/>
    <w:rsid w:val="00C34D1C"/>
    <w:rsid w:val="00C35F7C"/>
    <w:rsid w:val="00C360E2"/>
    <w:rsid w:val="00C37A5D"/>
    <w:rsid w:val="00C37E02"/>
    <w:rsid w:val="00C41657"/>
    <w:rsid w:val="00C416FE"/>
    <w:rsid w:val="00C4224E"/>
    <w:rsid w:val="00C422B8"/>
    <w:rsid w:val="00C43570"/>
    <w:rsid w:val="00C44E7E"/>
    <w:rsid w:val="00C45497"/>
    <w:rsid w:val="00C45B3C"/>
    <w:rsid w:val="00C47003"/>
    <w:rsid w:val="00C470A1"/>
    <w:rsid w:val="00C470D3"/>
    <w:rsid w:val="00C4722C"/>
    <w:rsid w:val="00C47298"/>
    <w:rsid w:val="00C47BB5"/>
    <w:rsid w:val="00C47CBA"/>
    <w:rsid w:val="00C5015B"/>
    <w:rsid w:val="00C505DB"/>
    <w:rsid w:val="00C51909"/>
    <w:rsid w:val="00C528D5"/>
    <w:rsid w:val="00C533AA"/>
    <w:rsid w:val="00C54176"/>
    <w:rsid w:val="00C541F1"/>
    <w:rsid w:val="00C546DC"/>
    <w:rsid w:val="00C54E9C"/>
    <w:rsid w:val="00C553FC"/>
    <w:rsid w:val="00C55950"/>
    <w:rsid w:val="00C56F6A"/>
    <w:rsid w:val="00C57624"/>
    <w:rsid w:val="00C579C0"/>
    <w:rsid w:val="00C60CCA"/>
    <w:rsid w:val="00C60F9D"/>
    <w:rsid w:val="00C61BD9"/>
    <w:rsid w:val="00C6253B"/>
    <w:rsid w:val="00C626FB"/>
    <w:rsid w:val="00C63759"/>
    <w:rsid w:val="00C643EA"/>
    <w:rsid w:val="00C65252"/>
    <w:rsid w:val="00C6606B"/>
    <w:rsid w:val="00C67225"/>
    <w:rsid w:val="00C73164"/>
    <w:rsid w:val="00C734B0"/>
    <w:rsid w:val="00C73845"/>
    <w:rsid w:val="00C74C04"/>
    <w:rsid w:val="00C74E03"/>
    <w:rsid w:val="00C7559F"/>
    <w:rsid w:val="00C75BF1"/>
    <w:rsid w:val="00C75C6E"/>
    <w:rsid w:val="00C75C7E"/>
    <w:rsid w:val="00C76339"/>
    <w:rsid w:val="00C765A1"/>
    <w:rsid w:val="00C766CD"/>
    <w:rsid w:val="00C766FE"/>
    <w:rsid w:val="00C7691B"/>
    <w:rsid w:val="00C80F57"/>
    <w:rsid w:val="00C81AD5"/>
    <w:rsid w:val="00C8223D"/>
    <w:rsid w:val="00C863C5"/>
    <w:rsid w:val="00C86AC1"/>
    <w:rsid w:val="00C86BFE"/>
    <w:rsid w:val="00C87B1F"/>
    <w:rsid w:val="00C90992"/>
    <w:rsid w:val="00C91044"/>
    <w:rsid w:val="00C91702"/>
    <w:rsid w:val="00C9185B"/>
    <w:rsid w:val="00C91F5A"/>
    <w:rsid w:val="00C921AB"/>
    <w:rsid w:val="00C922B7"/>
    <w:rsid w:val="00C9398B"/>
    <w:rsid w:val="00C9404F"/>
    <w:rsid w:val="00C952E2"/>
    <w:rsid w:val="00C95941"/>
    <w:rsid w:val="00C9594D"/>
    <w:rsid w:val="00C96537"/>
    <w:rsid w:val="00C96DA1"/>
    <w:rsid w:val="00C96E66"/>
    <w:rsid w:val="00CA04A6"/>
    <w:rsid w:val="00CA0600"/>
    <w:rsid w:val="00CA12CC"/>
    <w:rsid w:val="00CA1660"/>
    <w:rsid w:val="00CA1E8B"/>
    <w:rsid w:val="00CA2006"/>
    <w:rsid w:val="00CA2D8F"/>
    <w:rsid w:val="00CA3E88"/>
    <w:rsid w:val="00CA3EAB"/>
    <w:rsid w:val="00CA4469"/>
    <w:rsid w:val="00CA554E"/>
    <w:rsid w:val="00CA58D0"/>
    <w:rsid w:val="00CA5926"/>
    <w:rsid w:val="00CA5B2E"/>
    <w:rsid w:val="00CA6BF8"/>
    <w:rsid w:val="00CA70A3"/>
    <w:rsid w:val="00CA73AF"/>
    <w:rsid w:val="00CA7F47"/>
    <w:rsid w:val="00CB2196"/>
    <w:rsid w:val="00CB240C"/>
    <w:rsid w:val="00CB2E30"/>
    <w:rsid w:val="00CB2F24"/>
    <w:rsid w:val="00CB4880"/>
    <w:rsid w:val="00CB4B55"/>
    <w:rsid w:val="00CB5492"/>
    <w:rsid w:val="00CB6337"/>
    <w:rsid w:val="00CB6A5F"/>
    <w:rsid w:val="00CB7892"/>
    <w:rsid w:val="00CC0BA9"/>
    <w:rsid w:val="00CC10A9"/>
    <w:rsid w:val="00CC302E"/>
    <w:rsid w:val="00CC349A"/>
    <w:rsid w:val="00CC3DF7"/>
    <w:rsid w:val="00CC4509"/>
    <w:rsid w:val="00CC4660"/>
    <w:rsid w:val="00CC4C53"/>
    <w:rsid w:val="00CC4F42"/>
    <w:rsid w:val="00CC5388"/>
    <w:rsid w:val="00CC5A9E"/>
    <w:rsid w:val="00CC61C4"/>
    <w:rsid w:val="00CD017F"/>
    <w:rsid w:val="00CD0563"/>
    <w:rsid w:val="00CD0D8E"/>
    <w:rsid w:val="00CD1D89"/>
    <w:rsid w:val="00CD4380"/>
    <w:rsid w:val="00CD4EED"/>
    <w:rsid w:val="00CD56A5"/>
    <w:rsid w:val="00CD5A7D"/>
    <w:rsid w:val="00CE01EA"/>
    <w:rsid w:val="00CE02EB"/>
    <w:rsid w:val="00CE0FC6"/>
    <w:rsid w:val="00CE2C90"/>
    <w:rsid w:val="00CE2DBB"/>
    <w:rsid w:val="00CE3E15"/>
    <w:rsid w:val="00CE3EB8"/>
    <w:rsid w:val="00CE5799"/>
    <w:rsid w:val="00CE62C7"/>
    <w:rsid w:val="00CE6C81"/>
    <w:rsid w:val="00CE6E60"/>
    <w:rsid w:val="00CE7027"/>
    <w:rsid w:val="00CE7C20"/>
    <w:rsid w:val="00CF13EB"/>
    <w:rsid w:val="00CF19A1"/>
    <w:rsid w:val="00CF1D98"/>
    <w:rsid w:val="00CF1E45"/>
    <w:rsid w:val="00CF22E6"/>
    <w:rsid w:val="00CF284D"/>
    <w:rsid w:val="00CF2F3B"/>
    <w:rsid w:val="00CF3B45"/>
    <w:rsid w:val="00CF45DD"/>
    <w:rsid w:val="00CF53C5"/>
    <w:rsid w:val="00CF5B43"/>
    <w:rsid w:val="00CF6179"/>
    <w:rsid w:val="00CF679D"/>
    <w:rsid w:val="00CF6859"/>
    <w:rsid w:val="00CF73F5"/>
    <w:rsid w:val="00D002F6"/>
    <w:rsid w:val="00D003C4"/>
    <w:rsid w:val="00D02CB7"/>
    <w:rsid w:val="00D02FBE"/>
    <w:rsid w:val="00D0441B"/>
    <w:rsid w:val="00D0446E"/>
    <w:rsid w:val="00D04A8A"/>
    <w:rsid w:val="00D04DFE"/>
    <w:rsid w:val="00D05036"/>
    <w:rsid w:val="00D063C9"/>
    <w:rsid w:val="00D0711D"/>
    <w:rsid w:val="00D114FC"/>
    <w:rsid w:val="00D135A1"/>
    <w:rsid w:val="00D136EA"/>
    <w:rsid w:val="00D14C19"/>
    <w:rsid w:val="00D15332"/>
    <w:rsid w:val="00D15F4A"/>
    <w:rsid w:val="00D17830"/>
    <w:rsid w:val="00D17DD6"/>
    <w:rsid w:val="00D202D2"/>
    <w:rsid w:val="00D20911"/>
    <w:rsid w:val="00D21377"/>
    <w:rsid w:val="00D21C2D"/>
    <w:rsid w:val="00D223CE"/>
    <w:rsid w:val="00D223EF"/>
    <w:rsid w:val="00D22955"/>
    <w:rsid w:val="00D22B5B"/>
    <w:rsid w:val="00D2358F"/>
    <w:rsid w:val="00D23BB2"/>
    <w:rsid w:val="00D24E24"/>
    <w:rsid w:val="00D25272"/>
    <w:rsid w:val="00D25896"/>
    <w:rsid w:val="00D258F8"/>
    <w:rsid w:val="00D25D5B"/>
    <w:rsid w:val="00D26406"/>
    <w:rsid w:val="00D26421"/>
    <w:rsid w:val="00D27BFC"/>
    <w:rsid w:val="00D307FA"/>
    <w:rsid w:val="00D312E8"/>
    <w:rsid w:val="00D31C16"/>
    <w:rsid w:val="00D31F01"/>
    <w:rsid w:val="00D32187"/>
    <w:rsid w:val="00D321AE"/>
    <w:rsid w:val="00D322D6"/>
    <w:rsid w:val="00D32646"/>
    <w:rsid w:val="00D326B0"/>
    <w:rsid w:val="00D32E88"/>
    <w:rsid w:val="00D32FD2"/>
    <w:rsid w:val="00D33434"/>
    <w:rsid w:val="00D3451D"/>
    <w:rsid w:val="00D347C1"/>
    <w:rsid w:val="00D3501B"/>
    <w:rsid w:val="00D36F59"/>
    <w:rsid w:val="00D41CB2"/>
    <w:rsid w:val="00D4263E"/>
    <w:rsid w:val="00D42862"/>
    <w:rsid w:val="00D43528"/>
    <w:rsid w:val="00D43ACF"/>
    <w:rsid w:val="00D43B3A"/>
    <w:rsid w:val="00D44192"/>
    <w:rsid w:val="00D443E5"/>
    <w:rsid w:val="00D44C65"/>
    <w:rsid w:val="00D4592F"/>
    <w:rsid w:val="00D46840"/>
    <w:rsid w:val="00D50BBC"/>
    <w:rsid w:val="00D51895"/>
    <w:rsid w:val="00D51D70"/>
    <w:rsid w:val="00D525F3"/>
    <w:rsid w:val="00D52B96"/>
    <w:rsid w:val="00D53252"/>
    <w:rsid w:val="00D535B8"/>
    <w:rsid w:val="00D53FDE"/>
    <w:rsid w:val="00D5498D"/>
    <w:rsid w:val="00D561AB"/>
    <w:rsid w:val="00D570C6"/>
    <w:rsid w:val="00D60458"/>
    <w:rsid w:val="00D60F47"/>
    <w:rsid w:val="00D62A1B"/>
    <w:rsid w:val="00D64B8E"/>
    <w:rsid w:val="00D64D7A"/>
    <w:rsid w:val="00D654B8"/>
    <w:rsid w:val="00D65DEB"/>
    <w:rsid w:val="00D663EE"/>
    <w:rsid w:val="00D663FA"/>
    <w:rsid w:val="00D70065"/>
    <w:rsid w:val="00D705D3"/>
    <w:rsid w:val="00D715F6"/>
    <w:rsid w:val="00D71B6F"/>
    <w:rsid w:val="00D71C5C"/>
    <w:rsid w:val="00D71E8F"/>
    <w:rsid w:val="00D72953"/>
    <w:rsid w:val="00D74094"/>
    <w:rsid w:val="00D75797"/>
    <w:rsid w:val="00D75D1D"/>
    <w:rsid w:val="00D75F53"/>
    <w:rsid w:val="00D76967"/>
    <w:rsid w:val="00D77690"/>
    <w:rsid w:val="00D80E49"/>
    <w:rsid w:val="00D81163"/>
    <w:rsid w:val="00D81F21"/>
    <w:rsid w:val="00D82EAB"/>
    <w:rsid w:val="00D832AF"/>
    <w:rsid w:val="00D83C2E"/>
    <w:rsid w:val="00D84583"/>
    <w:rsid w:val="00D84777"/>
    <w:rsid w:val="00D8587C"/>
    <w:rsid w:val="00D866E3"/>
    <w:rsid w:val="00D86EAD"/>
    <w:rsid w:val="00D873C9"/>
    <w:rsid w:val="00D87C29"/>
    <w:rsid w:val="00D87D7F"/>
    <w:rsid w:val="00D87DD3"/>
    <w:rsid w:val="00D90D74"/>
    <w:rsid w:val="00D91D3D"/>
    <w:rsid w:val="00D93F25"/>
    <w:rsid w:val="00D95186"/>
    <w:rsid w:val="00D95584"/>
    <w:rsid w:val="00D959D4"/>
    <w:rsid w:val="00D9622B"/>
    <w:rsid w:val="00D962DB"/>
    <w:rsid w:val="00D96925"/>
    <w:rsid w:val="00DA07DA"/>
    <w:rsid w:val="00DA08D2"/>
    <w:rsid w:val="00DA09CD"/>
    <w:rsid w:val="00DA0DFA"/>
    <w:rsid w:val="00DA3C82"/>
    <w:rsid w:val="00DA448B"/>
    <w:rsid w:val="00DA59E9"/>
    <w:rsid w:val="00DA6246"/>
    <w:rsid w:val="00DA6CB1"/>
    <w:rsid w:val="00DA7258"/>
    <w:rsid w:val="00DB060A"/>
    <w:rsid w:val="00DB1BC6"/>
    <w:rsid w:val="00DB39C8"/>
    <w:rsid w:val="00DB3CEC"/>
    <w:rsid w:val="00DB4906"/>
    <w:rsid w:val="00DB5542"/>
    <w:rsid w:val="00DB61BE"/>
    <w:rsid w:val="00DB6313"/>
    <w:rsid w:val="00DB6CEF"/>
    <w:rsid w:val="00DB6DF9"/>
    <w:rsid w:val="00DB748A"/>
    <w:rsid w:val="00DB752A"/>
    <w:rsid w:val="00DB7FC8"/>
    <w:rsid w:val="00DC1781"/>
    <w:rsid w:val="00DC43EB"/>
    <w:rsid w:val="00DC474F"/>
    <w:rsid w:val="00DC49EF"/>
    <w:rsid w:val="00DC55E4"/>
    <w:rsid w:val="00DC612A"/>
    <w:rsid w:val="00DC6B57"/>
    <w:rsid w:val="00DC6BA1"/>
    <w:rsid w:val="00DC6D67"/>
    <w:rsid w:val="00DD001A"/>
    <w:rsid w:val="00DD13EC"/>
    <w:rsid w:val="00DD189C"/>
    <w:rsid w:val="00DD1CAE"/>
    <w:rsid w:val="00DD20AB"/>
    <w:rsid w:val="00DD2889"/>
    <w:rsid w:val="00DD2B95"/>
    <w:rsid w:val="00DD30FC"/>
    <w:rsid w:val="00DD3203"/>
    <w:rsid w:val="00DD3D35"/>
    <w:rsid w:val="00DD40CB"/>
    <w:rsid w:val="00DD47E7"/>
    <w:rsid w:val="00DD4F7F"/>
    <w:rsid w:val="00DD675E"/>
    <w:rsid w:val="00DD6900"/>
    <w:rsid w:val="00DD703C"/>
    <w:rsid w:val="00DD789C"/>
    <w:rsid w:val="00DE009D"/>
    <w:rsid w:val="00DE0448"/>
    <w:rsid w:val="00DE1937"/>
    <w:rsid w:val="00DE1A0D"/>
    <w:rsid w:val="00DE274A"/>
    <w:rsid w:val="00DE2B6C"/>
    <w:rsid w:val="00DE2DCB"/>
    <w:rsid w:val="00DE3B3A"/>
    <w:rsid w:val="00DE3D46"/>
    <w:rsid w:val="00DE3E31"/>
    <w:rsid w:val="00DE4367"/>
    <w:rsid w:val="00DE60F2"/>
    <w:rsid w:val="00DE7315"/>
    <w:rsid w:val="00DE7B45"/>
    <w:rsid w:val="00DE7C83"/>
    <w:rsid w:val="00DF063B"/>
    <w:rsid w:val="00DF0A39"/>
    <w:rsid w:val="00DF1339"/>
    <w:rsid w:val="00DF2583"/>
    <w:rsid w:val="00DF278E"/>
    <w:rsid w:val="00DF2809"/>
    <w:rsid w:val="00DF2A68"/>
    <w:rsid w:val="00DF2DBD"/>
    <w:rsid w:val="00DF3E97"/>
    <w:rsid w:val="00DF44F5"/>
    <w:rsid w:val="00DF4E7E"/>
    <w:rsid w:val="00DF656E"/>
    <w:rsid w:val="00DF74B1"/>
    <w:rsid w:val="00DF74C5"/>
    <w:rsid w:val="00DF7D66"/>
    <w:rsid w:val="00E0013F"/>
    <w:rsid w:val="00E00FAC"/>
    <w:rsid w:val="00E01078"/>
    <w:rsid w:val="00E021C0"/>
    <w:rsid w:val="00E02290"/>
    <w:rsid w:val="00E03470"/>
    <w:rsid w:val="00E03D79"/>
    <w:rsid w:val="00E03FAE"/>
    <w:rsid w:val="00E048B1"/>
    <w:rsid w:val="00E06745"/>
    <w:rsid w:val="00E068BD"/>
    <w:rsid w:val="00E10585"/>
    <w:rsid w:val="00E12407"/>
    <w:rsid w:val="00E124AC"/>
    <w:rsid w:val="00E12D07"/>
    <w:rsid w:val="00E13500"/>
    <w:rsid w:val="00E13869"/>
    <w:rsid w:val="00E13B86"/>
    <w:rsid w:val="00E14429"/>
    <w:rsid w:val="00E1501E"/>
    <w:rsid w:val="00E15211"/>
    <w:rsid w:val="00E16BF3"/>
    <w:rsid w:val="00E17F68"/>
    <w:rsid w:val="00E205E5"/>
    <w:rsid w:val="00E2146E"/>
    <w:rsid w:val="00E216E7"/>
    <w:rsid w:val="00E23923"/>
    <w:rsid w:val="00E23F2D"/>
    <w:rsid w:val="00E24FFB"/>
    <w:rsid w:val="00E25130"/>
    <w:rsid w:val="00E258C1"/>
    <w:rsid w:val="00E2701D"/>
    <w:rsid w:val="00E27373"/>
    <w:rsid w:val="00E2757D"/>
    <w:rsid w:val="00E30E21"/>
    <w:rsid w:val="00E3272C"/>
    <w:rsid w:val="00E32FBC"/>
    <w:rsid w:val="00E3324A"/>
    <w:rsid w:val="00E3366C"/>
    <w:rsid w:val="00E33EF2"/>
    <w:rsid w:val="00E341B0"/>
    <w:rsid w:val="00E343CF"/>
    <w:rsid w:val="00E349C7"/>
    <w:rsid w:val="00E36586"/>
    <w:rsid w:val="00E36B92"/>
    <w:rsid w:val="00E36C18"/>
    <w:rsid w:val="00E36F36"/>
    <w:rsid w:val="00E3731E"/>
    <w:rsid w:val="00E40004"/>
    <w:rsid w:val="00E40446"/>
    <w:rsid w:val="00E406DB"/>
    <w:rsid w:val="00E4324D"/>
    <w:rsid w:val="00E44595"/>
    <w:rsid w:val="00E445B6"/>
    <w:rsid w:val="00E4475C"/>
    <w:rsid w:val="00E44B04"/>
    <w:rsid w:val="00E44BEF"/>
    <w:rsid w:val="00E44E1B"/>
    <w:rsid w:val="00E44F01"/>
    <w:rsid w:val="00E45AF0"/>
    <w:rsid w:val="00E45C5C"/>
    <w:rsid w:val="00E46241"/>
    <w:rsid w:val="00E4657A"/>
    <w:rsid w:val="00E46E38"/>
    <w:rsid w:val="00E47738"/>
    <w:rsid w:val="00E50719"/>
    <w:rsid w:val="00E52A96"/>
    <w:rsid w:val="00E53B04"/>
    <w:rsid w:val="00E617E5"/>
    <w:rsid w:val="00E62A67"/>
    <w:rsid w:val="00E64994"/>
    <w:rsid w:val="00E7037F"/>
    <w:rsid w:val="00E705CF"/>
    <w:rsid w:val="00E70BC8"/>
    <w:rsid w:val="00E724F2"/>
    <w:rsid w:val="00E725E9"/>
    <w:rsid w:val="00E73082"/>
    <w:rsid w:val="00E735FA"/>
    <w:rsid w:val="00E73742"/>
    <w:rsid w:val="00E748DD"/>
    <w:rsid w:val="00E772AA"/>
    <w:rsid w:val="00E772DB"/>
    <w:rsid w:val="00E77F57"/>
    <w:rsid w:val="00E81466"/>
    <w:rsid w:val="00E81653"/>
    <w:rsid w:val="00E81747"/>
    <w:rsid w:val="00E8237E"/>
    <w:rsid w:val="00E834A9"/>
    <w:rsid w:val="00E83BF0"/>
    <w:rsid w:val="00E8400C"/>
    <w:rsid w:val="00E84454"/>
    <w:rsid w:val="00E8484F"/>
    <w:rsid w:val="00E84D35"/>
    <w:rsid w:val="00E85D96"/>
    <w:rsid w:val="00E869D2"/>
    <w:rsid w:val="00E86B53"/>
    <w:rsid w:val="00E87DA5"/>
    <w:rsid w:val="00E87F76"/>
    <w:rsid w:val="00E90386"/>
    <w:rsid w:val="00E905C6"/>
    <w:rsid w:val="00E90622"/>
    <w:rsid w:val="00E9144B"/>
    <w:rsid w:val="00E9193B"/>
    <w:rsid w:val="00E9296D"/>
    <w:rsid w:val="00E92CAE"/>
    <w:rsid w:val="00E93B14"/>
    <w:rsid w:val="00E96523"/>
    <w:rsid w:val="00E96FD2"/>
    <w:rsid w:val="00E97029"/>
    <w:rsid w:val="00E979DA"/>
    <w:rsid w:val="00E97B44"/>
    <w:rsid w:val="00EA10FB"/>
    <w:rsid w:val="00EA141D"/>
    <w:rsid w:val="00EA1A42"/>
    <w:rsid w:val="00EA23D5"/>
    <w:rsid w:val="00EA3485"/>
    <w:rsid w:val="00EA5335"/>
    <w:rsid w:val="00EA59B2"/>
    <w:rsid w:val="00EA629B"/>
    <w:rsid w:val="00EA724A"/>
    <w:rsid w:val="00EA728E"/>
    <w:rsid w:val="00EA78D6"/>
    <w:rsid w:val="00EB032E"/>
    <w:rsid w:val="00EB0589"/>
    <w:rsid w:val="00EB0A75"/>
    <w:rsid w:val="00EB1268"/>
    <w:rsid w:val="00EB1E34"/>
    <w:rsid w:val="00EB2446"/>
    <w:rsid w:val="00EB2DC4"/>
    <w:rsid w:val="00EB4637"/>
    <w:rsid w:val="00EB4C64"/>
    <w:rsid w:val="00EB55CF"/>
    <w:rsid w:val="00EB5D79"/>
    <w:rsid w:val="00EB6468"/>
    <w:rsid w:val="00EB679C"/>
    <w:rsid w:val="00EB69D0"/>
    <w:rsid w:val="00EB73D2"/>
    <w:rsid w:val="00EB7959"/>
    <w:rsid w:val="00EB7F5A"/>
    <w:rsid w:val="00EC2568"/>
    <w:rsid w:val="00EC40E7"/>
    <w:rsid w:val="00EC4710"/>
    <w:rsid w:val="00EC4731"/>
    <w:rsid w:val="00EC4CD8"/>
    <w:rsid w:val="00EC590A"/>
    <w:rsid w:val="00EC5F75"/>
    <w:rsid w:val="00EC6ADE"/>
    <w:rsid w:val="00EC7C21"/>
    <w:rsid w:val="00ED1440"/>
    <w:rsid w:val="00ED1D09"/>
    <w:rsid w:val="00ED1EE6"/>
    <w:rsid w:val="00ED326A"/>
    <w:rsid w:val="00ED45DE"/>
    <w:rsid w:val="00ED4E7B"/>
    <w:rsid w:val="00ED589E"/>
    <w:rsid w:val="00ED6944"/>
    <w:rsid w:val="00ED6C05"/>
    <w:rsid w:val="00ED7450"/>
    <w:rsid w:val="00EE34F1"/>
    <w:rsid w:val="00EE45EE"/>
    <w:rsid w:val="00EE4925"/>
    <w:rsid w:val="00EE57C5"/>
    <w:rsid w:val="00EE5DDC"/>
    <w:rsid w:val="00EE5E89"/>
    <w:rsid w:val="00EE7B3A"/>
    <w:rsid w:val="00EE7BD9"/>
    <w:rsid w:val="00EF0DAE"/>
    <w:rsid w:val="00EF24C8"/>
    <w:rsid w:val="00EF2AA6"/>
    <w:rsid w:val="00EF2B52"/>
    <w:rsid w:val="00EF2C81"/>
    <w:rsid w:val="00EF2CB1"/>
    <w:rsid w:val="00EF2E8A"/>
    <w:rsid w:val="00EF3624"/>
    <w:rsid w:val="00EF4111"/>
    <w:rsid w:val="00EF61D5"/>
    <w:rsid w:val="00EF63CC"/>
    <w:rsid w:val="00EF65B1"/>
    <w:rsid w:val="00EF6A4E"/>
    <w:rsid w:val="00EF6C38"/>
    <w:rsid w:val="00EF6EF0"/>
    <w:rsid w:val="00EF712B"/>
    <w:rsid w:val="00EF765B"/>
    <w:rsid w:val="00EF7AF3"/>
    <w:rsid w:val="00F01002"/>
    <w:rsid w:val="00F01DBF"/>
    <w:rsid w:val="00F01F7D"/>
    <w:rsid w:val="00F03762"/>
    <w:rsid w:val="00F04C26"/>
    <w:rsid w:val="00F05F08"/>
    <w:rsid w:val="00F06F08"/>
    <w:rsid w:val="00F07592"/>
    <w:rsid w:val="00F07752"/>
    <w:rsid w:val="00F07DE3"/>
    <w:rsid w:val="00F1009A"/>
    <w:rsid w:val="00F11149"/>
    <w:rsid w:val="00F11C5A"/>
    <w:rsid w:val="00F120E4"/>
    <w:rsid w:val="00F1215A"/>
    <w:rsid w:val="00F135FC"/>
    <w:rsid w:val="00F14527"/>
    <w:rsid w:val="00F148C8"/>
    <w:rsid w:val="00F20E70"/>
    <w:rsid w:val="00F216DE"/>
    <w:rsid w:val="00F22781"/>
    <w:rsid w:val="00F230BE"/>
    <w:rsid w:val="00F24E3E"/>
    <w:rsid w:val="00F2683B"/>
    <w:rsid w:val="00F26AA3"/>
    <w:rsid w:val="00F26BB7"/>
    <w:rsid w:val="00F26D1A"/>
    <w:rsid w:val="00F27343"/>
    <w:rsid w:val="00F2796D"/>
    <w:rsid w:val="00F27D20"/>
    <w:rsid w:val="00F27F6C"/>
    <w:rsid w:val="00F30034"/>
    <w:rsid w:val="00F30184"/>
    <w:rsid w:val="00F301E8"/>
    <w:rsid w:val="00F3088D"/>
    <w:rsid w:val="00F31498"/>
    <w:rsid w:val="00F3179B"/>
    <w:rsid w:val="00F3227E"/>
    <w:rsid w:val="00F323B8"/>
    <w:rsid w:val="00F32F13"/>
    <w:rsid w:val="00F33BAB"/>
    <w:rsid w:val="00F33D15"/>
    <w:rsid w:val="00F33E16"/>
    <w:rsid w:val="00F34E60"/>
    <w:rsid w:val="00F3562A"/>
    <w:rsid w:val="00F3686F"/>
    <w:rsid w:val="00F40B27"/>
    <w:rsid w:val="00F40E66"/>
    <w:rsid w:val="00F4120E"/>
    <w:rsid w:val="00F412C8"/>
    <w:rsid w:val="00F42E49"/>
    <w:rsid w:val="00F4315D"/>
    <w:rsid w:val="00F439CF"/>
    <w:rsid w:val="00F43F6E"/>
    <w:rsid w:val="00F4477B"/>
    <w:rsid w:val="00F4486A"/>
    <w:rsid w:val="00F45D7A"/>
    <w:rsid w:val="00F47037"/>
    <w:rsid w:val="00F474A3"/>
    <w:rsid w:val="00F50F1D"/>
    <w:rsid w:val="00F51448"/>
    <w:rsid w:val="00F51EAC"/>
    <w:rsid w:val="00F51FC4"/>
    <w:rsid w:val="00F52389"/>
    <w:rsid w:val="00F527F3"/>
    <w:rsid w:val="00F53007"/>
    <w:rsid w:val="00F537BE"/>
    <w:rsid w:val="00F55294"/>
    <w:rsid w:val="00F552B7"/>
    <w:rsid w:val="00F55998"/>
    <w:rsid w:val="00F5629E"/>
    <w:rsid w:val="00F56D6E"/>
    <w:rsid w:val="00F57FF6"/>
    <w:rsid w:val="00F6054E"/>
    <w:rsid w:val="00F613FF"/>
    <w:rsid w:val="00F614AE"/>
    <w:rsid w:val="00F62ECD"/>
    <w:rsid w:val="00F65B57"/>
    <w:rsid w:val="00F67EDC"/>
    <w:rsid w:val="00F70103"/>
    <w:rsid w:val="00F727E1"/>
    <w:rsid w:val="00F72809"/>
    <w:rsid w:val="00F731BB"/>
    <w:rsid w:val="00F734AB"/>
    <w:rsid w:val="00F74560"/>
    <w:rsid w:val="00F74BDD"/>
    <w:rsid w:val="00F75420"/>
    <w:rsid w:val="00F75C2D"/>
    <w:rsid w:val="00F76396"/>
    <w:rsid w:val="00F76BF4"/>
    <w:rsid w:val="00F77547"/>
    <w:rsid w:val="00F80631"/>
    <w:rsid w:val="00F8066F"/>
    <w:rsid w:val="00F80A5A"/>
    <w:rsid w:val="00F82666"/>
    <w:rsid w:val="00F82E7A"/>
    <w:rsid w:val="00F83CFC"/>
    <w:rsid w:val="00F84ED2"/>
    <w:rsid w:val="00F858AF"/>
    <w:rsid w:val="00F864DD"/>
    <w:rsid w:val="00F87373"/>
    <w:rsid w:val="00F8770D"/>
    <w:rsid w:val="00F879EE"/>
    <w:rsid w:val="00F903CC"/>
    <w:rsid w:val="00F912F6"/>
    <w:rsid w:val="00F917D4"/>
    <w:rsid w:val="00F917F6"/>
    <w:rsid w:val="00F918CC"/>
    <w:rsid w:val="00F920E2"/>
    <w:rsid w:val="00F93A40"/>
    <w:rsid w:val="00F94019"/>
    <w:rsid w:val="00F94A6C"/>
    <w:rsid w:val="00F94B99"/>
    <w:rsid w:val="00F950BB"/>
    <w:rsid w:val="00F9564E"/>
    <w:rsid w:val="00F95A10"/>
    <w:rsid w:val="00F95E2B"/>
    <w:rsid w:val="00F95F3B"/>
    <w:rsid w:val="00F963DF"/>
    <w:rsid w:val="00F9647D"/>
    <w:rsid w:val="00FA0A3D"/>
    <w:rsid w:val="00FA0BF3"/>
    <w:rsid w:val="00FA0F66"/>
    <w:rsid w:val="00FA12C1"/>
    <w:rsid w:val="00FA1FF7"/>
    <w:rsid w:val="00FA331C"/>
    <w:rsid w:val="00FA4978"/>
    <w:rsid w:val="00FA54FB"/>
    <w:rsid w:val="00FA5663"/>
    <w:rsid w:val="00FA5CB7"/>
    <w:rsid w:val="00FA6C22"/>
    <w:rsid w:val="00FB0336"/>
    <w:rsid w:val="00FB0E2B"/>
    <w:rsid w:val="00FB1C0A"/>
    <w:rsid w:val="00FB2B56"/>
    <w:rsid w:val="00FB3313"/>
    <w:rsid w:val="00FB3E8D"/>
    <w:rsid w:val="00FB4367"/>
    <w:rsid w:val="00FB474E"/>
    <w:rsid w:val="00FB47D4"/>
    <w:rsid w:val="00FB5DC4"/>
    <w:rsid w:val="00FB6C4C"/>
    <w:rsid w:val="00FB7986"/>
    <w:rsid w:val="00FC02FD"/>
    <w:rsid w:val="00FC0E17"/>
    <w:rsid w:val="00FC1F39"/>
    <w:rsid w:val="00FC25C4"/>
    <w:rsid w:val="00FC3307"/>
    <w:rsid w:val="00FC5147"/>
    <w:rsid w:val="00FC5A37"/>
    <w:rsid w:val="00FC5CE2"/>
    <w:rsid w:val="00FC6781"/>
    <w:rsid w:val="00FC67CE"/>
    <w:rsid w:val="00FC6E62"/>
    <w:rsid w:val="00FD0453"/>
    <w:rsid w:val="00FD1386"/>
    <w:rsid w:val="00FD174F"/>
    <w:rsid w:val="00FD27A5"/>
    <w:rsid w:val="00FD61E3"/>
    <w:rsid w:val="00FD623F"/>
    <w:rsid w:val="00FD63D8"/>
    <w:rsid w:val="00FD6AE0"/>
    <w:rsid w:val="00FD7984"/>
    <w:rsid w:val="00FD7A5F"/>
    <w:rsid w:val="00FE1BFF"/>
    <w:rsid w:val="00FE3031"/>
    <w:rsid w:val="00FE383D"/>
    <w:rsid w:val="00FE449E"/>
    <w:rsid w:val="00FE58B8"/>
    <w:rsid w:val="00FE7888"/>
    <w:rsid w:val="00FF1D50"/>
    <w:rsid w:val="00FF3DA1"/>
    <w:rsid w:val="00FF4647"/>
    <w:rsid w:val="00FF474D"/>
    <w:rsid w:val="00FF4993"/>
    <w:rsid w:val="00FF504E"/>
    <w:rsid w:val="00FF5979"/>
    <w:rsid w:val="00FF5EEE"/>
    <w:rsid w:val="00FF6438"/>
    <w:rsid w:val="00FF7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8C745"/>
  <w15:docId w15:val="{4829E0A6-05C7-40ED-8A11-3F46AC7D8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gtree" w:eastAsiaTheme="minorHAnsi" w:hAnsi="Figtree" w:cstheme="minorBidi"/>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71E8F"/>
    <w:rPr>
      <w:rFonts w:ascii="Arial" w:hAnsi="Arial"/>
      <w:sz w:val="22"/>
      <w:lang w:val="en-AU"/>
    </w:rPr>
  </w:style>
  <w:style w:type="paragraph" w:styleId="Heading1">
    <w:name w:val="heading 1"/>
    <w:basedOn w:val="BodyText"/>
    <w:next w:val="BodyText"/>
    <w:link w:val="Heading1Char"/>
    <w:qFormat/>
    <w:rsid w:val="00552949"/>
    <w:pPr>
      <w:keepNext/>
      <w:numPr>
        <w:numId w:val="1"/>
      </w:numPr>
      <w:spacing w:before="240"/>
      <w:outlineLvl w:val="0"/>
    </w:pPr>
    <w:rPr>
      <w:rFonts w:eastAsiaTheme="majorEastAsia" w:cs="Calibri"/>
      <w:b/>
      <w:bCs/>
      <w:sz w:val="32"/>
      <w:szCs w:val="28"/>
    </w:rPr>
  </w:style>
  <w:style w:type="paragraph" w:styleId="Heading2">
    <w:name w:val="heading 2"/>
    <w:basedOn w:val="Heading1"/>
    <w:next w:val="BodyText"/>
    <w:link w:val="Heading2Char"/>
    <w:unhideWhenUsed/>
    <w:qFormat/>
    <w:rsid w:val="00552949"/>
    <w:pPr>
      <w:numPr>
        <w:ilvl w:val="1"/>
      </w:numPr>
      <w:outlineLvl w:val="1"/>
    </w:pPr>
    <w:rPr>
      <w:bCs w:val="0"/>
      <w:color w:val="3C533C" w:themeColor="accent1"/>
      <w:sz w:val="28"/>
      <w:szCs w:val="26"/>
    </w:rPr>
  </w:style>
  <w:style w:type="paragraph" w:styleId="Heading3">
    <w:name w:val="heading 3"/>
    <w:basedOn w:val="Heading2"/>
    <w:next w:val="BodyText"/>
    <w:link w:val="Heading3Char"/>
    <w:unhideWhenUsed/>
    <w:qFormat/>
    <w:rsid w:val="00552949"/>
    <w:pPr>
      <w:numPr>
        <w:ilvl w:val="2"/>
      </w:numPr>
      <w:outlineLvl w:val="2"/>
    </w:pPr>
    <w:rPr>
      <w:bCs/>
      <w:color w:val="auto"/>
      <w:sz w:val="24"/>
    </w:rPr>
  </w:style>
  <w:style w:type="paragraph" w:styleId="Heading4">
    <w:name w:val="heading 4"/>
    <w:basedOn w:val="Heading3"/>
    <w:next w:val="BodyText"/>
    <w:link w:val="Heading4Char"/>
    <w:unhideWhenUsed/>
    <w:qFormat/>
    <w:rsid w:val="00552949"/>
    <w:pPr>
      <w:numPr>
        <w:ilvl w:val="3"/>
      </w:numPr>
      <w:tabs>
        <w:tab w:val="clear" w:pos="1008"/>
        <w:tab w:val="left" w:pos="990"/>
      </w:tabs>
      <w:outlineLvl w:val="3"/>
    </w:pPr>
    <w:rPr>
      <w:bCs w:val="0"/>
      <w:iCs/>
      <w:color w:val="667545" w:themeColor="accent3"/>
    </w:rPr>
  </w:style>
  <w:style w:type="paragraph" w:styleId="Heading5">
    <w:name w:val="heading 5"/>
    <w:basedOn w:val="Heading4"/>
    <w:next w:val="BodyText"/>
    <w:link w:val="Heading5Char"/>
    <w:unhideWhenUsed/>
    <w:qFormat/>
    <w:rsid w:val="00487EB1"/>
    <w:pPr>
      <w:numPr>
        <w:ilvl w:val="0"/>
        <w:numId w:val="0"/>
      </w:numPr>
      <w:tabs>
        <w:tab w:val="left" w:pos="1152"/>
      </w:tabs>
      <w:outlineLvl w:val="4"/>
    </w:pPr>
    <w:rPr>
      <w:color w:val="auto"/>
      <w:sz w:val="22"/>
    </w:rPr>
  </w:style>
  <w:style w:type="paragraph" w:styleId="Heading6">
    <w:name w:val="heading 6"/>
    <w:basedOn w:val="BodyText"/>
    <w:next w:val="BodyText"/>
    <w:link w:val="Heading6Char"/>
    <w:unhideWhenUsed/>
    <w:qFormat/>
    <w:rsid w:val="00552949"/>
    <w:pPr>
      <w:tabs>
        <w:tab w:val="left" w:pos="2180"/>
      </w:tabs>
      <w:spacing w:before="3720" w:after="600" w:line="259" w:lineRule="auto"/>
      <w:outlineLvl w:val="5"/>
    </w:pPr>
    <w:rPr>
      <w:rFonts w:cs="Calibri"/>
      <w:b/>
      <w:color w:val="3C533C" w:themeColor="accent1"/>
      <w:sz w:val="52"/>
      <w:szCs w:val="32"/>
    </w:rPr>
  </w:style>
  <w:style w:type="paragraph" w:styleId="Heading7">
    <w:name w:val="heading 7"/>
    <w:basedOn w:val="BodyText"/>
    <w:next w:val="CoverBody"/>
    <w:link w:val="Heading7Char"/>
    <w:unhideWhenUsed/>
    <w:qFormat/>
    <w:rsid w:val="00AC1BC7"/>
    <w:pPr>
      <w:numPr>
        <w:numId w:val="2"/>
      </w:numPr>
      <w:spacing w:before="3240" w:after="600"/>
      <w:outlineLvl w:val="6"/>
    </w:pPr>
    <w:rPr>
      <w:b/>
      <w:noProof/>
      <w:color w:val="3C533C" w:themeColor="accent1"/>
      <w:sz w:val="52"/>
    </w:rPr>
  </w:style>
  <w:style w:type="paragraph" w:styleId="Heading8">
    <w:name w:val="heading 8"/>
    <w:basedOn w:val="Heading7"/>
    <w:next w:val="BodyText"/>
    <w:link w:val="Heading8Char"/>
    <w:unhideWhenUsed/>
    <w:qFormat/>
    <w:rsid w:val="00552949"/>
    <w:pPr>
      <w:keepNext/>
      <w:numPr>
        <w:ilvl w:val="1"/>
      </w:numPr>
      <w:spacing w:before="240" w:after="120"/>
      <w:outlineLvl w:val="7"/>
    </w:pPr>
    <w:rPr>
      <w:color w:val="auto"/>
      <w:sz w:val="28"/>
    </w:rPr>
  </w:style>
  <w:style w:type="paragraph" w:styleId="Heading9">
    <w:name w:val="heading 9"/>
    <w:basedOn w:val="Heading8"/>
    <w:next w:val="BodyText"/>
    <w:link w:val="Heading9Char"/>
    <w:unhideWhenUsed/>
    <w:qFormat/>
    <w:rsid w:val="00E84D35"/>
    <w:pPr>
      <w:numPr>
        <w:ilvl w:val="2"/>
      </w:numPr>
      <w:outlineLvl w:val="8"/>
    </w:pPr>
    <w:rPr>
      <w:iCs/>
      <w:color w:val="667545" w:themeColor="accent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2949"/>
    <w:rPr>
      <w:rFonts w:ascii="Arial" w:eastAsiaTheme="majorEastAsia" w:hAnsi="Arial" w:cs="Calibri"/>
      <w:b/>
      <w:bCs/>
      <w:sz w:val="32"/>
      <w:szCs w:val="28"/>
      <w:lang w:val="en-AU"/>
    </w:rPr>
  </w:style>
  <w:style w:type="character" w:customStyle="1" w:styleId="Heading2Char">
    <w:name w:val="Heading 2 Char"/>
    <w:basedOn w:val="DefaultParagraphFont"/>
    <w:link w:val="Heading2"/>
    <w:rsid w:val="00552949"/>
    <w:rPr>
      <w:rFonts w:ascii="Arial" w:eastAsiaTheme="majorEastAsia" w:hAnsi="Arial" w:cs="Calibri"/>
      <w:b/>
      <w:color w:val="3C533C" w:themeColor="accent1"/>
      <w:sz w:val="28"/>
      <w:szCs w:val="26"/>
      <w:lang w:val="en-AU"/>
    </w:rPr>
  </w:style>
  <w:style w:type="character" w:customStyle="1" w:styleId="Heading3Char">
    <w:name w:val="Heading 3 Char"/>
    <w:basedOn w:val="DefaultParagraphFont"/>
    <w:link w:val="Heading3"/>
    <w:rsid w:val="00552949"/>
    <w:rPr>
      <w:rFonts w:ascii="Arial" w:eastAsiaTheme="majorEastAsia" w:hAnsi="Arial" w:cs="Calibri"/>
      <w:b/>
      <w:bCs/>
      <w:sz w:val="24"/>
      <w:szCs w:val="26"/>
      <w:lang w:val="en-AU"/>
    </w:rPr>
  </w:style>
  <w:style w:type="character" w:customStyle="1" w:styleId="Heading4Char">
    <w:name w:val="Heading 4 Char"/>
    <w:basedOn w:val="DefaultParagraphFont"/>
    <w:link w:val="Heading4"/>
    <w:rsid w:val="00552949"/>
    <w:rPr>
      <w:rFonts w:ascii="Arial" w:eastAsiaTheme="majorEastAsia" w:hAnsi="Arial" w:cs="Calibri"/>
      <w:b/>
      <w:iCs/>
      <w:color w:val="667545" w:themeColor="accent3"/>
      <w:sz w:val="24"/>
      <w:szCs w:val="26"/>
      <w:lang w:val="en-AU"/>
    </w:rPr>
  </w:style>
  <w:style w:type="character" w:customStyle="1" w:styleId="Heading5Char">
    <w:name w:val="Heading 5 Char"/>
    <w:basedOn w:val="DefaultParagraphFont"/>
    <w:link w:val="Heading5"/>
    <w:rsid w:val="00487EB1"/>
    <w:rPr>
      <w:rFonts w:eastAsiaTheme="majorEastAsia" w:cs="Calibri"/>
      <w:b/>
      <w:iCs/>
      <w:sz w:val="22"/>
      <w:szCs w:val="26"/>
    </w:rPr>
  </w:style>
  <w:style w:type="character" w:customStyle="1" w:styleId="Heading6Char">
    <w:name w:val="Heading 6 Char"/>
    <w:basedOn w:val="DefaultParagraphFont"/>
    <w:link w:val="Heading6"/>
    <w:rsid w:val="00552949"/>
    <w:rPr>
      <w:rFonts w:ascii="Arial" w:hAnsi="Arial" w:cs="Calibri"/>
      <w:b/>
      <w:color w:val="3C533C" w:themeColor="accent1"/>
      <w:sz w:val="52"/>
      <w:szCs w:val="32"/>
      <w:lang w:val="en-AU"/>
    </w:rPr>
  </w:style>
  <w:style w:type="character" w:customStyle="1" w:styleId="Heading7Char">
    <w:name w:val="Heading 7 Char"/>
    <w:basedOn w:val="DefaultParagraphFont"/>
    <w:link w:val="Heading7"/>
    <w:rsid w:val="00AC1BC7"/>
    <w:rPr>
      <w:rFonts w:ascii="Arial" w:hAnsi="Arial"/>
      <w:b/>
      <w:noProof/>
      <w:color w:val="3C533C" w:themeColor="accent1"/>
      <w:sz w:val="52"/>
      <w:lang w:val="en-AU"/>
    </w:rPr>
  </w:style>
  <w:style w:type="character" w:customStyle="1" w:styleId="Heading8Char">
    <w:name w:val="Heading 8 Char"/>
    <w:basedOn w:val="DefaultParagraphFont"/>
    <w:link w:val="Heading8"/>
    <w:rsid w:val="00552949"/>
    <w:rPr>
      <w:rFonts w:ascii="Arial" w:hAnsi="Arial"/>
      <w:b/>
      <w:noProof/>
      <w:sz w:val="28"/>
      <w:lang w:val="en-AU"/>
    </w:rPr>
  </w:style>
  <w:style w:type="character" w:customStyle="1" w:styleId="Heading9Char">
    <w:name w:val="Heading 9 Char"/>
    <w:basedOn w:val="DefaultParagraphFont"/>
    <w:link w:val="Heading9"/>
    <w:rsid w:val="00E84D35"/>
    <w:rPr>
      <w:rFonts w:ascii="Arial" w:hAnsi="Arial"/>
      <w:b/>
      <w:iCs/>
      <w:noProof/>
      <w:color w:val="667545" w:themeColor="accent3"/>
      <w:sz w:val="24"/>
      <w:lang w:val="en-AU"/>
    </w:rPr>
  </w:style>
  <w:style w:type="numbering" w:customStyle="1" w:styleId="Headings">
    <w:name w:val="Headings"/>
    <w:uiPriority w:val="99"/>
    <w:rsid w:val="00487EB1"/>
    <w:pPr>
      <w:numPr>
        <w:numId w:val="3"/>
      </w:numPr>
    </w:pPr>
  </w:style>
  <w:style w:type="paragraph" w:styleId="ListBullet">
    <w:name w:val="List Bullet"/>
    <w:basedOn w:val="BodyText"/>
    <w:link w:val="ListBulletChar"/>
    <w:uiPriority w:val="99"/>
    <w:unhideWhenUsed/>
    <w:qFormat/>
    <w:rsid w:val="00552949"/>
    <w:pPr>
      <w:numPr>
        <w:numId w:val="10"/>
      </w:numPr>
    </w:pPr>
    <w:rPr>
      <w:lang w:val="en-CA"/>
    </w:rPr>
  </w:style>
  <w:style w:type="numbering" w:customStyle="1" w:styleId="ListBullets">
    <w:name w:val="ListBullets"/>
    <w:uiPriority w:val="99"/>
    <w:rsid w:val="00487EB1"/>
    <w:pPr>
      <w:numPr>
        <w:numId w:val="7"/>
      </w:numPr>
    </w:pPr>
  </w:style>
  <w:style w:type="paragraph" w:styleId="ListBullet2">
    <w:name w:val="List Bullet 2"/>
    <w:basedOn w:val="BodyText"/>
    <w:link w:val="ListBullet2Char"/>
    <w:uiPriority w:val="99"/>
    <w:unhideWhenUsed/>
    <w:qFormat/>
    <w:rsid w:val="00552949"/>
    <w:pPr>
      <w:numPr>
        <w:ilvl w:val="1"/>
        <w:numId w:val="10"/>
      </w:numPr>
    </w:pPr>
    <w:rPr>
      <w:lang w:val="en-CA"/>
    </w:rPr>
  </w:style>
  <w:style w:type="paragraph" w:styleId="ListBullet3">
    <w:name w:val="List Bullet 3"/>
    <w:basedOn w:val="BodyText"/>
    <w:link w:val="ListBullet3Char"/>
    <w:uiPriority w:val="99"/>
    <w:unhideWhenUsed/>
    <w:qFormat/>
    <w:rsid w:val="00552949"/>
    <w:pPr>
      <w:numPr>
        <w:ilvl w:val="2"/>
        <w:numId w:val="10"/>
      </w:numPr>
    </w:pPr>
    <w:rPr>
      <w:lang w:val="en-CA"/>
    </w:rPr>
  </w:style>
  <w:style w:type="paragraph" w:styleId="ListBullet4">
    <w:name w:val="List Bullet 4"/>
    <w:basedOn w:val="ListBullet3"/>
    <w:link w:val="ListBullet4Char"/>
    <w:uiPriority w:val="99"/>
    <w:unhideWhenUsed/>
    <w:qFormat/>
    <w:rsid w:val="00552949"/>
    <w:pPr>
      <w:numPr>
        <w:ilvl w:val="3"/>
      </w:numPr>
    </w:pPr>
  </w:style>
  <w:style w:type="paragraph" w:styleId="Header">
    <w:name w:val="header"/>
    <w:basedOn w:val="BodyText"/>
    <w:link w:val="HeaderChar"/>
    <w:uiPriority w:val="99"/>
    <w:unhideWhenUsed/>
    <w:rsid w:val="00AC1BC7"/>
    <w:pPr>
      <w:tabs>
        <w:tab w:val="center" w:pos="4680"/>
        <w:tab w:val="right" w:pos="9360"/>
      </w:tabs>
      <w:spacing w:after="40"/>
      <w:contextualSpacing/>
    </w:pPr>
    <w:rPr>
      <w:rFonts w:eastAsia="Times New Roman" w:cs="Times New Roman"/>
      <w:bCs/>
      <w:noProof/>
      <w:sz w:val="18"/>
      <w:szCs w:val="22"/>
    </w:rPr>
  </w:style>
  <w:style w:type="character" w:customStyle="1" w:styleId="HeaderChar">
    <w:name w:val="Header Char"/>
    <w:basedOn w:val="DefaultParagraphFont"/>
    <w:link w:val="Header"/>
    <w:uiPriority w:val="99"/>
    <w:rsid w:val="00AC1BC7"/>
    <w:rPr>
      <w:rFonts w:ascii="Arial" w:eastAsia="Times New Roman" w:hAnsi="Arial" w:cs="Times New Roman"/>
      <w:bCs/>
      <w:noProof/>
      <w:sz w:val="18"/>
      <w:szCs w:val="22"/>
      <w:lang w:val="en-AU"/>
    </w:rPr>
  </w:style>
  <w:style w:type="paragraph" w:styleId="Footer">
    <w:name w:val="footer"/>
    <w:basedOn w:val="BodyText"/>
    <w:link w:val="FooterChar"/>
    <w:uiPriority w:val="99"/>
    <w:unhideWhenUsed/>
    <w:rsid w:val="00AC1BC7"/>
    <w:pPr>
      <w:tabs>
        <w:tab w:val="center" w:pos="4680"/>
        <w:tab w:val="right" w:pos="9360"/>
      </w:tabs>
      <w:spacing w:after="0"/>
    </w:pPr>
    <w:rPr>
      <w:sz w:val="18"/>
    </w:rPr>
  </w:style>
  <w:style w:type="character" w:customStyle="1" w:styleId="FooterChar">
    <w:name w:val="Footer Char"/>
    <w:basedOn w:val="DefaultParagraphFont"/>
    <w:link w:val="Footer"/>
    <w:uiPriority w:val="99"/>
    <w:rsid w:val="00AC1BC7"/>
    <w:rPr>
      <w:rFonts w:ascii="Arial" w:hAnsi="Arial"/>
      <w:sz w:val="18"/>
      <w:lang w:val="en-AU"/>
    </w:rPr>
  </w:style>
  <w:style w:type="paragraph" w:styleId="TOC8">
    <w:name w:val="toc 8"/>
    <w:basedOn w:val="Normal"/>
    <w:next w:val="Normal"/>
    <w:autoRedefine/>
    <w:semiHidden/>
    <w:rsid w:val="00487EB1"/>
    <w:pPr>
      <w:ind w:left="1680"/>
    </w:pPr>
  </w:style>
  <w:style w:type="paragraph" w:styleId="TableofFigures">
    <w:name w:val="table of figures"/>
    <w:basedOn w:val="BodyText"/>
    <w:next w:val="BodyText"/>
    <w:link w:val="TableofFiguresChar"/>
    <w:uiPriority w:val="99"/>
    <w:unhideWhenUsed/>
    <w:rsid w:val="00487EB1"/>
    <w:pPr>
      <w:tabs>
        <w:tab w:val="right" w:leader="dot" w:pos="9350"/>
      </w:tabs>
      <w:spacing w:after="0"/>
      <w:ind w:left="1080" w:hanging="1080"/>
    </w:pPr>
    <w:rPr>
      <w:rFonts w:eastAsiaTheme="majorEastAsia"/>
      <w:noProof/>
    </w:rPr>
  </w:style>
  <w:style w:type="character" w:styleId="Hyperlink">
    <w:name w:val="Hyperlink"/>
    <w:basedOn w:val="BodyTextChar"/>
    <w:uiPriority w:val="99"/>
    <w:unhideWhenUsed/>
    <w:rsid w:val="0088059D"/>
    <w:rPr>
      <w:rFonts w:ascii="Arial" w:eastAsia="Times New Roman" w:hAnsi="Arial" w:cs="Times New Roman"/>
      <w:color w:val="4E5768"/>
      <w:sz w:val="22"/>
      <w:szCs w:val="24"/>
      <w:u w:val="single"/>
      <w:lang w:val="en-CA"/>
    </w:rPr>
  </w:style>
  <w:style w:type="paragraph" w:styleId="Caption">
    <w:name w:val="caption"/>
    <w:basedOn w:val="BodyText"/>
    <w:next w:val="BodyText"/>
    <w:unhideWhenUsed/>
    <w:qFormat/>
    <w:rsid w:val="00C6253B"/>
    <w:pPr>
      <w:keepNext/>
      <w:spacing w:before="240"/>
      <w:ind w:left="1247" w:hanging="1247"/>
    </w:pPr>
    <w:rPr>
      <w:b/>
      <w:szCs w:val="22"/>
    </w:rPr>
  </w:style>
  <w:style w:type="table" w:styleId="TableGrid">
    <w:name w:val="Table Grid"/>
    <w:basedOn w:val="TableNormal"/>
    <w:uiPriority w:val="59"/>
    <w:rsid w:val="00487EB1"/>
    <w:pPr>
      <w:spacing w:line="259" w:lineRule="auto"/>
    </w:pPr>
    <w:rPr>
      <w:rFonts w:ascii="Arial" w:hAnsi="Arial"/>
      <w:sz w:val="18"/>
    </w:rPr>
    <w:tblPr>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8" w:type="dxa"/>
        <w:left w:w="115" w:type="dxa"/>
        <w:bottom w:w="58" w:type="dxa"/>
        <w:right w:w="115" w:type="dxa"/>
      </w:tblCellMar>
    </w:tblPr>
    <w:trPr>
      <w:cantSplit/>
      <w:jc w:val="center"/>
    </w:trPr>
    <w:tblStylePr w:type="firstRow">
      <w:pPr>
        <w:wordWrap/>
        <w:spacing w:beforeLines="0" w:beforeAutospacing="0" w:afterLines="0" w:afterAutospacing="0" w:line="240" w:lineRule="auto"/>
        <w:jc w:val="center"/>
      </w:pPr>
      <w:rPr>
        <w:rFonts w:ascii="Arial" w:hAnsi="Arial"/>
        <w:b/>
        <w:caps/>
        <w:smallCaps w:val="0"/>
        <w:sz w:val="18"/>
      </w:rPr>
    </w:tblStylePr>
    <w:tblStylePr w:type="firstCol">
      <w:pPr>
        <w:wordWrap/>
        <w:jc w:val="left"/>
      </w:pPr>
    </w:tblStylePr>
  </w:style>
  <w:style w:type="paragraph" w:customStyle="1" w:styleId="TableHeading">
    <w:name w:val="Table Heading"/>
    <w:basedOn w:val="BodyText"/>
    <w:qFormat/>
    <w:rsid w:val="00552949"/>
    <w:pPr>
      <w:keepNext/>
      <w:spacing w:before="60" w:after="60"/>
      <w:jc w:val="center"/>
    </w:pPr>
    <w:rPr>
      <w:rFonts w:eastAsia="Calibri"/>
      <w:b/>
      <w:sz w:val="20"/>
      <w:szCs w:val="22"/>
    </w:rPr>
  </w:style>
  <w:style w:type="paragraph" w:styleId="EndnoteText">
    <w:name w:val="endnote text"/>
    <w:basedOn w:val="BodyText"/>
    <w:link w:val="EndnoteTextChar"/>
    <w:unhideWhenUsed/>
    <w:rsid w:val="00AC1BC7"/>
    <w:pPr>
      <w:spacing w:before="60" w:after="60"/>
    </w:pPr>
    <w:rPr>
      <w:sz w:val="18"/>
    </w:rPr>
  </w:style>
  <w:style w:type="character" w:customStyle="1" w:styleId="EndnoteTextChar">
    <w:name w:val="Endnote Text Char"/>
    <w:basedOn w:val="DefaultParagraphFont"/>
    <w:link w:val="EndnoteText"/>
    <w:rsid w:val="00AC1BC7"/>
    <w:rPr>
      <w:rFonts w:ascii="Arial" w:hAnsi="Arial"/>
      <w:sz w:val="18"/>
      <w:lang w:val="en-AU"/>
    </w:rPr>
  </w:style>
  <w:style w:type="character" w:styleId="EndnoteReference">
    <w:name w:val="endnote reference"/>
    <w:basedOn w:val="DefaultParagraphFont"/>
    <w:uiPriority w:val="99"/>
    <w:semiHidden/>
    <w:unhideWhenUsed/>
    <w:rsid w:val="00487EB1"/>
    <w:rPr>
      <w:vertAlign w:val="superscript"/>
    </w:rPr>
  </w:style>
  <w:style w:type="character" w:styleId="FootnoteReference">
    <w:name w:val="footnote reference"/>
    <w:basedOn w:val="DefaultParagraphFont"/>
    <w:unhideWhenUsed/>
    <w:rsid w:val="00487EB1"/>
    <w:rPr>
      <w:vertAlign w:val="superscript"/>
    </w:rPr>
  </w:style>
  <w:style w:type="paragraph" w:styleId="TOC3">
    <w:name w:val="toc 3"/>
    <w:basedOn w:val="TOC2"/>
    <w:next w:val="BodyText"/>
    <w:autoRedefine/>
    <w:uiPriority w:val="39"/>
    <w:unhideWhenUsed/>
    <w:rsid w:val="00487EB1"/>
  </w:style>
  <w:style w:type="paragraph" w:styleId="TOC1">
    <w:name w:val="toc 1"/>
    <w:basedOn w:val="BodyText"/>
    <w:next w:val="BodyText"/>
    <w:link w:val="TOC1Char"/>
    <w:uiPriority w:val="39"/>
    <w:unhideWhenUsed/>
    <w:rsid w:val="00D002F6"/>
    <w:pPr>
      <w:tabs>
        <w:tab w:val="right" w:leader="dot" w:pos="9360"/>
      </w:tabs>
      <w:ind w:left="540" w:right="29" w:hanging="540"/>
    </w:pPr>
    <w:rPr>
      <w:b/>
      <w:noProof/>
      <w:szCs w:val="22"/>
    </w:rPr>
  </w:style>
  <w:style w:type="paragraph" w:styleId="TOC2">
    <w:name w:val="toc 2"/>
    <w:basedOn w:val="TOC1"/>
    <w:next w:val="BodyText"/>
    <w:autoRedefine/>
    <w:uiPriority w:val="39"/>
    <w:unhideWhenUsed/>
    <w:rsid w:val="00487EB1"/>
    <w:rPr>
      <w:b w:val="0"/>
    </w:rPr>
  </w:style>
  <w:style w:type="paragraph" w:styleId="TOC4">
    <w:name w:val="toc 4"/>
    <w:basedOn w:val="TOC3"/>
    <w:next w:val="BodyText"/>
    <w:autoRedefine/>
    <w:uiPriority w:val="39"/>
    <w:unhideWhenUsed/>
    <w:rsid w:val="00487EB1"/>
  </w:style>
  <w:style w:type="character" w:styleId="PlaceholderText">
    <w:name w:val="Placeholder Text"/>
    <w:basedOn w:val="DefaultParagraphFont"/>
    <w:uiPriority w:val="99"/>
    <w:semiHidden/>
    <w:rsid w:val="00487EB1"/>
    <w:rPr>
      <w:color w:val="808080"/>
    </w:rPr>
  </w:style>
  <w:style w:type="paragraph" w:customStyle="1" w:styleId="Heading1NoNumber">
    <w:name w:val="Heading 1 No Number"/>
    <w:basedOn w:val="BodyText"/>
    <w:next w:val="BodyText"/>
    <w:qFormat/>
    <w:rsid w:val="00552949"/>
    <w:pPr>
      <w:keepNext/>
      <w:spacing w:before="240"/>
    </w:pPr>
    <w:rPr>
      <w:b/>
      <w:bCs/>
      <w:sz w:val="32"/>
    </w:rPr>
  </w:style>
  <w:style w:type="character" w:styleId="FollowedHyperlink">
    <w:name w:val="FollowedHyperlink"/>
    <w:basedOn w:val="DefaultParagraphFont"/>
    <w:uiPriority w:val="99"/>
    <w:semiHidden/>
    <w:unhideWhenUsed/>
    <w:rsid w:val="00487EB1"/>
    <w:rPr>
      <w:color w:val="717568" w:themeColor="followedHyperlink"/>
      <w:u w:val="single"/>
    </w:rPr>
  </w:style>
  <w:style w:type="paragraph" w:customStyle="1" w:styleId="CoverTitleXref">
    <w:name w:val="Cover Title Xref"/>
    <w:basedOn w:val="BodyText"/>
    <w:next w:val="CoverBody"/>
    <w:rsid w:val="00E84D35"/>
    <w:pPr>
      <w:spacing w:after="240"/>
    </w:pPr>
    <w:rPr>
      <w:rFonts w:asciiTheme="minorHAnsi" w:hAnsiTheme="minorHAnsi" w:cs="Arial"/>
      <w:b/>
      <w:noProof/>
      <w:sz w:val="32"/>
      <w:szCs w:val="32"/>
    </w:rPr>
  </w:style>
  <w:style w:type="paragraph" w:styleId="BalloonText">
    <w:name w:val="Balloon Text"/>
    <w:basedOn w:val="Normal"/>
    <w:link w:val="BalloonTextChar"/>
    <w:uiPriority w:val="99"/>
    <w:semiHidden/>
    <w:unhideWhenUsed/>
    <w:rsid w:val="00487EB1"/>
    <w:rPr>
      <w:rFonts w:ascii="Tahoma" w:hAnsi="Tahoma" w:cs="Tahoma"/>
      <w:sz w:val="16"/>
      <w:szCs w:val="16"/>
    </w:rPr>
  </w:style>
  <w:style w:type="character" w:customStyle="1" w:styleId="BalloonTextChar">
    <w:name w:val="Balloon Text Char"/>
    <w:basedOn w:val="DefaultParagraphFont"/>
    <w:link w:val="BalloonText"/>
    <w:uiPriority w:val="99"/>
    <w:semiHidden/>
    <w:rsid w:val="00487EB1"/>
    <w:rPr>
      <w:rFonts w:ascii="Tahoma" w:hAnsi="Tahoma" w:cs="Tahoma"/>
      <w:sz w:val="16"/>
      <w:szCs w:val="16"/>
    </w:rPr>
  </w:style>
  <w:style w:type="table" w:customStyle="1" w:styleId="SLROption1">
    <w:name w:val="SLR Option 1"/>
    <w:basedOn w:val="TableNormal"/>
    <w:rsid w:val="00F04C26"/>
    <w:pPr>
      <w:spacing w:before="60" w:after="60"/>
    </w:pPr>
    <w:rPr>
      <w:rFonts w:ascii="Arial" w:eastAsia="Times New Roman" w:hAnsi="Arial"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blStylePr w:type="firstRow">
      <w:pPr>
        <w:jc w:val="center"/>
      </w:pPr>
      <w:rPr>
        <w:rFonts w:ascii="Figtree" w:hAnsi="Figtree"/>
        <w:sz w:val="18"/>
      </w:rPr>
      <w:tblPr/>
      <w:trPr>
        <w:tblHeader/>
      </w:trPr>
    </w:tblStylePr>
  </w:style>
  <w:style w:type="paragraph" w:customStyle="1" w:styleId="HeaderRight">
    <w:name w:val="Header (Right)"/>
    <w:basedOn w:val="Header"/>
    <w:rsid w:val="00487EB1"/>
    <w:pPr>
      <w:jc w:val="right"/>
    </w:pPr>
  </w:style>
  <w:style w:type="paragraph" w:customStyle="1" w:styleId="CoverClientRef">
    <w:name w:val="Cover Client Ref"/>
    <w:basedOn w:val="CoverClientName"/>
    <w:next w:val="CoverBody"/>
    <w:link w:val="CoverClientRefChar"/>
    <w:rsid w:val="00487EB1"/>
    <w:pPr>
      <w:spacing w:after="240"/>
      <w:ind w:left="0"/>
    </w:pPr>
    <w:rPr>
      <w:sz w:val="24"/>
      <w:szCs w:val="28"/>
    </w:rPr>
  </w:style>
  <w:style w:type="character" w:customStyle="1" w:styleId="CoverClientRefChar">
    <w:name w:val="Cover Client Ref Char"/>
    <w:basedOn w:val="DefaultParagraphFont"/>
    <w:link w:val="CoverClientRef"/>
    <w:rsid w:val="00487EB1"/>
    <w:rPr>
      <w:rFonts w:ascii="Albra Light" w:hAnsi="Albra Light"/>
      <w:b/>
      <w:color w:val="41434C"/>
      <w:sz w:val="24"/>
      <w:szCs w:val="28"/>
    </w:rPr>
  </w:style>
  <w:style w:type="table" w:styleId="LightList-Accent3">
    <w:name w:val="Light List Accent 3"/>
    <w:basedOn w:val="TableNormal"/>
    <w:uiPriority w:val="61"/>
    <w:rsid w:val="00487EB1"/>
    <w:pPr>
      <w:spacing w:after="0"/>
    </w:pPr>
    <w:rPr>
      <w:rFonts w:eastAsiaTheme="minorEastAsia"/>
      <w:lang w:eastAsia="ja-JP"/>
    </w:rPr>
    <w:tblPr>
      <w:tblStyleRowBandSize w:val="1"/>
      <w:tblStyleColBandSize w:val="1"/>
      <w:tblBorders>
        <w:top w:val="single" w:sz="8" w:space="0" w:color="667545" w:themeColor="accent3"/>
        <w:left w:val="single" w:sz="8" w:space="0" w:color="667545" w:themeColor="accent3"/>
        <w:bottom w:val="single" w:sz="8" w:space="0" w:color="667545" w:themeColor="accent3"/>
        <w:right w:val="single" w:sz="8" w:space="0" w:color="667545" w:themeColor="accent3"/>
      </w:tblBorders>
    </w:tblPr>
    <w:tblStylePr w:type="firstRow">
      <w:pPr>
        <w:spacing w:before="0" w:after="0" w:line="240" w:lineRule="auto"/>
      </w:pPr>
      <w:rPr>
        <w:b/>
        <w:bCs/>
        <w:color w:val="FFFFFF" w:themeColor="background1"/>
      </w:rPr>
      <w:tblPr/>
      <w:tcPr>
        <w:shd w:val="clear" w:color="auto" w:fill="667545" w:themeFill="accent3"/>
      </w:tcPr>
    </w:tblStylePr>
    <w:tblStylePr w:type="lastRow">
      <w:pPr>
        <w:spacing w:before="0" w:after="0" w:line="240" w:lineRule="auto"/>
      </w:pPr>
      <w:rPr>
        <w:b/>
        <w:bCs/>
      </w:rPr>
      <w:tblPr/>
      <w:tcPr>
        <w:tcBorders>
          <w:top w:val="double" w:sz="6" w:space="0" w:color="667545" w:themeColor="accent3"/>
          <w:left w:val="single" w:sz="8" w:space="0" w:color="667545" w:themeColor="accent3"/>
          <w:bottom w:val="single" w:sz="8" w:space="0" w:color="667545" w:themeColor="accent3"/>
          <w:right w:val="single" w:sz="8" w:space="0" w:color="667545" w:themeColor="accent3"/>
        </w:tcBorders>
      </w:tcPr>
    </w:tblStylePr>
    <w:tblStylePr w:type="firstCol">
      <w:rPr>
        <w:b/>
        <w:bCs/>
      </w:rPr>
    </w:tblStylePr>
    <w:tblStylePr w:type="lastCol">
      <w:rPr>
        <w:b/>
        <w:bCs/>
      </w:rPr>
    </w:tblStylePr>
    <w:tblStylePr w:type="band1Vert">
      <w:tblPr/>
      <w:tcPr>
        <w:tcBorders>
          <w:top w:val="single" w:sz="8" w:space="0" w:color="667545" w:themeColor="accent3"/>
          <w:left w:val="single" w:sz="8" w:space="0" w:color="667545" w:themeColor="accent3"/>
          <w:bottom w:val="single" w:sz="8" w:space="0" w:color="667545" w:themeColor="accent3"/>
          <w:right w:val="single" w:sz="8" w:space="0" w:color="667545" w:themeColor="accent3"/>
        </w:tcBorders>
      </w:tcPr>
    </w:tblStylePr>
    <w:tblStylePr w:type="band1Horz">
      <w:tblPr/>
      <w:tcPr>
        <w:tcBorders>
          <w:top w:val="single" w:sz="8" w:space="0" w:color="667545" w:themeColor="accent3"/>
          <w:left w:val="single" w:sz="8" w:space="0" w:color="667545" w:themeColor="accent3"/>
          <w:bottom w:val="single" w:sz="8" w:space="0" w:color="667545" w:themeColor="accent3"/>
          <w:right w:val="single" w:sz="8" w:space="0" w:color="667545" w:themeColor="accent3"/>
        </w:tcBorders>
      </w:tcPr>
    </w:tblStylePr>
  </w:style>
  <w:style w:type="paragraph" w:customStyle="1" w:styleId="Heading2NoNumber">
    <w:name w:val="Heading 2 No Number"/>
    <w:basedOn w:val="BodyText"/>
    <w:next w:val="BodyText"/>
    <w:qFormat/>
    <w:rsid w:val="00487EB1"/>
    <w:pPr>
      <w:tabs>
        <w:tab w:val="left" w:pos="2895"/>
        <w:tab w:val="left" w:pos="4110"/>
      </w:tabs>
      <w:spacing w:before="240"/>
    </w:pPr>
    <w:rPr>
      <w:b/>
      <w:color w:val="3C533C"/>
      <w:sz w:val="28"/>
    </w:rPr>
  </w:style>
  <w:style w:type="paragraph" w:styleId="CommentSubject">
    <w:name w:val="annotation subject"/>
    <w:basedOn w:val="Normal"/>
    <w:next w:val="Normal"/>
    <w:link w:val="CommentSubjectChar"/>
    <w:uiPriority w:val="99"/>
    <w:semiHidden/>
    <w:unhideWhenUsed/>
    <w:rsid w:val="00487EB1"/>
    <w:rPr>
      <w:b/>
      <w:bCs/>
    </w:rPr>
  </w:style>
  <w:style w:type="character" w:customStyle="1" w:styleId="CommentSubjectChar">
    <w:name w:val="Comment Subject Char"/>
    <w:basedOn w:val="DefaultParagraphFont"/>
    <w:link w:val="CommentSubject"/>
    <w:uiPriority w:val="99"/>
    <w:semiHidden/>
    <w:rsid w:val="00487EB1"/>
    <w:rPr>
      <w:b/>
      <w:bCs/>
    </w:rPr>
  </w:style>
  <w:style w:type="paragraph" w:styleId="Revision">
    <w:name w:val="Revision"/>
    <w:hidden/>
    <w:uiPriority w:val="99"/>
    <w:semiHidden/>
    <w:rsid w:val="002F201B"/>
    <w:pPr>
      <w:spacing w:after="0"/>
    </w:pPr>
    <w:rPr>
      <w:rFonts w:ascii="Arial" w:eastAsia="Times New Roman" w:hAnsi="Arial" w:cs="Times New Roman"/>
      <w:szCs w:val="24"/>
    </w:rPr>
  </w:style>
  <w:style w:type="character" w:customStyle="1" w:styleId="ListBulletChar">
    <w:name w:val="List Bullet Char"/>
    <w:basedOn w:val="DefaultParagraphFont"/>
    <w:link w:val="ListBullet"/>
    <w:uiPriority w:val="99"/>
    <w:rsid w:val="00552949"/>
    <w:rPr>
      <w:rFonts w:ascii="Arial" w:hAnsi="Arial"/>
      <w:sz w:val="22"/>
      <w:lang w:val="en-CA"/>
    </w:rPr>
  </w:style>
  <w:style w:type="character" w:customStyle="1" w:styleId="ListBullet2Char">
    <w:name w:val="List Bullet 2 Char"/>
    <w:basedOn w:val="DefaultParagraphFont"/>
    <w:link w:val="ListBullet2"/>
    <w:uiPriority w:val="99"/>
    <w:rsid w:val="00552949"/>
    <w:rPr>
      <w:rFonts w:ascii="Arial" w:hAnsi="Arial"/>
      <w:sz w:val="22"/>
      <w:lang w:val="en-CA"/>
    </w:rPr>
  </w:style>
  <w:style w:type="character" w:customStyle="1" w:styleId="ListBullet3Char">
    <w:name w:val="List Bullet 3 Char"/>
    <w:basedOn w:val="ListBullet2Char"/>
    <w:link w:val="ListBullet3"/>
    <w:uiPriority w:val="99"/>
    <w:rsid w:val="00552949"/>
    <w:rPr>
      <w:rFonts w:ascii="Arial" w:hAnsi="Arial"/>
      <w:sz w:val="22"/>
      <w:lang w:val="en-CA"/>
    </w:rPr>
  </w:style>
  <w:style w:type="character" w:customStyle="1" w:styleId="ListBullet4Char">
    <w:name w:val="List Bullet 4 Char"/>
    <w:basedOn w:val="DefaultParagraphFont"/>
    <w:link w:val="ListBullet4"/>
    <w:uiPriority w:val="99"/>
    <w:rsid w:val="00552949"/>
    <w:rPr>
      <w:rFonts w:ascii="Arial" w:hAnsi="Arial"/>
      <w:sz w:val="22"/>
      <w:lang w:val="en-CA"/>
    </w:rPr>
  </w:style>
  <w:style w:type="paragraph" w:customStyle="1" w:styleId="References">
    <w:name w:val="References"/>
    <w:basedOn w:val="BodyText"/>
    <w:link w:val="ReferencesChar"/>
    <w:rsid w:val="00487EB1"/>
    <w:pPr>
      <w:ind w:left="720" w:hanging="720"/>
    </w:pPr>
  </w:style>
  <w:style w:type="character" w:customStyle="1" w:styleId="ReferencesChar">
    <w:name w:val="References Char"/>
    <w:basedOn w:val="DefaultParagraphFont"/>
    <w:link w:val="References"/>
    <w:rsid w:val="00487EB1"/>
  </w:style>
  <w:style w:type="paragraph" w:styleId="BodyText2">
    <w:name w:val="Body Text 2"/>
    <w:basedOn w:val="Normal"/>
    <w:link w:val="BodyText2Char"/>
    <w:semiHidden/>
    <w:rsid w:val="00487EB1"/>
    <w:pPr>
      <w:spacing w:before="0"/>
      <w:jc w:val="both"/>
    </w:pPr>
    <w:rPr>
      <w:rFonts w:ascii="Arial Narrow" w:hAnsi="Arial Narrow"/>
      <w:color w:val="008000"/>
      <w:szCs w:val="22"/>
      <w:lang w:val="en-GB"/>
    </w:rPr>
  </w:style>
  <w:style w:type="character" w:customStyle="1" w:styleId="BodyText2Char">
    <w:name w:val="Body Text 2 Char"/>
    <w:basedOn w:val="DefaultParagraphFont"/>
    <w:link w:val="BodyText2"/>
    <w:semiHidden/>
    <w:rsid w:val="00487EB1"/>
    <w:rPr>
      <w:rFonts w:ascii="Arial Narrow" w:hAnsi="Arial Narrow"/>
      <w:color w:val="008000"/>
      <w:szCs w:val="22"/>
      <w:lang w:val="en-GB"/>
    </w:rPr>
  </w:style>
  <w:style w:type="paragraph" w:styleId="Bibliography">
    <w:name w:val="Bibliography"/>
    <w:basedOn w:val="Normal"/>
    <w:next w:val="Normal"/>
    <w:uiPriority w:val="37"/>
    <w:semiHidden/>
    <w:unhideWhenUsed/>
    <w:rsid w:val="00487EB1"/>
  </w:style>
  <w:style w:type="paragraph" w:styleId="BlockText">
    <w:name w:val="Block Text"/>
    <w:basedOn w:val="Normal"/>
    <w:uiPriority w:val="99"/>
    <w:semiHidden/>
    <w:unhideWhenUsed/>
    <w:rsid w:val="00487EB1"/>
    <w:pPr>
      <w:pBdr>
        <w:top w:val="single" w:sz="2" w:space="10" w:color="3C533C" w:themeColor="accent1" w:frame="1"/>
        <w:left w:val="single" w:sz="2" w:space="10" w:color="3C533C" w:themeColor="accent1" w:frame="1"/>
        <w:bottom w:val="single" w:sz="2" w:space="10" w:color="3C533C" w:themeColor="accent1" w:frame="1"/>
        <w:right w:val="single" w:sz="2" w:space="10" w:color="3C533C" w:themeColor="accent1" w:frame="1"/>
      </w:pBdr>
      <w:ind w:left="1152" w:right="1152"/>
    </w:pPr>
    <w:rPr>
      <w:rFonts w:asciiTheme="minorHAnsi" w:eastAsiaTheme="minorEastAsia" w:hAnsiTheme="minorHAnsi"/>
      <w:i/>
      <w:iCs/>
      <w:color w:val="3C533C" w:themeColor="accent1"/>
    </w:rPr>
  </w:style>
  <w:style w:type="paragraph" w:styleId="BodyText">
    <w:name w:val="Body Text"/>
    <w:basedOn w:val="Normal"/>
    <w:link w:val="BodyTextChar"/>
    <w:uiPriority w:val="99"/>
    <w:unhideWhenUsed/>
    <w:qFormat/>
    <w:rsid w:val="00487EB1"/>
  </w:style>
  <w:style w:type="character" w:customStyle="1" w:styleId="BodyTextChar">
    <w:name w:val="Body Text Char"/>
    <w:basedOn w:val="DefaultParagraphFont"/>
    <w:link w:val="BodyText"/>
    <w:uiPriority w:val="99"/>
    <w:rsid w:val="00487EB1"/>
  </w:style>
  <w:style w:type="paragraph" w:styleId="BodyText3">
    <w:name w:val="Body Text 3"/>
    <w:basedOn w:val="Normal"/>
    <w:link w:val="BodyText3Char"/>
    <w:uiPriority w:val="99"/>
    <w:semiHidden/>
    <w:unhideWhenUsed/>
    <w:rsid w:val="00487EB1"/>
    <w:rPr>
      <w:sz w:val="16"/>
      <w:szCs w:val="16"/>
    </w:rPr>
  </w:style>
  <w:style w:type="character" w:customStyle="1" w:styleId="BodyText3Char">
    <w:name w:val="Body Text 3 Char"/>
    <w:basedOn w:val="DefaultParagraphFont"/>
    <w:link w:val="BodyText3"/>
    <w:uiPriority w:val="99"/>
    <w:semiHidden/>
    <w:rsid w:val="00487EB1"/>
    <w:rPr>
      <w:sz w:val="16"/>
      <w:szCs w:val="16"/>
    </w:rPr>
  </w:style>
  <w:style w:type="paragraph" w:styleId="BodyTextFirstIndent">
    <w:name w:val="Body Text First Indent"/>
    <w:basedOn w:val="BodyText"/>
    <w:link w:val="BodyTextFirstIndentChar"/>
    <w:uiPriority w:val="99"/>
    <w:semiHidden/>
    <w:unhideWhenUsed/>
    <w:rsid w:val="00487EB1"/>
    <w:pPr>
      <w:spacing w:after="0"/>
      <w:ind w:firstLine="360"/>
    </w:pPr>
  </w:style>
  <w:style w:type="character" w:customStyle="1" w:styleId="BodyTextFirstIndentChar">
    <w:name w:val="Body Text First Indent Char"/>
    <w:basedOn w:val="BodyTextChar"/>
    <w:link w:val="BodyTextFirstIndent"/>
    <w:uiPriority w:val="99"/>
    <w:semiHidden/>
    <w:rsid w:val="00487EB1"/>
  </w:style>
  <w:style w:type="paragraph" w:styleId="BodyTextIndent">
    <w:name w:val="Body Text Indent"/>
    <w:basedOn w:val="Normal"/>
    <w:link w:val="BodyTextIndentChar"/>
    <w:uiPriority w:val="99"/>
    <w:semiHidden/>
    <w:unhideWhenUsed/>
    <w:rsid w:val="00487EB1"/>
    <w:pPr>
      <w:ind w:left="360"/>
    </w:pPr>
  </w:style>
  <w:style w:type="character" w:customStyle="1" w:styleId="BodyTextIndentChar">
    <w:name w:val="Body Text Indent Char"/>
    <w:basedOn w:val="DefaultParagraphFont"/>
    <w:link w:val="BodyTextIndent"/>
    <w:uiPriority w:val="99"/>
    <w:semiHidden/>
    <w:rsid w:val="00487EB1"/>
  </w:style>
  <w:style w:type="paragraph" w:styleId="BodyTextFirstIndent2">
    <w:name w:val="Body Text First Indent 2"/>
    <w:basedOn w:val="BodyTextIndent"/>
    <w:link w:val="BodyTextFirstIndent2Char"/>
    <w:uiPriority w:val="99"/>
    <w:semiHidden/>
    <w:unhideWhenUsed/>
    <w:rsid w:val="00487EB1"/>
    <w:pPr>
      <w:spacing w:after="0"/>
      <w:ind w:firstLine="360"/>
    </w:pPr>
  </w:style>
  <w:style w:type="character" w:customStyle="1" w:styleId="BodyTextFirstIndent2Char">
    <w:name w:val="Body Text First Indent 2 Char"/>
    <w:basedOn w:val="BodyTextIndentChar"/>
    <w:link w:val="BodyTextFirstIndent2"/>
    <w:uiPriority w:val="99"/>
    <w:semiHidden/>
    <w:rsid w:val="00487EB1"/>
  </w:style>
  <w:style w:type="paragraph" w:styleId="BodyTextIndent2">
    <w:name w:val="Body Text Indent 2"/>
    <w:basedOn w:val="Normal"/>
    <w:link w:val="BodyTextIndent2Char"/>
    <w:uiPriority w:val="99"/>
    <w:semiHidden/>
    <w:unhideWhenUsed/>
    <w:rsid w:val="00487EB1"/>
    <w:pPr>
      <w:spacing w:line="480" w:lineRule="auto"/>
      <w:ind w:left="360"/>
    </w:pPr>
  </w:style>
  <w:style w:type="character" w:customStyle="1" w:styleId="BodyTextIndent2Char">
    <w:name w:val="Body Text Indent 2 Char"/>
    <w:basedOn w:val="DefaultParagraphFont"/>
    <w:link w:val="BodyTextIndent2"/>
    <w:uiPriority w:val="99"/>
    <w:semiHidden/>
    <w:rsid w:val="00487EB1"/>
  </w:style>
  <w:style w:type="paragraph" w:styleId="BodyTextIndent3">
    <w:name w:val="Body Text Indent 3"/>
    <w:basedOn w:val="Normal"/>
    <w:link w:val="BodyTextIndent3Char"/>
    <w:uiPriority w:val="99"/>
    <w:semiHidden/>
    <w:unhideWhenUsed/>
    <w:rsid w:val="00487EB1"/>
    <w:pPr>
      <w:ind w:left="360"/>
    </w:pPr>
    <w:rPr>
      <w:sz w:val="16"/>
      <w:szCs w:val="16"/>
    </w:rPr>
  </w:style>
  <w:style w:type="character" w:customStyle="1" w:styleId="BodyTextIndent3Char">
    <w:name w:val="Body Text Indent 3 Char"/>
    <w:basedOn w:val="DefaultParagraphFont"/>
    <w:link w:val="BodyTextIndent3"/>
    <w:uiPriority w:val="99"/>
    <w:semiHidden/>
    <w:rsid w:val="00487EB1"/>
    <w:rPr>
      <w:sz w:val="16"/>
      <w:szCs w:val="16"/>
    </w:rPr>
  </w:style>
  <w:style w:type="paragraph" w:styleId="Closing">
    <w:name w:val="Closing"/>
    <w:basedOn w:val="Normal"/>
    <w:link w:val="ClosingChar"/>
    <w:uiPriority w:val="99"/>
    <w:semiHidden/>
    <w:unhideWhenUsed/>
    <w:rsid w:val="00487EB1"/>
    <w:pPr>
      <w:spacing w:before="0"/>
      <w:ind w:left="4320"/>
    </w:pPr>
  </w:style>
  <w:style w:type="character" w:customStyle="1" w:styleId="ClosingChar">
    <w:name w:val="Closing Char"/>
    <w:basedOn w:val="DefaultParagraphFont"/>
    <w:link w:val="Closing"/>
    <w:uiPriority w:val="99"/>
    <w:semiHidden/>
    <w:rsid w:val="00487EB1"/>
  </w:style>
  <w:style w:type="paragraph" w:styleId="Date">
    <w:name w:val="Date"/>
    <w:basedOn w:val="Normal"/>
    <w:next w:val="Normal"/>
    <w:link w:val="DateChar"/>
    <w:uiPriority w:val="99"/>
    <w:semiHidden/>
    <w:unhideWhenUsed/>
    <w:rsid w:val="00487EB1"/>
  </w:style>
  <w:style w:type="character" w:customStyle="1" w:styleId="DateChar">
    <w:name w:val="Date Char"/>
    <w:basedOn w:val="DefaultParagraphFont"/>
    <w:link w:val="Date"/>
    <w:uiPriority w:val="99"/>
    <w:semiHidden/>
    <w:rsid w:val="00487EB1"/>
  </w:style>
  <w:style w:type="paragraph" w:styleId="DocumentMap">
    <w:name w:val="Document Map"/>
    <w:basedOn w:val="Normal"/>
    <w:link w:val="DocumentMapChar"/>
    <w:uiPriority w:val="99"/>
    <w:semiHidden/>
    <w:unhideWhenUsed/>
    <w:rsid w:val="00487EB1"/>
    <w:pPr>
      <w:spacing w:before="0"/>
    </w:pPr>
    <w:rPr>
      <w:rFonts w:ascii="Tahoma" w:hAnsi="Tahoma" w:cs="Tahoma"/>
      <w:sz w:val="16"/>
      <w:szCs w:val="16"/>
    </w:rPr>
  </w:style>
  <w:style w:type="character" w:customStyle="1" w:styleId="DocumentMapChar">
    <w:name w:val="Document Map Char"/>
    <w:basedOn w:val="DefaultParagraphFont"/>
    <w:link w:val="DocumentMap"/>
    <w:uiPriority w:val="99"/>
    <w:semiHidden/>
    <w:rsid w:val="00487EB1"/>
    <w:rPr>
      <w:rFonts w:ascii="Tahoma" w:hAnsi="Tahoma" w:cs="Tahoma"/>
      <w:sz w:val="16"/>
      <w:szCs w:val="16"/>
    </w:rPr>
  </w:style>
  <w:style w:type="paragraph" w:styleId="E-mailSignature">
    <w:name w:val="E-mail Signature"/>
    <w:basedOn w:val="Normal"/>
    <w:link w:val="E-mailSignatureChar"/>
    <w:uiPriority w:val="99"/>
    <w:semiHidden/>
    <w:unhideWhenUsed/>
    <w:rsid w:val="00487EB1"/>
    <w:pPr>
      <w:spacing w:before="0"/>
    </w:pPr>
  </w:style>
  <w:style w:type="character" w:customStyle="1" w:styleId="E-mailSignatureChar">
    <w:name w:val="E-mail Signature Char"/>
    <w:basedOn w:val="DefaultParagraphFont"/>
    <w:link w:val="E-mailSignature"/>
    <w:uiPriority w:val="99"/>
    <w:semiHidden/>
    <w:rsid w:val="00487EB1"/>
  </w:style>
  <w:style w:type="paragraph" w:styleId="EnvelopeAddress">
    <w:name w:val="envelope address"/>
    <w:basedOn w:val="Normal"/>
    <w:uiPriority w:val="99"/>
    <w:semiHidden/>
    <w:unhideWhenUsed/>
    <w:rsid w:val="00487EB1"/>
    <w:pPr>
      <w:framePr w:w="7920" w:h="1980" w:hRule="exact" w:hSpace="180" w:wrap="auto" w:hAnchor="page" w:xAlign="center" w:yAlign="bottom"/>
      <w:spacing w:before="0"/>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487EB1"/>
    <w:pPr>
      <w:spacing w:before="0"/>
    </w:pPr>
    <w:rPr>
      <w:rFonts w:asciiTheme="majorHAnsi" w:eastAsiaTheme="majorEastAsia" w:hAnsiTheme="majorHAnsi" w:cstheme="majorBidi"/>
    </w:rPr>
  </w:style>
  <w:style w:type="paragraph" w:styleId="HTMLAddress">
    <w:name w:val="HTML Address"/>
    <w:basedOn w:val="Normal"/>
    <w:link w:val="HTMLAddressChar"/>
    <w:uiPriority w:val="99"/>
    <w:semiHidden/>
    <w:unhideWhenUsed/>
    <w:rsid w:val="00487EB1"/>
    <w:pPr>
      <w:spacing w:before="0"/>
    </w:pPr>
    <w:rPr>
      <w:i/>
      <w:iCs/>
    </w:rPr>
  </w:style>
  <w:style w:type="character" w:customStyle="1" w:styleId="HTMLAddressChar">
    <w:name w:val="HTML Address Char"/>
    <w:basedOn w:val="DefaultParagraphFont"/>
    <w:link w:val="HTMLAddress"/>
    <w:uiPriority w:val="99"/>
    <w:semiHidden/>
    <w:rsid w:val="00487EB1"/>
    <w:rPr>
      <w:i/>
      <w:iCs/>
    </w:rPr>
  </w:style>
  <w:style w:type="paragraph" w:styleId="HTMLPreformatted">
    <w:name w:val="HTML Preformatted"/>
    <w:basedOn w:val="Normal"/>
    <w:link w:val="HTMLPreformattedChar"/>
    <w:uiPriority w:val="99"/>
    <w:semiHidden/>
    <w:unhideWhenUsed/>
    <w:rsid w:val="00487EB1"/>
    <w:pPr>
      <w:spacing w:before="0"/>
    </w:pPr>
    <w:rPr>
      <w:rFonts w:ascii="Consolas" w:hAnsi="Consolas"/>
    </w:rPr>
  </w:style>
  <w:style w:type="character" w:customStyle="1" w:styleId="HTMLPreformattedChar">
    <w:name w:val="HTML Preformatted Char"/>
    <w:basedOn w:val="DefaultParagraphFont"/>
    <w:link w:val="HTMLPreformatted"/>
    <w:uiPriority w:val="99"/>
    <w:semiHidden/>
    <w:rsid w:val="00487EB1"/>
    <w:rPr>
      <w:rFonts w:ascii="Consolas" w:hAnsi="Consolas"/>
    </w:rPr>
  </w:style>
  <w:style w:type="paragraph" w:styleId="Index1">
    <w:name w:val="index 1"/>
    <w:basedOn w:val="Normal"/>
    <w:next w:val="Normal"/>
    <w:autoRedefine/>
    <w:uiPriority w:val="99"/>
    <w:semiHidden/>
    <w:unhideWhenUsed/>
    <w:rsid w:val="00487EB1"/>
    <w:pPr>
      <w:spacing w:before="0"/>
      <w:ind w:left="220" w:hanging="220"/>
    </w:pPr>
  </w:style>
  <w:style w:type="paragraph" w:styleId="Index2">
    <w:name w:val="index 2"/>
    <w:basedOn w:val="Normal"/>
    <w:next w:val="Normal"/>
    <w:autoRedefine/>
    <w:uiPriority w:val="99"/>
    <w:semiHidden/>
    <w:unhideWhenUsed/>
    <w:rsid w:val="00487EB1"/>
    <w:pPr>
      <w:spacing w:before="0"/>
      <w:ind w:left="440" w:hanging="220"/>
    </w:pPr>
  </w:style>
  <w:style w:type="paragraph" w:styleId="Index3">
    <w:name w:val="index 3"/>
    <w:basedOn w:val="Normal"/>
    <w:next w:val="Normal"/>
    <w:autoRedefine/>
    <w:uiPriority w:val="99"/>
    <w:semiHidden/>
    <w:unhideWhenUsed/>
    <w:rsid w:val="00487EB1"/>
    <w:pPr>
      <w:spacing w:before="0"/>
      <w:ind w:left="660" w:hanging="220"/>
    </w:pPr>
  </w:style>
  <w:style w:type="paragraph" w:styleId="Index4">
    <w:name w:val="index 4"/>
    <w:basedOn w:val="Normal"/>
    <w:next w:val="Normal"/>
    <w:autoRedefine/>
    <w:uiPriority w:val="99"/>
    <w:semiHidden/>
    <w:unhideWhenUsed/>
    <w:rsid w:val="00487EB1"/>
    <w:pPr>
      <w:spacing w:before="0"/>
      <w:ind w:left="880" w:hanging="220"/>
    </w:pPr>
  </w:style>
  <w:style w:type="paragraph" w:styleId="Index5">
    <w:name w:val="index 5"/>
    <w:basedOn w:val="Normal"/>
    <w:next w:val="Normal"/>
    <w:autoRedefine/>
    <w:uiPriority w:val="99"/>
    <w:semiHidden/>
    <w:unhideWhenUsed/>
    <w:rsid w:val="00487EB1"/>
    <w:pPr>
      <w:spacing w:before="0"/>
      <w:ind w:left="1100" w:hanging="220"/>
    </w:pPr>
  </w:style>
  <w:style w:type="paragraph" w:styleId="Index6">
    <w:name w:val="index 6"/>
    <w:basedOn w:val="Normal"/>
    <w:next w:val="Normal"/>
    <w:autoRedefine/>
    <w:uiPriority w:val="99"/>
    <w:semiHidden/>
    <w:unhideWhenUsed/>
    <w:rsid w:val="00487EB1"/>
    <w:pPr>
      <w:spacing w:before="0"/>
      <w:ind w:left="1320" w:hanging="220"/>
    </w:pPr>
  </w:style>
  <w:style w:type="paragraph" w:styleId="Index7">
    <w:name w:val="index 7"/>
    <w:basedOn w:val="Normal"/>
    <w:next w:val="Normal"/>
    <w:autoRedefine/>
    <w:uiPriority w:val="99"/>
    <w:semiHidden/>
    <w:unhideWhenUsed/>
    <w:rsid w:val="00487EB1"/>
    <w:pPr>
      <w:spacing w:before="0"/>
      <w:ind w:left="1540" w:hanging="220"/>
    </w:pPr>
  </w:style>
  <w:style w:type="paragraph" w:styleId="Index8">
    <w:name w:val="index 8"/>
    <w:basedOn w:val="Normal"/>
    <w:next w:val="Normal"/>
    <w:autoRedefine/>
    <w:uiPriority w:val="99"/>
    <w:semiHidden/>
    <w:unhideWhenUsed/>
    <w:rsid w:val="00487EB1"/>
    <w:pPr>
      <w:spacing w:before="0"/>
      <w:ind w:left="1760" w:hanging="220"/>
    </w:pPr>
  </w:style>
  <w:style w:type="paragraph" w:styleId="Index9">
    <w:name w:val="index 9"/>
    <w:basedOn w:val="Normal"/>
    <w:next w:val="Normal"/>
    <w:autoRedefine/>
    <w:uiPriority w:val="99"/>
    <w:semiHidden/>
    <w:unhideWhenUsed/>
    <w:rsid w:val="00487EB1"/>
    <w:pPr>
      <w:spacing w:before="0"/>
      <w:ind w:left="1980" w:hanging="220"/>
    </w:pPr>
  </w:style>
  <w:style w:type="paragraph" w:styleId="IndexHeading">
    <w:name w:val="index heading"/>
    <w:basedOn w:val="Normal"/>
    <w:next w:val="Index1"/>
    <w:uiPriority w:val="99"/>
    <w:semiHidden/>
    <w:unhideWhenUsed/>
    <w:rsid w:val="00487EB1"/>
    <w:rPr>
      <w:rFonts w:asciiTheme="majorHAnsi" w:eastAsiaTheme="majorEastAsia" w:hAnsiTheme="majorHAnsi" w:cstheme="majorBidi"/>
      <w:b/>
      <w:bCs/>
    </w:rPr>
  </w:style>
  <w:style w:type="paragraph" w:styleId="List">
    <w:name w:val="List"/>
    <w:basedOn w:val="Normal"/>
    <w:uiPriority w:val="99"/>
    <w:semiHidden/>
    <w:unhideWhenUsed/>
    <w:rsid w:val="00487EB1"/>
    <w:pPr>
      <w:ind w:left="360" w:hanging="360"/>
      <w:contextualSpacing/>
    </w:pPr>
  </w:style>
  <w:style w:type="paragraph" w:styleId="List2">
    <w:name w:val="List 2"/>
    <w:basedOn w:val="Normal"/>
    <w:uiPriority w:val="99"/>
    <w:semiHidden/>
    <w:unhideWhenUsed/>
    <w:rsid w:val="00487EB1"/>
    <w:pPr>
      <w:ind w:left="720" w:hanging="360"/>
      <w:contextualSpacing/>
    </w:pPr>
  </w:style>
  <w:style w:type="paragraph" w:styleId="List3">
    <w:name w:val="List 3"/>
    <w:basedOn w:val="Normal"/>
    <w:uiPriority w:val="99"/>
    <w:semiHidden/>
    <w:unhideWhenUsed/>
    <w:rsid w:val="00487EB1"/>
    <w:pPr>
      <w:ind w:left="1080" w:hanging="360"/>
      <w:contextualSpacing/>
    </w:pPr>
  </w:style>
  <w:style w:type="paragraph" w:styleId="List4">
    <w:name w:val="List 4"/>
    <w:basedOn w:val="Normal"/>
    <w:uiPriority w:val="99"/>
    <w:semiHidden/>
    <w:unhideWhenUsed/>
    <w:rsid w:val="00487EB1"/>
    <w:pPr>
      <w:ind w:left="1440" w:hanging="360"/>
      <w:contextualSpacing/>
    </w:pPr>
  </w:style>
  <w:style w:type="paragraph" w:styleId="List5">
    <w:name w:val="List 5"/>
    <w:basedOn w:val="Normal"/>
    <w:uiPriority w:val="99"/>
    <w:semiHidden/>
    <w:unhideWhenUsed/>
    <w:rsid w:val="00487EB1"/>
    <w:pPr>
      <w:ind w:left="1800" w:hanging="360"/>
      <w:contextualSpacing/>
    </w:pPr>
  </w:style>
  <w:style w:type="paragraph" w:styleId="ListContinue">
    <w:name w:val="List Continue"/>
    <w:basedOn w:val="Normal"/>
    <w:uiPriority w:val="99"/>
    <w:semiHidden/>
    <w:unhideWhenUsed/>
    <w:rsid w:val="00487EB1"/>
    <w:pPr>
      <w:ind w:left="360"/>
      <w:contextualSpacing/>
    </w:pPr>
  </w:style>
  <w:style w:type="paragraph" w:styleId="ListContinue2">
    <w:name w:val="List Continue 2"/>
    <w:basedOn w:val="Normal"/>
    <w:uiPriority w:val="99"/>
    <w:semiHidden/>
    <w:unhideWhenUsed/>
    <w:rsid w:val="00487EB1"/>
    <w:pPr>
      <w:ind w:left="720"/>
      <w:contextualSpacing/>
    </w:pPr>
  </w:style>
  <w:style w:type="paragraph" w:styleId="ListContinue3">
    <w:name w:val="List Continue 3"/>
    <w:basedOn w:val="Normal"/>
    <w:uiPriority w:val="99"/>
    <w:semiHidden/>
    <w:unhideWhenUsed/>
    <w:rsid w:val="00487EB1"/>
    <w:pPr>
      <w:ind w:left="1080"/>
      <w:contextualSpacing/>
    </w:pPr>
  </w:style>
  <w:style w:type="paragraph" w:styleId="ListContinue4">
    <w:name w:val="List Continue 4"/>
    <w:basedOn w:val="Normal"/>
    <w:uiPriority w:val="99"/>
    <w:semiHidden/>
    <w:unhideWhenUsed/>
    <w:rsid w:val="00487EB1"/>
    <w:pPr>
      <w:ind w:left="1440"/>
      <w:contextualSpacing/>
    </w:pPr>
  </w:style>
  <w:style w:type="paragraph" w:styleId="ListContinue5">
    <w:name w:val="List Continue 5"/>
    <w:basedOn w:val="Normal"/>
    <w:uiPriority w:val="99"/>
    <w:semiHidden/>
    <w:unhideWhenUsed/>
    <w:rsid w:val="00487EB1"/>
    <w:pPr>
      <w:ind w:left="1800"/>
      <w:contextualSpacing/>
    </w:pPr>
  </w:style>
  <w:style w:type="paragraph" w:styleId="ListNumber">
    <w:name w:val="List Number"/>
    <w:basedOn w:val="BodyText"/>
    <w:uiPriority w:val="99"/>
    <w:unhideWhenUsed/>
    <w:qFormat/>
    <w:rsid w:val="00487EB1"/>
    <w:pPr>
      <w:numPr>
        <w:numId w:val="5"/>
      </w:numPr>
    </w:pPr>
  </w:style>
  <w:style w:type="paragraph" w:styleId="ListNumber2">
    <w:name w:val="List Number 2"/>
    <w:basedOn w:val="ListNumber"/>
    <w:uiPriority w:val="99"/>
    <w:unhideWhenUsed/>
    <w:qFormat/>
    <w:rsid w:val="00487EB1"/>
    <w:pPr>
      <w:numPr>
        <w:ilvl w:val="1"/>
      </w:numPr>
      <w:tabs>
        <w:tab w:val="left" w:pos="1080"/>
      </w:tabs>
    </w:pPr>
  </w:style>
  <w:style w:type="paragraph" w:styleId="ListNumber3">
    <w:name w:val="List Number 3"/>
    <w:basedOn w:val="ListNumber2"/>
    <w:uiPriority w:val="99"/>
    <w:unhideWhenUsed/>
    <w:rsid w:val="00487EB1"/>
    <w:pPr>
      <w:numPr>
        <w:ilvl w:val="2"/>
      </w:numPr>
    </w:pPr>
  </w:style>
  <w:style w:type="paragraph" w:styleId="ListNumber4">
    <w:name w:val="List Number 4"/>
    <w:basedOn w:val="Normal"/>
    <w:uiPriority w:val="99"/>
    <w:unhideWhenUsed/>
    <w:rsid w:val="00487EB1"/>
    <w:pPr>
      <w:numPr>
        <w:ilvl w:val="3"/>
        <w:numId w:val="5"/>
      </w:numPr>
      <w:contextualSpacing/>
    </w:pPr>
  </w:style>
  <w:style w:type="paragraph" w:styleId="ListNumber5">
    <w:name w:val="List Number 5"/>
    <w:basedOn w:val="Normal"/>
    <w:uiPriority w:val="99"/>
    <w:semiHidden/>
    <w:unhideWhenUsed/>
    <w:rsid w:val="00487EB1"/>
    <w:pPr>
      <w:numPr>
        <w:numId w:val="6"/>
      </w:numPr>
      <w:contextualSpacing/>
    </w:pPr>
  </w:style>
  <w:style w:type="paragraph" w:styleId="MacroText">
    <w:name w:val="macro"/>
    <w:link w:val="MacroTextChar"/>
    <w:uiPriority w:val="99"/>
    <w:semiHidden/>
    <w:unhideWhenUsed/>
    <w:rsid w:val="00487EB1"/>
    <w:pPr>
      <w:tabs>
        <w:tab w:val="left" w:pos="480"/>
        <w:tab w:val="left" w:pos="960"/>
        <w:tab w:val="left" w:pos="1440"/>
        <w:tab w:val="left" w:pos="1920"/>
        <w:tab w:val="left" w:pos="2400"/>
        <w:tab w:val="left" w:pos="2880"/>
        <w:tab w:val="left" w:pos="3360"/>
        <w:tab w:val="left" w:pos="3840"/>
        <w:tab w:val="left" w:pos="4320"/>
      </w:tabs>
      <w:spacing w:after="0"/>
      <w:ind w:right="2"/>
    </w:pPr>
    <w:rPr>
      <w:rFonts w:ascii="Consolas" w:eastAsia="Times New Roman" w:hAnsi="Consolas" w:cs="Times New Roman"/>
    </w:rPr>
  </w:style>
  <w:style w:type="character" w:customStyle="1" w:styleId="MacroTextChar">
    <w:name w:val="Macro Text Char"/>
    <w:basedOn w:val="DefaultParagraphFont"/>
    <w:link w:val="MacroText"/>
    <w:uiPriority w:val="99"/>
    <w:semiHidden/>
    <w:rsid w:val="00487EB1"/>
    <w:rPr>
      <w:rFonts w:ascii="Consolas" w:eastAsia="Times New Roman" w:hAnsi="Consolas" w:cs="Times New Roman"/>
    </w:rPr>
  </w:style>
  <w:style w:type="paragraph" w:styleId="MessageHeader">
    <w:name w:val="Message Header"/>
    <w:basedOn w:val="Normal"/>
    <w:link w:val="MessageHeaderChar"/>
    <w:uiPriority w:val="99"/>
    <w:semiHidden/>
    <w:unhideWhenUsed/>
    <w:rsid w:val="00487EB1"/>
    <w:pPr>
      <w:pBdr>
        <w:top w:val="single" w:sz="6" w:space="1" w:color="auto"/>
        <w:left w:val="single" w:sz="6" w:space="1" w:color="auto"/>
        <w:bottom w:val="single" w:sz="6" w:space="1" w:color="auto"/>
        <w:right w:val="single" w:sz="6" w:space="1" w:color="auto"/>
      </w:pBdr>
      <w:shd w:val="pct20" w:color="auto" w:fill="auto"/>
      <w:spacing w:before="0"/>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487EB1"/>
    <w:rPr>
      <w:rFonts w:asciiTheme="majorHAnsi" w:eastAsiaTheme="majorEastAsia" w:hAnsiTheme="majorHAnsi" w:cstheme="majorBidi"/>
      <w:sz w:val="24"/>
      <w:shd w:val="pct20" w:color="auto" w:fill="auto"/>
    </w:rPr>
  </w:style>
  <w:style w:type="paragraph" w:styleId="NormalWeb">
    <w:name w:val="Normal (Web)"/>
    <w:basedOn w:val="Normal"/>
    <w:uiPriority w:val="99"/>
    <w:semiHidden/>
    <w:unhideWhenUsed/>
    <w:rsid w:val="00487EB1"/>
    <w:rPr>
      <w:rFonts w:ascii="Times New Roman" w:hAnsi="Times New Roman"/>
      <w:sz w:val="24"/>
    </w:rPr>
  </w:style>
  <w:style w:type="paragraph" w:styleId="NormalIndent">
    <w:name w:val="Normal Indent"/>
    <w:basedOn w:val="Normal"/>
    <w:uiPriority w:val="99"/>
    <w:semiHidden/>
    <w:unhideWhenUsed/>
    <w:rsid w:val="00487EB1"/>
    <w:pPr>
      <w:ind w:left="720"/>
    </w:pPr>
  </w:style>
  <w:style w:type="paragraph" w:styleId="NoteHeading">
    <w:name w:val="Note Heading"/>
    <w:basedOn w:val="Normal"/>
    <w:next w:val="Normal"/>
    <w:link w:val="NoteHeadingChar"/>
    <w:uiPriority w:val="99"/>
    <w:semiHidden/>
    <w:unhideWhenUsed/>
    <w:rsid w:val="00487EB1"/>
    <w:pPr>
      <w:spacing w:before="0"/>
    </w:pPr>
  </w:style>
  <w:style w:type="character" w:customStyle="1" w:styleId="NoteHeadingChar">
    <w:name w:val="Note Heading Char"/>
    <w:basedOn w:val="DefaultParagraphFont"/>
    <w:link w:val="NoteHeading"/>
    <w:uiPriority w:val="99"/>
    <w:semiHidden/>
    <w:rsid w:val="00487EB1"/>
  </w:style>
  <w:style w:type="paragraph" w:styleId="PlainText">
    <w:name w:val="Plain Text"/>
    <w:basedOn w:val="Normal"/>
    <w:link w:val="PlainTextChar"/>
    <w:uiPriority w:val="99"/>
    <w:semiHidden/>
    <w:unhideWhenUsed/>
    <w:rsid w:val="00487EB1"/>
    <w:pPr>
      <w:spacing w:before="0"/>
    </w:pPr>
    <w:rPr>
      <w:rFonts w:ascii="Consolas" w:hAnsi="Consolas"/>
      <w:sz w:val="21"/>
      <w:szCs w:val="21"/>
    </w:rPr>
  </w:style>
  <w:style w:type="character" w:customStyle="1" w:styleId="PlainTextChar">
    <w:name w:val="Plain Text Char"/>
    <w:basedOn w:val="DefaultParagraphFont"/>
    <w:link w:val="PlainText"/>
    <w:uiPriority w:val="99"/>
    <w:semiHidden/>
    <w:rsid w:val="00487EB1"/>
    <w:rPr>
      <w:rFonts w:ascii="Consolas" w:hAnsi="Consolas"/>
      <w:sz w:val="21"/>
      <w:szCs w:val="21"/>
    </w:rPr>
  </w:style>
  <w:style w:type="paragraph" w:styleId="Salutation">
    <w:name w:val="Salutation"/>
    <w:basedOn w:val="BodyText"/>
    <w:next w:val="BodyText"/>
    <w:link w:val="SalutationChar"/>
    <w:uiPriority w:val="99"/>
    <w:unhideWhenUsed/>
    <w:rsid w:val="005D704B"/>
    <w:pPr>
      <w:keepNext/>
      <w:keepLines/>
      <w:spacing w:before="0"/>
    </w:pPr>
    <w:rPr>
      <w:b/>
      <w:color w:val="3C533C" w:themeColor="accent1"/>
      <w:szCs w:val="22"/>
    </w:rPr>
  </w:style>
  <w:style w:type="character" w:customStyle="1" w:styleId="SalutationChar">
    <w:name w:val="Salutation Char"/>
    <w:basedOn w:val="DefaultParagraphFont"/>
    <w:link w:val="Salutation"/>
    <w:uiPriority w:val="99"/>
    <w:rsid w:val="005D704B"/>
    <w:rPr>
      <w:b/>
      <w:color w:val="3C533C" w:themeColor="accent1"/>
      <w:szCs w:val="22"/>
      <w:lang w:val="en-CA"/>
    </w:rPr>
  </w:style>
  <w:style w:type="paragraph" w:styleId="Signature">
    <w:name w:val="Signature"/>
    <w:basedOn w:val="Normal"/>
    <w:link w:val="SignatureChar"/>
    <w:uiPriority w:val="99"/>
    <w:semiHidden/>
    <w:unhideWhenUsed/>
    <w:rsid w:val="00487EB1"/>
    <w:pPr>
      <w:spacing w:before="0"/>
      <w:ind w:left="4320"/>
    </w:pPr>
  </w:style>
  <w:style w:type="character" w:customStyle="1" w:styleId="SignatureChar">
    <w:name w:val="Signature Char"/>
    <w:basedOn w:val="DefaultParagraphFont"/>
    <w:link w:val="Signature"/>
    <w:uiPriority w:val="99"/>
    <w:semiHidden/>
    <w:rsid w:val="00487EB1"/>
  </w:style>
  <w:style w:type="paragraph" w:styleId="TableofAuthorities">
    <w:name w:val="table of authorities"/>
    <w:basedOn w:val="Normal"/>
    <w:next w:val="Normal"/>
    <w:uiPriority w:val="99"/>
    <w:semiHidden/>
    <w:unhideWhenUsed/>
    <w:rsid w:val="00487EB1"/>
    <w:pPr>
      <w:ind w:left="220" w:hanging="220"/>
    </w:pPr>
  </w:style>
  <w:style w:type="paragraph" w:styleId="TOAHeading">
    <w:name w:val="toa heading"/>
    <w:basedOn w:val="Normal"/>
    <w:next w:val="Normal"/>
    <w:uiPriority w:val="99"/>
    <w:semiHidden/>
    <w:unhideWhenUsed/>
    <w:rsid w:val="00487EB1"/>
    <w:rPr>
      <w:rFonts w:asciiTheme="majorHAnsi" w:eastAsiaTheme="majorEastAsia" w:hAnsiTheme="majorHAnsi" w:cstheme="majorBidi"/>
      <w:b/>
      <w:bCs/>
      <w:sz w:val="24"/>
    </w:rPr>
  </w:style>
  <w:style w:type="paragraph" w:styleId="TOC5">
    <w:name w:val="toc 5"/>
    <w:basedOn w:val="TOC2"/>
    <w:next w:val="Normal"/>
    <w:autoRedefine/>
    <w:uiPriority w:val="39"/>
    <w:unhideWhenUsed/>
    <w:rsid w:val="00487EB1"/>
  </w:style>
  <w:style w:type="paragraph" w:styleId="TOC6">
    <w:name w:val="toc 6"/>
    <w:basedOn w:val="Normal"/>
    <w:next w:val="Normal"/>
    <w:autoRedefine/>
    <w:uiPriority w:val="39"/>
    <w:semiHidden/>
    <w:unhideWhenUsed/>
    <w:rsid w:val="00487EB1"/>
    <w:pPr>
      <w:spacing w:after="100"/>
      <w:ind w:left="1100"/>
    </w:pPr>
  </w:style>
  <w:style w:type="paragraph" w:styleId="TOC7">
    <w:name w:val="toc 7"/>
    <w:basedOn w:val="Normal"/>
    <w:next w:val="Normal"/>
    <w:autoRedefine/>
    <w:uiPriority w:val="39"/>
    <w:semiHidden/>
    <w:unhideWhenUsed/>
    <w:rsid w:val="00487EB1"/>
    <w:pPr>
      <w:spacing w:after="100"/>
      <w:ind w:left="1320"/>
    </w:pPr>
  </w:style>
  <w:style w:type="paragraph" w:styleId="TOC9">
    <w:name w:val="toc 9"/>
    <w:basedOn w:val="Normal"/>
    <w:next w:val="Normal"/>
    <w:autoRedefine/>
    <w:uiPriority w:val="39"/>
    <w:semiHidden/>
    <w:unhideWhenUsed/>
    <w:rsid w:val="00487EB1"/>
    <w:pPr>
      <w:spacing w:after="100"/>
      <w:ind w:left="1760"/>
    </w:pPr>
  </w:style>
  <w:style w:type="paragraph" w:styleId="TOCHeading">
    <w:name w:val="TOC Heading"/>
    <w:basedOn w:val="Heading1NoNumber"/>
    <w:next w:val="Normal"/>
    <w:uiPriority w:val="39"/>
    <w:unhideWhenUsed/>
    <w:rsid w:val="00487EB1"/>
  </w:style>
  <w:style w:type="paragraph" w:customStyle="1" w:styleId="CoverTitle">
    <w:name w:val="Cover Title"/>
    <w:basedOn w:val="BodyText"/>
    <w:link w:val="CoverTitleChar"/>
    <w:rsid w:val="00552949"/>
    <w:pPr>
      <w:spacing w:before="3360"/>
      <w:ind w:left="-180" w:right="-274"/>
    </w:pPr>
    <w:rPr>
      <w:rFonts w:cs="Calibri"/>
      <w:b/>
      <w:color w:val="3C533C" w:themeColor="accent1"/>
      <w:sz w:val="56"/>
      <w:szCs w:val="60"/>
    </w:rPr>
  </w:style>
  <w:style w:type="character" w:customStyle="1" w:styleId="CoverTitleChar">
    <w:name w:val="Cover Title Char"/>
    <w:basedOn w:val="DefaultParagraphFont"/>
    <w:link w:val="CoverTitle"/>
    <w:rsid w:val="00552949"/>
    <w:rPr>
      <w:rFonts w:ascii="Arial" w:hAnsi="Arial" w:cs="Calibri"/>
      <w:b/>
      <w:color w:val="3C533C" w:themeColor="accent1"/>
      <w:sz w:val="56"/>
      <w:szCs w:val="60"/>
      <w:lang w:val="en-AU"/>
    </w:rPr>
  </w:style>
  <w:style w:type="character" w:customStyle="1" w:styleId="TOC1Char">
    <w:name w:val="TOC 1 Char"/>
    <w:basedOn w:val="DefaultParagraphFont"/>
    <w:link w:val="TOC1"/>
    <w:uiPriority w:val="39"/>
    <w:rsid w:val="00D002F6"/>
    <w:rPr>
      <w:b/>
      <w:noProof/>
      <w:szCs w:val="22"/>
      <w:lang w:val="en-CA"/>
    </w:rPr>
  </w:style>
  <w:style w:type="table" w:customStyle="1" w:styleId="SLROption2">
    <w:name w:val="SLR Option 2"/>
    <w:basedOn w:val="TableNormal"/>
    <w:uiPriority w:val="99"/>
    <w:rsid w:val="00F04C26"/>
    <w:pPr>
      <w:spacing w:after="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cPr>
      <w:shd w:val="clear" w:color="auto" w:fill="auto"/>
    </w:tcPr>
    <w:tblStylePr w:type="firstRow">
      <w:pPr>
        <w:jc w:val="center"/>
      </w:pPr>
      <w:rPr>
        <w:rFonts w:ascii="Figtree" w:hAnsi="Figtree"/>
        <w:b w:val="0"/>
        <w:color w:val="FFFFFF" w:themeColor="background1"/>
        <w:sz w:val="18"/>
      </w:rPr>
      <w:tblPr/>
      <w:trPr>
        <w:tblHeader/>
      </w:trPr>
      <w:tcPr>
        <w:tcBorders>
          <w:top w:val="single" w:sz="4" w:space="0" w:color="auto"/>
          <w:left w:val="single" w:sz="4" w:space="0" w:color="auto"/>
          <w:bottom w:val="single" w:sz="4" w:space="0" w:color="FFFFFF" w:themeColor="background1"/>
          <w:right w:val="single" w:sz="4" w:space="0" w:color="auto"/>
          <w:insideH w:val="single" w:sz="4" w:space="0" w:color="FFFFFF" w:themeColor="background1"/>
          <w:insideV w:val="single" w:sz="4" w:space="0" w:color="FFFFFF" w:themeColor="background1"/>
        </w:tcBorders>
        <w:shd w:val="clear" w:color="auto" w:fill="3C533C"/>
      </w:tcPr>
    </w:tblStylePr>
    <w:tblStylePr w:type="lastRow">
      <w:rPr>
        <w:rFonts w:ascii="Figtree" w:hAnsi="Figtree"/>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style>
  <w:style w:type="paragraph" w:customStyle="1" w:styleId="CoverClientName">
    <w:name w:val="Cover Client Name"/>
    <w:basedOn w:val="CoverBody"/>
    <w:next w:val="CoverBody"/>
    <w:rsid w:val="00552949"/>
    <w:rPr>
      <w:b/>
      <w:color w:val="41434C"/>
      <w:sz w:val="32"/>
    </w:rPr>
  </w:style>
  <w:style w:type="paragraph" w:customStyle="1" w:styleId="CoverBody">
    <w:name w:val="Cover Body"/>
    <w:basedOn w:val="BodyText"/>
    <w:rsid w:val="00FB47D4"/>
    <w:pPr>
      <w:ind w:left="-180"/>
      <w:contextualSpacing/>
    </w:pPr>
  </w:style>
  <w:style w:type="paragraph" w:customStyle="1" w:styleId="CoverSubtitleXref">
    <w:name w:val="Cover Subtitle Xref"/>
    <w:basedOn w:val="BodyText"/>
    <w:next w:val="CoverBody"/>
    <w:rsid w:val="00E84D35"/>
    <w:pPr>
      <w:spacing w:before="0" w:after="240"/>
    </w:pPr>
    <w:rPr>
      <w:rFonts w:asciiTheme="minorHAnsi" w:hAnsiTheme="minorHAnsi"/>
      <w:b/>
      <w:sz w:val="24"/>
    </w:rPr>
  </w:style>
  <w:style w:type="table" w:styleId="TableGridLight">
    <w:name w:val="Grid Table Light"/>
    <w:basedOn w:val="TableNormal"/>
    <w:uiPriority w:val="40"/>
    <w:rsid w:val="00487EB1"/>
    <w:pPr>
      <w:spacing w:after="0"/>
    </w:pPr>
    <w:rPr>
      <w:rFonts w:ascii="Times New Roman" w:eastAsia="Times New Roman" w:hAnsi="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Text">
    <w:name w:val="Table Text"/>
    <w:basedOn w:val="BodyText"/>
    <w:qFormat/>
    <w:rsid w:val="00552949"/>
    <w:pPr>
      <w:spacing w:before="60" w:after="60"/>
    </w:pPr>
    <w:rPr>
      <w:sz w:val="20"/>
      <w:lang w:val="en-GB"/>
    </w:rPr>
  </w:style>
  <w:style w:type="paragraph" w:customStyle="1" w:styleId="CoverDate">
    <w:name w:val="Cover Date"/>
    <w:basedOn w:val="CoverBody"/>
    <w:next w:val="CoverBody"/>
    <w:rsid w:val="00FB47D4"/>
    <w:pPr>
      <w:spacing w:before="240" w:after="240"/>
    </w:pPr>
    <w:rPr>
      <w:color w:val="1E1E1E" w:themeColor="text1"/>
    </w:rPr>
  </w:style>
  <w:style w:type="paragraph" w:customStyle="1" w:styleId="CoverSubtitle">
    <w:name w:val="Cover Subtitle"/>
    <w:basedOn w:val="CoverTitle"/>
    <w:rsid w:val="00552949"/>
    <w:pPr>
      <w:spacing w:before="240" w:after="360"/>
    </w:pPr>
    <w:rPr>
      <w:color w:val="667545" w:themeColor="accent3"/>
      <w:sz w:val="36"/>
      <w:szCs w:val="56"/>
    </w:rPr>
  </w:style>
  <w:style w:type="paragraph" w:customStyle="1" w:styleId="CoverProjectNumber">
    <w:name w:val="Cover Project Number"/>
    <w:basedOn w:val="CoverBody"/>
    <w:rsid w:val="00FB47D4"/>
    <w:pPr>
      <w:spacing w:before="0"/>
      <w:contextualSpacing w:val="0"/>
    </w:pPr>
    <w:rPr>
      <w:rFonts w:cs="Calibri"/>
    </w:rPr>
  </w:style>
  <w:style w:type="paragraph" w:customStyle="1" w:styleId="SLRSignature">
    <w:name w:val="SLR Signature"/>
    <w:basedOn w:val="BodyText"/>
    <w:next w:val="SLRSignatureDetails"/>
    <w:rsid w:val="00487EB1"/>
    <w:pPr>
      <w:spacing w:before="0" w:after="0"/>
      <w:contextualSpacing/>
    </w:pPr>
    <w:rPr>
      <w:b/>
      <w:bCs/>
      <w:color w:val="3C533C"/>
    </w:rPr>
  </w:style>
  <w:style w:type="paragraph" w:customStyle="1" w:styleId="SLRSignatureDetails">
    <w:name w:val="SLR Signature Details"/>
    <w:basedOn w:val="BodyText"/>
    <w:rsid w:val="00AC1BC7"/>
    <w:pPr>
      <w:spacing w:before="0"/>
      <w:contextualSpacing/>
    </w:pPr>
    <w:rPr>
      <w:sz w:val="20"/>
    </w:rPr>
  </w:style>
  <w:style w:type="character" w:customStyle="1" w:styleId="TableofFiguresChar">
    <w:name w:val="Table of Figures Char"/>
    <w:basedOn w:val="DefaultParagraphFont"/>
    <w:link w:val="TableofFigures"/>
    <w:uiPriority w:val="99"/>
    <w:rsid w:val="00487EB1"/>
    <w:rPr>
      <w:rFonts w:eastAsiaTheme="majorEastAsia"/>
      <w:noProof/>
    </w:rPr>
  </w:style>
  <w:style w:type="paragraph" w:customStyle="1" w:styleId="TableBullet">
    <w:name w:val="Table Bullet"/>
    <w:basedOn w:val="TableText"/>
    <w:qFormat/>
    <w:rsid w:val="00487EB1"/>
    <w:pPr>
      <w:numPr>
        <w:numId w:val="8"/>
      </w:numPr>
    </w:pPr>
    <w:rPr>
      <w:rFonts w:eastAsia="Times New Roman" w:cs="Times New Roman"/>
      <w:lang w:eastAsia="en-GB"/>
    </w:rPr>
  </w:style>
  <w:style w:type="paragraph" w:customStyle="1" w:styleId="TableNumber">
    <w:name w:val="Table Number"/>
    <w:basedOn w:val="TableText"/>
    <w:qFormat/>
    <w:rsid w:val="00487EB1"/>
    <w:pPr>
      <w:numPr>
        <w:numId w:val="9"/>
      </w:numPr>
    </w:pPr>
  </w:style>
  <w:style w:type="paragraph" w:customStyle="1" w:styleId="CoverSLRName">
    <w:name w:val="Cover SLR Name"/>
    <w:basedOn w:val="BodyText"/>
    <w:next w:val="CoverBody"/>
    <w:qFormat/>
    <w:rsid w:val="00FB47D4"/>
    <w:pPr>
      <w:ind w:left="-180"/>
      <w:contextualSpacing/>
    </w:pPr>
    <w:rPr>
      <w:b/>
      <w:bCs/>
      <w:color w:val="3C533C"/>
      <w:sz w:val="24"/>
    </w:rPr>
  </w:style>
  <w:style w:type="paragraph" w:customStyle="1" w:styleId="CoverProjectXref">
    <w:name w:val="Cover Project Xref"/>
    <w:basedOn w:val="CoverProjectNumber"/>
    <w:rsid w:val="00487EB1"/>
    <w:pPr>
      <w:ind w:left="0"/>
    </w:pPr>
  </w:style>
  <w:style w:type="paragraph" w:customStyle="1" w:styleId="Coverfooter">
    <w:name w:val="Cover footer"/>
    <w:basedOn w:val="Footer"/>
    <w:rsid w:val="00487EB1"/>
    <w:pPr>
      <w:jc w:val="right"/>
    </w:pPr>
    <w:rPr>
      <w:noProof/>
    </w:rPr>
  </w:style>
  <w:style w:type="character" w:styleId="CommentReference">
    <w:name w:val="annotation reference"/>
    <w:basedOn w:val="DefaultParagraphFont"/>
    <w:uiPriority w:val="99"/>
    <w:semiHidden/>
    <w:unhideWhenUsed/>
    <w:rsid w:val="00487EB1"/>
    <w:rPr>
      <w:sz w:val="16"/>
      <w:szCs w:val="16"/>
    </w:rPr>
  </w:style>
  <w:style w:type="paragraph" w:styleId="CommentText">
    <w:name w:val="annotation text"/>
    <w:basedOn w:val="Normal"/>
    <w:link w:val="CommentTextChar"/>
    <w:uiPriority w:val="99"/>
    <w:unhideWhenUsed/>
    <w:rsid w:val="00487EB1"/>
  </w:style>
  <w:style w:type="character" w:customStyle="1" w:styleId="CommentTextChar">
    <w:name w:val="Comment Text Char"/>
    <w:basedOn w:val="DefaultParagraphFont"/>
    <w:link w:val="CommentText"/>
    <w:uiPriority w:val="99"/>
    <w:rsid w:val="00487EB1"/>
  </w:style>
  <w:style w:type="paragraph" w:styleId="ListBullet5">
    <w:name w:val="List Bullet 5"/>
    <w:basedOn w:val="Normal"/>
    <w:uiPriority w:val="99"/>
    <w:semiHidden/>
    <w:unhideWhenUsed/>
    <w:rsid w:val="00487EB1"/>
    <w:pPr>
      <w:numPr>
        <w:numId w:val="4"/>
      </w:numPr>
      <w:contextualSpacing/>
    </w:pPr>
  </w:style>
  <w:style w:type="paragraph" w:customStyle="1" w:styleId="BodyTextParagraphNumbered">
    <w:name w:val="Body Text Paragraph Numbered"/>
    <w:basedOn w:val="BodyText"/>
    <w:qFormat/>
    <w:rsid w:val="00D71E8F"/>
    <w:pPr>
      <w:numPr>
        <w:numId w:val="11"/>
      </w:numPr>
      <w:spacing w:before="0" w:after="360" w:line="360" w:lineRule="auto"/>
    </w:pPr>
    <w:rPr>
      <w:lang w:val="en-GB"/>
    </w:rPr>
  </w:style>
  <w:style w:type="paragraph" w:styleId="FootnoteText">
    <w:name w:val="footnote text"/>
    <w:basedOn w:val="BodyText"/>
    <w:link w:val="FootnoteTextChar"/>
    <w:unhideWhenUsed/>
    <w:qFormat/>
    <w:rsid w:val="00AC1BC7"/>
    <w:pPr>
      <w:spacing w:before="60" w:after="60"/>
    </w:pPr>
    <w:rPr>
      <w:sz w:val="18"/>
    </w:rPr>
  </w:style>
  <w:style w:type="character" w:customStyle="1" w:styleId="FootnoteTextChar">
    <w:name w:val="Footnote Text Char"/>
    <w:basedOn w:val="DefaultParagraphFont"/>
    <w:link w:val="FootnoteText"/>
    <w:rsid w:val="00AC1BC7"/>
    <w:rPr>
      <w:rFonts w:ascii="Arial" w:hAnsi="Arial"/>
      <w:sz w:val="18"/>
      <w:lang w:val="en-AU"/>
    </w:rPr>
  </w:style>
  <w:style w:type="paragraph" w:customStyle="1" w:styleId="CoverDateXref">
    <w:name w:val="Cover Date Xref"/>
    <w:basedOn w:val="CoverDate"/>
    <w:rsid w:val="00487EB1"/>
    <w:pPr>
      <w:ind w:left="0"/>
    </w:pPr>
  </w:style>
  <w:style w:type="character" w:styleId="UnresolvedMention">
    <w:name w:val="Unresolved Mention"/>
    <w:basedOn w:val="DefaultParagraphFont"/>
    <w:uiPriority w:val="99"/>
    <w:semiHidden/>
    <w:unhideWhenUsed/>
    <w:rsid w:val="00875780"/>
    <w:rPr>
      <w:color w:val="605E5C"/>
      <w:shd w:val="clear" w:color="auto" w:fill="E1DFDD"/>
    </w:rPr>
  </w:style>
  <w:style w:type="paragraph" w:customStyle="1" w:styleId="CoverAddress">
    <w:name w:val="Cover Address"/>
    <w:basedOn w:val="CoverBody"/>
    <w:rsid w:val="00E3366C"/>
    <w:pPr>
      <w:spacing w:before="0" w:after="0"/>
      <w:ind w:right="4259"/>
    </w:pPr>
  </w:style>
  <w:style w:type="character" w:customStyle="1" w:styleId="CoverRevision">
    <w:name w:val="Cover Revision"/>
    <w:basedOn w:val="DefaultParagraphFont"/>
    <w:uiPriority w:val="1"/>
    <w:rsid w:val="00CC4C53"/>
  </w:style>
  <w:style w:type="paragraph" w:customStyle="1" w:styleId="CaptionFigure">
    <w:name w:val="Caption (Figure)"/>
    <w:basedOn w:val="Caption"/>
    <w:rsid w:val="0049521A"/>
    <w:pPr>
      <w:keepNext w:val="0"/>
      <w:ind w:left="1077" w:hanging="1077"/>
    </w:pPr>
  </w:style>
  <w:style w:type="paragraph" w:customStyle="1" w:styleId="Text">
    <w:name w:val="Text"/>
    <w:basedOn w:val="Normal"/>
    <w:link w:val="TextChar"/>
    <w:rsid w:val="00C6253B"/>
    <w:pPr>
      <w:keepLines/>
      <w:spacing w:before="240" w:after="0"/>
      <w:jc w:val="both"/>
    </w:pPr>
    <w:rPr>
      <w:rFonts w:ascii="Calibri" w:eastAsia="Times New Roman" w:hAnsi="Calibri" w:cs="Times New Roman"/>
      <w:szCs w:val="22"/>
    </w:rPr>
  </w:style>
  <w:style w:type="character" w:customStyle="1" w:styleId="TextChar">
    <w:name w:val="Text Char"/>
    <w:basedOn w:val="DefaultParagraphFont"/>
    <w:link w:val="Text"/>
    <w:rsid w:val="00C6253B"/>
    <w:rPr>
      <w:rFonts w:ascii="Calibri" w:eastAsia="Times New Roman" w:hAnsi="Calibri" w:cs="Times New Roman"/>
      <w:sz w:val="22"/>
      <w:szCs w:val="22"/>
      <w:lang w:val="en-AU"/>
    </w:rPr>
  </w:style>
  <w:style w:type="table" w:customStyle="1" w:styleId="SLRTable">
    <w:name w:val="SLR Table"/>
    <w:basedOn w:val="TableNormal"/>
    <w:rsid w:val="00C470D3"/>
    <w:pPr>
      <w:spacing w:before="45" w:after="45"/>
    </w:pPr>
    <w:rPr>
      <w:rFonts w:ascii="Calibri" w:eastAsia="Times New Roman" w:hAnsi="Calibri" w:cs="Times New Roman"/>
      <w:color w:val="424242"/>
      <w:lang w:val="en-GB" w:eastAsia="en-GB"/>
    </w:rPr>
    <w:tblPr>
      <w:tblInd w:w="113" w:type="dxa"/>
      <w:tblBorders>
        <w:top w:val="single" w:sz="8" w:space="0" w:color="059AC4"/>
        <w:left w:val="single" w:sz="8" w:space="0" w:color="059AC4"/>
        <w:bottom w:val="single" w:sz="8" w:space="0" w:color="059AC4"/>
        <w:right w:val="single" w:sz="8" w:space="0" w:color="059AC4"/>
        <w:insideH w:val="single" w:sz="8" w:space="0" w:color="059AC4"/>
        <w:insideV w:val="single" w:sz="8" w:space="0" w:color="059AC4"/>
      </w:tblBorders>
    </w:tblPr>
    <w:trPr>
      <w:cantSplit/>
    </w:trPr>
    <w:tcPr>
      <w:shd w:val="clear" w:color="auto" w:fill="auto"/>
    </w:tcPr>
    <w:tblStylePr w:type="firstRow">
      <w:pPr>
        <w:wordWrap/>
        <w:spacing w:beforeLines="0" w:before="0" w:beforeAutospacing="0" w:afterLines="0" w:after="0" w:afterAutospacing="0" w:line="240" w:lineRule="auto"/>
      </w:pPr>
      <w:rPr>
        <w:b/>
        <w:color w:val="FFFFFF"/>
      </w:rPr>
      <w:tblPr/>
      <w:trPr>
        <w:tblHeader/>
      </w:trPr>
      <w:tcPr>
        <w:shd w:val="clear" w:color="auto" w:fill="60BED1"/>
      </w:tcPr>
    </w:tblStylePr>
  </w:style>
  <w:style w:type="table" w:customStyle="1" w:styleId="SLRTable1">
    <w:name w:val="SLR Table1"/>
    <w:basedOn w:val="TableNormal"/>
    <w:rsid w:val="00C470D3"/>
    <w:pPr>
      <w:spacing w:before="45" w:after="45"/>
    </w:pPr>
    <w:rPr>
      <w:rFonts w:ascii="Calibri" w:eastAsia="Times New Roman" w:hAnsi="Calibri" w:cs="Times New Roman"/>
      <w:color w:val="424242"/>
      <w:lang w:val="en-GB" w:eastAsia="en-GB"/>
    </w:rPr>
    <w:tblPr>
      <w:tblInd w:w="113" w:type="dxa"/>
      <w:tblBorders>
        <w:top w:val="single" w:sz="8" w:space="0" w:color="059AC4"/>
        <w:left w:val="single" w:sz="8" w:space="0" w:color="059AC4"/>
        <w:bottom w:val="single" w:sz="8" w:space="0" w:color="059AC4"/>
        <w:right w:val="single" w:sz="8" w:space="0" w:color="059AC4"/>
        <w:insideH w:val="single" w:sz="8" w:space="0" w:color="059AC4"/>
        <w:insideV w:val="single" w:sz="8" w:space="0" w:color="059AC4"/>
      </w:tblBorders>
    </w:tblPr>
    <w:trPr>
      <w:cantSplit/>
    </w:trPr>
    <w:tcPr>
      <w:shd w:val="clear" w:color="auto" w:fill="auto"/>
    </w:tcPr>
    <w:tblStylePr w:type="firstRow">
      <w:pPr>
        <w:wordWrap/>
        <w:spacing w:beforeLines="0" w:before="0" w:beforeAutospacing="0" w:afterLines="0" w:after="0" w:afterAutospacing="0" w:line="240" w:lineRule="auto"/>
      </w:pPr>
      <w:rPr>
        <w:b/>
        <w:color w:val="FFFFFF"/>
      </w:rPr>
      <w:tblPr/>
      <w:trPr>
        <w:tblHeader/>
      </w:trPr>
      <w:tcPr>
        <w:shd w:val="clear" w:color="auto" w:fill="60BED1"/>
      </w:tcPr>
    </w:tblStylePr>
  </w:style>
  <w:style w:type="paragraph" w:styleId="ListParagraph">
    <w:name w:val="List Paragraph"/>
    <w:aliases w:val="#List Paragraph,List Paragraph1,List Paragraph11,Recommendation"/>
    <w:basedOn w:val="Normal"/>
    <w:link w:val="ListParagraphChar"/>
    <w:uiPriority w:val="34"/>
    <w:qFormat/>
    <w:rsid w:val="00EF6A4E"/>
    <w:pPr>
      <w:ind w:left="720"/>
      <w:contextualSpacing/>
    </w:pPr>
  </w:style>
  <w:style w:type="character" w:customStyle="1" w:styleId="ListParagraphChar">
    <w:name w:val="List Paragraph Char"/>
    <w:aliases w:val="#List Paragraph Char,List Paragraph1 Char,List Paragraph11 Char,Recommendation Char"/>
    <w:link w:val="ListParagraph"/>
    <w:uiPriority w:val="34"/>
    <w:rsid w:val="00EF6A4E"/>
    <w:rPr>
      <w:rFonts w:ascii="Arial" w:hAnsi="Arial"/>
      <w:sz w:val="22"/>
      <w:lang w:val="en-AU"/>
    </w:rPr>
  </w:style>
  <w:style w:type="paragraph" w:styleId="Title">
    <w:name w:val="Title"/>
    <w:basedOn w:val="Normal"/>
    <w:next w:val="Normal"/>
    <w:link w:val="TitleChar"/>
    <w:uiPriority w:val="22"/>
    <w:qFormat/>
    <w:rsid w:val="00EF6A4E"/>
    <w:pPr>
      <w:keepLines/>
      <w:spacing w:after="60" w:line="440" w:lineRule="exact"/>
      <w:ind w:left="1247"/>
      <w:contextualSpacing/>
      <w:outlineLvl w:val="0"/>
    </w:pPr>
    <w:rPr>
      <w:rFonts w:asciiTheme="majorHAnsi" w:eastAsiaTheme="majorEastAsia" w:hAnsiTheme="majorHAnsi" w:cstheme="majorBidi"/>
      <w:b/>
      <w:color w:val="3C533C" w:themeColor="text2"/>
      <w:kern w:val="28"/>
      <w:sz w:val="36"/>
      <w:szCs w:val="56"/>
      <w:lang w:eastAsia="en-AU"/>
    </w:rPr>
  </w:style>
  <w:style w:type="character" w:customStyle="1" w:styleId="TitleChar">
    <w:name w:val="Title Char"/>
    <w:basedOn w:val="DefaultParagraphFont"/>
    <w:link w:val="Title"/>
    <w:uiPriority w:val="22"/>
    <w:rsid w:val="00EF6A4E"/>
    <w:rPr>
      <w:rFonts w:asciiTheme="majorHAnsi" w:eastAsiaTheme="majorEastAsia" w:hAnsiTheme="majorHAnsi" w:cstheme="majorBidi"/>
      <w:b/>
      <w:color w:val="3C533C" w:themeColor="text2"/>
      <w:kern w:val="28"/>
      <w:sz w:val="36"/>
      <w:szCs w:val="56"/>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23377">
      <w:bodyDiv w:val="1"/>
      <w:marLeft w:val="0"/>
      <w:marRight w:val="0"/>
      <w:marTop w:val="0"/>
      <w:marBottom w:val="0"/>
      <w:divBdr>
        <w:top w:val="none" w:sz="0" w:space="0" w:color="auto"/>
        <w:left w:val="none" w:sz="0" w:space="0" w:color="auto"/>
        <w:bottom w:val="none" w:sz="0" w:space="0" w:color="auto"/>
        <w:right w:val="none" w:sz="0" w:space="0" w:color="auto"/>
      </w:divBdr>
    </w:div>
    <w:div w:id="152071920">
      <w:bodyDiv w:val="1"/>
      <w:marLeft w:val="0"/>
      <w:marRight w:val="0"/>
      <w:marTop w:val="0"/>
      <w:marBottom w:val="0"/>
      <w:divBdr>
        <w:top w:val="none" w:sz="0" w:space="0" w:color="auto"/>
        <w:left w:val="none" w:sz="0" w:space="0" w:color="auto"/>
        <w:bottom w:val="none" w:sz="0" w:space="0" w:color="auto"/>
        <w:right w:val="none" w:sz="0" w:space="0" w:color="auto"/>
      </w:divBdr>
    </w:div>
    <w:div w:id="435293359">
      <w:bodyDiv w:val="1"/>
      <w:marLeft w:val="0"/>
      <w:marRight w:val="0"/>
      <w:marTop w:val="0"/>
      <w:marBottom w:val="0"/>
      <w:divBdr>
        <w:top w:val="none" w:sz="0" w:space="0" w:color="auto"/>
        <w:left w:val="none" w:sz="0" w:space="0" w:color="auto"/>
        <w:bottom w:val="none" w:sz="0" w:space="0" w:color="auto"/>
        <w:right w:val="none" w:sz="0" w:space="0" w:color="auto"/>
      </w:divBdr>
    </w:div>
    <w:div w:id="679551345">
      <w:bodyDiv w:val="1"/>
      <w:marLeft w:val="0"/>
      <w:marRight w:val="0"/>
      <w:marTop w:val="0"/>
      <w:marBottom w:val="0"/>
      <w:divBdr>
        <w:top w:val="none" w:sz="0" w:space="0" w:color="auto"/>
        <w:left w:val="none" w:sz="0" w:space="0" w:color="auto"/>
        <w:bottom w:val="none" w:sz="0" w:space="0" w:color="auto"/>
        <w:right w:val="none" w:sz="0" w:space="0" w:color="auto"/>
      </w:divBdr>
    </w:div>
    <w:div w:id="694036182">
      <w:bodyDiv w:val="1"/>
      <w:marLeft w:val="0"/>
      <w:marRight w:val="0"/>
      <w:marTop w:val="0"/>
      <w:marBottom w:val="0"/>
      <w:divBdr>
        <w:top w:val="none" w:sz="0" w:space="0" w:color="auto"/>
        <w:left w:val="none" w:sz="0" w:space="0" w:color="auto"/>
        <w:bottom w:val="none" w:sz="0" w:space="0" w:color="auto"/>
        <w:right w:val="none" w:sz="0" w:space="0" w:color="auto"/>
      </w:divBdr>
    </w:div>
    <w:div w:id="864751707">
      <w:bodyDiv w:val="1"/>
      <w:marLeft w:val="0"/>
      <w:marRight w:val="0"/>
      <w:marTop w:val="0"/>
      <w:marBottom w:val="0"/>
      <w:divBdr>
        <w:top w:val="none" w:sz="0" w:space="0" w:color="auto"/>
        <w:left w:val="none" w:sz="0" w:space="0" w:color="auto"/>
        <w:bottom w:val="none" w:sz="0" w:space="0" w:color="auto"/>
        <w:right w:val="none" w:sz="0" w:space="0" w:color="auto"/>
      </w:divBdr>
    </w:div>
    <w:div w:id="963467543">
      <w:bodyDiv w:val="1"/>
      <w:marLeft w:val="0"/>
      <w:marRight w:val="0"/>
      <w:marTop w:val="0"/>
      <w:marBottom w:val="0"/>
      <w:divBdr>
        <w:top w:val="none" w:sz="0" w:space="0" w:color="auto"/>
        <w:left w:val="none" w:sz="0" w:space="0" w:color="auto"/>
        <w:bottom w:val="none" w:sz="0" w:space="0" w:color="auto"/>
        <w:right w:val="none" w:sz="0" w:space="0" w:color="auto"/>
      </w:divBdr>
    </w:div>
    <w:div w:id="1565673969">
      <w:bodyDiv w:val="1"/>
      <w:marLeft w:val="0"/>
      <w:marRight w:val="0"/>
      <w:marTop w:val="0"/>
      <w:marBottom w:val="0"/>
      <w:divBdr>
        <w:top w:val="none" w:sz="0" w:space="0" w:color="auto"/>
        <w:left w:val="none" w:sz="0" w:space="0" w:color="auto"/>
        <w:bottom w:val="none" w:sz="0" w:space="0" w:color="auto"/>
        <w:right w:val="none" w:sz="0" w:space="0" w:color="auto"/>
      </w:divBdr>
    </w:div>
    <w:div w:id="205200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7.xml"/><Relationship Id="rId39" Type="http://schemas.openxmlformats.org/officeDocument/2006/relationships/hyperlink" Target="https://doi.org/10.1111/jns.12480" TargetMode="External"/><Relationship Id="rId21" Type="http://schemas.openxmlformats.org/officeDocument/2006/relationships/footer" Target="footer7.xml"/><Relationship Id="rId34" Type="http://schemas.openxmlformats.org/officeDocument/2006/relationships/hyperlink" Target="https://doi.org/10.1002/jimd.12844" TargetMode="External"/><Relationship Id="rId42" Type="http://schemas.openxmlformats.org/officeDocument/2006/relationships/hyperlink" Target="https://doi.org/10.1002/jmd2.70067" TargetMode="External"/><Relationship Id="rId47" Type="http://schemas.openxmlformats.org/officeDocument/2006/relationships/header" Target="header9.xml"/><Relationship Id="rId50"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yperlink" Target="https://aems.tga.gov.au/daen-medicines-search/" TargetMode="Externa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hyperlink" Target="https://book.gradepro.org" TargetMode="External"/><Relationship Id="rId37" Type="http://schemas.openxmlformats.org/officeDocument/2006/relationships/hyperlink" Target="https://doi.org/10.1093/toxsci/kfab122" TargetMode="External"/><Relationship Id="rId40" Type="http://schemas.openxmlformats.org/officeDocument/2006/relationships/hyperlink" Target="https://doi.org/10.1177/01926233231180179" TargetMode="External"/><Relationship Id="rId45" Type="http://schemas.openxmlformats.org/officeDocument/2006/relationships/hyperlink" Target="https://doi.org/10.1093/jbmrpl/ziaf086"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hyperlink" Target="https://cvp-pcv.hc-sc.gc.ca/arq-rei/search-recherche" TargetMode="External"/><Relationship Id="rId36" Type="http://schemas.openxmlformats.org/officeDocument/2006/relationships/hyperlink" Target="https://doi.org/10.1016/0041-008X(78)90194-1"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hyperlink" Target="https://doi.org/10.25259/JNRP_346_2024" TargetMode="External"/><Relationship Id="rId44" Type="http://schemas.openxmlformats.org/officeDocument/2006/relationships/hyperlink" Target="https://doi.org/10.1016/j.bone.2024.117033" TargetMode="External"/><Relationship Id="rId52"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footer" Target="footer10.xml"/><Relationship Id="rId30" Type="http://schemas.openxmlformats.org/officeDocument/2006/relationships/hyperlink" Target="https://fis.fda.gov/sense/app/95239e26-e0be-42d9-a960-9a5f7f1c25ee/sheet/45beeb74-30ab-46be-8267-5756582633b4/state/analysishttps" TargetMode="External"/><Relationship Id="rId35" Type="http://schemas.openxmlformats.org/officeDocument/2006/relationships/hyperlink" Target="https://doi.org/10.7759/cureus.48792" TargetMode="External"/><Relationship Id="rId43" Type="http://schemas.openxmlformats.org/officeDocument/2006/relationships/hyperlink" Target="https://www.vigiaccess.org/" TargetMode="External"/><Relationship Id="rId48" Type="http://schemas.openxmlformats.org/officeDocument/2006/relationships/footer" Target="footer11.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9.xml"/><Relationship Id="rId33" Type="http://schemas.openxmlformats.org/officeDocument/2006/relationships/hyperlink" Target="https://doi.org/10.1016/j.ymgmr.2025.101224" TargetMode="External"/><Relationship Id="rId38" Type="http://schemas.openxmlformats.org/officeDocument/2006/relationships/hyperlink" Target="https://doi.org/10.2147/DHPS.S499941" TargetMode="External"/><Relationship Id="rId46" Type="http://schemas.openxmlformats.org/officeDocument/2006/relationships/header" Target="header8.xml"/><Relationship Id="rId20" Type="http://schemas.openxmlformats.org/officeDocument/2006/relationships/footer" Target="footer6.xml"/><Relationship Id="rId41" Type="http://schemas.openxmlformats.org/officeDocument/2006/relationships/hyperlink" Target="https://doi.org/10.1002/pds.70108"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10.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52D31CE1D94A218B70DE68D52C04AF"/>
        <w:category>
          <w:name w:val="General"/>
          <w:gallery w:val="placeholder"/>
        </w:category>
        <w:types>
          <w:type w:val="bbPlcHdr"/>
        </w:types>
        <w:behaviors>
          <w:behavior w:val="content"/>
        </w:behaviors>
        <w:guid w:val="{63E3B69E-AAA7-4151-B0FB-599A63E4DF09}"/>
      </w:docPartPr>
      <w:docPartBody>
        <w:p w:rsidR="00932653" w:rsidRDefault="00932653">
          <w:pPr>
            <w:pStyle w:val="FF52D31CE1D94A218B70DE68D52C04AF"/>
          </w:pPr>
          <w:r w:rsidRPr="00804AED">
            <w:rPr>
              <w:rStyle w:val="PlaceholderText"/>
            </w:rPr>
            <w:t>[Title]</w:t>
          </w:r>
        </w:p>
      </w:docPartBody>
    </w:docPart>
    <w:docPart>
      <w:docPartPr>
        <w:name w:val="975E5289C61D451FB40319D0536286B4"/>
        <w:category>
          <w:name w:val="General"/>
          <w:gallery w:val="placeholder"/>
        </w:category>
        <w:types>
          <w:type w:val="bbPlcHdr"/>
        </w:types>
        <w:behaviors>
          <w:behavior w:val="content"/>
        </w:behaviors>
        <w:guid w:val="{E85F3E94-5614-44D6-BC7C-AF6F288FC22D}"/>
      </w:docPartPr>
      <w:docPartBody>
        <w:p w:rsidR="00932653" w:rsidRDefault="00932653">
          <w:pPr>
            <w:pStyle w:val="975E5289C61D451FB40319D0536286B4"/>
          </w:pPr>
          <w:r w:rsidRPr="00E4512D">
            <w:rPr>
              <w:rStyle w:val="PlaceholderText"/>
            </w:rPr>
            <w:t>[Subject]</w:t>
          </w:r>
        </w:p>
      </w:docPartBody>
    </w:docPart>
    <w:docPart>
      <w:docPartPr>
        <w:name w:val="7415926FB5D241649210902819051647"/>
        <w:category>
          <w:name w:val="General"/>
          <w:gallery w:val="placeholder"/>
        </w:category>
        <w:types>
          <w:type w:val="bbPlcHdr"/>
        </w:types>
        <w:behaviors>
          <w:behavior w:val="content"/>
        </w:behaviors>
        <w:guid w:val="{E0A73548-B1EF-4F80-9534-C1B0BC0CE76C}"/>
      </w:docPartPr>
      <w:docPartBody>
        <w:p w:rsidR="00932653" w:rsidRDefault="00932653">
          <w:pPr>
            <w:pStyle w:val="7415926FB5D241649210902819051647"/>
          </w:pPr>
          <w:r w:rsidRPr="00B50A8A">
            <w:t xml:space="preserve">Select </w:t>
          </w:r>
          <w:r>
            <w:t>SLR</w:t>
          </w:r>
          <w:r w:rsidRPr="00B50A8A">
            <w:t xml:space="preserve"> entity.</w:t>
          </w:r>
        </w:p>
      </w:docPartBody>
    </w:docPart>
    <w:docPart>
      <w:docPartPr>
        <w:name w:val="1C39AFE122204507B618A09407ED50DA"/>
        <w:category>
          <w:name w:val="General"/>
          <w:gallery w:val="placeholder"/>
        </w:category>
        <w:types>
          <w:type w:val="bbPlcHdr"/>
        </w:types>
        <w:behaviors>
          <w:behavior w:val="content"/>
        </w:behaviors>
        <w:guid w:val="{B6C4B2D6-E37D-4AEA-B7C2-D56E7A0C22CB}"/>
      </w:docPartPr>
      <w:docPartBody>
        <w:p w:rsidR="00932653" w:rsidRDefault="00932653">
          <w:pPr>
            <w:pStyle w:val="1C39AFE122204507B618A09407ED50DA"/>
          </w:pPr>
          <w:r w:rsidRPr="007A3E3C">
            <w:rPr>
              <w:rStyle w:val="PlaceholderText"/>
            </w:rPr>
            <w:t>Click or tap here to enter text.</w:t>
          </w:r>
        </w:p>
      </w:docPartBody>
    </w:docPart>
    <w:docPart>
      <w:docPartPr>
        <w:name w:val="5CB099D93724419DA1B596DBEB0D56F5"/>
        <w:category>
          <w:name w:val="General"/>
          <w:gallery w:val="placeholder"/>
        </w:category>
        <w:types>
          <w:type w:val="bbPlcHdr"/>
        </w:types>
        <w:behaviors>
          <w:behavior w:val="content"/>
        </w:behaviors>
        <w:guid w:val="{06CA4108-65C7-43E9-BB7C-EB635D108BF4}"/>
      </w:docPartPr>
      <w:docPartBody>
        <w:p w:rsidR="00932653" w:rsidRDefault="00932653">
          <w:pPr>
            <w:pStyle w:val="5CB099D93724419DA1B596DBEB0D56F5"/>
          </w:pPr>
          <w:r w:rsidRPr="00B5333F">
            <w:rPr>
              <w:rStyle w:val="PlaceholderText"/>
            </w:rPr>
            <w:t>Click or tap here to enter text.</w:t>
          </w:r>
        </w:p>
      </w:docPartBody>
    </w:docPart>
    <w:docPart>
      <w:docPartPr>
        <w:name w:val="5E66F581392D4DC69B6BE84C1BDED13E"/>
        <w:category>
          <w:name w:val="General"/>
          <w:gallery w:val="placeholder"/>
        </w:category>
        <w:types>
          <w:type w:val="bbPlcHdr"/>
        </w:types>
        <w:behaviors>
          <w:behavior w:val="content"/>
        </w:behaviors>
        <w:guid w:val="{C472E6F7-34A0-4842-A9D8-97C38D065C2A}"/>
      </w:docPartPr>
      <w:docPartBody>
        <w:p w:rsidR="00932653" w:rsidRDefault="00932653">
          <w:pPr>
            <w:pStyle w:val="5E66F581392D4DC69B6BE84C1BDED13E"/>
          </w:pPr>
          <w:r w:rsidRPr="000B223D">
            <w:rPr>
              <w:rStyle w:val="PlaceholderText"/>
            </w:rPr>
            <w:t>Click or tap to enter a date.</w:t>
          </w:r>
        </w:p>
      </w:docPartBody>
    </w:docPart>
    <w:docPart>
      <w:docPartPr>
        <w:name w:val="C7855C30550A4FA792C58E48D0B6416C"/>
        <w:category>
          <w:name w:val="General"/>
          <w:gallery w:val="placeholder"/>
        </w:category>
        <w:types>
          <w:type w:val="bbPlcHdr"/>
        </w:types>
        <w:behaviors>
          <w:behavior w:val="content"/>
        </w:behaviors>
        <w:guid w:val="{F8F832F3-901E-4F26-A9C5-05BE8BECC3E9}"/>
      </w:docPartPr>
      <w:docPartBody>
        <w:p w:rsidR="00232922" w:rsidRDefault="00AE67BF" w:rsidP="00AE67BF">
          <w:pPr>
            <w:pStyle w:val="C7855C30550A4FA792C58E48D0B6416C"/>
          </w:pPr>
          <w:r w:rsidRPr="00A549AB">
            <w:rPr>
              <w:rStyle w:val="PlaceholderText"/>
            </w:rPr>
            <w:t>Click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igtree">
    <w:panose1 w:val="00000000000000000000"/>
    <w:charset w:val="00"/>
    <w:family w:val="auto"/>
    <w:pitch w:val="variable"/>
    <w:sig w:usb0="A000006F" w:usb1="0000007B" w:usb2="00000000" w:usb3="00000000" w:csb0="00000093"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lbra Light">
    <w:panose1 w:val="00000000000000000000"/>
    <w:charset w:val="00"/>
    <w:family w:val="auto"/>
    <w:pitch w:val="variable"/>
    <w:sig w:usb0="0000000B"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653"/>
    <w:rsid w:val="00026839"/>
    <w:rsid w:val="000A0C48"/>
    <w:rsid w:val="000F73E4"/>
    <w:rsid w:val="00157B75"/>
    <w:rsid w:val="00171E52"/>
    <w:rsid w:val="001B34C2"/>
    <w:rsid w:val="001F1D0B"/>
    <w:rsid w:val="00232922"/>
    <w:rsid w:val="002429CE"/>
    <w:rsid w:val="003111A9"/>
    <w:rsid w:val="00337C71"/>
    <w:rsid w:val="003406A3"/>
    <w:rsid w:val="003459A8"/>
    <w:rsid w:val="0035316D"/>
    <w:rsid w:val="003563BC"/>
    <w:rsid w:val="00360CA6"/>
    <w:rsid w:val="003860CF"/>
    <w:rsid w:val="003C42AB"/>
    <w:rsid w:val="00427741"/>
    <w:rsid w:val="00450446"/>
    <w:rsid w:val="0045523F"/>
    <w:rsid w:val="00464795"/>
    <w:rsid w:val="00486D68"/>
    <w:rsid w:val="00487C11"/>
    <w:rsid w:val="00500577"/>
    <w:rsid w:val="00502728"/>
    <w:rsid w:val="00507FDB"/>
    <w:rsid w:val="00534632"/>
    <w:rsid w:val="0058112B"/>
    <w:rsid w:val="00634778"/>
    <w:rsid w:val="006D43B9"/>
    <w:rsid w:val="006F0980"/>
    <w:rsid w:val="00702A2E"/>
    <w:rsid w:val="00713974"/>
    <w:rsid w:val="007168F6"/>
    <w:rsid w:val="007E425B"/>
    <w:rsid w:val="007F0C30"/>
    <w:rsid w:val="00931AC4"/>
    <w:rsid w:val="00932653"/>
    <w:rsid w:val="00942BE6"/>
    <w:rsid w:val="009F448E"/>
    <w:rsid w:val="00A119C2"/>
    <w:rsid w:val="00A46E27"/>
    <w:rsid w:val="00A85084"/>
    <w:rsid w:val="00AE67BF"/>
    <w:rsid w:val="00AF5AB5"/>
    <w:rsid w:val="00B07E63"/>
    <w:rsid w:val="00B17BC0"/>
    <w:rsid w:val="00BA6EF6"/>
    <w:rsid w:val="00BB0AE4"/>
    <w:rsid w:val="00BB7338"/>
    <w:rsid w:val="00BF50A6"/>
    <w:rsid w:val="00C1580E"/>
    <w:rsid w:val="00C261B8"/>
    <w:rsid w:val="00C310F2"/>
    <w:rsid w:val="00C44E7E"/>
    <w:rsid w:val="00C87B1F"/>
    <w:rsid w:val="00C95501"/>
    <w:rsid w:val="00CA68FB"/>
    <w:rsid w:val="00CE6E60"/>
    <w:rsid w:val="00D347C1"/>
    <w:rsid w:val="00D44192"/>
    <w:rsid w:val="00D666CE"/>
    <w:rsid w:val="00E01078"/>
    <w:rsid w:val="00E03470"/>
    <w:rsid w:val="00E13869"/>
    <w:rsid w:val="00E931C4"/>
    <w:rsid w:val="00EC4A92"/>
    <w:rsid w:val="00ED16A0"/>
    <w:rsid w:val="00F56D6E"/>
    <w:rsid w:val="00F93A40"/>
    <w:rsid w:val="00FB0E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67BF"/>
    <w:rPr>
      <w:color w:val="808080"/>
    </w:rPr>
  </w:style>
  <w:style w:type="paragraph" w:customStyle="1" w:styleId="FF52D31CE1D94A218B70DE68D52C04AF">
    <w:name w:val="FF52D31CE1D94A218B70DE68D52C04AF"/>
  </w:style>
  <w:style w:type="paragraph" w:customStyle="1" w:styleId="975E5289C61D451FB40319D0536286B4">
    <w:name w:val="975E5289C61D451FB40319D0536286B4"/>
  </w:style>
  <w:style w:type="paragraph" w:customStyle="1" w:styleId="7415926FB5D241649210902819051647">
    <w:name w:val="7415926FB5D241649210902819051647"/>
  </w:style>
  <w:style w:type="paragraph" w:customStyle="1" w:styleId="1C39AFE122204507B618A09407ED50DA">
    <w:name w:val="1C39AFE122204507B618A09407ED50DA"/>
  </w:style>
  <w:style w:type="paragraph" w:customStyle="1" w:styleId="5CB099D93724419DA1B596DBEB0D56F5">
    <w:name w:val="5CB099D93724419DA1B596DBEB0D56F5"/>
  </w:style>
  <w:style w:type="paragraph" w:customStyle="1" w:styleId="5E66F581392D4DC69B6BE84C1BDED13E">
    <w:name w:val="5E66F581392D4DC69B6BE84C1BDED13E"/>
  </w:style>
  <w:style w:type="paragraph" w:customStyle="1" w:styleId="C7855C30550A4FA792C58E48D0B6416C">
    <w:name w:val="C7855C30550A4FA792C58E48D0B6416C"/>
    <w:rsid w:val="00AE67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LR 2023 Colours">
      <a:dk1>
        <a:srgbClr val="1E1E1E"/>
      </a:dk1>
      <a:lt1>
        <a:srgbClr val="FFFFFF"/>
      </a:lt1>
      <a:dk2>
        <a:srgbClr val="3C533C"/>
      </a:dk2>
      <a:lt2>
        <a:srgbClr val="F6F6F2"/>
      </a:lt2>
      <a:accent1>
        <a:srgbClr val="3C533C"/>
      </a:accent1>
      <a:accent2>
        <a:srgbClr val="A9C272"/>
      </a:accent2>
      <a:accent3>
        <a:srgbClr val="667545"/>
      </a:accent3>
      <a:accent4>
        <a:srgbClr val="263326"/>
      </a:accent4>
      <a:accent5>
        <a:srgbClr val="D6F591"/>
      </a:accent5>
      <a:accent6>
        <a:srgbClr val="EEF7DB"/>
      </a:accent6>
      <a:hlink>
        <a:srgbClr val="92B2F5"/>
      </a:hlink>
      <a:folHlink>
        <a:srgbClr val="717568"/>
      </a:folHlink>
    </a:clrScheme>
    <a:fontScheme name="SLR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4994564-c68c-4417-8c9c-13eb9ecde3d6">
      <Terms xmlns="http://schemas.microsoft.com/office/infopath/2007/PartnerControls"/>
    </lcf76f155ced4ddcb4097134ff3c332f>
    <Comments xmlns="f4994564-c68c-4417-8c9c-13eb9ecde3d6" xsi:nil="true"/>
    <_ip_UnifiedCompliancePolicyProperties xmlns="http://schemas.microsoft.com/sharepoint/v3" xsi:nil="true"/>
    <Status xmlns="f4994564-c68c-4417-8c9c-13eb9ecde3d6" xsi:nil="true"/>
    <person xmlns="f4994564-c68c-4417-8c9c-13eb9ecde3d6">
      <UserInfo>
        <DisplayName/>
        <AccountId xsi:nil="true"/>
        <AccountType/>
      </UserInfo>
    </person>
    <TaxCatchAll xmlns="ef8499da-f70f-48c9-a6de-e578977a26c0" xsi:nil="true"/>
    <_dlc_DocId xmlns="ef8499da-f70f-48c9-a6de-e578977a26c0">RESTRANS-1864802524-206772</_dlc_DocId>
    <_dlc_DocIdUrl xmlns="ef8499da-f70f-48c9-a6de-e578977a26c0">
      <Url>https://nhmrc.sharepoint.com/sites/restrans/_layouts/15/DocIdRedir.aspx?ID=RESTRANS-1864802524-206772</Url>
      <Description>RESTRANS-1864802524-206772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4" ma:contentTypeDescription="Create a new document." ma:contentTypeScope="" ma:versionID="15dbadcc652152cf822d9ba4db337924">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521f5fce8a076de9b4dee074152eaf9c"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Version="1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9D587C8-0A84-4BD7-805B-043C142C54BD}">
  <ds:schemaRefs>
    <ds:schemaRef ds:uri="http://schemas.microsoft.com/sharepoint/v3/contenttype/forms"/>
  </ds:schemaRefs>
</ds:datastoreItem>
</file>

<file path=customXml/itemProps2.xml><?xml version="1.0" encoding="utf-8"?>
<ds:datastoreItem xmlns:ds="http://schemas.openxmlformats.org/officeDocument/2006/customXml" ds:itemID="{2E19D133-44CD-4267-B135-D7538E3AB7C9}">
  <ds:schemaRefs>
    <ds:schemaRef ds:uri="http://schemas.microsoft.com/office/2006/metadata/properties"/>
    <ds:schemaRef ds:uri="http://schemas.microsoft.com/office/infopath/2007/PartnerControls"/>
    <ds:schemaRef ds:uri="04275ebd-48af-4361-b40e-097e78a7ca7f"/>
  </ds:schemaRefs>
</ds:datastoreItem>
</file>

<file path=customXml/itemProps3.xml><?xml version="1.0" encoding="utf-8"?>
<ds:datastoreItem xmlns:ds="http://schemas.openxmlformats.org/officeDocument/2006/customXml" ds:itemID="{721DCC4C-C6AB-41FD-99BF-ED1CAF14F72C}"/>
</file>

<file path=customXml/itemProps4.xml><?xml version="1.0" encoding="utf-8"?>
<ds:datastoreItem xmlns:ds="http://schemas.openxmlformats.org/officeDocument/2006/customXml" ds:itemID="{DB80E79D-F110-4947-8777-DD6B64FCF9DB}">
  <ds:schemaRefs>
    <ds:schemaRef ds:uri="http://schemas.openxmlformats.org/officeDocument/2006/bibliography"/>
  </ds:schemaRefs>
</ds:datastoreItem>
</file>

<file path=customXml/itemProps5.xml><?xml version="1.0" encoding="utf-8"?>
<ds:datastoreItem xmlns:ds="http://schemas.openxmlformats.org/officeDocument/2006/customXml" ds:itemID="{1E9897AA-9351-4C34-924D-5D5F79679500}"/>
</file>

<file path=docProps/app.xml><?xml version="1.0" encoding="utf-8"?>
<Properties xmlns="http://schemas.openxmlformats.org/officeDocument/2006/extended-properties" xmlns:vt="http://schemas.openxmlformats.org/officeDocument/2006/docPropsVTypes">
  <Template>Normal</Template>
  <TotalTime>148</TotalTime>
  <Pages>63</Pages>
  <Words>18521</Words>
  <Characters>108909</Characters>
  <Application>Microsoft Office Word</Application>
  <DocSecurity>0</DocSecurity>
  <Lines>3203</Lines>
  <Paragraphs>1079</Paragraphs>
  <ScaleCrop>false</ScaleCrop>
  <HeadingPairs>
    <vt:vector size="2" baseType="variant">
      <vt:variant>
        <vt:lpstr>Title</vt:lpstr>
      </vt:variant>
      <vt:variant>
        <vt:i4>1</vt:i4>
      </vt:variant>
    </vt:vector>
  </HeadingPairs>
  <TitlesOfParts>
    <vt:vector size="1" baseType="lpstr">
      <vt:lpstr>Evidence Evaluations for Vitamin B6 Upper Level</vt:lpstr>
    </vt:vector>
  </TitlesOfParts>
  <Company>SLR Consulting</Company>
  <LinksUpToDate>false</LinksUpToDate>
  <CharactersWithSpaces>126351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Evidence Evaluations for Vitamin B6 Upper Level</dc:title>
  <dc:subject>Vitamin B6 Upper-Level Evaluation Report</dc:subject>
  <dc:creator>Marsha Gibson</dc:creator>
  <cp:keywords>report, template, technical report</cp:keywords>
  <dc:description>r4.3 (remove 360)</dc:description>
  <cp:lastModifiedBy>Maryam Moslehi</cp:lastModifiedBy>
  <cp:revision>21</cp:revision>
  <cp:lastPrinted>2026-08-07T01:54:00Z</cp:lastPrinted>
  <dcterms:created xsi:type="dcterms:W3CDTF">2026-08-06T05:15:00Z</dcterms:created>
  <dcterms:modified xsi:type="dcterms:W3CDTF">2026-08-07T01:57:00Z</dcterms:modified>
  <cp:category>Template</cp:category>
  <cp:contentStatus>Current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Name">
    <vt:lpwstr>[Client Name]</vt:lpwstr>
  </property>
  <property fmtid="{D5CDD505-2E9C-101B-9397-08002B2CF9AE}" pid="3" name="ContentTypeId">
    <vt:lpwstr>0x01010018030A58EFCB05439C4C109195641468</vt:lpwstr>
  </property>
  <property fmtid="{D5CDD505-2E9C-101B-9397-08002B2CF9AE}" pid="4" name="_dlc_DocIdItemGuid">
    <vt:lpwstr>9eaa8372-d5a9-43be-a776-4776ac137105</vt:lpwstr>
  </property>
  <property fmtid="{D5CDD505-2E9C-101B-9397-08002B2CF9AE}" pid="5" name="MediaServiceImageTags">
    <vt:lpwstr/>
  </property>
  <property fmtid="{D5CDD505-2E9C-101B-9397-08002B2CF9AE}" pid="7" name="docLang">
    <vt:lpwstr>en</vt:lpwstr>
  </property>
</Properties>
</file>