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401E" w14:textId="5BFB20AA" w:rsidR="00930DC8" w:rsidRDefault="00930DC8" w:rsidP="00E95581">
      <w:pPr>
        <w:pStyle w:val="Heading2"/>
        <w:spacing w:line="276" w:lineRule="auto"/>
      </w:pPr>
      <w:bookmarkStart w:id="0" w:name="_Toc210406417"/>
      <w:bookmarkStart w:id="1" w:name="_Toc212567920"/>
      <w:r w:rsidRPr="007531EE">
        <w:rPr>
          <w:bCs/>
          <w:color w:val="auto"/>
          <w:sz w:val="32"/>
          <w:u w:val="single"/>
        </w:rPr>
        <w:t xml:space="preserve">Attachment </w:t>
      </w:r>
      <w:r w:rsidR="00AA5893">
        <w:rPr>
          <w:bCs/>
          <w:color w:val="auto"/>
          <w:sz w:val="32"/>
          <w:u w:val="single"/>
        </w:rPr>
        <w:t>6H</w:t>
      </w:r>
      <w:r w:rsidRPr="007531EE">
        <w:rPr>
          <w:bCs/>
          <w:color w:val="auto"/>
          <w:sz w:val="32"/>
          <w:u w:val="single"/>
        </w:rPr>
        <w:t xml:space="preserve">: </w:t>
      </w:r>
      <w:r w:rsidR="00AA5893">
        <w:rPr>
          <w:bCs/>
          <w:color w:val="auto"/>
          <w:sz w:val="32"/>
          <w:u w:val="single"/>
        </w:rPr>
        <w:t xml:space="preserve">Vitamin B6 - </w:t>
      </w:r>
      <w:r w:rsidR="00FE47D3">
        <w:rPr>
          <w:bCs/>
          <w:color w:val="auto"/>
          <w:sz w:val="32"/>
          <w:u w:val="single"/>
          <w:lang w:val="en-US"/>
        </w:rPr>
        <w:t>Draft Evidence-to-Decision Framework</w:t>
      </w:r>
    </w:p>
    <w:p w14:paraId="6DA3A6DF" w14:textId="53E14E65" w:rsidR="00B364D5" w:rsidRDefault="00B364D5" w:rsidP="00E95581">
      <w:pPr>
        <w:pStyle w:val="Heading2"/>
        <w:spacing w:line="276" w:lineRule="auto"/>
      </w:pPr>
      <w:r>
        <w:t>Evidence-to-Decision Framework</w:t>
      </w:r>
      <w:bookmarkEnd w:id="0"/>
      <w:bookmarkEnd w:id="1"/>
    </w:p>
    <w:p w14:paraId="04F76459" w14:textId="6B3301D1" w:rsidR="00794C15" w:rsidRPr="00C93859" w:rsidRDefault="00E07A76" w:rsidP="00F70153">
      <w:pPr>
        <w:pStyle w:val="Heading3"/>
        <w:spacing w:line="276" w:lineRule="auto"/>
      </w:pPr>
      <w:bookmarkStart w:id="2" w:name="_Toc210406422"/>
      <w:bookmarkStart w:id="3" w:name="_Toc212567925"/>
      <w:r>
        <w:t>Vitamin B6</w:t>
      </w:r>
      <w:r w:rsidR="00794C15" w:rsidRPr="00C93859">
        <w:t xml:space="preserve"> </w:t>
      </w:r>
      <w:r w:rsidR="00667A3D">
        <w:t>–</w:t>
      </w:r>
      <w:r w:rsidR="00794C15" w:rsidRPr="00C93859">
        <w:t xml:space="preserve"> Upper Levels</w:t>
      </w:r>
      <w:bookmarkEnd w:id="2"/>
      <w:bookmarkEnd w:id="3"/>
    </w:p>
    <w:p w14:paraId="705AE328" w14:textId="77777777" w:rsidR="00D366A0" w:rsidRDefault="00D366A0" w:rsidP="00C14358">
      <w:pPr>
        <w:rPr>
          <w:b/>
          <w:sz w:val="22"/>
          <w:szCs w:val="20"/>
        </w:rPr>
      </w:pPr>
      <w:bookmarkStart w:id="4" w:name="_Toc210406423"/>
      <w:bookmarkStart w:id="5" w:name="_Toc212567926"/>
    </w:p>
    <w:p w14:paraId="3EE9644F" w14:textId="0DAE3CB0" w:rsidR="009B690C" w:rsidRPr="00C14358" w:rsidDel="009B690C" w:rsidRDefault="00794C15" w:rsidP="00C14358">
      <w:pPr>
        <w:rPr>
          <w:b/>
          <w:sz w:val="22"/>
          <w:szCs w:val="20"/>
        </w:rPr>
      </w:pPr>
      <w:r w:rsidRPr="00C14358">
        <w:rPr>
          <w:b/>
          <w:sz w:val="22"/>
          <w:szCs w:val="20"/>
        </w:rPr>
        <w:t>Background</w:t>
      </w:r>
      <w:bookmarkEnd w:id="4"/>
      <w:bookmarkEnd w:id="5"/>
    </w:p>
    <w:p w14:paraId="7622D5B9" w14:textId="3A47B0C3" w:rsidR="00794C15" w:rsidRPr="00FC1899" w:rsidRDefault="00E07A76" w:rsidP="00FC1899">
      <w:pPr>
        <w:pStyle w:val="Heading4"/>
        <w:rPr>
          <w:i/>
          <w:iCs/>
          <w:sz w:val="20"/>
          <w:szCs w:val="20"/>
        </w:rPr>
      </w:pPr>
      <w:r w:rsidRPr="00FC1899">
        <w:rPr>
          <w:i/>
          <w:iCs/>
          <w:sz w:val="20"/>
          <w:szCs w:val="20"/>
        </w:rPr>
        <w:t xml:space="preserve">Vitamin B6 - </w:t>
      </w:r>
      <w:r w:rsidR="00794C15" w:rsidRPr="00FC1899" w:rsidDel="009B690C">
        <w:rPr>
          <w:i/>
          <w:iCs/>
          <w:sz w:val="20"/>
          <w:szCs w:val="20"/>
        </w:rPr>
        <w:t>function and dietary sources</w:t>
      </w:r>
    </w:p>
    <w:p w14:paraId="7BF9E0AD" w14:textId="77777777" w:rsidR="001F7DEA" w:rsidRPr="00D366A0" w:rsidRDefault="001F7DEA" w:rsidP="001F7DEA">
      <w:pPr>
        <w:rPr>
          <w:b/>
          <w:bCs/>
          <w:i/>
          <w:iCs/>
        </w:rPr>
      </w:pPr>
      <w:r w:rsidRPr="00D366A0">
        <w:rPr>
          <w:b/>
          <w:bCs/>
          <w:i/>
          <w:iCs/>
        </w:rPr>
        <w:t>Function</w:t>
      </w:r>
    </w:p>
    <w:p w14:paraId="750AB02C" w14:textId="23498193" w:rsidR="00171884" w:rsidRPr="00DA0253" w:rsidRDefault="007046FF">
      <w:pPr>
        <w:spacing w:line="276" w:lineRule="auto"/>
      </w:pPr>
      <w:r w:rsidRPr="007046FF">
        <w:t xml:space="preserve">Vitamin B6 is a water-soluble </w:t>
      </w:r>
      <w:r w:rsidR="00956AB5">
        <w:t xml:space="preserve">and heat sensitive </w:t>
      </w:r>
      <w:r w:rsidRPr="007046FF">
        <w:t>vitamin</w:t>
      </w:r>
      <w:r w:rsidR="00353328">
        <w:t xml:space="preserve">. </w:t>
      </w:r>
      <w:r w:rsidR="000B197B" w:rsidRPr="000B197B">
        <w:t xml:space="preserve">Vitamin B6 performs a wide variety of functions in the body </w:t>
      </w:r>
      <w:r w:rsidR="008D038B">
        <w:t>as a co</w:t>
      </w:r>
      <w:r w:rsidR="00171884">
        <w:t xml:space="preserve">enzyme in </w:t>
      </w:r>
      <w:r w:rsidR="00032901">
        <w:t xml:space="preserve">metabolism of </w:t>
      </w:r>
      <w:r w:rsidR="000B197B" w:rsidRPr="000B197B">
        <w:t>protein</w:t>
      </w:r>
      <w:r w:rsidR="00032901">
        <w:t xml:space="preserve">, </w:t>
      </w:r>
      <w:r w:rsidR="00032901" w:rsidRPr="00032901">
        <w:t>carbohydrates and lipids</w:t>
      </w:r>
      <w:r w:rsidR="006B395D">
        <w:t xml:space="preserve"> and</w:t>
      </w:r>
      <w:r w:rsidR="006B395D" w:rsidRPr="006B395D">
        <w:t xml:space="preserve"> helps in the formation of red blood cells</w:t>
      </w:r>
      <w:r w:rsidR="00032901">
        <w:t>.</w:t>
      </w:r>
      <w:r w:rsidR="00032901" w:rsidRPr="00032901">
        <w:t> </w:t>
      </w:r>
      <w:r w:rsidR="000B197B" w:rsidRPr="000B197B">
        <w:t xml:space="preserve"> </w:t>
      </w:r>
    </w:p>
    <w:p w14:paraId="23A0367D" w14:textId="2BA7E947" w:rsidR="009559D6" w:rsidRDefault="009559D6">
      <w:pPr>
        <w:spacing w:line="276" w:lineRule="auto"/>
      </w:pPr>
      <w:r w:rsidRPr="0090626A">
        <w:t>Vitamin B</w:t>
      </w:r>
      <w:r>
        <w:t>6</w:t>
      </w:r>
      <w:r w:rsidRPr="0090626A">
        <w:t xml:space="preserve"> is a group of six related compounds, known as vitamers: pyridoxal, pyridoxine and pyridoxamine, and their 5'-phosphate forms (see table below). </w:t>
      </w:r>
      <w:r w:rsidR="00375453" w:rsidRPr="00375453">
        <w:t xml:space="preserve">All these </w:t>
      </w:r>
      <w:r w:rsidR="00741905">
        <w:t>forms</w:t>
      </w:r>
      <w:r w:rsidR="00375453" w:rsidRPr="00375453">
        <w:t xml:space="preserve"> are present in food</w:t>
      </w:r>
      <w:r w:rsidR="00741905">
        <w:t xml:space="preserve"> </w:t>
      </w:r>
      <w:r w:rsidR="0045011E">
        <w:rPr>
          <w:noProof/>
        </w:rPr>
        <w:t>(EFSA, 2016)</w:t>
      </w:r>
      <w:r w:rsidR="00375453" w:rsidRPr="00375453">
        <w:t>. </w:t>
      </w:r>
      <w:r w:rsidRPr="0090626A">
        <w:t xml:space="preserve"> The main form found in human tissues is pyridoxal 5'-phosphate (</w:t>
      </w:r>
      <w:hyperlink r:id="rId12" w:anchor="PLP" w:history="1">
        <w:r w:rsidRPr="0090626A">
          <w:rPr>
            <w:rStyle w:val="Hyperlink"/>
          </w:rPr>
          <w:t>PLP</w:t>
        </w:r>
      </w:hyperlink>
      <w:r w:rsidRPr="0090626A">
        <w:t>). Most PLP is stored in muscle, where it is bound to phosphorylase. Pyridoxamine 5'-phosphate (</w:t>
      </w:r>
      <w:hyperlink r:id="rId13" w:anchor="PMP" w:history="1">
        <w:r w:rsidRPr="0090626A">
          <w:rPr>
            <w:rStyle w:val="Hyperlink"/>
          </w:rPr>
          <w:t>PMP</w:t>
        </w:r>
      </w:hyperlink>
      <w:r w:rsidRPr="0090626A">
        <w:t>) is the next most common form in human tissues. Plant foods mainly contain pyridoxine (</w:t>
      </w:r>
      <w:hyperlink r:id="rId14" w:anchor="PN" w:history="1">
        <w:r w:rsidRPr="0090626A">
          <w:rPr>
            <w:rStyle w:val="Hyperlink"/>
          </w:rPr>
          <w:t>PN</w:t>
        </w:r>
      </w:hyperlink>
      <w:r w:rsidRPr="0090626A">
        <w:t>) and pyridoxine 5'-phosphate (</w:t>
      </w:r>
      <w:hyperlink r:id="rId15" w:anchor="PNP" w:history="1">
        <w:r w:rsidRPr="0090626A">
          <w:rPr>
            <w:rStyle w:val="Hyperlink"/>
          </w:rPr>
          <w:t>PNP</w:t>
        </w:r>
      </w:hyperlink>
      <w:r w:rsidRPr="0090626A">
        <w:t>), which may occur as glucosides</w:t>
      </w:r>
      <w:r w:rsidR="00727C7D">
        <w:t xml:space="preserve"> </w:t>
      </w:r>
      <w:r w:rsidR="0045011E">
        <w:rPr>
          <w:noProof/>
        </w:rPr>
        <w:t>(NHMRC, 2006)</w:t>
      </w:r>
      <w:r w:rsidRPr="0090626A">
        <w:t>.</w:t>
      </w:r>
    </w:p>
    <w:p w14:paraId="4B462ABF" w14:textId="292B1045" w:rsidR="0081247B" w:rsidRPr="0090626A" w:rsidRDefault="0081247B">
      <w:pPr>
        <w:spacing w:line="276" w:lineRule="auto"/>
        <w:rPr>
          <w:color w:val="000000"/>
          <w:kern w:val="2"/>
          <w:szCs w:val="20"/>
          <w14:ligatures w14:val="standardContextual"/>
        </w:rPr>
      </w:pPr>
      <w:r w:rsidRPr="0090626A">
        <w:t>Before absorption, phosphorylated forms of vitamin B</w:t>
      </w:r>
      <w:r>
        <w:t>6</w:t>
      </w:r>
      <w:r w:rsidRPr="0090626A">
        <w:t xml:space="preserve">, such as </w:t>
      </w:r>
      <w:hyperlink r:id="rId16" w:anchor="PLP" w:history="1">
        <w:r w:rsidRPr="0090626A">
          <w:rPr>
            <w:rStyle w:val="Hyperlink"/>
          </w:rPr>
          <w:t>PLP</w:t>
        </w:r>
      </w:hyperlink>
      <w:r w:rsidRPr="0090626A">
        <w:t xml:space="preserve"> and </w:t>
      </w:r>
      <w:hyperlink r:id="rId17" w:anchor="PMP" w:history="1">
        <w:r w:rsidRPr="0090626A">
          <w:rPr>
            <w:rStyle w:val="Hyperlink"/>
          </w:rPr>
          <w:t>PMP</w:t>
        </w:r>
      </w:hyperlink>
      <w:r w:rsidRPr="0090626A">
        <w:t xml:space="preserve">, are broken down in the intestine by phosphatases to non-phosphorylated forms. These forms are then absorbed by the intestinal mucosa and transported to the liver, where they can be converted back to phosphorylated forms. Large doses of </w:t>
      </w:r>
      <w:hyperlink r:id="rId18" w:anchor="PLP" w:history="1">
        <w:r w:rsidRPr="0090626A">
          <w:rPr>
            <w:rStyle w:val="Hyperlink"/>
          </w:rPr>
          <w:t>PLP</w:t>
        </w:r>
      </w:hyperlink>
      <w:r w:rsidRPr="0090626A">
        <w:t xml:space="preserve"> and </w:t>
      </w:r>
      <w:hyperlink r:id="rId19" w:anchor="PMP" w:history="1">
        <w:r w:rsidRPr="0090626A">
          <w:rPr>
            <w:rStyle w:val="Hyperlink"/>
          </w:rPr>
          <w:t>PMP</w:t>
        </w:r>
      </w:hyperlink>
      <w:r w:rsidRPr="0090626A">
        <w:t xml:space="preserve"> are generally well absorbed (Hamm et al 1979). By contrast, </w:t>
      </w:r>
      <w:hyperlink r:id="rId20" w:anchor="PN" w:history="1">
        <w:r w:rsidRPr="0090626A">
          <w:rPr>
            <w:rStyle w:val="Hyperlink"/>
          </w:rPr>
          <w:t>PN</w:t>
        </w:r>
      </w:hyperlink>
      <w:r w:rsidRPr="0090626A">
        <w:t xml:space="preserve"> glucoside is less well absorbed. The main urinary breakdown product is 4-pyridoxic acid, which accounts for about half of the vitamin B</w:t>
      </w:r>
      <w:r>
        <w:t>6</w:t>
      </w:r>
      <w:r w:rsidRPr="0090626A">
        <w:t xml:space="preserve"> compounds found in urine </w:t>
      </w:r>
      <w:r w:rsidR="0045011E">
        <w:rPr>
          <w:noProof/>
        </w:rPr>
        <w:t>(Shultz &amp; Leklem, 1981)</w:t>
      </w:r>
      <w:r w:rsidRPr="0090626A">
        <w:t>.</w:t>
      </w:r>
    </w:p>
    <w:p w14:paraId="5DE7A943" w14:textId="426E4F00" w:rsidR="006675DC" w:rsidRDefault="006675DC" w:rsidP="006675DC">
      <w:pPr>
        <w:spacing w:line="276" w:lineRule="auto"/>
        <w:rPr>
          <w:b/>
          <w:bCs/>
        </w:rPr>
      </w:pPr>
      <w:r w:rsidRPr="0090626A">
        <w:rPr>
          <w:b/>
          <w:bCs/>
        </w:rPr>
        <w:t>Forms and equivalence of Vitamin B</w:t>
      </w:r>
      <w:r w:rsidRPr="0090626A">
        <w:rPr>
          <w:b/>
          <w:bCs/>
          <w:vertAlign w:val="subscript"/>
        </w:rPr>
        <w:t>6</w:t>
      </w:r>
      <w:r w:rsidRPr="0090626A">
        <w:rPr>
          <w:b/>
          <w:bCs/>
        </w:rPr>
        <w:t> compounds</w:t>
      </w:r>
    </w:p>
    <w:p w14:paraId="4EDB2FF1" w14:textId="49CB0405" w:rsidR="00073A26" w:rsidRDefault="0010683B" w:rsidP="006675DC">
      <w:pPr>
        <w:spacing w:line="276" w:lineRule="auto"/>
        <w:rPr>
          <w:i/>
          <w:iCs/>
        </w:rPr>
        <w:sectPr w:rsidR="00073A26" w:rsidSect="00D75D51">
          <w:headerReference w:type="even" r:id="rId21"/>
          <w:headerReference w:type="default" r:id="rId22"/>
          <w:footerReference w:type="even" r:id="rId23"/>
          <w:footerReference w:type="default" r:id="rId24"/>
          <w:headerReference w:type="first" r:id="rId25"/>
          <w:footerReference w:type="first" r:id="rId26"/>
          <w:pgSz w:w="16838" w:h="11906" w:orient="landscape" w:code="9"/>
          <w:pgMar w:top="907" w:right="1814" w:bottom="1134" w:left="1565" w:header="510" w:footer="454" w:gutter="0"/>
          <w:cols w:space="708"/>
          <w:titlePg/>
          <w:docGrid w:linePitch="360"/>
        </w:sectPr>
      </w:pPr>
      <w:r w:rsidRPr="0010683B">
        <w:rPr>
          <w:i/>
          <w:iCs/>
        </w:rPr>
        <w:t>Th</w:t>
      </w:r>
      <w:r w:rsidR="00D366A0">
        <w:rPr>
          <w:i/>
          <w:iCs/>
        </w:rPr>
        <w:t>e</w:t>
      </w:r>
      <w:r w:rsidRPr="0010683B">
        <w:rPr>
          <w:i/>
          <w:iCs/>
        </w:rPr>
        <w:t xml:space="preserve"> table</w:t>
      </w:r>
      <w:r w:rsidR="00D366A0">
        <w:rPr>
          <w:i/>
          <w:iCs/>
        </w:rPr>
        <w:t xml:space="preserve"> below </w:t>
      </w:r>
      <w:r w:rsidRPr="0010683B">
        <w:rPr>
          <w:i/>
          <w:iCs/>
        </w:rPr>
        <w:t>provides measurements and equivalences for various forms of Vitamin B6 compounds</w:t>
      </w:r>
      <w:r w:rsidR="00727C7D">
        <w:rPr>
          <w:i/>
          <w:iCs/>
        </w:rPr>
        <w:t xml:space="preserve"> </w:t>
      </w:r>
      <w:r w:rsidR="0045011E">
        <w:rPr>
          <w:i/>
          <w:iCs/>
          <w:noProof/>
        </w:rPr>
        <w:t>(NHMRC, 2006)</w:t>
      </w:r>
    </w:p>
    <w:tbl>
      <w:tblPr>
        <w:tblStyle w:val="TableGrid"/>
        <w:tblW w:w="13462" w:type="dxa"/>
        <w:tblInd w:w="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823"/>
        <w:gridCol w:w="1842"/>
        <w:gridCol w:w="2127"/>
        <w:gridCol w:w="5670"/>
      </w:tblGrid>
      <w:tr w:rsidR="003C630E" w14:paraId="09D7F205" w14:textId="77777777" w:rsidTr="006B35A7">
        <w:tc>
          <w:tcPr>
            <w:tcW w:w="3823" w:type="dxa"/>
            <w:shd w:val="clear" w:color="auto" w:fill="F2F2F2" w:themeFill="background1" w:themeFillShade="F2"/>
          </w:tcPr>
          <w:p w14:paraId="7D4795BF" w14:textId="77777777" w:rsidR="003C630E" w:rsidRDefault="003C630E">
            <w:pPr>
              <w:spacing w:line="276" w:lineRule="auto"/>
            </w:pPr>
            <w:r w:rsidRPr="0090626A">
              <w:rPr>
                <w:b/>
                <w:bCs/>
              </w:rPr>
              <w:lastRenderedPageBreak/>
              <w:t>Units of measurement</w:t>
            </w:r>
          </w:p>
        </w:tc>
        <w:tc>
          <w:tcPr>
            <w:tcW w:w="1842" w:type="dxa"/>
            <w:shd w:val="clear" w:color="auto" w:fill="F2F2F2" w:themeFill="background1" w:themeFillShade="F2"/>
          </w:tcPr>
          <w:p w14:paraId="3E48BD84" w14:textId="77777777" w:rsidR="003C630E" w:rsidRDefault="003C630E">
            <w:pPr>
              <w:spacing w:line="276" w:lineRule="auto"/>
            </w:pPr>
          </w:p>
        </w:tc>
        <w:tc>
          <w:tcPr>
            <w:tcW w:w="2127" w:type="dxa"/>
            <w:shd w:val="clear" w:color="auto" w:fill="F2F2F2" w:themeFill="background1" w:themeFillShade="F2"/>
          </w:tcPr>
          <w:p w14:paraId="079B57FC" w14:textId="77777777" w:rsidR="003C630E" w:rsidRDefault="003C630E">
            <w:pPr>
              <w:spacing w:line="276" w:lineRule="auto"/>
            </w:pPr>
          </w:p>
        </w:tc>
        <w:tc>
          <w:tcPr>
            <w:tcW w:w="5670" w:type="dxa"/>
            <w:shd w:val="clear" w:color="auto" w:fill="F2F2F2" w:themeFill="background1" w:themeFillShade="F2"/>
          </w:tcPr>
          <w:p w14:paraId="6D8B08A7" w14:textId="77777777" w:rsidR="003C630E" w:rsidRDefault="003C630E">
            <w:pPr>
              <w:spacing w:line="276" w:lineRule="auto"/>
            </w:pPr>
          </w:p>
        </w:tc>
      </w:tr>
      <w:tr w:rsidR="003C630E" w14:paraId="6FA9AEE4" w14:textId="77777777" w:rsidTr="006B35A7">
        <w:tc>
          <w:tcPr>
            <w:tcW w:w="3823" w:type="dxa"/>
          </w:tcPr>
          <w:p w14:paraId="3C6C6D54" w14:textId="77777777" w:rsidR="003C630E" w:rsidRDefault="003C630E">
            <w:pPr>
              <w:spacing w:line="276" w:lineRule="auto"/>
            </w:pPr>
            <w:r w:rsidRPr="0090626A">
              <w:t>Pyridoxine (</w:t>
            </w:r>
            <w:hyperlink r:id="rId27" w:anchor="PN" w:history="1">
              <w:r w:rsidRPr="0090626A">
                <w:rPr>
                  <w:rStyle w:val="Hyperlink"/>
                </w:rPr>
                <w:t>PN</w:t>
              </w:r>
            </w:hyperlink>
            <w:r w:rsidRPr="0090626A">
              <w:t>)</w:t>
            </w:r>
          </w:p>
        </w:tc>
        <w:tc>
          <w:tcPr>
            <w:tcW w:w="1842" w:type="dxa"/>
          </w:tcPr>
          <w:p w14:paraId="26AAFC3E" w14:textId="77777777" w:rsidR="003C630E" w:rsidRDefault="003C630E">
            <w:pPr>
              <w:spacing w:line="276" w:lineRule="auto"/>
            </w:pPr>
            <w:r w:rsidRPr="0090626A">
              <w:t>1g = 5.9 mmol</w:t>
            </w:r>
          </w:p>
        </w:tc>
        <w:tc>
          <w:tcPr>
            <w:tcW w:w="2127" w:type="dxa"/>
          </w:tcPr>
          <w:p w14:paraId="089BB05E" w14:textId="77777777" w:rsidR="003C630E" w:rsidRDefault="003C630E">
            <w:pPr>
              <w:spacing w:line="276" w:lineRule="auto"/>
            </w:pPr>
            <w:r w:rsidRPr="0090626A">
              <w:t>1mmol = 170 mg</w:t>
            </w:r>
          </w:p>
        </w:tc>
        <w:tc>
          <w:tcPr>
            <w:tcW w:w="5670" w:type="dxa"/>
          </w:tcPr>
          <w:p w14:paraId="57C9B175" w14:textId="77777777" w:rsidR="003C630E" w:rsidRDefault="003C630E">
            <w:pPr>
              <w:spacing w:line="276" w:lineRule="auto"/>
            </w:pPr>
            <w:r w:rsidRPr="0090626A">
              <w:t>Three naturally inter-convertible forms in the tissues</w:t>
            </w:r>
          </w:p>
        </w:tc>
      </w:tr>
      <w:tr w:rsidR="003C630E" w14:paraId="2DA25809" w14:textId="77777777" w:rsidTr="006B35A7">
        <w:tc>
          <w:tcPr>
            <w:tcW w:w="3823" w:type="dxa"/>
          </w:tcPr>
          <w:p w14:paraId="5BA7556A" w14:textId="77777777" w:rsidR="003C630E" w:rsidRDefault="003C630E">
            <w:pPr>
              <w:spacing w:line="276" w:lineRule="auto"/>
            </w:pPr>
            <w:r w:rsidRPr="0090626A">
              <w:t>Pyridoxal (PL)</w:t>
            </w:r>
          </w:p>
        </w:tc>
        <w:tc>
          <w:tcPr>
            <w:tcW w:w="1842" w:type="dxa"/>
          </w:tcPr>
          <w:p w14:paraId="3D84B5A0" w14:textId="77777777" w:rsidR="003C630E" w:rsidRDefault="003C630E">
            <w:pPr>
              <w:spacing w:line="276" w:lineRule="auto"/>
            </w:pPr>
            <w:r w:rsidRPr="0090626A">
              <w:t>1g = 6.0 mmol</w:t>
            </w:r>
          </w:p>
        </w:tc>
        <w:tc>
          <w:tcPr>
            <w:tcW w:w="2127" w:type="dxa"/>
          </w:tcPr>
          <w:p w14:paraId="2738871B" w14:textId="77777777" w:rsidR="003C630E" w:rsidRDefault="003C630E">
            <w:pPr>
              <w:spacing w:line="276" w:lineRule="auto"/>
            </w:pPr>
            <w:r w:rsidRPr="0090626A">
              <w:t>1mmol = 167 mg</w:t>
            </w:r>
          </w:p>
        </w:tc>
        <w:tc>
          <w:tcPr>
            <w:tcW w:w="5670" w:type="dxa"/>
          </w:tcPr>
          <w:p w14:paraId="3EA3D154" w14:textId="77777777" w:rsidR="003C630E" w:rsidRDefault="003C630E">
            <w:pPr>
              <w:spacing w:line="276" w:lineRule="auto"/>
            </w:pPr>
            <w:r w:rsidRPr="0090626A">
              <w:t>Three naturally inter-convertible forms in the tissues</w:t>
            </w:r>
          </w:p>
        </w:tc>
      </w:tr>
      <w:tr w:rsidR="003C630E" w14:paraId="53B8A7E4" w14:textId="77777777" w:rsidTr="006B35A7">
        <w:tc>
          <w:tcPr>
            <w:tcW w:w="3823" w:type="dxa"/>
          </w:tcPr>
          <w:p w14:paraId="481826EA" w14:textId="77777777" w:rsidR="003C630E" w:rsidRDefault="003C630E">
            <w:pPr>
              <w:spacing w:line="276" w:lineRule="auto"/>
            </w:pPr>
            <w:r w:rsidRPr="0090626A">
              <w:t>Pyridoxamine (PM)</w:t>
            </w:r>
          </w:p>
        </w:tc>
        <w:tc>
          <w:tcPr>
            <w:tcW w:w="1842" w:type="dxa"/>
          </w:tcPr>
          <w:p w14:paraId="6199AA16" w14:textId="77777777" w:rsidR="003C630E" w:rsidRDefault="003C630E">
            <w:pPr>
              <w:spacing w:line="276" w:lineRule="auto"/>
            </w:pPr>
            <w:r w:rsidRPr="0090626A">
              <w:t>1g = 6.0 mmol</w:t>
            </w:r>
          </w:p>
        </w:tc>
        <w:tc>
          <w:tcPr>
            <w:tcW w:w="2127" w:type="dxa"/>
          </w:tcPr>
          <w:p w14:paraId="5F1EE7FB" w14:textId="77777777" w:rsidR="003C630E" w:rsidRDefault="003C630E">
            <w:pPr>
              <w:spacing w:line="276" w:lineRule="auto"/>
            </w:pPr>
            <w:r w:rsidRPr="0090626A">
              <w:t>1mmol = 168 mg</w:t>
            </w:r>
          </w:p>
        </w:tc>
        <w:tc>
          <w:tcPr>
            <w:tcW w:w="5670" w:type="dxa"/>
          </w:tcPr>
          <w:p w14:paraId="3FB667CB" w14:textId="77777777" w:rsidR="003C630E" w:rsidRDefault="003C630E">
            <w:pPr>
              <w:spacing w:line="276" w:lineRule="auto"/>
            </w:pPr>
            <w:r w:rsidRPr="0090626A">
              <w:t>Three naturally inter-convertible forms in the tissues</w:t>
            </w:r>
          </w:p>
        </w:tc>
      </w:tr>
      <w:tr w:rsidR="003C630E" w14:paraId="3CE9B09E" w14:textId="77777777" w:rsidTr="006B35A7">
        <w:tc>
          <w:tcPr>
            <w:tcW w:w="3823" w:type="dxa"/>
          </w:tcPr>
          <w:p w14:paraId="6E0DCB2A" w14:textId="77777777" w:rsidR="003C630E" w:rsidRDefault="003C630E">
            <w:pPr>
              <w:spacing w:line="276" w:lineRule="auto"/>
            </w:pPr>
            <w:r w:rsidRPr="0090626A">
              <w:t>Pyridoxal-5-phosphate (</w:t>
            </w:r>
            <w:hyperlink r:id="rId28" w:anchor="PLP" w:history="1">
              <w:r w:rsidRPr="0090626A">
                <w:rPr>
                  <w:rStyle w:val="Hyperlink"/>
                </w:rPr>
                <w:t>PLP</w:t>
              </w:r>
            </w:hyperlink>
            <w:r w:rsidRPr="0090626A">
              <w:t>)</w:t>
            </w:r>
          </w:p>
        </w:tc>
        <w:tc>
          <w:tcPr>
            <w:tcW w:w="1842" w:type="dxa"/>
          </w:tcPr>
          <w:p w14:paraId="2237F555" w14:textId="77777777" w:rsidR="003C630E" w:rsidRDefault="003C630E">
            <w:pPr>
              <w:spacing w:line="276" w:lineRule="auto"/>
            </w:pPr>
            <w:r w:rsidRPr="0090626A">
              <w:t>1g = 4.1 mmol</w:t>
            </w:r>
          </w:p>
        </w:tc>
        <w:tc>
          <w:tcPr>
            <w:tcW w:w="2127" w:type="dxa"/>
          </w:tcPr>
          <w:p w14:paraId="57CB8715" w14:textId="77777777" w:rsidR="003C630E" w:rsidRDefault="003C630E">
            <w:pPr>
              <w:spacing w:line="276" w:lineRule="auto"/>
            </w:pPr>
            <w:r w:rsidRPr="0090626A">
              <w:t>1mmol = 247 mg</w:t>
            </w:r>
          </w:p>
        </w:tc>
        <w:tc>
          <w:tcPr>
            <w:tcW w:w="5670" w:type="dxa"/>
          </w:tcPr>
          <w:p w14:paraId="360A1C3A" w14:textId="77777777" w:rsidR="003C630E" w:rsidRDefault="003C630E">
            <w:pPr>
              <w:spacing w:line="276" w:lineRule="auto"/>
            </w:pPr>
            <w:r w:rsidRPr="0090626A">
              <w:t>Principal active form</w:t>
            </w:r>
          </w:p>
        </w:tc>
      </w:tr>
      <w:tr w:rsidR="003C630E" w14:paraId="0C23DC77" w14:textId="77777777" w:rsidTr="006B35A7">
        <w:tc>
          <w:tcPr>
            <w:tcW w:w="3823" w:type="dxa"/>
          </w:tcPr>
          <w:p w14:paraId="6C29652D" w14:textId="77777777" w:rsidR="003C630E" w:rsidRDefault="003C630E">
            <w:pPr>
              <w:spacing w:line="276" w:lineRule="auto"/>
            </w:pPr>
            <w:r w:rsidRPr="0090626A">
              <w:t>4-Pyridoxic acid (4-PA)</w:t>
            </w:r>
          </w:p>
        </w:tc>
        <w:tc>
          <w:tcPr>
            <w:tcW w:w="1842" w:type="dxa"/>
          </w:tcPr>
          <w:p w14:paraId="0B1B7001" w14:textId="77777777" w:rsidR="003C630E" w:rsidRDefault="003C630E">
            <w:pPr>
              <w:spacing w:line="276" w:lineRule="auto"/>
            </w:pPr>
            <w:r w:rsidRPr="0090626A">
              <w:t>1g = 5.5 mmol</w:t>
            </w:r>
          </w:p>
        </w:tc>
        <w:tc>
          <w:tcPr>
            <w:tcW w:w="2127" w:type="dxa"/>
          </w:tcPr>
          <w:p w14:paraId="36A48532" w14:textId="77777777" w:rsidR="003C630E" w:rsidRDefault="003C630E">
            <w:pPr>
              <w:spacing w:line="276" w:lineRule="auto"/>
            </w:pPr>
            <w:r w:rsidRPr="0090626A">
              <w:t>1mmol = 183 mg</w:t>
            </w:r>
          </w:p>
        </w:tc>
        <w:tc>
          <w:tcPr>
            <w:tcW w:w="5670" w:type="dxa"/>
          </w:tcPr>
          <w:p w14:paraId="609696CB" w14:textId="77777777" w:rsidR="003C630E" w:rsidRDefault="003C630E">
            <w:pPr>
              <w:spacing w:line="276" w:lineRule="auto"/>
            </w:pPr>
            <w:r w:rsidRPr="0090626A">
              <w:t>Principal excretory form</w:t>
            </w:r>
          </w:p>
        </w:tc>
      </w:tr>
      <w:tr w:rsidR="003C630E" w14:paraId="48ACF3CF" w14:textId="77777777" w:rsidTr="006B35A7">
        <w:tc>
          <w:tcPr>
            <w:tcW w:w="3823" w:type="dxa"/>
          </w:tcPr>
          <w:p w14:paraId="56CD783A" w14:textId="77777777" w:rsidR="003C630E" w:rsidRDefault="003C630E">
            <w:pPr>
              <w:spacing w:line="276" w:lineRule="auto"/>
            </w:pPr>
            <w:r w:rsidRPr="0090626A">
              <w:t>Pyridoxine hydrochloride (</w:t>
            </w:r>
            <w:proofErr w:type="spellStart"/>
            <w:r w:rsidRPr="0090626A">
              <w:t>PN.HCl</w:t>
            </w:r>
            <w:proofErr w:type="spellEnd"/>
            <w:r w:rsidRPr="0090626A">
              <w:t>)</w:t>
            </w:r>
          </w:p>
        </w:tc>
        <w:tc>
          <w:tcPr>
            <w:tcW w:w="1842" w:type="dxa"/>
          </w:tcPr>
          <w:p w14:paraId="238A2F59" w14:textId="77777777" w:rsidR="003C630E" w:rsidRDefault="003C630E">
            <w:pPr>
              <w:spacing w:line="276" w:lineRule="auto"/>
            </w:pPr>
            <w:r w:rsidRPr="0090626A">
              <w:t>1g = 4.9 mmol</w:t>
            </w:r>
          </w:p>
        </w:tc>
        <w:tc>
          <w:tcPr>
            <w:tcW w:w="2127" w:type="dxa"/>
          </w:tcPr>
          <w:p w14:paraId="074740DA" w14:textId="77777777" w:rsidR="003C630E" w:rsidRDefault="003C630E">
            <w:pPr>
              <w:spacing w:line="276" w:lineRule="auto"/>
            </w:pPr>
            <w:r w:rsidRPr="0090626A">
              <w:t>1mmol = 206 mg</w:t>
            </w:r>
          </w:p>
        </w:tc>
        <w:tc>
          <w:tcPr>
            <w:tcW w:w="5670" w:type="dxa"/>
          </w:tcPr>
          <w:p w14:paraId="538FA4AA" w14:textId="77777777" w:rsidR="003C630E" w:rsidRDefault="003C630E">
            <w:pPr>
              <w:spacing w:line="276" w:lineRule="auto"/>
            </w:pPr>
            <w:r w:rsidRPr="0090626A">
              <w:t>Usual form of supplements</w:t>
            </w:r>
          </w:p>
        </w:tc>
      </w:tr>
    </w:tbl>
    <w:p w14:paraId="15308320" w14:textId="77777777" w:rsidR="003C630E" w:rsidRDefault="003C630E" w:rsidP="006675DC">
      <w:pPr>
        <w:spacing w:line="276" w:lineRule="auto"/>
        <w:rPr>
          <w:b/>
          <w:bCs/>
        </w:rPr>
      </w:pPr>
    </w:p>
    <w:p w14:paraId="6F36E16D" w14:textId="20B68323" w:rsidR="006703A0" w:rsidRPr="00D366A0" w:rsidRDefault="006703A0" w:rsidP="001F7DEA">
      <w:pPr>
        <w:rPr>
          <w:b/>
          <w:bCs/>
          <w:i/>
          <w:iCs/>
        </w:rPr>
      </w:pPr>
      <w:r w:rsidRPr="00D366A0">
        <w:rPr>
          <w:b/>
          <w:bCs/>
          <w:i/>
          <w:iCs/>
        </w:rPr>
        <w:t>Food</w:t>
      </w:r>
    </w:p>
    <w:p w14:paraId="01439070" w14:textId="4DE625FB" w:rsidR="00263731" w:rsidRDefault="006675DC" w:rsidP="006675DC">
      <w:pPr>
        <w:spacing w:line="276" w:lineRule="auto"/>
      </w:pPr>
      <w:r w:rsidRPr="00E90A7A">
        <w:t>Vitamin B</w:t>
      </w:r>
      <w:r w:rsidR="00F040A6">
        <w:t>6</w:t>
      </w:r>
      <w:r w:rsidRPr="00E90A7A">
        <w:t xml:space="preserve"> is found in a wide range of foods including organ meats, muscle meats, breakfast cereals, vegetables and fruits. </w:t>
      </w:r>
      <w:r w:rsidR="00F16ACE">
        <w:t xml:space="preserve">Schedule </w:t>
      </w:r>
      <w:r w:rsidR="003B455E">
        <w:t>1</w:t>
      </w:r>
      <w:r w:rsidR="001C3E5B">
        <w:t>7</w:t>
      </w:r>
      <w:r w:rsidR="003B455E">
        <w:t xml:space="preserve"> </w:t>
      </w:r>
      <w:r w:rsidR="00517D5A">
        <w:t>28</w:t>
      </w:r>
      <w:r w:rsidR="00551FA3">
        <w:t xml:space="preserve"> and 29</w:t>
      </w:r>
      <w:r w:rsidR="00517D5A">
        <w:t xml:space="preserve"> </w:t>
      </w:r>
      <w:r w:rsidR="003B455E">
        <w:t>of the</w:t>
      </w:r>
      <w:r w:rsidR="00985A1D">
        <w:t xml:space="preserve"> Australia New Zealand</w:t>
      </w:r>
      <w:r w:rsidR="003B455E">
        <w:t xml:space="preserve"> Food </w:t>
      </w:r>
      <w:r w:rsidR="00985A1D">
        <w:t>S</w:t>
      </w:r>
      <w:r w:rsidR="003B455E">
        <w:t xml:space="preserve">tandards </w:t>
      </w:r>
      <w:r w:rsidR="00985A1D">
        <w:t>C</w:t>
      </w:r>
      <w:r w:rsidR="003B455E">
        <w:t>ode</w:t>
      </w:r>
      <w:r w:rsidR="005F352D">
        <w:t xml:space="preserve"> </w:t>
      </w:r>
      <w:r w:rsidR="0045011E">
        <w:rPr>
          <w:noProof/>
        </w:rPr>
        <w:t>(Food Standards Australia New Zealand, 2015, 2026a, 2026b)</w:t>
      </w:r>
      <w:r w:rsidR="003B455E">
        <w:t xml:space="preserve"> sets out the permitted forms and </w:t>
      </w:r>
      <w:r w:rsidR="004E6929">
        <w:t>maximum claim</w:t>
      </w:r>
      <w:r w:rsidR="00985A1D">
        <w:t>s</w:t>
      </w:r>
      <w:r w:rsidR="004E6929">
        <w:t xml:space="preserve"> for </w:t>
      </w:r>
      <w:r w:rsidR="009363E9">
        <w:t>Vitamin B6 added to</w:t>
      </w:r>
      <w:r w:rsidR="001039AD">
        <w:t xml:space="preserve"> food</w:t>
      </w:r>
      <w:r w:rsidR="001015D2">
        <w:t>.</w:t>
      </w:r>
      <w:r w:rsidR="00792CA3">
        <w:t xml:space="preserve"> </w:t>
      </w:r>
    </w:p>
    <w:p w14:paraId="4FF63F55" w14:textId="73B1A327" w:rsidR="006703A0" w:rsidRPr="00D366A0" w:rsidRDefault="006703A0" w:rsidP="001F7DEA">
      <w:pPr>
        <w:rPr>
          <w:b/>
          <w:bCs/>
          <w:i/>
          <w:iCs/>
        </w:rPr>
      </w:pPr>
      <w:r w:rsidRPr="00D366A0">
        <w:rPr>
          <w:b/>
          <w:bCs/>
          <w:i/>
          <w:iCs/>
        </w:rPr>
        <w:t>Supplements</w:t>
      </w:r>
    </w:p>
    <w:p w14:paraId="60A0D8C5" w14:textId="5DB91906" w:rsidR="005A6B23" w:rsidRDefault="009063ED" w:rsidP="007D28DC">
      <w:r>
        <w:t>S</w:t>
      </w:r>
      <w:r w:rsidR="007D28DC" w:rsidRPr="009063ED">
        <w:t xml:space="preserve">upplement use is a key consideration for </w:t>
      </w:r>
      <w:r w:rsidR="00C764CA">
        <w:t xml:space="preserve">the risk of excess </w:t>
      </w:r>
      <w:r w:rsidR="007D28DC" w:rsidRPr="009063ED">
        <w:t xml:space="preserve">vitamin B6 </w:t>
      </w:r>
      <w:r w:rsidR="00C764CA">
        <w:t>intake</w:t>
      </w:r>
      <w:r w:rsidR="007F4934">
        <w:t xml:space="preserve">, with </w:t>
      </w:r>
      <w:r w:rsidR="00C45CD5">
        <w:t xml:space="preserve">one in three people in Australia taking a dietary supplement in 2023 </w:t>
      </w:r>
      <w:r w:rsidR="0045011E">
        <w:rPr>
          <w:noProof/>
        </w:rPr>
        <w:t>(ABS, 2025)</w:t>
      </w:r>
      <w:r w:rsidR="00CB6341">
        <w:t xml:space="preserve">. </w:t>
      </w:r>
      <w:r w:rsidR="00915095">
        <w:t xml:space="preserve">The proportion of </w:t>
      </w:r>
      <w:r w:rsidR="0011260B">
        <w:t xml:space="preserve">Aboriginal and Torres Strait Islander people </w:t>
      </w:r>
      <w:r w:rsidR="00915095">
        <w:t xml:space="preserve">who took a </w:t>
      </w:r>
      <w:r w:rsidR="005A6B23">
        <w:t>dietary</w:t>
      </w:r>
      <w:r w:rsidR="00B66D0C">
        <w:t xml:space="preserve"> supplement </w:t>
      </w:r>
      <w:r w:rsidR="005A6B23">
        <w:t xml:space="preserve">was </w:t>
      </w:r>
      <w:r w:rsidR="005A6B23" w:rsidRPr="005A6B23">
        <w:t>17.5%</w:t>
      </w:r>
      <w:r w:rsidR="00B66D0C">
        <w:t xml:space="preserve"> in </w:t>
      </w:r>
      <w:r w:rsidR="005A6B23" w:rsidRPr="005A6B23">
        <w:t>2023</w:t>
      </w:r>
      <w:r w:rsidR="005A6B23">
        <w:t>.</w:t>
      </w:r>
    </w:p>
    <w:p w14:paraId="73A44D08" w14:textId="1E0859C0" w:rsidR="00B66D0C" w:rsidRDefault="00CB6341" w:rsidP="007D28DC">
      <w:r>
        <w:t>The 2008</w:t>
      </w:r>
      <w:r w:rsidR="000B3F4D">
        <w:t>/</w:t>
      </w:r>
      <w:r>
        <w:t xml:space="preserve">09 </w:t>
      </w:r>
      <w:r w:rsidR="00B66D0C">
        <w:t>New Zealand</w:t>
      </w:r>
      <w:r w:rsidR="000B3F4D">
        <w:t xml:space="preserve"> Adult Nutrition Survey reported </w:t>
      </w:r>
      <w:r w:rsidR="0077539E">
        <w:t xml:space="preserve">nearly </w:t>
      </w:r>
      <w:r w:rsidR="000F0531">
        <w:t xml:space="preserve">one in three (30.7%) </w:t>
      </w:r>
      <w:r w:rsidR="0077539E" w:rsidRPr="0077539E">
        <w:t xml:space="preserve">New Zealanders aged 15 years </w:t>
      </w:r>
      <w:r w:rsidR="005E0289">
        <w:t xml:space="preserve">and over </w:t>
      </w:r>
      <w:r w:rsidR="000F0531">
        <w:t xml:space="preserve">regularly took </w:t>
      </w:r>
      <w:r w:rsidR="005A6B23">
        <w:t xml:space="preserve">some type of </w:t>
      </w:r>
      <w:r w:rsidR="00492F26">
        <w:t>dietary supplement</w:t>
      </w:r>
      <w:r w:rsidR="000F0531">
        <w:t xml:space="preserve"> over the last year</w:t>
      </w:r>
      <w:r w:rsidR="00FA08C5">
        <w:t>, a further 16.7% were occasional users</w:t>
      </w:r>
      <w:r w:rsidR="00E70605">
        <w:t xml:space="preserve"> </w:t>
      </w:r>
      <w:r w:rsidR="0045011E">
        <w:rPr>
          <w:noProof/>
        </w:rPr>
        <w:t>(Ministry of Health, 2011)</w:t>
      </w:r>
      <w:r w:rsidR="007D28DC" w:rsidRPr="009063ED">
        <w:t xml:space="preserve">. </w:t>
      </w:r>
    </w:p>
    <w:p w14:paraId="5F88DF25" w14:textId="3E9B60A3" w:rsidR="007D28DC" w:rsidRPr="007D28DC" w:rsidRDefault="009E6D72" w:rsidP="007D28DC">
      <w:pPr>
        <w:rPr>
          <w:highlight w:val="cyan"/>
        </w:rPr>
      </w:pPr>
      <w:r>
        <w:t xml:space="preserve">Excess vitamin B6 </w:t>
      </w:r>
      <w:r w:rsidR="0060056D">
        <w:t>consumption</w:t>
      </w:r>
      <w:r>
        <w:t xml:space="preserve"> through supplement use</w:t>
      </w:r>
      <w:r w:rsidR="0060056D">
        <w:t xml:space="preserve"> </w:t>
      </w:r>
      <w:r w:rsidR="00A676A1">
        <w:t>is a risk</w:t>
      </w:r>
      <w:r w:rsidR="00077F1A">
        <w:t>,</w:t>
      </w:r>
      <w:r w:rsidR="00A676A1">
        <w:t xml:space="preserve"> as </w:t>
      </w:r>
      <w:r w:rsidR="00E67A33">
        <w:t>Vitamin B6</w:t>
      </w:r>
      <w:r w:rsidR="00A676A1">
        <w:t xml:space="preserve"> is present in many multivitamin and mineral supplements</w:t>
      </w:r>
      <w:r w:rsidR="00E67A33">
        <w:t xml:space="preserve">, as well as </w:t>
      </w:r>
      <w:r w:rsidR="00077F1A">
        <w:t xml:space="preserve">in </w:t>
      </w:r>
      <w:r w:rsidR="00482717">
        <w:t xml:space="preserve">magnesium and zinc products, which may </w:t>
      </w:r>
      <w:r w:rsidR="00077F1A">
        <w:t xml:space="preserve">be </w:t>
      </w:r>
      <w:r w:rsidR="00482717">
        <w:t>take</w:t>
      </w:r>
      <w:r w:rsidR="00077F1A">
        <w:t>n</w:t>
      </w:r>
      <w:r w:rsidR="00482717">
        <w:t xml:space="preserve"> in combination </w:t>
      </w:r>
      <w:r w:rsidR="0045011E">
        <w:rPr>
          <w:noProof/>
        </w:rPr>
        <w:t>(TGA, 2026)</w:t>
      </w:r>
      <w:r w:rsidR="00482717">
        <w:t>.</w:t>
      </w:r>
      <w:r>
        <w:t xml:space="preserve"> </w:t>
      </w:r>
      <w:r w:rsidR="0093797A">
        <w:t>TGA</w:t>
      </w:r>
      <w:r w:rsidR="003313FA">
        <w:t xml:space="preserve"> is updating regulations to try to reduce the risk of adverse effects </w:t>
      </w:r>
      <w:r w:rsidR="005B30D0">
        <w:t xml:space="preserve">from excess vitamin B6 intake </w:t>
      </w:r>
      <w:r w:rsidR="0045011E">
        <w:rPr>
          <w:noProof/>
        </w:rPr>
        <w:t>(TGA, 2026)</w:t>
      </w:r>
      <w:r w:rsidR="005B30D0">
        <w:t xml:space="preserve">. </w:t>
      </w:r>
      <w:r>
        <w:t xml:space="preserve"> </w:t>
      </w:r>
    </w:p>
    <w:p w14:paraId="090AE0AE" w14:textId="541035A3" w:rsidR="006703A0" w:rsidRPr="00D366A0" w:rsidRDefault="006703A0" w:rsidP="001F7DEA">
      <w:pPr>
        <w:rPr>
          <w:b/>
          <w:bCs/>
          <w:i/>
          <w:iCs/>
        </w:rPr>
      </w:pPr>
      <w:r w:rsidRPr="00D366A0">
        <w:rPr>
          <w:b/>
          <w:bCs/>
          <w:i/>
          <w:iCs/>
        </w:rPr>
        <w:t>Bioavailability factors</w:t>
      </w:r>
    </w:p>
    <w:p w14:paraId="75555E36" w14:textId="2C0582E0" w:rsidR="0093539A" w:rsidRPr="00AC04F9" w:rsidRDefault="0093539A" w:rsidP="0093539A">
      <w:pPr>
        <w:spacing w:line="276" w:lineRule="auto"/>
      </w:pPr>
      <w:r w:rsidRPr="00AC04F9">
        <w:t xml:space="preserve">Bioavailability is generally in the region of 75% in a mixed diet </w:t>
      </w:r>
      <w:r w:rsidR="0045011E">
        <w:rPr>
          <w:noProof/>
        </w:rPr>
        <w:t>(Tarr et al., 1981)</w:t>
      </w:r>
      <w:r w:rsidRPr="00AC04F9">
        <w:t xml:space="preserve">. It has been proposed that vitamin B6 requirements may be increased at higher protein intake </w:t>
      </w:r>
      <w:r w:rsidR="0045011E">
        <w:rPr>
          <w:noProof/>
        </w:rPr>
        <w:t>(Baker et al., 1964; Hansen et al., 1996; Linkswiler, 1978)</w:t>
      </w:r>
      <w:r w:rsidRPr="00AC04F9">
        <w:t xml:space="preserve">, although other studies have not shown this </w:t>
      </w:r>
      <w:r w:rsidR="0045011E">
        <w:rPr>
          <w:noProof/>
        </w:rPr>
        <w:t>(Pannemans et al., 1994)</w:t>
      </w:r>
      <w:r w:rsidRPr="00AC04F9">
        <w:t>. Nevertheless, protein intake is generally taken into consideration in setting requirements for vitamin B6.</w:t>
      </w:r>
    </w:p>
    <w:p w14:paraId="7DE949B2" w14:textId="2098513C" w:rsidR="00B42BA6" w:rsidRPr="00A16425" w:rsidDel="009B690C" w:rsidRDefault="00C27F83" w:rsidP="007315E2">
      <w:r w:rsidRPr="00A16425">
        <w:lastRenderedPageBreak/>
        <w:t>Vitamin B6 bioavailability depends on the vitamer form, food matrix and processing. Phosphorylated forms, such as PLP and PMP, are</w:t>
      </w:r>
      <w:r w:rsidRPr="00A16425">
        <w:rPr>
          <w:i/>
          <w:iCs/>
        </w:rPr>
        <w:t xml:space="preserve"> </w:t>
      </w:r>
      <w:r w:rsidRPr="00A16425">
        <w:t>hydrolysed in the intestine before absorption, while non-phosphorylated forms are absorbed mainly in the jejunum and converted in the liver to active PLP. Bioavailability is generally high from animal foods and supplements, but lower from some plant foods because a proportion of pyridoxine occurs as pyridoxine glucoside, which is less completely absorbed and metabolised</w:t>
      </w:r>
      <w:r w:rsidR="007315E2">
        <w:t xml:space="preserve"> </w:t>
      </w:r>
      <w:r w:rsidR="0045011E">
        <w:rPr>
          <w:noProof/>
        </w:rPr>
        <w:t>(Reynolds, 1988)</w:t>
      </w:r>
      <w:r w:rsidRPr="00A16425">
        <w:t xml:space="preserve">. </w:t>
      </w:r>
    </w:p>
    <w:p w14:paraId="0555875C" w14:textId="661FD151" w:rsidR="00794C15" w:rsidRPr="00FC1899" w:rsidRDefault="00794C15" w:rsidP="00FC1899">
      <w:pPr>
        <w:pStyle w:val="Heading4"/>
        <w:rPr>
          <w:i/>
          <w:iCs/>
          <w:sz w:val="20"/>
          <w:szCs w:val="20"/>
        </w:rPr>
      </w:pPr>
      <w:r w:rsidRPr="00FC1899" w:rsidDel="009B690C">
        <w:rPr>
          <w:i/>
          <w:iCs/>
          <w:sz w:val="20"/>
          <w:szCs w:val="20"/>
        </w:rPr>
        <w:t>Health effects of excess</w:t>
      </w:r>
    </w:p>
    <w:p w14:paraId="7401F780" w14:textId="552D68CF" w:rsidR="00291970" w:rsidRPr="00984FFA" w:rsidRDefault="00291970" w:rsidP="00291970">
      <w:pPr>
        <w:spacing w:line="276" w:lineRule="auto"/>
      </w:pPr>
      <w:r w:rsidRPr="003B7FCA">
        <w:t>Excess vitamin B6 is mainly associated with peripheral neuropathy, particularly after long-term use of high-dose supplements rather than normal dietary intake.</w:t>
      </w:r>
      <w:r w:rsidRPr="00984FFA">
        <w:t xml:space="preserve"> The effect is mainly sensory and may include paraesthesia, hyperaesthesia, numbness, </w:t>
      </w:r>
      <w:r w:rsidR="00024778">
        <w:t xml:space="preserve">pain, </w:t>
      </w:r>
      <w:r w:rsidRPr="00984FFA">
        <w:t xml:space="preserve">impaired proprioception, sensory ataxia, balance problems, gait disturbance and, in severe cases, difficulty walking </w:t>
      </w:r>
      <w:r w:rsidR="0045011E">
        <w:rPr>
          <w:noProof/>
        </w:rPr>
        <w:t>(EFSA Panel on Nutrition et al., 2023)</w:t>
      </w:r>
      <w:r w:rsidR="00B95B46">
        <w:t xml:space="preserve">. </w:t>
      </w:r>
      <w:r w:rsidR="00B95B46" w:rsidRPr="00B95B46">
        <w:t xml:space="preserve">Emerging evidence also suggests that pyridoxine toxicity may involve small fibre neuropathy, which can be associated with autonomic dysfunction (dysautonomia), although the evidence for these manifestations is currently limited and requires further investigation </w:t>
      </w:r>
      <w:r w:rsidR="0045011E">
        <w:rPr>
          <w:noProof/>
        </w:rPr>
        <w:t>(Bacharach et al., 2017; Muhamad et al., 2023)</w:t>
      </w:r>
      <w:r w:rsidR="00B95B46" w:rsidRPr="00B95B46">
        <w:t xml:space="preserve">. </w:t>
      </w:r>
      <w:r w:rsidR="002F2F99">
        <w:t xml:space="preserve">EFSA identified </w:t>
      </w:r>
      <w:r w:rsidR="00984FFA" w:rsidRPr="00984FFA">
        <w:t>p</w:t>
      </w:r>
      <w:r w:rsidRPr="00984FFA">
        <w:t xml:space="preserve">eripheral neuropathy as the critical effect for deriving the vitamin B6 Upper Level, based on </w:t>
      </w:r>
      <w:r w:rsidRPr="00984FFA">
        <w:rPr>
          <w:b/>
          <w:bCs/>
        </w:rPr>
        <w:t>EFSA</w:t>
      </w:r>
      <w:r w:rsidRPr="00984FFA">
        <w:t xml:space="preserve">’s weight-of-evidence assessment across human evidence, case reports, nutrivigilance data and animal data </w:t>
      </w:r>
      <w:r w:rsidR="0045011E">
        <w:rPr>
          <w:noProof/>
        </w:rPr>
        <w:t>(EFSA Panel on Nutrition et al., 2023)</w:t>
      </w:r>
      <w:r w:rsidR="003B7FCA">
        <w:t>.</w:t>
      </w:r>
    </w:p>
    <w:p w14:paraId="0259DA1A" w14:textId="2DE6DD79" w:rsidR="00291970" w:rsidRPr="00AB6CE9" w:rsidRDefault="003B7FCA" w:rsidP="00747BF3">
      <w:pPr>
        <w:spacing w:line="276" w:lineRule="auto"/>
      </w:pPr>
      <w:r w:rsidRPr="003B7FCA">
        <w:t>SLR (</w:t>
      </w:r>
      <w:r w:rsidRPr="00AC74C2">
        <w:t>2026</w:t>
      </w:r>
      <w:r w:rsidRPr="003B7FCA">
        <w:t>) noted that t</w:t>
      </w:r>
      <w:r w:rsidR="00291970" w:rsidRPr="003B7FCA">
        <w:t xml:space="preserve">he evidence suggests a dose–duration relationship, where higher intakes may cause symptoms sooner, while lower intakes may require longer exposure before symptoms appear. </w:t>
      </w:r>
      <w:r w:rsidR="00EB209D" w:rsidRPr="0014768F">
        <w:t>Evidence has shown s</w:t>
      </w:r>
      <w:r w:rsidR="00291970" w:rsidRPr="0014768F">
        <w:t xml:space="preserve">ymptoms </w:t>
      </w:r>
      <w:r w:rsidR="00EB209D" w:rsidRPr="0014768F">
        <w:t>to</w:t>
      </w:r>
      <w:r w:rsidR="00291970" w:rsidRPr="0014768F">
        <w:t xml:space="preserve"> improve after stopping vitamin B6 supplements</w:t>
      </w:r>
      <w:r w:rsidR="0014768F" w:rsidRPr="0014768F">
        <w:t>, however, it is unclear</w:t>
      </w:r>
      <w:r w:rsidR="00291970" w:rsidRPr="0014768F">
        <w:t xml:space="preserve"> whether more severe symptoms take longer to </w:t>
      </w:r>
      <w:r w:rsidR="0014768F" w:rsidRPr="0014768F">
        <w:t>abate</w:t>
      </w:r>
      <w:r w:rsidR="00291970" w:rsidRPr="0014768F">
        <w:t xml:space="preserve"> or are less likely to fully </w:t>
      </w:r>
      <w:r w:rsidR="0014768F" w:rsidRPr="0014768F">
        <w:t xml:space="preserve">resolve </w:t>
      </w:r>
      <w:r w:rsidR="0045011E">
        <w:rPr>
          <w:noProof/>
        </w:rPr>
        <w:t>(SLR, 2006)</w:t>
      </w:r>
      <w:r w:rsidR="00056FA1">
        <w:t>.</w:t>
      </w:r>
    </w:p>
    <w:p w14:paraId="4137CA3E" w14:textId="3DE8270D" w:rsidR="00794C15" w:rsidRPr="00FC1899" w:rsidDel="009B690C" w:rsidRDefault="00794C15" w:rsidP="00FC1899">
      <w:pPr>
        <w:pStyle w:val="Heading4"/>
        <w:rPr>
          <w:i/>
          <w:iCs/>
          <w:sz w:val="20"/>
          <w:szCs w:val="20"/>
        </w:rPr>
      </w:pPr>
      <w:r w:rsidRPr="00FC1899" w:rsidDel="009B690C">
        <w:rPr>
          <w:i/>
          <w:iCs/>
          <w:sz w:val="20"/>
          <w:szCs w:val="20"/>
        </w:rPr>
        <w:t xml:space="preserve">Criteria for measuring </w:t>
      </w:r>
      <w:r w:rsidR="00C97119" w:rsidRPr="00FC1899">
        <w:rPr>
          <w:i/>
          <w:iCs/>
          <w:sz w:val="20"/>
          <w:szCs w:val="20"/>
        </w:rPr>
        <w:t>vitamin B6</w:t>
      </w:r>
      <w:r w:rsidR="00C97119" w:rsidRPr="00FC1899" w:rsidDel="009B690C">
        <w:rPr>
          <w:i/>
          <w:iCs/>
          <w:sz w:val="20"/>
          <w:szCs w:val="20"/>
        </w:rPr>
        <w:t xml:space="preserve"> </w:t>
      </w:r>
      <w:r w:rsidRPr="00FC1899" w:rsidDel="009B690C">
        <w:rPr>
          <w:i/>
          <w:iCs/>
          <w:sz w:val="20"/>
          <w:szCs w:val="20"/>
        </w:rPr>
        <w:t>intake and status</w:t>
      </w:r>
    </w:p>
    <w:p w14:paraId="4EFEA120" w14:textId="69F8DEE3" w:rsidR="00BA0FFF" w:rsidRPr="00BA0FFF" w:rsidRDefault="00DA08E9" w:rsidP="00747BF3">
      <w:pPr>
        <w:spacing w:line="276" w:lineRule="auto"/>
      </w:pPr>
      <w:r w:rsidRPr="00DA08E9">
        <w:t xml:space="preserve">Vitamin B6 intake is usually estimated from dietary assessment methods, such as food records or recalls, with separate consideration of fortified foods and supplements. Estimates can vary because supplement use, food composition data, dietary assessment methods and analytical methods differ between studies. </w:t>
      </w:r>
      <w:r w:rsidR="00BA0FFF" w:rsidRPr="00DA08E9">
        <w:rPr>
          <w:rFonts w:eastAsia="Times New Roman" w:cs="Calibri"/>
          <w:szCs w:val="20"/>
        </w:rPr>
        <w:t>The</w:t>
      </w:r>
      <w:r w:rsidR="00BA0FFF" w:rsidRPr="00BA0FFF">
        <w:rPr>
          <w:rFonts w:eastAsia="Times New Roman" w:cs="Calibri"/>
          <w:szCs w:val="20"/>
        </w:rPr>
        <w:t xml:space="preserve">re are limitations in the accuracy of dietary vitamin B6 intake assessment methods, including concerns about reporting bias (including social desirability bias), variability of </w:t>
      </w:r>
      <w:r w:rsidR="001C34A7">
        <w:rPr>
          <w:rFonts w:eastAsia="Times New Roman" w:cs="Calibri"/>
          <w:szCs w:val="20"/>
        </w:rPr>
        <w:t>vitamin B6</w:t>
      </w:r>
      <w:r w:rsidR="00BA0FFF" w:rsidRPr="00BA0FFF">
        <w:rPr>
          <w:rFonts w:eastAsia="Times New Roman" w:cs="Calibri"/>
          <w:szCs w:val="20"/>
        </w:rPr>
        <w:t xml:space="preserve"> content in foods, and the accuracy of food composition data. It is also difficult to ascertain individual status based on dietary intakes which reflect intakes at a specific point in time and fail to account for </w:t>
      </w:r>
      <w:r w:rsidR="001C34A7">
        <w:rPr>
          <w:rFonts w:eastAsia="Times New Roman" w:cs="Calibri"/>
          <w:szCs w:val="20"/>
        </w:rPr>
        <w:t>vitamin B6</w:t>
      </w:r>
      <w:r w:rsidR="00BA0FFF" w:rsidRPr="00BA0FFF">
        <w:rPr>
          <w:rFonts w:eastAsia="Times New Roman" w:cs="Calibri"/>
          <w:szCs w:val="20"/>
        </w:rPr>
        <w:t xml:space="preserve"> stores.</w:t>
      </w:r>
    </w:p>
    <w:p w14:paraId="0A2A2102" w14:textId="05F0A501" w:rsidR="00E70E2F" w:rsidRPr="00394C5F" w:rsidRDefault="001F0E94" w:rsidP="00394C5F">
      <w:pPr>
        <w:spacing w:line="276" w:lineRule="auto"/>
      </w:pPr>
      <w:r w:rsidRPr="00673159">
        <w:t xml:space="preserve">Vitamin B6 status is </w:t>
      </w:r>
      <w:proofErr w:type="gramStart"/>
      <w:r w:rsidRPr="00673159">
        <w:t>most commonly assessed</w:t>
      </w:r>
      <w:proofErr w:type="gramEnd"/>
      <w:r w:rsidRPr="00673159">
        <w:t xml:space="preserve"> using plasma pyridoxal 5</w:t>
      </w:r>
      <w:r w:rsidRPr="00673159">
        <w:rPr>
          <w:rFonts w:ascii="Courier New" w:hAnsi="Courier New" w:cs="Courier New"/>
        </w:rPr>
        <w:t>′</w:t>
      </w:r>
      <w:r w:rsidRPr="00673159">
        <w:t>-phosphate (PLP), the main circulating active form</w:t>
      </w:r>
      <w:r w:rsidR="00673159" w:rsidRPr="00673159">
        <w:t xml:space="preserve">. It is considered a reliable marker of vitamin B6 intake and status at usual intake levels </w:t>
      </w:r>
      <w:r w:rsidR="001C7A7B" w:rsidRPr="000E2545">
        <w:t>as it reflects tissue stores</w:t>
      </w:r>
      <w:r w:rsidR="001C7A7B" w:rsidRPr="00673159">
        <w:t xml:space="preserve"> </w:t>
      </w:r>
      <w:r w:rsidR="0045011E">
        <w:rPr>
          <w:noProof/>
        </w:rPr>
        <w:t>(EFSA Panel on Nutrition et al., 2023; Lui et al., 1985)</w:t>
      </w:r>
      <w:r w:rsidR="001C7A7B" w:rsidRPr="000E2545">
        <w:t xml:space="preserve"> suggest</w:t>
      </w:r>
      <w:r w:rsidR="00334F4E">
        <w:t>ing</w:t>
      </w:r>
      <w:r w:rsidR="001C7A7B" w:rsidRPr="000E2545">
        <w:t xml:space="preserve"> that plasma </w:t>
      </w:r>
      <w:hyperlink r:id="rId29" w:anchor="PLP" w:history="1">
        <w:r w:rsidR="001C7A7B" w:rsidRPr="000E2545">
          <w:rPr>
            <w:rStyle w:val="Hyperlink"/>
          </w:rPr>
          <w:t>PLP</w:t>
        </w:r>
      </w:hyperlink>
      <w:r w:rsidR="001C7A7B" w:rsidRPr="000E2545">
        <w:t> is probably the best single indicator.</w:t>
      </w:r>
      <w:r w:rsidR="00673159">
        <w:t xml:space="preserve"> </w:t>
      </w:r>
      <w:r w:rsidRPr="00673159">
        <w:t xml:space="preserve">Urinary 4-pyridoxic acid can reflect short-term intake over about 5–7 </w:t>
      </w:r>
      <w:r w:rsidR="00673159" w:rsidRPr="00673159">
        <w:t>days but</w:t>
      </w:r>
      <w:r w:rsidRPr="00673159">
        <w:t xml:space="preserve"> is not considered a reliable marker of longer-term vitamin B6 status </w:t>
      </w:r>
      <w:r w:rsidR="0045011E">
        <w:rPr>
          <w:noProof/>
        </w:rPr>
        <w:t>(EFSA Panel on Nutrition et al., 2023)</w:t>
      </w:r>
      <w:r w:rsidR="00727C7D">
        <w:t>. Other i</w:t>
      </w:r>
      <w:r w:rsidR="00747BF3" w:rsidRPr="000E2545">
        <w:t xml:space="preserve">ndicators used to assess </w:t>
      </w:r>
      <w:r w:rsidR="001C34A7">
        <w:t xml:space="preserve">against </w:t>
      </w:r>
      <w:r w:rsidR="00727C7D">
        <w:t>vitamin B6 NRV</w:t>
      </w:r>
      <w:r w:rsidR="00747BF3" w:rsidRPr="000E2545">
        <w:t>s have ranged from measures of vitamin concentrations in plasma, blood cell or urine to functional measures such as erythrocyte aminotransferase saturation by pyridoxal 5'-phosphate or tryptophan metabolites</w:t>
      </w:r>
      <w:r w:rsidR="00727C7D">
        <w:t xml:space="preserve"> </w:t>
      </w:r>
      <w:r w:rsidR="0045011E">
        <w:rPr>
          <w:noProof/>
        </w:rPr>
        <w:t>(NHMRC, 2006)</w:t>
      </w:r>
      <w:r w:rsidR="00747BF3" w:rsidRPr="000E2545">
        <w:t xml:space="preserve">. </w:t>
      </w:r>
      <w:r w:rsidR="00BB4989">
        <w:t>Vitamin B6 levels are not accurate if not measured while fasting.</w:t>
      </w:r>
    </w:p>
    <w:p w14:paraId="077B3DC6" w14:textId="62EB287D" w:rsidR="00036214" w:rsidRPr="00F20AF8" w:rsidRDefault="001025A2" w:rsidP="00692023">
      <w:pPr>
        <w:pStyle w:val="Heading3"/>
        <w:rPr>
          <w:sz w:val="32"/>
          <w:szCs w:val="32"/>
        </w:rPr>
      </w:pPr>
      <w:bookmarkStart w:id="6" w:name="_Toc210406424"/>
      <w:bookmarkStart w:id="7" w:name="_Toc212567927"/>
      <w:r w:rsidRPr="005850D7">
        <w:rPr>
          <w:sz w:val="32"/>
          <w:szCs w:val="32"/>
        </w:rPr>
        <w:lastRenderedPageBreak/>
        <w:t xml:space="preserve">Evidence to decision </w:t>
      </w:r>
      <w:bookmarkEnd w:id="6"/>
      <w:bookmarkEnd w:id="7"/>
      <w:r w:rsidRPr="005850D7">
        <w:rPr>
          <w:sz w:val="32"/>
          <w:szCs w:val="32"/>
        </w:rPr>
        <w:t>table</w:t>
      </w:r>
      <w:r w:rsidR="005850D7" w:rsidRPr="005850D7">
        <w:rPr>
          <w:sz w:val="32"/>
          <w:szCs w:val="32"/>
        </w:rPr>
        <w:t>s</w:t>
      </w:r>
      <w:r w:rsidR="003C32E1">
        <w:rPr>
          <w:sz w:val="32"/>
          <w:szCs w:val="32"/>
        </w:rPr>
        <w:t>:</w:t>
      </w:r>
      <w:r w:rsidR="003C32E1" w:rsidRPr="003C32E1">
        <w:t xml:space="preserve"> </w:t>
      </w:r>
      <w:r w:rsidR="00860DCC">
        <w:rPr>
          <w:sz w:val="32"/>
          <w:szCs w:val="32"/>
        </w:rPr>
        <w:t>Upper levels</w:t>
      </w:r>
    </w:p>
    <w:p w14:paraId="4865C362" w14:textId="7CE0EEBB" w:rsidR="00FE1D2F" w:rsidRDefault="00947BE7" w:rsidP="00860DCC">
      <w:pPr>
        <w:pStyle w:val="Heading4"/>
        <w:pBdr>
          <w:top w:val="single" w:sz="4" w:space="1" w:color="auto"/>
          <w:left w:val="single" w:sz="4" w:space="4" w:color="auto"/>
          <w:bottom w:val="single" w:sz="4" w:space="1" w:color="auto"/>
          <w:right w:val="single" w:sz="4" w:space="4" w:color="auto"/>
        </w:pBdr>
        <w:spacing w:after="0"/>
        <w:rPr>
          <w:sz w:val="28"/>
          <w:szCs w:val="28"/>
        </w:rPr>
      </w:pPr>
      <w:r w:rsidRPr="00947BE7">
        <w:rPr>
          <w:sz w:val="28"/>
          <w:szCs w:val="28"/>
        </w:rPr>
        <w:t>ADULTS</w:t>
      </w:r>
    </w:p>
    <w:p w14:paraId="56A3F464" w14:textId="77777777" w:rsidR="00860DCC" w:rsidRPr="00860DCC" w:rsidRDefault="00860DCC" w:rsidP="00860DCC">
      <w:pPr>
        <w:spacing w:before="0" w:after="0"/>
      </w:pPr>
    </w:p>
    <w:p w14:paraId="4AACBA25" w14:textId="1B7D7D77" w:rsidR="00FE1D2F" w:rsidRPr="00962F99" w:rsidRDefault="00587A69" w:rsidP="004A7786">
      <w:pPr>
        <w:pStyle w:val="Heading5"/>
        <w:pBdr>
          <w:top w:val="single" w:sz="4" w:space="1" w:color="auto"/>
          <w:left w:val="single" w:sz="4" w:space="4" w:color="auto"/>
          <w:bottom w:val="single" w:sz="4" w:space="1" w:color="auto"/>
          <w:right w:val="single" w:sz="4" w:space="4" w:color="auto"/>
        </w:pBdr>
        <w:shd w:val="clear" w:color="auto" w:fill="005F85" w:themeFill="accent2"/>
        <w:spacing w:before="0"/>
        <w:rPr>
          <w:color w:val="FFFFFF" w:themeColor="background1"/>
          <w:sz w:val="22"/>
          <w:szCs w:val="22"/>
        </w:rPr>
      </w:pPr>
      <w:r>
        <w:rPr>
          <w:color w:val="FFFFFF" w:themeColor="background1"/>
          <w:sz w:val="22"/>
          <w:szCs w:val="22"/>
        </w:rPr>
        <w:t>R</w:t>
      </w:r>
      <w:r w:rsidR="00FE1D2F">
        <w:rPr>
          <w:color w:val="FFFFFF" w:themeColor="background1"/>
          <w:sz w:val="22"/>
          <w:szCs w:val="22"/>
        </w:rPr>
        <w:t>ecommendation</w:t>
      </w:r>
    </w:p>
    <w:tbl>
      <w:tblPr>
        <w:tblStyle w:val="TableGridLight"/>
        <w:tblW w:w="18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3"/>
        <w:gridCol w:w="3362"/>
        <w:gridCol w:w="3362"/>
        <w:gridCol w:w="3362"/>
        <w:gridCol w:w="4576"/>
      </w:tblGrid>
      <w:tr w:rsidR="00F40C9F" w14:paraId="369BFD93" w14:textId="77777777" w:rsidTr="000137DB">
        <w:trPr>
          <w:gridAfter w:val="1"/>
          <w:wAfter w:w="4576" w:type="dxa"/>
        </w:trPr>
        <w:tc>
          <w:tcPr>
            <w:tcW w:w="6725" w:type="dxa"/>
            <w:gridSpan w:val="2"/>
            <w:tcBorders>
              <w:top w:val="single" w:sz="4" w:space="0" w:color="auto"/>
              <w:bottom w:val="single" w:sz="4" w:space="0" w:color="A6A6A6" w:themeColor="background1" w:themeShade="A6"/>
              <w:right w:val="single" w:sz="4" w:space="0" w:color="auto"/>
            </w:tcBorders>
            <w:shd w:val="clear" w:color="auto" w:fill="C8E4EF" w:themeFill="accent1" w:themeFillTint="66"/>
          </w:tcPr>
          <w:p w14:paraId="5C5DCE40" w14:textId="77777777" w:rsidR="00F40C9F" w:rsidRPr="008439D8" w:rsidRDefault="00F40C9F" w:rsidP="008C3E77">
            <w:pPr>
              <w:spacing w:line="276" w:lineRule="auto"/>
              <w:rPr>
                <w:rFonts w:eastAsia="Times New Roman" w:cs="Arial"/>
                <w:b/>
                <w:color w:val="005F85" w:themeColor="accent2"/>
                <w:szCs w:val="20"/>
              </w:rPr>
            </w:pPr>
            <w:r w:rsidRPr="008439D8">
              <w:rPr>
                <w:rFonts w:eastAsia="Times New Roman" w:cs="Arial"/>
                <w:b/>
                <w:color w:val="005F85" w:themeColor="accent2"/>
                <w:szCs w:val="20"/>
                <w:u w:val="single"/>
              </w:rPr>
              <w:t>OPTION 1</w:t>
            </w:r>
            <w:r w:rsidRPr="008439D8">
              <w:rPr>
                <w:rFonts w:eastAsia="Times New Roman" w:cs="Arial"/>
                <w:b/>
                <w:color w:val="005F85" w:themeColor="accent2"/>
                <w:szCs w:val="20"/>
              </w:rPr>
              <w:t>:</w:t>
            </w:r>
          </w:p>
          <w:p w14:paraId="06370CF5" w14:textId="6B436857" w:rsidR="00F40C9F" w:rsidRPr="008439D8" w:rsidRDefault="00F40C9F" w:rsidP="008C3E77">
            <w:pPr>
              <w:spacing w:line="276" w:lineRule="auto"/>
              <w:contextualSpacing/>
              <w:rPr>
                <w:rFonts w:eastAsia="Times New Roman" w:cs="Arial"/>
                <w:b/>
                <w:color w:val="005F85" w:themeColor="accent2"/>
                <w:szCs w:val="20"/>
              </w:rPr>
            </w:pPr>
            <w:r w:rsidRPr="008439D8">
              <w:rPr>
                <w:rFonts w:eastAsia="Times New Roman" w:cs="Arial"/>
                <w:b/>
                <w:color w:val="005F85" w:themeColor="accent2"/>
                <w:szCs w:val="20"/>
              </w:rPr>
              <w:t>Maintain current UL recommendations</w:t>
            </w:r>
            <w:r w:rsidR="00BE0937">
              <w:rPr>
                <w:rFonts w:eastAsia="Times New Roman" w:cs="Arial"/>
                <w:b/>
                <w:color w:val="005F85" w:themeColor="accent2"/>
                <w:szCs w:val="20"/>
              </w:rPr>
              <w:t xml:space="preserve"> </w:t>
            </w:r>
          </w:p>
          <w:p w14:paraId="6A7E5D89" w14:textId="411E433F" w:rsidR="00F40C9F" w:rsidRPr="008439D8" w:rsidRDefault="00F40C9F" w:rsidP="008439D8">
            <w:pPr>
              <w:spacing w:line="276" w:lineRule="auto"/>
              <w:contextualSpacing/>
              <w:rPr>
                <w:rFonts w:eastAsia="Times New Roman" w:cs="Arial"/>
                <w:color w:val="005F85" w:themeColor="accent2"/>
                <w:szCs w:val="20"/>
              </w:rPr>
            </w:pPr>
          </w:p>
        </w:tc>
        <w:tc>
          <w:tcPr>
            <w:tcW w:w="6724" w:type="dxa"/>
            <w:gridSpan w:val="2"/>
            <w:tcBorders>
              <w:top w:val="single" w:sz="4" w:space="0" w:color="auto"/>
              <w:left w:val="single" w:sz="4" w:space="0" w:color="auto"/>
              <w:bottom w:val="single" w:sz="4" w:space="0" w:color="A6A6A6" w:themeColor="background1" w:themeShade="A6"/>
            </w:tcBorders>
            <w:shd w:val="clear" w:color="auto" w:fill="C8E4EF" w:themeFill="accent1" w:themeFillTint="66"/>
          </w:tcPr>
          <w:p w14:paraId="3902AC62" w14:textId="4A56F296" w:rsidR="00F40C9F" w:rsidRPr="008439D8" w:rsidRDefault="00F40C9F" w:rsidP="008439D8">
            <w:pPr>
              <w:spacing w:line="276" w:lineRule="auto"/>
              <w:rPr>
                <w:rFonts w:eastAsia="Times New Roman" w:cs="Arial"/>
                <w:b/>
                <w:color w:val="005F85" w:themeColor="accent2"/>
                <w:szCs w:val="20"/>
              </w:rPr>
            </w:pPr>
            <w:r w:rsidRPr="008439D8">
              <w:rPr>
                <w:rFonts w:eastAsia="Times New Roman" w:cs="Arial"/>
                <w:b/>
                <w:color w:val="005F85" w:themeColor="accent2"/>
                <w:szCs w:val="20"/>
                <w:u w:val="single"/>
              </w:rPr>
              <w:t>OPTION 2</w:t>
            </w:r>
            <w:r w:rsidRPr="008439D8">
              <w:rPr>
                <w:rFonts w:eastAsia="Times New Roman" w:cs="Arial"/>
                <w:b/>
                <w:color w:val="005F85" w:themeColor="accent2"/>
                <w:szCs w:val="20"/>
              </w:rPr>
              <w:t>:</w:t>
            </w:r>
            <w:r w:rsidRPr="008439D8">
              <w:rPr>
                <w:rFonts w:eastAsia="Times New Roman" w:cs="Arial"/>
                <w:b/>
                <w:color w:val="005F85" w:themeColor="accent2"/>
                <w:szCs w:val="20"/>
              </w:rPr>
              <w:br/>
            </w:r>
            <w:r w:rsidR="00985D14">
              <w:rPr>
                <w:rFonts w:eastAsia="Times New Roman" w:cs="Arial"/>
                <w:b/>
                <w:color w:val="005F85" w:themeColor="accent2"/>
                <w:szCs w:val="20"/>
              </w:rPr>
              <w:t>Decrease the UL</w:t>
            </w:r>
            <w:r w:rsidR="006D01A3">
              <w:rPr>
                <w:rFonts w:eastAsia="Times New Roman" w:cs="Arial"/>
                <w:b/>
                <w:color w:val="005F85" w:themeColor="accent2"/>
                <w:szCs w:val="20"/>
              </w:rPr>
              <w:t xml:space="preserve"> </w:t>
            </w:r>
          </w:p>
        </w:tc>
      </w:tr>
      <w:tr w:rsidR="00F40C9F" w14:paraId="30C7FD82" w14:textId="77777777" w:rsidTr="000137DB">
        <w:trPr>
          <w:gridAfter w:val="1"/>
          <w:wAfter w:w="4576" w:type="dxa"/>
        </w:trPr>
        <w:tc>
          <w:tcPr>
            <w:tcW w:w="3363" w:type="dxa"/>
            <w:tcBorders>
              <w:top w:val="single" w:sz="4" w:space="0" w:color="A6A6A6" w:themeColor="background1" w:themeShade="A6"/>
            </w:tcBorders>
            <w:shd w:val="clear" w:color="auto" w:fill="E3F1F7" w:themeFill="accent1" w:themeFillTint="33"/>
          </w:tcPr>
          <w:p w14:paraId="431376DC" w14:textId="321797CB" w:rsidR="00F40C9F" w:rsidRPr="005401D3" w:rsidRDefault="00F40C9F" w:rsidP="00F40C9F">
            <w:pPr>
              <w:rPr>
                <w:b/>
              </w:rPr>
            </w:pPr>
            <w:r w:rsidRPr="005401D3">
              <w:rPr>
                <w:b/>
              </w:rPr>
              <w:t>Males</w:t>
            </w:r>
          </w:p>
        </w:tc>
        <w:tc>
          <w:tcPr>
            <w:tcW w:w="3362" w:type="dxa"/>
            <w:tcBorders>
              <w:top w:val="single" w:sz="4" w:space="0" w:color="A6A6A6" w:themeColor="background1" w:themeShade="A6"/>
              <w:right w:val="single" w:sz="4" w:space="0" w:color="auto"/>
            </w:tcBorders>
            <w:shd w:val="clear" w:color="auto" w:fill="E3F1F7" w:themeFill="accent1" w:themeFillTint="33"/>
          </w:tcPr>
          <w:p w14:paraId="5CC3A21F" w14:textId="343E7F2B" w:rsidR="00F40C9F" w:rsidRDefault="00E92FC9" w:rsidP="00E92FC9">
            <w:pPr>
              <w:jc w:val="center"/>
            </w:pPr>
            <w:r w:rsidRPr="008439D8">
              <w:rPr>
                <w:b/>
              </w:rPr>
              <w:t>UL</w:t>
            </w:r>
          </w:p>
        </w:tc>
        <w:tc>
          <w:tcPr>
            <w:tcW w:w="3362" w:type="dxa"/>
            <w:tcBorders>
              <w:top w:val="single" w:sz="4" w:space="0" w:color="A6A6A6" w:themeColor="background1" w:themeShade="A6"/>
              <w:left w:val="single" w:sz="4" w:space="0" w:color="auto"/>
            </w:tcBorders>
            <w:shd w:val="clear" w:color="auto" w:fill="E3F1F7" w:themeFill="accent1" w:themeFillTint="33"/>
          </w:tcPr>
          <w:p w14:paraId="582F750C" w14:textId="5EBA99EC" w:rsidR="00F40C9F" w:rsidRDefault="00F40C9F" w:rsidP="00F40C9F">
            <w:r w:rsidRPr="00962F99">
              <w:rPr>
                <w:b/>
                <w:bCs/>
              </w:rPr>
              <w:t>Males</w:t>
            </w:r>
          </w:p>
        </w:tc>
        <w:tc>
          <w:tcPr>
            <w:tcW w:w="3362" w:type="dxa"/>
            <w:tcBorders>
              <w:top w:val="single" w:sz="4" w:space="0" w:color="A6A6A6" w:themeColor="background1" w:themeShade="A6"/>
            </w:tcBorders>
            <w:shd w:val="clear" w:color="auto" w:fill="E3F1F7" w:themeFill="accent1" w:themeFillTint="33"/>
          </w:tcPr>
          <w:p w14:paraId="2FAA3BE1" w14:textId="35DD7799" w:rsidR="00F40C9F" w:rsidRDefault="00E92FC9" w:rsidP="00E92FC9">
            <w:pPr>
              <w:jc w:val="center"/>
            </w:pPr>
            <w:r w:rsidRPr="008439D8">
              <w:rPr>
                <w:b/>
              </w:rPr>
              <w:t>UL</w:t>
            </w:r>
          </w:p>
        </w:tc>
      </w:tr>
      <w:tr w:rsidR="00F40C9F" w14:paraId="4A9AEF3A" w14:textId="77777777" w:rsidTr="00253A18">
        <w:trPr>
          <w:gridAfter w:val="1"/>
          <w:wAfter w:w="4576" w:type="dxa"/>
        </w:trPr>
        <w:tc>
          <w:tcPr>
            <w:tcW w:w="3363" w:type="dxa"/>
            <w:tcBorders>
              <w:bottom w:val="single" w:sz="4" w:space="0" w:color="A6A6A6" w:themeColor="background1" w:themeShade="A6"/>
            </w:tcBorders>
            <w:shd w:val="clear" w:color="auto" w:fill="E3F1F7" w:themeFill="accent1" w:themeFillTint="33"/>
          </w:tcPr>
          <w:p w14:paraId="035524BE" w14:textId="07BA8F54" w:rsidR="00F40C9F" w:rsidRPr="00C10304" w:rsidRDefault="00F40C9F" w:rsidP="00253A18">
            <w:pPr>
              <w:spacing w:after="120"/>
              <w:rPr>
                <w:bCs/>
              </w:rPr>
            </w:pPr>
            <w:r w:rsidRPr="00C10304">
              <w:rPr>
                <w:rFonts w:eastAsia="Times New Roman" w:cs="Arial"/>
                <w:bCs/>
                <w:szCs w:val="20"/>
              </w:rPr>
              <w:t xml:space="preserve">18 </w:t>
            </w:r>
            <w:r w:rsidR="004B686B" w:rsidRPr="00C10304">
              <w:rPr>
                <w:rFonts w:eastAsia="Times New Roman" w:cs="Arial"/>
                <w:bCs/>
                <w:szCs w:val="20"/>
              </w:rPr>
              <w:t>years and older</w:t>
            </w:r>
          </w:p>
        </w:tc>
        <w:tc>
          <w:tcPr>
            <w:tcW w:w="3362" w:type="dxa"/>
            <w:tcBorders>
              <w:bottom w:val="single" w:sz="4" w:space="0" w:color="A6A6A6" w:themeColor="background1" w:themeShade="A6"/>
              <w:right w:val="single" w:sz="4" w:space="0" w:color="auto"/>
            </w:tcBorders>
            <w:vAlign w:val="center"/>
          </w:tcPr>
          <w:p w14:paraId="746F4F8F" w14:textId="2ED19804" w:rsidR="00F40C9F" w:rsidRPr="00253A18" w:rsidRDefault="00891F6B" w:rsidP="00253A18">
            <w:pPr>
              <w:spacing w:after="120"/>
              <w:jc w:val="center"/>
              <w:rPr>
                <w:i/>
                <w:iCs/>
              </w:rPr>
            </w:pPr>
            <w:r w:rsidRPr="00253A18">
              <w:rPr>
                <w:i/>
                <w:iCs/>
              </w:rPr>
              <w:t>50</w:t>
            </w:r>
            <w:r w:rsidR="00253A18" w:rsidRPr="00253A18">
              <w:rPr>
                <w:i/>
                <w:iCs/>
              </w:rPr>
              <w:t xml:space="preserve"> mg</w:t>
            </w:r>
            <w:r w:rsidR="002D57EE">
              <w:rPr>
                <w:i/>
                <w:iCs/>
              </w:rPr>
              <w:t>/day</w:t>
            </w:r>
          </w:p>
        </w:tc>
        <w:tc>
          <w:tcPr>
            <w:tcW w:w="3362" w:type="dxa"/>
            <w:tcBorders>
              <w:left w:val="single" w:sz="4" w:space="0" w:color="auto"/>
              <w:bottom w:val="single" w:sz="4" w:space="0" w:color="A6A6A6" w:themeColor="background1" w:themeShade="A6"/>
            </w:tcBorders>
            <w:shd w:val="clear" w:color="auto" w:fill="E3F1F7" w:themeFill="accent1" w:themeFillTint="33"/>
          </w:tcPr>
          <w:p w14:paraId="6D4C062D" w14:textId="74A30A31" w:rsidR="00F40C9F" w:rsidRPr="00C10304" w:rsidRDefault="00F40C9F" w:rsidP="00253A18">
            <w:pPr>
              <w:spacing w:after="120"/>
              <w:rPr>
                <w:bCs/>
              </w:rPr>
            </w:pPr>
            <w:r w:rsidRPr="00C10304">
              <w:rPr>
                <w:rFonts w:eastAsia="Times New Roman" w:cs="Arial"/>
                <w:bCs/>
                <w:szCs w:val="20"/>
              </w:rPr>
              <w:t xml:space="preserve">18 </w:t>
            </w:r>
            <w:r w:rsidR="00253A18" w:rsidRPr="00C10304">
              <w:rPr>
                <w:rFonts w:eastAsia="Times New Roman" w:cs="Arial"/>
                <w:bCs/>
                <w:szCs w:val="20"/>
              </w:rPr>
              <w:t>years and older</w:t>
            </w:r>
          </w:p>
        </w:tc>
        <w:tc>
          <w:tcPr>
            <w:tcW w:w="3362" w:type="dxa"/>
            <w:tcBorders>
              <w:bottom w:val="single" w:sz="4" w:space="0" w:color="A6A6A6" w:themeColor="background1" w:themeShade="A6"/>
            </w:tcBorders>
            <w:vAlign w:val="center"/>
          </w:tcPr>
          <w:p w14:paraId="1895EC67" w14:textId="6ACDA42A" w:rsidR="00F40C9F" w:rsidRPr="00A07F71" w:rsidRDefault="00092421" w:rsidP="00582D07">
            <w:pPr>
              <w:jc w:val="center"/>
              <w:rPr>
                <w:i/>
                <w:iCs/>
              </w:rPr>
            </w:pPr>
            <w:r>
              <w:rPr>
                <w:i/>
                <w:iCs/>
              </w:rPr>
              <w:t>14</w:t>
            </w:r>
            <w:r w:rsidRPr="00A07F71">
              <w:rPr>
                <w:i/>
                <w:iCs/>
              </w:rPr>
              <w:t xml:space="preserve"> </w:t>
            </w:r>
            <w:r w:rsidR="002D57EE" w:rsidRPr="00A07F71">
              <w:rPr>
                <w:i/>
                <w:iCs/>
              </w:rPr>
              <w:t>mg/day</w:t>
            </w:r>
            <w:r w:rsidR="00E42CE3">
              <w:rPr>
                <w:i/>
                <w:iCs/>
              </w:rPr>
              <w:t xml:space="preserve"> </w:t>
            </w:r>
          </w:p>
        </w:tc>
      </w:tr>
      <w:tr w:rsidR="00F40C9F" w14:paraId="1D5799BD" w14:textId="77777777" w:rsidTr="00253A18">
        <w:trPr>
          <w:gridAfter w:val="1"/>
          <w:wAfter w:w="4576" w:type="dxa"/>
        </w:trPr>
        <w:tc>
          <w:tcPr>
            <w:tcW w:w="3363" w:type="dxa"/>
            <w:tcBorders>
              <w:top w:val="single" w:sz="4" w:space="0" w:color="A6A6A6" w:themeColor="background1" w:themeShade="A6"/>
            </w:tcBorders>
            <w:shd w:val="clear" w:color="auto" w:fill="E3F1F7" w:themeFill="accent1" w:themeFillTint="33"/>
          </w:tcPr>
          <w:p w14:paraId="24A70EEB" w14:textId="5DF4E8F0" w:rsidR="00F40C9F" w:rsidRPr="005401D3" w:rsidRDefault="00F40C9F" w:rsidP="00F40C9F">
            <w:pPr>
              <w:rPr>
                <w:b/>
              </w:rPr>
            </w:pPr>
            <w:r w:rsidRPr="005401D3">
              <w:rPr>
                <w:b/>
              </w:rPr>
              <w:t>Females</w:t>
            </w:r>
          </w:p>
        </w:tc>
        <w:tc>
          <w:tcPr>
            <w:tcW w:w="3362" w:type="dxa"/>
            <w:tcBorders>
              <w:top w:val="single" w:sz="4" w:space="0" w:color="A6A6A6" w:themeColor="background1" w:themeShade="A6"/>
              <w:right w:val="single" w:sz="4" w:space="0" w:color="auto"/>
            </w:tcBorders>
            <w:shd w:val="clear" w:color="auto" w:fill="E3F1F7" w:themeFill="accent1" w:themeFillTint="33"/>
          </w:tcPr>
          <w:p w14:paraId="37F41933" w14:textId="601CF33B" w:rsidR="00F40C9F" w:rsidRDefault="00C10304" w:rsidP="00C10304">
            <w:pPr>
              <w:jc w:val="center"/>
            </w:pPr>
            <w:r w:rsidRPr="008439D8">
              <w:rPr>
                <w:b/>
              </w:rPr>
              <w:t>UL</w:t>
            </w:r>
          </w:p>
        </w:tc>
        <w:tc>
          <w:tcPr>
            <w:tcW w:w="3362" w:type="dxa"/>
            <w:tcBorders>
              <w:top w:val="single" w:sz="4" w:space="0" w:color="A6A6A6" w:themeColor="background1" w:themeShade="A6"/>
              <w:left w:val="single" w:sz="4" w:space="0" w:color="auto"/>
            </w:tcBorders>
            <w:shd w:val="clear" w:color="auto" w:fill="E3F1F7" w:themeFill="accent1" w:themeFillTint="33"/>
          </w:tcPr>
          <w:p w14:paraId="2A778C79" w14:textId="2F4B8840" w:rsidR="00F40C9F" w:rsidRDefault="00F40C9F" w:rsidP="00F40C9F">
            <w:r w:rsidRPr="00962F99">
              <w:rPr>
                <w:b/>
                <w:bCs/>
              </w:rPr>
              <w:t>Females</w:t>
            </w:r>
          </w:p>
        </w:tc>
        <w:tc>
          <w:tcPr>
            <w:tcW w:w="3362" w:type="dxa"/>
            <w:tcBorders>
              <w:top w:val="single" w:sz="4" w:space="0" w:color="A6A6A6" w:themeColor="background1" w:themeShade="A6"/>
            </w:tcBorders>
            <w:shd w:val="clear" w:color="auto" w:fill="E3F1F7" w:themeFill="accent1" w:themeFillTint="33"/>
            <w:vAlign w:val="center"/>
          </w:tcPr>
          <w:p w14:paraId="4754DAB8" w14:textId="5A857C9D" w:rsidR="00F40C9F" w:rsidRDefault="00C10304" w:rsidP="005401D3">
            <w:pPr>
              <w:jc w:val="center"/>
            </w:pPr>
            <w:r w:rsidRPr="008439D8">
              <w:rPr>
                <w:b/>
              </w:rPr>
              <w:t>UL</w:t>
            </w:r>
          </w:p>
        </w:tc>
      </w:tr>
      <w:tr w:rsidR="00F40C9F" w14:paraId="10A7BF77" w14:textId="77777777" w:rsidTr="002D4C4C">
        <w:trPr>
          <w:gridAfter w:val="1"/>
          <w:wAfter w:w="4576" w:type="dxa"/>
        </w:trPr>
        <w:tc>
          <w:tcPr>
            <w:tcW w:w="3363" w:type="dxa"/>
            <w:shd w:val="clear" w:color="auto" w:fill="E3F1F7" w:themeFill="accent1" w:themeFillTint="33"/>
          </w:tcPr>
          <w:p w14:paraId="63E44774" w14:textId="7C232FA4" w:rsidR="00F40C9F" w:rsidRPr="00C10304" w:rsidRDefault="00F40C9F" w:rsidP="00253A18">
            <w:pPr>
              <w:spacing w:after="120"/>
              <w:rPr>
                <w:bCs/>
              </w:rPr>
            </w:pPr>
            <w:r w:rsidRPr="00C10304">
              <w:rPr>
                <w:rFonts w:eastAsia="Times New Roman" w:cs="Arial"/>
                <w:bCs/>
                <w:szCs w:val="20"/>
              </w:rPr>
              <w:t xml:space="preserve">18 </w:t>
            </w:r>
            <w:r w:rsidR="004B686B" w:rsidRPr="00C10304">
              <w:rPr>
                <w:rFonts w:eastAsia="Times New Roman" w:cs="Arial"/>
                <w:bCs/>
                <w:szCs w:val="20"/>
              </w:rPr>
              <w:t>years and older</w:t>
            </w:r>
          </w:p>
        </w:tc>
        <w:tc>
          <w:tcPr>
            <w:tcW w:w="3362" w:type="dxa"/>
            <w:tcBorders>
              <w:right w:val="single" w:sz="4" w:space="0" w:color="auto"/>
            </w:tcBorders>
            <w:vAlign w:val="center"/>
          </w:tcPr>
          <w:p w14:paraId="4796161D" w14:textId="08CBDE1A" w:rsidR="00F40C9F" w:rsidRPr="00253A18" w:rsidRDefault="00253A18" w:rsidP="00253A18">
            <w:pPr>
              <w:spacing w:after="120"/>
              <w:jc w:val="center"/>
              <w:rPr>
                <w:i/>
                <w:iCs/>
              </w:rPr>
            </w:pPr>
            <w:r w:rsidRPr="00253A18">
              <w:rPr>
                <w:i/>
                <w:iCs/>
              </w:rPr>
              <w:t>50 mg</w:t>
            </w:r>
            <w:r w:rsidR="002D57EE">
              <w:rPr>
                <w:i/>
                <w:iCs/>
              </w:rPr>
              <w:t>/day</w:t>
            </w:r>
          </w:p>
        </w:tc>
        <w:tc>
          <w:tcPr>
            <w:tcW w:w="3362" w:type="dxa"/>
            <w:tcBorders>
              <w:left w:val="single" w:sz="4" w:space="0" w:color="auto"/>
            </w:tcBorders>
            <w:shd w:val="clear" w:color="auto" w:fill="E3F1F7" w:themeFill="accent1" w:themeFillTint="33"/>
          </w:tcPr>
          <w:p w14:paraId="63DB42BB" w14:textId="63F35DEC" w:rsidR="00F40C9F" w:rsidRPr="00C10304" w:rsidRDefault="00F40C9F" w:rsidP="00253A18">
            <w:pPr>
              <w:spacing w:after="120"/>
              <w:rPr>
                <w:bCs/>
              </w:rPr>
            </w:pPr>
            <w:r w:rsidRPr="00C10304">
              <w:rPr>
                <w:rFonts w:eastAsia="Times New Roman" w:cs="Arial"/>
                <w:bCs/>
                <w:szCs w:val="20"/>
              </w:rPr>
              <w:t xml:space="preserve">18 </w:t>
            </w:r>
            <w:r w:rsidR="00253A18" w:rsidRPr="00C10304">
              <w:rPr>
                <w:rFonts w:eastAsia="Times New Roman" w:cs="Arial"/>
                <w:bCs/>
                <w:szCs w:val="20"/>
              </w:rPr>
              <w:t>years and older</w:t>
            </w:r>
          </w:p>
        </w:tc>
        <w:tc>
          <w:tcPr>
            <w:tcW w:w="3362" w:type="dxa"/>
            <w:vAlign w:val="center"/>
          </w:tcPr>
          <w:p w14:paraId="6D9BE4DC" w14:textId="583C9EA5" w:rsidR="00114BA0" w:rsidRPr="00A07F71" w:rsidRDefault="00092421" w:rsidP="00582D07">
            <w:pPr>
              <w:jc w:val="center"/>
              <w:rPr>
                <w:i/>
                <w:iCs/>
              </w:rPr>
            </w:pPr>
            <w:r>
              <w:rPr>
                <w:i/>
                <w:iCs/>
              </w:rPr>
              <w:t>14</w:t>
            </w:r>
            <w:r w:rsidRPr="00A07F71">
              <w:rPr>
                <w:i/>
                <w:iCs/>
              </w:rPr>
              <w:t xml:space="preserve"> </w:t>
            </w:r>
            <w:r w:rsidR="00114BA0" w:rsidRPr="00A07F71">
              <w:rPr>
                <w:i/>
                <w:iCs/>
              </w:rPr>
              <w:t>mg/day</w:t>
            </w:r>
            <w:r w:rsidR="00114BA0">
              <w:rPr>
                <w:i/>
                <w:iCs/>
              </w:rPr>
              <w:t xml:space="preserve"> </w:t>
            </w:r>
          </w:p>
        </w:tc>
      </w:tr>
      <w:tr w:rsidR="002D4C4C" w14:paraId="55FAFC9A" w14:textId="5BDC4240" w:rsidTr="002D4C4C">
        <w:tc>
          <w:tcPr>
            <w:tcW w:w="6725" w:type="dxa"/>
            <w:gridSpan w:val="2"/>
            <w:tcBorders>
              <w:top w:val="single" w:sz="4" w:space="0" w:color="auto"/>
              <w:bottom w:val="single" w:sz="4" w:space="0" w:color="auto"/>
              <w:right w:val="single" w:sz="4" w:space="0" w:color="auto"/>
            </w:tcBorders>
          </w:tcPr>
          <w:p w14:paraId="0F4FCA91" w14:textId="77777777" w:rsidR="002D4C4C" w:rsidRDefault="002D4C4C" w:rsidP="002D4C4C">
            <w:pPr>
              <w:rPr>
                <w:rFonts w:eastAsia="Times New Roman" w:cs="Arial"/>
                <w:i/>
                <w:iCs/>
                <w:szCs w:val="20"/>
              </w:rPr>
            </w:pPr>
            <w:r>
              <w:rPr>
                <w:rFonts w:eastAsia="Times New Roman" w:cs="Arial"/>
                <w:i/>
                <w:iCs/>
                <w:szCs w:val="20"/>
              </w:rPr>
              <w:t xml:space="preserve">Notes: </w:t>
            </w:r>
          </w:p>
          <w:p w14:paraId="7A0F7AB3" w14:textId="7FBE5E02" w:rsidR="007A7C20" w:rsidRPr="00003DB3" w:rsidRDefault="007A7C20" w:rsidP="002D4C4C">
            <w:pPr>
              <w:rPr>
                <w:rFonts w:eastAsia="Times New Roman" w:cs="Arial"/>
                <w:szCs w:val="20"/>
              </w:rPr>
            </w:pPr>
            <w:r w:rsidRPr="00003DB3">
              <w:rPr>
                <w:rFonts w:eastAsia="Times New Roman" w:cs="Arial"/>
                <w:szCs w:val="20"/>
              </w:rPr>
              <w:t>UL applies to both sexes, and during pregnancy and lactation.</w:t>
            </w:r>
          </w:p>
          <w:p w14:paraId="34F9F3EB" w14:textId="78E53A6F" w:rsidR="002D57EE" w:rsidRPr="00505285" w:rsidRDefault="002D57EE" w:rsidP="002D4C4C">
            <w:pPr>
              <w:rPr>
                <w:rFonts w:eastAsia="Times New Roman" w:cs="Arial"/>
                <w:i/>
                <w:iCs/>
                <w:szCs w:val="20"/>
              </w:rPr>
            </w:pPr>
          </w:p>
        </w:tc>
        <w:tc>
          <w:tcPr>
            <w:tcW w:w="6724" w:type="dxa"/>
            <w:gridSpan w:val="2"/>
            <w:tcBorders>
              <w:top w:val="single" w:sz="4" w:space="0" w:color="auto"/>
              <w:left w:val="single" w:sz="4" w:space="0" w:color="auto"/>
              <w:bottom w:val="single" w:sz="4" w:space="0" w:color="auto"/>
            </w:tcBorders>
          </w:tcPr>
          <w:p w14:paraId="59F72225" w14:textId="77777777" w:rsidR="002D4C4C" w:rsidRDefault="002D4C4C" w:rsidP="002D4C4C">
            <w:pPr>
              <w:rPr>
                <w:rFonts w:eastAsia="Times New Roman" w:cs="Arial"/>
                <w:i/>
                <w:iCs/>
                <w:szCs w:val="20"/>
              </w:rPr>
            </w:pPr>
            <w:r>
              <w:rPr>
                <w:rFonts w:eastAsia="Times New Roman" w:cs="Arial"/>
                <w:i/>
                <w:iCs/>
                <w:szCs w:val="20"/>
              </w:rPr>
              <w:t xml:space="preserve">Notes: </w:t>
            </w:r>
          </w:p>
          <w:p w14:paraId="1085391D" w14:textId="77777777" w:rsidR="00582D07" w:rsidRPr="00003DB3" w:rsidRDefault="00582D07" w:rsidP="002D4C4C">
            <w:pPr>
              <w:rPr>
                <w:rFonts w:eastAsia="Times New Roman" w:cs="Arial"/>
                <w:szCs w:val="20"/>
              </w:rPr>
            </w:pPr>
            <w:r w:rsidRPr="00003DB3">
              <w:rPr>
                <w:rFonts w:eastAsia="Times New Roman" w:cs="Arial"/>
                <w:szCs w:val="20"/>
              </w:rPr>
              <w:t>UL applies to both sexes, and during pregnancy and lactation.</w:t>
            </w:r>
          </w:p>
          <w:p w14:paraId="09567CB6" w14:textId="10812695" w:rsidR="00612D99" w:rsidRPr="00505285" w:rsidRDefault="00612D99" w:rsidP="002D4C4C">
            <w:pPr>
              <w:rPr>
                <w:rFonts w:eastAsia="Times New Roman" w:cs="Arial"/>
                <w:i/>
                <w:iCs/>
                <w:szCs w:val="20"/>
              </w:rPr>
            </w:pPr>
            <w:r w:rsidRPr="00003DB3">
              <w:rPr>
                <w:rFonts w:eastAsia="Times New Roman" w:cs="Arial"/>
                <w:szCs w:val="20"/>
              </w:rPr>
              <w:t xml:space="preserve">Based on the intake data for the Australia (2023) and New Zealand (2008-2009) populations it is unlikely that most of the general adult population will exceed this UL. Those most at risk </w:t>
            </w:r>
            <w:r w:rsidR="005640D7">
              <w:rPr>
                <w:rFonts w:eastAsia="Times New Roman" w:cs="Arial"/>
                <w:szCs w:val="20"/>
              </w:rPr>
              <w:t>of excess intake</w:t>
            </w:r>
            <w:r w:rsidR="005640D7" w:rsidRPr="00003DB3">
              <w:rPr>
                <w:rFonts w:eastAsia="Times New Roman" w:cs="Arial"/>
                <w:szCs w:val="20"/>
              </w:rPr>
              <w:t xml:space="preserve"> </w:t>
            </w:r>
            <w:r w:rsidRPr="00003DB3">
              <w:rPr>
                <w:rFonts w:eastAsia="Times New Roman" w:cs="Arial"/>
                <w:szCs w:val="20"/>
              </w:rPr>
              <w:t xml:space="preserve">are regular users of </w:t>
            </w:r>
            <w:r w:rsidR="004819E5" w:rsidRPr="00003DB3">
              <w:rPr>
                <w:rFonts w:eastAsia="Times New Roman" w:cs="Arial"/>
                <w:szCs w:val="20"/>
              </w:rPr>
              <w:t xml:space="preserve">Vitamin B6 supplements, particularly </w:t>
            </w:r>
            <w:r w:rsidR="00A94D1B" w:rsidRPr="00003DB3">
              <w:rPr>
                <w:rFonts w:eastAsia="Times New Roman" w:cs="Arial"/>
                <w:szCs w:val="20"/>
              </w:rPr>
              <w:t>people who take high-dose</w:t>
            </w:r>
            <w:r w:rsidR="00003DB3" w:rsidRPr="00003DB3">
              <w:rPr>
                <w:rFonts w:eastAsia="Times New Roman" w:cs="Arial"/>
                <w:szCs w:val="20"/>
              </w:rPr>
              <w:t>s,</w:t>
            </w:r>
            <w:r w:rsidR="00A94D1B" w:rsidRPr="00003DB3">
              <w:rPr>
                <w:rFonts w:eastAsia="Times New Roman" w:cs="Arial"/>
                <w:szCs w:val="20"/>
              </w:rPr>
              <w:t xml:space="preserve"> multiple supplements </w:t>
            </w:r>
            <w:r w:rsidR="00003DB3" w:rsidRPr="00003DB3">
              <w:rPr>
                <w:rFonts w:eastAsia="Times New Roman" w:cs="Arial"/>
                <w:szCs w:val="20"/>
              </w:rPr>
              <w:t xml:space="preserve">or mixed supplements, </w:t>
            </w:r>
            <w:r w:rsidR="00A94D1B" w:rsidRPr="00003DB3">
              <w:rPr>
                <w:rFonts w:eastAsia="Times New Roman" w:cs="Arial"/>
                <w:szCs w:val="20"/>
              </w:rPr>
              <w:t>some of which may contain ‘hidden’ vitamin B6</w:t>
            </w:r>
            <w:r w:rsidR="005640D7">
              <w:rPr>
                <w:rFonts w:eastAsia="Times New Roman" w:cs="Arial"/>
                <w:szCs w:val="20"/>
              </w:rPr>
              <w:t xml:space="preserve"> and</w:t>
            </w:r>
            <w:r w:rsidR="00CC1699">
              <w:rPr>
                <w:rFonts w:eastAsia="Times New Roman" w:cs="Arial"/>
                <w:szCs w:val="20"/>
              </w:rPr>
              <w:t xml:space="preserve"> h</w:t>
            </w:r>
            <w:r w:rsidR="00DA4392">
              <w:rPr>
                <w:rFonts w:eastAsia="Times New Roman" w:cs="Arial"/>
                <w:szCs w:val="20"/>
              </w:rPr>
              <w:t>igh consumers of formulated caffeinated beverages</w:t>
            </w:r>
            <w:r w:rsidR="00704C94">
              <w:rPr>
                <w:rFonts w:eastAsia="Times New Roman" w:cs="Arial"/>
                <w:szCs w:val="20"/>
              </w:rPr>
              <w:t>.</w:t>
            </w:r>
            <w:r w:rsidR="00DA4392">
              <w:rPr>
                <w:rFonts w:eastAsia="Times New Roman" w:cs="Arial"/>
                <w:szCs w:val="20"/>
              </w:rPr>
              <w:t xml:space="preserve">  </w:t>
            </w:r>
          </w:p>
        </w:tc>
        <w:tc>
          <w:tcPr>
            <w:tcW w:w="4576" w:type="dxa"/>
          </w:tcPr>
          <w:p w14:paraId="2BE66B3E" w14:textId="77777777" w:rsidR="002D4C4C" w:rsidRDefault="002D4C4C" w:rsidP="002D4C4C">
            <w:pPr>
              <w:spacing w:line="240" w:lineRule="atLeast"/>
            </w:pPr>
          </w:p>
        </w:tc>
      </w:tr>
    </w:tbl>
    <w:p w14:paraId="08F90A48" w14:textId="77777777" w:rsidR="00FE1D2F" w:rsidRDefault="00FE1D2F" w:rsidP="00FE1D2F"/>
    <w:p w14:paraId="16AC5993" w14:textId="77777777" w:rsidR="00553DAB" w:rsidRDefault="00553DAB" w:rsidP="00E27F4D">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sectPr w:rsidR="00553DAB" w:rsidSect="00D75D51">
          <w:headerReference w:type="first" r:id="rId30"/>
          <w:footerReference w:type="first" r:id="rId31"/>
          <w:pgSz w:w="16838" w:h="11906" w:orient="landscape" w:code="9"/>
          <w:pgMar w:top="907" w:right="1814" w:bottom="1134" w:left="1565" w:header="510" w:footer="454" w:gutter="0"/>
          <w:cols w:space="708"/>
          <w:titlePg/>
          <w:docGrid w:linePitch="360"/>
        </w:sectPr>
      </w:pPr>
    </w:p>
    <w:p w14:paraId="75E31359" w14:textId="53209FAF" w:rsidR="00E27F4D" w:rsidRPr="00962F99" w:rsidRDefault="00E27F4D" w:rsidP="00E27F4D">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pPr>
      <w:r>
        <w:rPr>
          <w:color w:val="FFFFFF" w:themeColor="background1"/>
          <w:sz w:val="22"/>
          <w:szCs w:val="22"/>
        </w:rPr>
        <w:lastRenderedPageBreak/>
        <w:t>Health evidence profile and supporting information</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4111"/>
        <w:gridCol w:w="9338"/>
      </w:tblGrid>
      <w:tr w:rsidR="00E27F4D" w14:paraId="7CA8034F" w14:textId="77777777" w:rsidTr="00E934C2">
        <w:trPr>
          <w:tblHeader/>
        </w:trPr>
        <w:tc>
          <w:tcPr>
            <w:tcW w:w="4111" w:type="dxa"/>
            <w:shd w:val="clear" w:color="auto" w:fill="C8E4EF" w:themeFill="accent1" w:themeFillTint="66"/>
          </w:tcPr>
          <w:p w14:paraId="28FDDF9E" w14:textId="77777777" w:rsidR="00E27F4D" w:rsidRPr="00962F99" w:rsidRDefault="00E27F4D" w:rsidP="00E27F4D">
            <w:pPr>
              <w:spacing w:line="276" w:lineRule="auto"/>
              <w:rPr>
                <w:rFonts w:eastAsia="Times New Roman" w:cs="Arial"/>
                <w:b/>
                <w:bCs/>
                <w:color w:val="005F85" w:themeColor="accent2"/>
                <w:szCs w:val="20"/>
              </w:rPr>
            </w:pPr>
            <w:r w:rsidRPr="00962F99">
              <w:rPr>
                <w:rFonts w:eastAsia="Times New Roman" w:cs="Arial"/>
                <w:b/>
                <w:bCs/>
                <w:color w:val="005F85" w:themeColor="accent2"/>
                <w:szCs w:val="20"/>
                <w:u w:val="single"/>
              </w:rPr>
              <w:t>OPTION 1</w:t>
            </w:r>
            <w:r w:rsidRPr="00962F99">
              <w:rPr>
                <w:rFonts w:eastAsia="Times New Roman" w:cs="Arial"/>
                <w:b/>
                <w:bCs/>
                <w:color w:val="005F85" w:themeColor="accent2"/>
                <w:szCs w:val="20"/>
              </w:rPr>
              <w:t>:</w:t>
            </w:r>
          </w:p>
          <w:p w14:paraId="7BBACDE4" w14:textId="6E742AFE" w:rsidR="00E96FF7" w:rsidRPr="002D4C4C" w:rsidRDefault="00E27F4D" w:rsidP="002D4C4C">
            <w:pPr>
              <w:spacing w:line="276" w:lineRule="auto"/>
              <w:contextualSpacing/>
              <w:rPr>
                <w:rFonts w:eastAsia="Times New Roman" w:cs="Arial"/>
                <w:b/>
                <w:bCs/>
                <w:color w:val="005F85" w:themeColor="accent2"/>
                <w:szCs w:val="20"/>
              </w:rPr>
            </w:pPr>
            <w:r w:rsidRPr="00962F99">
              <w:rPr>
                <w:rFonts w:eastAsia="Times New Roman" w:cs="Arial"/>
                <w:b/>
                <w:bCs/>
                <w:color w:val="005F85" w:themeColor="accent2"/>
                <w:szCs w:val="20"/>
              </w:rPr>
              <w:t>Maintain current UL recommendation</w:t>
            </w:r>
            <w:r w:rsidR="002D4C4C">
              <w:rPr>
                <w:rFonts w:eastAsia="Times New Roman" w:cs="Arial"/>
                <w:b/>
                <w:bCs/>
                <w:color w:val="005F85" w:themeColor="accent2"/>
                <w:szCs w:val="20"/>
              </w:rPr>
              <w:t>s</w:t>
            </w:r>
          </w:p>
        </w:tc>
        <w:tc>
          <w:tcPr>
            <w:tcW w:w="9338" w:type="dxa"/>
            <w:shd w:val="clear" w:color="auto" w:fill="C8E4EF" w:themeFill="accent1" w:themeFillTint="66"/>
          </w:tcPr>
          <w:p w14:paraId="48799DD0" w14:textId="7165FC75" w:rsidR="00E27F4D" w:rsidRDefault="00E27F4D" w:rsidP="00E27F4D">
            <w:r w:rsidRPr="00962F99">
              <w:rPr>
                <w:rFonts w:eastAsia="Times New Roman" w:cs="Arial"/>
                <w:b/>
                <w:bCs/>
                <w:color w:val="005F85" w:themeColor="accent2"/>
                <w:szCs w:val="20"/>
                <w:u w:val="single"/>
              </w:rPr>
              <w:t>OPTION 2</w:t>
            </w:r>
            <w:r w:rsidRPr="00962F99">
              <w:rPr>
                <w:rFonts w:eastAsia="Times New Roman" w:cs="Arial"/>
                <w:b/>
                <w:bCs/>
                <w:color w:val="005F85" w:themeColor="accent2"/>
                <w:szCs w:val="20"/>
              </w:rPr>
              <w:t>:</w:t>
            </w:r>
            <w:r w:rsidRPr="00962F99">
              <w:rPr>
                <w:rFonts w:eastAsia="Times New Roman" w:cs="Arial"/>
                <w:b/>
                <w:bCs/>
                <w:color w:val="005F85" w:themeColor="accent2"/>
                <w:szCs w:val="20"/>
              </w:rPr>
              <w:br/>
            </w:r>
            <w:r w:rsidR="00985D14">
              <w:rPr>
                <w:rFonts w:eastAsia="Times New Roman" w:cs="Arial"/>
                <w:b/>
                <w:color w:val="005F85" w:themeColor="accent2"/>
                <w:szCs w:val="20"/>
              </w:rPr>
              <w:t>Decrease the UL</w:t>
            </w:r>
          </w:p>
        </w:tc>
      </w:tr>
      <w:tr w:rsidR="00E27F4D" w14:paraId="5B825D58" w14:textId="77777777" w:rsidTr="003C6A65">
        <w:tc>
          <w:tcPr>
            <w:tcW w:w="4111" w:type="dxa"/>
          </w:tcPr>
          <w:p w14:paraId="382D2A4B" w14:textId="567C3416" w:rsidR="002E2180" w:rsidRDefault="004D6A47" w:rsidP="002E2180">
            <w:pPr>
              <w:spacing w:after="120" w:line="276" w:lineRule="auto"/>
              <w:rPr>
                <w:color w:val="000000"/>
                <w:kern w:val="2"/>
                <w:szCs w:val="20"/>
                <w14:ligatures w14:val="standardContextual"/>
              </w:rPr>
            </w:pPr>
            <w:r>
              <w:t xml:space="preserve">Current </w:t>
            </w:r>
            <w:r w:rsidR="005A6036">
              <w:t xml:space="preserve">ULs were based on studies of oral pyridoxine use at doses below 1 g/day </w:t>
            </w:r>
            <w:r w:rsidR="0045011E">
              <w:rPr>
                <w:noProof/>
              </w:rPr>
              <w:t>(Berger &amp; Schaumburg, 1984; Bernstein &amp; Lobitz, 1988; Dalton, 1985; Dalton &amp; Dalton, 1987; Del Tredici et al., 1985; FNB:IOM, 1998; Parry &amp; Bredesen, 1985)</w:t>
            </w:r>
            <w:r w:rsidR="005A6036">
              <w:t xml:space="preserve">. </w:t>
            </w:r>
            <w:r w:rsidR="002E2180">
              <w:t>Most participants in these studies had taken supplements for 5 to 6 months or less</w:t>
            </w:r>
            <w:r w:rsidR="00BD2214">
              <w:t>, however,</w:t>
            </w:r>
            <w:r w:rsidR="002E2180">
              <w:t xml:space="preserve"> Dalton and Dalton (</w:t>
            </w:r>
            <w:r w:rsidR="002E2180" w:rsidRPr="00124210">
              <w:t>1987</w:t>
            </w:r>
            <w:r w:rsidR="002E2180">
              <w:t>) suggested symptoms may take longer to appear, as participants with symptoms had taken supplements for an average of 2.9 years, compared with 1.9 years for those without symptoms (symptoms resolved 6 months after supplement cessation).</w:t>
            </w:r>
          </w:p>
          <w:p w14:paraId="3E1740DF" w14:textId="1521C879" w:rsidR="005A6036" w:rsidRDefault="005A6036">
            <w:pPr>
              <w:spacing w:line="276" w:lineRule="auto"/>
              <w:rPr>
                <w:color w:val="000000"/>
                <w:kern w:val="2"/>
                <w:szCs w:val="20"/>
                <w14:ligatures w14:val="standardContextual"/>
              </w:rPr>
            </w:pPr>
            <w:r>
              <w:t xml:space="preserve">A NOAEL of 200 mg/day from </w:t>
            </w:r>
            <w:r w:rsidR="0045011E">
              <w:rPr>
                <w:noProof/>
              </w:rPr>
              <w:t>Bernstein and Lobitz (1988); Del Tredici et al. (1985)</w:t>
            </w:r>
            <w:r w:rsidRPr="005D37BE">
              <w:t>,</w:t>
            </w:r>
            <w:r>
              <w:t xml:space="preserve"> </w:t>
            </w:r>
            <w:r w:rsidR="0045356A">
              <w:t xml:space="preserve">was selected as the reference point, in line with </w:t>
            </w:r>
            <w:r>
              <w:t xml:space="preserve">the Institute of </w:t>
            </w:r>
            <w:r w:rsidR="00EA4C7C">
              <w:t>Medicine</w:t>
            </w:r>
            <w:r>
              <w:t xml:space="preserve"> </w:t>
            </w:r>
            <w:r w:rsidR="0045011E">
              <w:rPr>
                <w:noProof/>
              </w:rPr>
              <w:t>(FNB:IOM, 1998)</w:t>
            </w:r>
            <w:r>
              <w:t>.</w:t>
            </w:r>
          </w:p>
          <w:p w14:paraId="128C43DA" w14:textId="6732766E" w:rsidR="00F72F33" w:rsidRDefault="005A6036">
            <w:pPr>
              <w:spacing w:line="276" w:lineRule="auto"/>
            </w:pPr>
            <w:r>
              <w:lastRenderedPageBreak/>
              <w:t>A UF of 4 was applied to derive the UL</w:t>
            </w:r>
            <w:r w:rsidR="00E50FFB">
              <w:t xml:space="preserve"> to </w:t>
            </w:r>
            <w:r w:rsidR="00E65F06">
              <w:t>account for</w:t>
            </w:r>
            <w:r w:rsidR="00F72F33">
              <w:t>:</w:t>
            </w:r>
          </w:p>
          <w:p w14:paraId="06EEDD72" w14:textId="0C0A88CD" w:rsidR="00F72F33" w:rsidRPr="00F72F33" w:rsidRDefault="00F72F33">
            <w:pPr>
              <w:pStyle w:val="ListParagraph"/>
              <w:numPr>
                <w:ilvl w:val="0"/>
                <w:numId w:val="32"/>
              </w:numPr>
              <w:spacing w:line="276" w:lineRule="auto"/>
              <w:rPr>
                <w:color w:val="000000"/>
                <w:kern w:val="2"/>
                <w:szCs w:val="20"/>
                <w14:ligatures w14:val="standardContextual"/>
              </w:rPr>
            </w:pPr>
            <w:r>
              <w:t xml:space="preserve">the </w:t>
            </w:r>
            <w:r w:rsidR="005A6036">
              <w:t>limit</w:t>
            </w:r>
            <w:r w:rsidR="00E65F06">
              <w:t>ation</w:t>
            </w:r>
            <w:r w:rsidR="005A6036">
              <w:t xml:space="preserve">s of the data on pyridoxine doses below 500 mg/day </w:t>
            </w:r>
            <w:r w:rsidR="0045011E">
              <w:rPr>
                <w:noProof/>
              </w:rPr>
              <w:t>(Berger &amp; Schaumburg, 1984; Dalton, 1985; Dalton &amp; Dalton, 1987; FNB:IOM, 1998; Parry &amp; Bredesen, 1985)</w:t>
            </w:r>
            <w:r w:rsidR="00BD2214">
              <w:t>, and</w:t>
            </w:r>
            <w:r w:rsidR="005A6036">
              <w:t xml:space="preserve"> </w:t>
            </w:r>
          </w:p>
          <w:p w14:paraId="16E8B836" w14:textId="0461EA29" w:rsidR="001A4B7E" w:rsidRPr="001A4B7E" w:rsidRDefault="005A6036">
            <w:pPr>
              <w:pStyle w:val="ListParagraph"/>
              <w:numPr>
                <w:ilvl w:val="0"/>
                <w:numId w:val="32"/>
              </w:numPr>
              <w:spacing w:line="276" w:lineRule="auto"/>
              <w:rPr>
                <w:color w:val="000000"/>
                <w:kern w:val="2"/>
                <w:szCs w:val="20"/>
                <w14:ligatures w14:val="standardContextual"/>
              </w:rPr>
            </w:pPr>
            <w:r>
              <w:t>the short study durations</w:t>
            </w:r>
            <w:r w:rsidR="00F72F33">
              <w:t xml:space="preserve"> -</w:t>
            </w:r>
            <w:r>
              <w:t xml:space="preserve"> </w:t>
            </w:r>
            <w:r w:rsidR="00F72F33">
              <w:t>m</w:t>
            </w:r>
            <w:r>
              <w:t xml:space="preserve">ost participants were followed for only 4 to 5 months. </w:t>
            </w:r>
          </w:p>
          <w:p w14:paraId="1C6088B5" w14:textId="77777777" w:rsidR="000E42A9" w:rsidRDefault="005A6036" w:rsidP="0055652B">
            <w:pPr>
              <w:spacing w:line="276" w:lineRule="auto"/>
            </w:pPr>
            <w:r>
              <w:t xml:space="preserve">The adult UL was set at 50 mg/day. The same value was set for pregnancy and lactation </w:t>
            </w:r>
            <w:r w:rsidR="0094549D">
              <w:t>as</w:t>
            </w:r>
            <w:r>
              <w:t xml:space="preserve"> there was no evidence of teratogenicity at this level. ULs for other ages and life stages, except infancy, were based on metabolic body size and growth. A UL could not be set for infants, so intake is recommended from food, milk or formula.</w:t>
            </w:r>
          </w:p>
          <w:p w14:paraId="3E694AAA" w14:textId="72E20500" w:rsidR="00A10495" w:rsidRDefault="00AA2C94" w:rsidP="00A10495">
            <w:pPr>
              <w:rPr>
                <w:rFonts w:eastAsiaTheme="majorEastAsia"/>
              </w:rPr>
            </w:pPr>
            <w:r>
              <w:rPr>
                <w:rFonts w:eastAsiaTheme="majorEastAsia"/>
              </w:rPr>
              <w:t>An e</w:t>
            </w:r>
            <w:r w:rsidR="005334C3" w:rsidRPr="005334C3">
              <w:rPr>
                <w:rFonts w:eastAsiaTheme="majorEastAsia"/>
              </w:rPr>
              <w:t xml:space="preserve">vidence </w:t>
            </w:r>
            <w:proofErr w:type="gramStart"/>
            <w:r w:rsidR="005334C3" w:rsidRPr="005334C3">
              <w:rPr>
                <w:rFonts w:eastAsiaTheme="majorEastAsia"/>
              </w:rPr>
              <w:t>review</w:t>
            </w:r>
            <w:proofErr w:type="gramEnd"/>
            <w:r w:rsidR="005334C3" w:rsidRPr="005334C3">
              <w:rPr>
                <w:rFonts w:eastAsiaTheme="majorEastAsia"/>
              </w:rPr>
              <w:t xml:space="preserve"> </w:t>
            </w:r>
            <w:r>
              <w:rPr>
                <w:rFonts w:eastAsiaTheme="majorEastAsia"/>
              </w:rPr>
              <w:t xml:space="preserve">commissioned by NHMRC in 2026 </w:t>
            </w:r>
            <w:r w:rsidR="005334C3">
              <w:rPr>
                <w:rFonts w:eastAsiaTheme="majorEastAsia"/>
              </w:rPr>
              <w:t>a</w:t>
            </w:r>
            <w:r w:rsidR="00A10495" w:rsidRPr="005334C3">
              <w:rPr>
                <w:rFonts w:eastAsiaTheme="majorEastAsia"/>
              </w:rPr>
              <w:t>ssess</w:t>
            </w:r>
            <w:r w:rsidR="005334C3">
              <w:rPr>
                <w:rFonts w:eastAsiaTheme="majorEastAsia"/>
              </w:rPr>
              <w:t>ed</w:t>
            </w:r>
            <w:r w:rsidR="00A10495" w:rsidRPr="005334C3">
              <w:rPr>
                <w:rFonts w:eastAsiaTheme="majorEastAsia"/>
              </w:rPr>
              <w:t xml:space="preserve"> </w:t>
            </w:r>
            <w:r w:rsidR="00A10495" w:rsidRPr="00C4547B">
              <w:rPr>
                <w:rFonts w:eastAsiaTheme="majorEastAsia"/>
              </w:rPr>
              <w:t xml:space="preserve">the key historical studies underpinning both </w:t>
            </w:r>
            <w:r w:rsidR="005334C3" w:rsidRPr="00C4547B">
              <w:rPr>
                <w:rFonts w:eastAsiaTheme="majorEastAsia"/>
              </w:rPr>
              <w:t>NHMRC and EFSAs</w:t>
            </w:r>
            <w:r w:rsidR="00A10495" w:rsidRPr="00C4547B">
              <w:rPr>
                <w:rFonts w:eastAsiaTheme="majorEastAsia"/>
              </w:rPr>
              <w:t xml:space="preserve"> guidance values</w:t>
            </w:r>
            <w:r w:rsidR="005334C3" w:rsidRPr="00C4547B">
              <w:rPr>
                <w:rFonts w:eastAsiaTheme="majorEastAsia"/>
              </w:rPr>
              <w:t>. They found that</w:t>
            </w:r>
            <w:r w:rsidR="00A10495" w:rsidRPr="00C4547B">
              <w:rPr>
                <w:rFonts w:eastAsiaTheme="majorEastAsia"/>
              </w:rPr>
              <w:t xml:space="preserve">, </w:t>
            </w:r>
            <w:r w:rsidR="0045011E" w:rsidRPr="009413F3">
              <w:rPr>
                <w:rFonts w:eastAsiaTheme="majorEastAsia"/>
                <w:noProof/>
              </w:rPr>
              <w:t>Dalton and Dalton (1987)</w:t>
            </w:r>
            <w:r w:rsidR="00A10495" w:rsidRPr="009413F3">
              <w:rPr>
                <w:rFonts w:eastAsiaTheme="majorEastAsia"/>
              </w:rPr>
              <w:t xml:space="preserve"> for EFSA, and </w:t>
            </w:r>
            <w:r w:rsidR="0045011E" w:rsidRPr="009413F3">
              <w:rPr>
                <w:rFonts w:eastAsiaTheme="majorEastAsia"/>
                <w:noProof/>
              </w:rPr>
              <w:t xml:space="preserve">Bernstein and </w:t>
            </w:r>
            <w:r w:rsidR="0045011E" w:rsidRPr="009413F3">
              <w:rPr>
                <w:rFonts w:eastAsiaTheme="majorEastAsia"/>
                <w:noProof/>
              </w:rPr>
              <w:lastRenderedPageBreak/>
              <w:t>Lobitz (1988)</w:t>
            </w:r>
            <w:r w:rsidR="00A10495" w:rsidRPr="009413F3">
              <w:rPr>
                <w:rFonts w:eastAsiaTheme="majorEastAsia"/>
              </w:rPr>
              <w:t xml:space="preserve"> and Del </w:t>
            </w:r>
            <w:proofErr w:type="spellStart"/>
            <w:r w:rsidR="00A10495" w:rsidRPr="009413F3">
              <w:rPr>
                <w:rFonts w:eastAsiaTheme="majorEastAsia"/>
              </w:rPr>
              <w:t>Tredici</w:t>
            </w:r>
            <w:proofErr w:type="spellEnd"/>
            <w:r w:rsidR="00A10495" w:rsidRPr="009413F3">
              <w:rPr>
                <w:rFonts w:eastAsiaTheme="majorEastAsia"/>
              </w:rPr>
              <w:t xml:space="preserve"> et al. (1985)</w:t>
            </w:r>
            <w:r w:rsidR="00A10495" w:rsidRPr="00C4547B">
              <w:rPr>
                <w:rFonts w:eastAsiaTheme="majorEastAsia"/>
              </w:rPr>
              <w:t xml:space="preserve"> for NHMRC, showed high risk of bias, reflecting self-report, lack of blinding or randomisation, absent or inadequate control groups, non-representative study populations and inherent risk of bias based on study designs (which rank low on the hierarchy of evidence). The animal study underpinning EFSA's UL </w:t>
            </w:r>
            <w:r w:rsidR="0045011E">
              <w:rPr>
                <w:rFonts w:eastAsiaTheme="majorEastAsia"/>
                <w:noProof/>
              </w:rPr>
              <w:t>(Phillips et al., 1978)</w:t>
            </w:r>
            <w:r w:rsidR="00A10495" w:rsidRPr="00C4547B">
              <w:rPr>
                <w:rFonts w:eastAsiaTheme="majorEastAsia"/>
              </w:rPr>
              <w:t xml:space="preserve"> was rated </w:t>
            </w:r>
            <w:r w:rsidR="00AD2755">
              <w:rPr>
                <w:rFonts w:eastAsiaTheme="majorEastAsia"/>
              </w:rPr>
              <w:t>l</w:t>
            </w:r>
            <w:r w:rsidR="00A10495" w:rsidRPr="00C4547B">
              <w:rPr>
                <w:rFonts w:eastAsiaTheme="majorEastAsia"/>
              </w:rPr>
              <w:t>ow risk of bias (however, it is a non-guideline, non-GLP peer review published study that lacks the level of study reporting associated with regulatory quality studies)</w:t>
            </w:r>
            <w:r w:rsidR="00A119F0">
              <w:rPr>
                <w:rFonts w:eastAsiaTheme="majorEastAsia"/>
              </w:rPr>
              <w:t xml:space="preserve"> </w:t>
            </w:r>
            <w:r w:rsidR="0045011E">
              <w:rPr>
                <w:noProof/>
              </w:rPr>
              <w:t>(SLR, 2006)</w:t>
            </w:r>
            <w:r w:rsidR="005303FB">
              <w:t>.</w:t>
            </w:r>
            <w:r w:rsidR="00A10495" w:rsidRPr="00C4547B">
              <w:rPr>
                <w:rFonts w:eastAsiaTheme="majorEastAsia"/>
              </w:rPr>
              <w:t xml:space="preserve"> This pattern is a key consideration in interpreting the reliability of the vitamin B6 UL regardless of which guidance value is adopted.</w:t>
            </w:r>
          </w:p>
          <w:p w14:paraId="5493EA3B" w14:textId="5EF6DE25" w:rsidR="00A10495" w:rsidRPr="0094549D" w:rsidRDefault="00A10495" w:rsidP="0055652B">
            <w:pPr>
              <w:spacing w:line="276" w:lineRule="auto"/>
              <w:rPr>
                <w:color w:val="000000"/>
                <w:kern w:val="2"/>
                <w:szCs w:val="20"/>
                <w14:ligatures w14:val="standardContextual"/>
              </w:rPr>
            </w:pPr>
          </w:p>
        </w:tc>
        <w:tc>
          <w:tcPr>
            <w:tcW w:w="9338" w:type="dxa"/>
          </w:tcPr>
          <w:p w14:paraId="2F2A637F" w14:textId="3C81A126" w:rsidR="00F86F4E" w:rsidRPr="008B0273" w:rsidRDefault="001B04CA" w:rsidP="00F314D5">
            <w:pPr>
              <w:rPr>
                <w:rFonts w:eastAsiaTheme="majorEastAsia"/>
                <w:i/>
                <w:iCs/>
              </w:rPr>
            </w:pPr>
            <w:r w:rsidRPr="008B0273">
              <w:rPr>
                <w:rFonts w:eastAsiaTheme="majorEastAsia"/>
                <w:i/>
                <w:iCs/>
              </w:rPr>
              <w:lastRenderedPageBreak/>
              <w:t>An</w:t>
            </w:r>
            <w:r w:rsidR="00F86F4E" w:rsidRPr="008B0273">
              <w:rPr>
                <w:rFonts w:eastAsiaTheme="majorEastAsia"/>
                <w:i/>
                <w:iCs/>
              </w:rPr>
              <w:t xml:space="preserve"> evidence review </w:t>
            </w:r>
            <w:r w:rsidRPr="008B0273">
              <w:rPr>
                <w:rFonts w:eastAsiaTheme="majorEastAsia"/>
                <w:i/>
                <w:iCs/>
              </w:rPr>
              <w:t xml:space="preserve">was contracted </w:t>
            </w:r>
            <w:r w:rsidR="0048723C" w:rsidRPr="008B0273">
              <w:rPr>
                <w:rFonts w:eastAsiaTheme="majorEastAsia"/>
                <w:i/>
                <w:iCs/>
              </w:rPr>
              <w:t xml:space="preserve">to identify </w:t>
            </w:r>
            <w:r w:rsidRPr="008B0273">
              <w:rPr>
                <w:rFonts w:eastAsiaTheme="majorEastAsia"/>
                <w:i/>
                <w:iCs/>
              </w:rPr>
              <w:t>the most suitable</w:t>
            </w:r>
            <w:r w:rsidR="0048723C" w:rsidRPr="008B0273">
              <w:rPr>
                <w:rFonts w:eastAsiaTheme="majorEastAsia"/>
                <w:i/>
                <w:iCs/>
              </w:rPr>
              <w:t xml:space="preserve"> international guidance for ad</w:t>
            </w:r>
            <w:r w:rsidRPr="008B0273">
              <w:rPr>
                <w:rFonts w:eastAsiaTheme="majorEastAsia"/>
                <w:i/>
                <w:iCs/>
              </w:rPr>
              <w:t>opting or adapting</w:t>
            </w:r>
            <w:r w:rsidR="002E1525" w:rsidRPr="008B0273">
              <w:rPr>
                <w:rFonts w:eastAsiaTheme="majorEastAsia"/>
                <w:i/>
                <w:iCs/>
              </w:rPr>
              <w:t xml:space="preserve"> to the local context, and to identify any new evidence that might </w:t>
            </w:r>
            <w:r w:rsidR="00D05890" w:rsidRPr="008B0273">
              <w:rPr>
                <w:rFonts w:eastAsiaTheme="majorEastAsia"/>
                <w:i/>
                <w:iCs/>
              </w:rPr>
              <w:t>impact the UL</w:t>
            </w:r>
            <w:r w:rsidR="00D327B6" w:rsidRPr="008B0273">
              <w:rPr>
                <w:rFonts w:eastAsiaTheme="majorEastAsia"/>
                <w:i/>
                <w:iCs/>
              </w:rPr>
              <w:t xml:space="preserve"> </w:t>
            </w:r>
            <w:r w:rsidR="0045011E">
              <w:rPr>
                <w:rFonts w:eastAsiaTheme="majorEastAsia"/>
                <w:i/>
                <w:iCs/>
                <w:noProof/>
              </w:rPr>
              <w:t>(SLR, 2006)</w:t>
            </w:r>
            <w:r w:rsidR="00D05890" w:rsidRPr="008B0273">
              <w:rPr>
                <w:rFonts w:eastAsiaTheme="majorEastAsia"/>
                <w:i/>
                <w:iCs/>
              </w:rPr>
              <w:t>.</w:t>
            </w:r>
            <w:r w:rsidR="00F86F4E" w:rsidRPr="008B0273">
              <w:rPr>
                <w:rFonts w:eastAsiaTheme="majorEastAsia"/>
                <w:i/>
                <w:iCs/>
              </w:rPr>
              <w:t xml:space="preserve"> </w:t>
            </w:r>
            <w:r w:rsidR="00725774" w:rsidRPr="008B0273">
              <w:rPr>
                <w:rFonts w:eastAsiaTheme="majorEastAsia"/>
                <w:i/>
                <w:iCs/>
              </w:rPr>
              <w:t>The following information is from the evidence review.</w:t>
            </w:r>
          </w:p>
          <w:p w14:paraId="42DF4A0A" w14:textId="118D52D3" w:rsidR="00E271F8" w:rsidRDefault="00E271F8" w:rsidP="00E271F8">
            <w:pPr>
              <w:rPr>
                <w:rFonts w:eastAsiaTheme="majorEastAsia"/>
              </w:rPr>
            </w:pPr>
            <w:r>
              <w:rPr>
                <w:rFonts w:eastAsiaTheme="majorEastAsia"/>
              </w:rPr>
              <w:t xml:space="preserve">The review found </w:t>
            </w:r>
            <w:r w:rsidR="001E7653" w:rsidRPr="00E271F8">
              <w:rPr>
                <w:rFonts w:eastAsiaTheme="majorEastAsia"/>
              </w:rPr>
              <w:t xml:space="preserve">EFSA </w:t>
            </w:r>
            <w:r w:rsidR="0045011E">
              <w:rPr>
                <w:rFonts w:eastAsiaTheme="majorEastAsia"/>
                <w:noProof/>
              </w:rPr>
              <w:t>(2023)</w:t>
            </w:r>
            <w:r w:rsidR="001E7653" w:rsidRPr="00E271F8">
              <w:rPr>
                <w:rFonts w:eastAsiaTheme="majorEastAsia"/>
              </w:rPr>
              <w:t xml:space="preserve"> to be the only guidance document that met the pre-defined credibility criteria (93.8%, above the 80% threshold) and the only reassessment of the vitamin B6 UL since </w:t>
            </w:r>
            <w:r w:rsidR="00B962F7">
              <w:rPr>
                <w:rFonts w:eastAsiaTheme="majorEastAsia"/>
              </w:rPr>
              <w:t xml:space="preserve">NHMRC </w:t>
            </w:r>
            <w:r w:rsidR="001E7653" w:rsidRPr="00E271F8">
              <w:rPr>
                <w:rFonts w:eastAsiaTheme="majorEastAsia"/>
              </w:rPr>
              <w:t>2006</w:t>
            </w:r>
            <w:r w:rsidR="00B962F7">
              <w:rPr>
                <w:rFonts w:eastAsiaTheme="majorEastAsia"/>
              </w:rPr>
              <w:t xml:space="preserve"> UL</w:t>
            </w:r>
            <w:r w:rsidR="001E7653" w:rsidRPr="00E271F8">
              <w:rPr>
                <w:rFonts w:eastAsiaTheme="majorEastAsia"/>
              </w:rPr>
              <w:t xml:space="preserve">. </w:t>
            </w:r>
          </w:p>
          <w:p w14:paraId="32423442" w14:textId="60CBD18D" w:rsidR="0040759F" w:rsidRDefault="001E7653" w:rsidP="00E271F8">
            <w:pPr>
              <w:rPr>
                <w:rFonts w:eastAsiaTheme="majorEastAsia"/>
              </w:rPr>
            </w:pPr>
            <w:r w:rsidRPr="00725774">
              <w:rPr>
                <w:rFonts w:eastAsiaTheme="majorEastAsia"/>
              </w:rPr>
              <w:t>EFSA derived an adult UL of 12 mg/day (applicable also to pregnant and lactating women), based on peripheral neuropathy as the critical effect. EFSA's reference point of 50 mg/day is not derived from a single study but reflects a weight-of-evidence (</w:t>
            </w:r>
            <w:proofErr w:type="spellStart"/>
            <w:r w:rsidRPr="00725774">
              <w:rPr>
                <w:rFonts w:eastAsiaTheme="majorEastAsia"/>
              </w:rPr>
              <w:t>WoE</w:t>
            </w:r>
            <w:proofErr w:type="spellEnd"/>
            <w:r w:rsidRPr="00725774">
              <w:rPr>
                <w:rFonts w:eastAsiaTheme="majorEastAsia"/>
              </w:rPr>
              <w:t xml:space="preserve">) assessment across multiple converging lines of evidence, anchored by the </w:t>
            </w:r>
            <w:r w:rsidR="0045011E">
              <w:rPr>
                <w:rFonts w:eastAsiaTheme="majorEastAsia"/>
                <w:noProof/>
              </w:rPr>
              <w:t>Dalton and Dalton (1987)</w:t>
            </w:r>
            <w:r w:rsidRPr="00725774">
              <w:rPr>
                <w:rFonts w:eastAsiaTheme="majorEastAsia"/>
              </w:rPr>
              <w:t xml:space="preserve"> case-control study and supported by a positive rechallenge case, additional case reports, and Dutch and French nutrivigilance data. This human-based derivation (uncertainty factor (UF) of 4</w:t>
            </w:r>
            <w:r w:rsidRPr="00725774">
              <w:rPr>
                <w:rStyle w:val="FootnoteReference"/>
                <w:rFonts w:eastAsiaTheme="majorEastAsia"/>
              </w:rPr>
              <w:footnoteReference w:id="1"/>
            </w:r>
            <w:r w:rsidRPr="00725774">
              <w:rPr>
                <w:rFonts w:eastAsiaTheme="majorEastAsia"/>
              </w:rPr>
              <w:t>, giving 12.5 mg/day) was cross-checked against an independent animal-based derivation (</w:t>
            </w:r>
            <w:r w:rsidRPr="00E729D5">
              <w:rPr>
                <w:rFonts w:eastAsiaTheme="majorEastAsia"/>
              </w:rPr>
              <w:t>Phillips et al. 1978</w:t>
            </w:r>
            <w:r w:rsidRPr="00725774">
              <w:rPr>
                <w:rFonts w:eastAsiaTheme="majorEastAsia"/>
              </w:rPr>
              <w:t xml:space="preserve"> dog LOAEL of 50 mg/kg </w:t>
            </w:r>
            <w:proofErr w:type="spellStart"/>
            <w:r w:rsidRPr="00725774">
              <w:rPr>
                <w:rFonts w:eastAsiaTheme="majorEastAsia"/>
              </w:rPr>
              <w:t>bw</w:t>
            </w:r>
            <w:proofErr w:type="spellEnd"/>
            <w:r w:rsidRPr="00725774">
              <w:rPr>
                <w:rFonts w:eastAsiaTheme="majorEastAsia"/>
              </w:rPr>
              <w:t>/day, uncertainty factor (UF) of 300</w:t>
            </w:r>
            <w:r w:rsidRPr="00725774">
              <w:rPr>
                <w:rStyle w:val="FootnoteReference"/>
                <w:rFonts w:eastAsiaTheme="majorEastAsia"/>
              </w:rPr>
              <w:footnoteReference w:id="2"/>
            </w:r>
            <w:r w:rsidRPr="00725774">
              <w:rPr>
                <w:rFonts w:eastAsiaTheme="majorEastAsia"/>
              </w:rPr>
              <w:t>, giving 11.7 mg/day); the agreement between these values increased confidence in the final UL of 12 mg/day.</w:t>
            </w:r>
          </w:p>
          <w:p w14:paraId="52356624" w14:textId="5A7FC4EE" w:rsidR="00AC4CC7" w:rsidRDefault="00AC4CC7" w:rsidP="00AC4CC7">
            <w:r w:rsidRPr="00CC021D">
              <w:rPr>
                <w:rFonts w:eastAsiaTheme="majorEastAsia"/>
              </w:rPr>
              <w:t>An evidence review of recent literature (2022 onwards) identified several</w:t>
            </w:r>
            <w:r>
              <w:rPr>
                <w:rFonts w:eastAsiaTheme="majorEastAsia"/>
              </w:rPr>
              <w:t xml:space="preserve"> relevant</w:t>
            </w:r>
            <w:r w:rsidRPr="00CC021D">
              <w:rPr>
                <w:rFonts w:eastAsiaTheme="majorEastAsia"/>
              </w:rPr>
              <w:t xml:space="preserve"> primary studies, </w:t>
            </w:r>
            <w:r w:rsidRPr="0082153B">
              <w:rPr>
                <w:rFonts w:eastAsiaTheme="majorEastAsia"/>
              </w:rPr>
              <w:t>however</w:t>
            </w:r>
            <w:r w:rsidRPr="0082153B">
              <w:t xml:space="preserve"> the new evidence identified </w:t>
            </w:r>
            <w:r>
              <w:t>was not considered</w:t>
            </w:r>
            <w:r w:rsidRPr="0082153B">
              <w:t xml:space="preserve"> sufficient to warrant revision of EFSAs 2023 Vitamin B6 ULs</w:t>
            </w:r>
            <w:r w:rsidR="00334F4E">
              <w:t xml:space="preserve"> </w:t>
            </w:r>
            <w:r w:rsidR="0045011E" w:rsidRPr="002819A4">
              <w:rPr>
                <w:rFonts w:eastAsiaTheme="majorEastAsia"/>
                <w:noProof/>
              </w:rPr>
              <w:t>(SLR, 2006)</w:t>
            </w:r>
            <w:r w:rsidRPr="002819A4">
              <w:t>.</w:t>
            </w:r>
            <w:r w:rsidRPr="0082153B">
              <w:t xml:space="preserve"> </w:t>
            </w:r>
          </w:p>
          <w:p w14:paraId="5C91A095" w14:textId="1E6469A1" w:rsidR="00BC16CC" w:rsidRPr="0082153B" w:rsidRDefault="00BC16CC" w:rsidP="00AC4CC7">
            <w:r>
              <w:t xml:space="preserve">SLR (2026) noted that </w:t>
            </w:r>
            <w:r w:rsidR="009E143B">
              <w:t>‘</w:t>
            </w:r>
            <w:r>
              <w:t>a</w:t>
            </w:r>
            <w:r w:rsidRPr="00BC16CC">
              <w:t xml:space="preserve">lthough published case series </w:t>
            </w:r>
            <w:r w:rsidR="0045011E">
              <w:rPr>
                <w:noProof/>
              </w:rPr>
              <w:t>(Gdynia et al., 2025)</w:t>
            </w:r>
            <w:r w:rsidRPr="00BC16CC">
              <w:t xml:space="preserve"> or case reports </w:t>
            </w:r>
            <w:r w:rsidR="0045011E">
              <w:rPr>
                <w:noProof/>
              </w:rPr>
              <w:t>(Paluszny et al., 2023)</w:t>
            </w:r>
            <w:r w:rsidRPr="00BC16CC">
              <w:t xml:space="preserve"> reported neuropathy with intakes between 6 and 10 mg/day in some </w:t>
            </w:r>
            <w:r w:rsidRPr="00BC16CC">
              <w:lastRenderedPageBreak/>
              <w:t>individuals, these data were considered insufficiently reliable for basing population-level recommendations. Instead, they signal the need for ongoing pharmacovigilance monitoring.</w:t>
            </w:r>
            <w:r w:rsidR="009E143B">
              <w:t>’</w:t>
            </w:r>
          </w:p>
          <w:p w14:paraId="0BF15FD9" w14:textId="21BE016B" w:rsidR="00691ADD" w:rsidRPr="007008C3" w:rsidRDefault="00691ADD" w:rsidP="00AC4CC7">
            <w:pPr>
              <w:rPr>
                <w:b/>
                <w:bCs/>
              </w:rPr>
            </w:pPr>
            <w:r w:rsidRPr="007008C3">
              <w:rPr>
                <w:b/>
                <w:bCs/>
              </w:rPr>
              <w:t xml:space="preserve">Rationale for </w:t>
            </w:r>
            <w:r w:rsidR="007008C3">
              <w:rPr>
                <w:b/>
                <w:bCs/>
              </w:rPr>
              <w:t xml:space="preserve">revised </w:t>
            </w:r>
            <w:r w:rsidR="007008C3" w:rsidRPr="007008C3">
              <w:rPr>
                <w:b/>
                <w:bCs/>
              </w:rPr>
              <w:t>UL 14</w:t>
            </w:r>
            <w:r w:rsidR="00E77463">
              <w:rPr>
                <w:b/>
                <w:bCs/>
              </w:rPr>
              <w:t xml:space="preserve"> mg/day </w:t>
            </w:r>
          </w:p>
          <w:p w14:paraId="64676B49" w14:textId="3F74D14E" w:rsidR="00691ADD" w:rsidRPr="00691ADD" w:rsidRDefault="00691ADD" w:rsidP="00691ADD">
            <w:pPr>
              <w:spacing w:line="276" w:lineRule="auto"/>
            </w:pPr>
            <w:r w:rsidRPr="00691ADD">
              <w:t>Recommendations were based on evidence from both human and animal studies examining the association between vitamin B6 intake and peripheral neuropathy, the critical adverse effect associated with excessive vitamin B6 exposure. Human evidence identified a reference point of 50 mg/day, derived from a weight-of-evidence assessment across multiple converging lines of evidence, including the Dalton and Dalton (1987) case-control study, a positive rechallenge case, additional case reports, and nutrivigilance data. Animal evidence provided a reference point based on a dog LOAEL of 50 mg/kg body weight/day (Phillips et al. 1978), equivalent to 3,145 mg/day when scaled to an adult reference ideal body weight of 62.9kg.</w:t>
            </w:r>
          </w:p>
          <w:p w14:paraId="6E8BBE90" w14:textId="549A480D" w:rsidR="00691ADD" w:rsidRPr="00691ADD" w:rsidRDefault="00691ADD" w:rsidP="00691ADD">
            <w:pPr>
              <w:spacing w:line="276" w:lineRule="auto"/>
            </w:pPr>
            <w:r w:rsidRPr="00691ADD">
              <w:t xml:space="preserve">For the human evidence, application of an Uncertainty Factor (UF) of 3, reflecting uncertainty in the threshold for adverse effects, limitations in the evidence base, and potential interindividual variability in susceptibility, resulted in a UL of 16.7 mg/day. For the animal evidence, application of an UF of 270, comprising factors for interspecies extrapolation, intraspecies variability, subchronic-to-chronic extrapolation and the absence of a NOAEL, resulted in a UL of 11.6 mg/day. </w:t>
            </w:r>
            <w:r w:rsidR="00410870">
              <w:t xml:space="preserve">For further information on </w:t>
            </w:r>
            <w:r w:rsidR="0025178E">
              <w:t xml:space="preserve">the choice of uncertainty factor, see the NHMRC </w:t>
            </w:r>
            <w:r w:rsidR="0023171A">
              <w:t xml:space="preserve">NRVs </w:t>
            </w:r>
            <w:r w:rsidR="0025178E">
              <w:t>Metho</w:t>
            </w:r>
            <w:r w:rsidR="0023171A">
              <w:t xml:space="preserve">dological Framework (NHMRC 2026). </w:t>
            </w:r>
            <w:r w:rsidRPr="00691ADD">
              <w:t>A</w:t>
            </w:r>
            <w:r w:rsidR="00E77463">
              <w:t>n</w:t>
            </w:r>
            <w:r w:rsidRPr="00691ADD">
              <w:t xml:space="preserve"> UL of 14.2 mg/day was estimated as the midpoint between the human-derived UL (16.7 mg/day) and animal-derived UL (11.6 mg/day). This value was rounded down to 14 mg/day to provide a simple and health-protective guidance value. The selected UL reflects the balance of evidence across both human and animal studies and accounts for remaining uncertainties regarding susceptibility, duration of exposure and the dose-response relationship for peripheral neuropathy.</w:t>
            </w:r>
            <w:r w:rsidR="00681571">
              <w:t xml:space="preserve"> </w:t>
            </w:r>
            <w:r w:rsidR="00447C4C" w:rsidRPr="00447C4C">
              <w:rPr>
                <w:i/>
                <w:iCs/>
              </w:rPr>
              <w:t>S</w:t>
            </w:r>
            <w:r w:rsidR="00681571" w:rsidRPr="00447C4C">
              <w:rPr>
                <w:i/>
                <w:iCs/>
              </w:rPr>
              <w:t xml:space="preserve">ee </w:t>
            </w:r>
            <w:r w:rsidR="00447C4C">
              <w:rPr>
                <w:i/>
                <w:iCs/>
              </w:rPr>
              <w:t>‘</w:t>
            </w:r>
            <w:r w:rsidR="00681571" w:rsidRPr="00447C4C">
              <w:rPr>
                <w:i/>
                <w:iCs/>
              </w:rPr>
              <w:t>additional considerations</w:t>
            </w:r>
            <w:r w:rsidR="00447C4C">
              <w:rPr>
                <w:i/>
                <w:iCs/>
              </w:rPr>
              <w:t>’</w:t>
            </w:r>
            <w:r w:rsidR="00681571" w:rsidRPr="00447C4C">
              <w:rPr>
                <w:i/>
                <w:iCs/>
              </w:rPr>
              <w:t xml:space="preserve"> below for more detail on the choice of UF and the weig</w:t>
            </w:r>
            <w:r w:rsidR="00447C4C" w:rsidRPr="00447C4C">
              <w:rPr>
                <w:i/>
                <w:iCs/>
              </w:rPr>
              <w:t>hting of human and animal data</w:t>
            </w:r>
            <w:r w:rsidRPr="00691ADD">
              <w:t>.</w:t>
            </w:r>
          </w:p>
          <w:p w14:paraId="71ABC561" w14:textId="4CCA445F" w:rsidR="003C6A65" w:rsidRPr="00196C7A" w:rsidRDefault="003C6A65" w:rsidP="003C6A65">
            <w:pPr>
              <w:spacing w:line="276" w:lineRule="auto"/>
              <w:rPr>
                <w:rFonts w:eastAsia="Times New Roman" w:cs="Arial"/>
                <w:color w:val="auto"/>
              </w:rPr>
            </w:pPr>
            <w:r>
              <w:rPr>
                <w:rFonts w:eastAsia="Times New Roman" w:cs="Arial"/>
                <w:color w:val="auto"/>
              </w:rPr>
              <w:t xml:space="preserve">While not robust evidence, Australian adverse event reporting data suggests that the 2006 NHMRC UL of 50 mg/day may not be as protective as previously thought. </w:t>
            </w:r>
          </w:p>
          <w:p w14:paraId="05A38FF5" w14:textId="5CAE129C" w:rsidR="003C6A65" w:rsidRDefault="003C6A65" w:rsidP="003C6A65">
            <w:pPr>
              <w:spacing w:line="276" w:lineRule="auto"/>
              <w:ind w:left="1"/>
              <w:rPr>
                <w:rFonts w:eastAsia="Times New Roman" w:cs="Arial"/>
                <w:color w:val="auto"/>
              </w:rPr>
            </w:pPr>
            <w:r>
              <w:lastRenderedPageBreak/>
              <w:t xml:space="preserve">TGA </w:t>
            </w:r>
            <w:r w:rsidRPr="00CF51B4">
              <w:t xml:space="preserve">Notice of final decision to amend (or not amend) the current Poisons Standard in relation to pyridoxine, pyridoxal or pyridoxamine (vitamin B6) 25 November 2025 </w:t>
            </w:r>
            <w:r>
              <w:t xml:space="preserve">noted: </w:t>
            </w:r>
          </w:p>
          <w:p w14:paraId="6ED6705C" w14:textId="77777777" w:rsidR="003C6A65" w:rsidRPr="00CF51B4" w:rsidRDefault="003C6A65" w:rsidP="003C6A65">
            <w:pPr>
              <w:spacing w:line="276" w:lineRule="auto"/>
              <w:ind w:left="567"/>
              <w:rPr>
                <w:rFonts w:eastAsia="Times New Roman" w:cs="Arial"/>
                <w:b/>
                <w:bCs/>
                <w:i/>
                <w:iCs/>
                <w:color w:val="auto"/>
              </w:rPr>
            </w:pPr>
            <w:r w:rsidRPr="00CF51B4">
              <w:rPr>
                <w:rFonts w:eastAsia="Times New Roman" w:cs="Arial"/>
                <w:i/>
                <w:iCs/>
                <w:color w:val="auto"/>
              </w:rPr>
              <w:t>As of 31 October 2025, there were 250 reports of peripheral neuropathy, peripheral sensory neuropathy, peripheral sensorimotor neuropathy, small fibre neuropathy, polyneuropathy or chronic polyneuropathy for products containing vitamin</w:t>
            </w:r>
            <w:r w:rsidRPr="00CF51B4">
              <w:rPr>
                <w:rFonts w:ascii="Cambria Math" w:eastAsia="Times New Roman" w:hAnsi="Cambria Math" w:cs="Cambria Math"/>
                <w:i/>
                <w:iCs/>
                <w:color w:val="auto"/>
              </w:rPr>
              <w:t> </w:t>
            </w:r>
            <w:r w:rsidRPr="00CF51B4">
              <w:rPr>
                <w:rFonts w:eastAsia="Times New Roman" w:cs="Arial"/>
                <w:i/>
                <w:iCs/>
                <w:color w:val="auto"/>
              </w:rPr>
              <w:t>B6 on the TGA</w:t>
            </w:r>
            <w:r w:rsidRPr="00CF51B4">
              <w:rPr>
                <w:rFonts w:eastAsia="Times New Roman" w:cs="Gotham Book"/>
                <w:i/>
                <w:iCs/>
                <w:color w:val="auto"/>
              </w:rPr>
              <w:t>’</w:t>
            </w:r>
            <w:r w:rsidRPr="00CF51B4">
              <w:rPr>
                <w:rFonts w:eastAsia="Times New Roman" w:cs="Arial"/>
                <w:i/>
                <w:iCs/>
                <w:color w:val="auto"/>
              </w:rPr>
              <w:t xml:space="preserve">s Database of Adverse Event Notifications (DAEN). Of these, 152 also reported </w:t>
            </w:r>
            <w:r w:rsidRPr="00CF51B4">
              <w:rPr>
                <w:rFonts w:eastAsia="Times New Roman" w:cs="Gotham Book"/>
                <w:i/>
                <w:iCs/>
                <w:color w:val="auto"/>
              </w:rPr>
              <w:t>‘</w:t>
            </w:r>
            <w:r w:rsidRPr="00CF51B4">
              <w:rPr>
                <w:rFonts w:eastAsia="Times New Roman" w:cs="Arial"/>
                <w:i/>
                <w:iCs/>
                <w:color w:val="auto"/>
              </w:rPr>
              <w:t>Hypervitaminosis B6</w:t>
            </w:r>
            <w:r w:rsidRPr="00CF51B4">
              <w:rPr>
                <w:rFonts w:eastAsia="Times New Roman" w:cs="Gotham Book"/>
                <w:i/>
                <w:iCs/>
                <w:color w:val="auto"/>
              </w:rPr>
              <w:t>’</w:t>
            </w:r>
            <w:r w:rsidRPr="00CF51B4">
              <w:rPr>
                <w:rFonts w:eastAsia="Times New Roman" w:cs="Arial"/>
                <w:i/>
                <w:iCs/>
                <w:color w:val="auto"/>
              </w:rPr>
              <w:t xml:space="preserve"> and/or </w:t>
            </w:r>
            <w:r w:rsidRPr="00CF51B4">
              <w:rPr>
                <w:rFonts w:eastAsia="Times New Roman" w:cs="Gotham Book"/>
                <w:i/>
                <w:iCs/>
                <w:color w:val="auto"/>
              </w:rPr>
              <w:t>‘</w:t>
            </w:r>
            <w:r w:rsidRPr="00CF51B4">
              <w:rPr>
                <w:rFonts w:eastAsia="Times New Roman" w:cs="Arial"/>
                <w:i/>
                <w:iCs/>
                <w:color w:val="auto"/>
              </w:rPr>
              <w:t>Vitamin B6 increased</w:t>
            </w:r>
            <w:r w:rsidRPr="00CF51B4">
              <w:rPr>
                <w:rFonts w:eastAsia="Times New Roman" w:cs="Gotham Book"/>
                <w:i/>
                <w:iCs/>
                <w:color w:val="auto"/>
              </w:rPr>
              <w:t>’</w:t>
            </w:r>
            <w:r w:rsidRPr="00CF51B4">
              <w:rPr>
                <w:rFonts w:eastAsia="Times New Roman" w:cs="Arial"/>
                <w:i/>
                <w:iCs/>
                <w:color w:val="auto"/>
              </w:rPr>
              <w:t xml:space="preserve">. There were another 162 reports of </w:t>
            </w:r>
            <w:r w:rsidRPr="00CF51B4">
              <w:rPr>
                <w:rFonts w:eastAsia="Times New Roman" w:cs="Gotham Book"/>
                <w:i/>
                <w:iCs/>
                <w:color w:val="auto"/>
              </w:rPr>
              <w:t>‘</w:t>
            </w:r>
            <w:r w:rsidRPr="00CF51B4">
              <w:rPr>
                <w:rFonts w:eastAsia="Times New Roman" w:cs="Arial"/>
                <w:i/>
                <w:iCs/>
                <w:color w:val="auto"/>
              </w:rPr>
              <w:t>Hypervitaminosis B6</w:t>
            </w:r>
            <w:r w:rsidRPr="00CF51B4">
              <w:rPr>
                <w:rFonts w:eastAsia="Times New Roman" w:cs="Gotham Book"/>
                <w:i/>
                <w:iCs/>
                <w:color w:val="auto"/>
              </w:rPr>
              <w:t>’</w:t>
            </w:r>
            <w:r w:rsidRPr="00CF51B4">
              <w:rPr>
                <w:rFonts w:eastAsia="Times New Roman" w:cs="Arial"/>
                <w:i/>
                <w:iCs/>
                <w:color w:val="auto"/>
              </w:rPr>
              <w:t xml:space="preserve"> and/or </w:t>
            </w:r>
            <w:r w:rsidRPr="00CF51B4">
              <w:rPr>
                <w:rFonts w:eastAsia="Times New Roman" w:cs="Gotham Book"/>
                <w:i/>
                <w:iCs/>
                <w:color w:val="auto"/>
              </w:rPr>
              <w:t>‘</w:t>
            </w:r>
            <w:r w:rsidRPr="00CF51B4">
              <w:rPr>
                <w:rFonts w:eastAsia="Times New Roman" w:cs="Arial"/>
                <w:i/>
                <w:iCs/>
                <w:color w:val="auto"/>
              </w:rPr>
              <w:t>Vitamin B6 increased</w:t>
            </w:r>
            <w:r w:rsidRPr="00CF51B4">
              <w:rPr>
                <w:rFonts w:eastAsia="Times New Roman" w:cs="Gotham Book"/>
                <w:i/>
                <w:iCs/>
                <w:color w:val="auto"/>
              </w:rPr>
              <w:t>’</w:t>
            </w:r>
            <w:r w:rsidRPr="00CF51B4">
              <w:rPr>
                <w:rFonts w:eastAsia="Times New Roman" w:cs="Arial"/>
                <w:i/>
                <w:iCs/>
                <w:color w:val="auto"/>
              </w:rPr>
              <w:t xml:space="preserve"> with less specific reaction terms such as paraesthesia, burning sensation etc. possibly suggestive of neuropathies. A majority of the 250 adverse events in DAEN were reported since 1 January 2023 (208 events, 83%), with 130 events being reported in 2025 until 31 October 2025. </w:t>
            </w:r>
          </w:p>
          <w:p w14:paraId="33A168C4" w14:textId="0E9C4456" w:rsidR="003C6A65" w:rsidRPr="00CF51B4" w:rsidRDefault="003C6A65" w:rsidP="003C6A65">
            <w:pPr>
              <w:spacing w:line="276" w:lineRule="auto"/>
              <w:ind w:left="567"/>
              <w:rPr>
                <w:rFonts w:eastAsia="Times New Roman" w:cs="Arial"/>
                <w:i/>
                <w:iCs/>
                <w:color w:val="auto"/>
              </w:rPr>
            </w:pPr>
            <w:r w:rsidRPr="008201E9">
              <w:rPr>
                <w:rFonts w:eastAsia="Times New Roman" w:cs="Arial"/>
                <w:i/>
                <w:iCs/>
                <w:color w:val="auto"/>
              </w:rPr>
              <w:t xml:space="preserve">Between 1 January 2024 and 30 June 2025, the NSW Poisons Information Centre received 14 calls from patients experiencing symptoms of neuropathy. Patients reported adverse effects after taking daily pyridoxine doses between 25 mg to 400 mg for as little as 2 weeks, but up to as long as 10 years. Of these 14 patients, 2 were taking 50 mg or less of pyridoxine daily, and 8 reported blood tests results with higher-than-normal levels of pyridoxine (110 mg per day, 120 mg per day, other 6 unknown dosage) </w:t>
            </w:r>
            <w:r w:rsidR="0045011E" w:rsidRPr="007F0D50">
              <w:rPr>
                <w:rFonts w:eastAsia="Times New Roman" w:cs="Arial"/>
                <w:b/>
                <w:bCs/>
                <w:i/>
                <w:iCs/>
                <w:noProof/>
                <w:color w:val="auto"/>
              </w:rPr>
              <w:t>(TGA, 2025)</w:t>
            </w:r>
          </w:p>
          <w:p w14:paraId="4D00813E" w14:textId="77777777" w:rsidR="00691ADD" w:rsidRPr="00691ADD" w:rsidRDefault="00691ADD" w:rsidP="00691ADD">
            <w:pPr>
              <w:spacing w:line="276" w:lineRule="auto"/>
            </w:pPr>
            <w:r w:rsidRPr="00691ADD">
              <w:t>The adult UL was also applied to pregnant and lactating populations. There is currently insufficient evidence to indicate that pregnancy or lactation modifies susceptibility to vitamin B6-induced peripheral neuropathy at intake levels below the adult UL.</w:t>
            </w:r>
          </w:p>
          <w:p w14:paraId="498DAF14" w14:textId="2DC85EC1" w:rsidR="00814506" w:rsidRPr="00D20DFA" w:rsidRDefault="00691ADD" w:rsidP="00400B91">
            <w:pPr>
              <w:spacing w:line="276" w:lineRule="auto"/>
              <w:rPr>
                <w:i/>
                <w:iCs/>
              </w:rPr>
            </w:pPr>
            <w:r w:rsidRPr="00691ADD">
              <w:rPr>
                <w:i/>
                <w:iCs/>
              </w:rPr>
              <w:t xml:space="preserve">Most of evidence for </w:t>
            </w:r>
            <w:r w:rsidR="006A463D">
              <w:rPr>
                <w:i/>
                <w:iCs/>
              </w:rPr>
              <w:t>v</w:t>
            </w:r>
            <w:r w:rsidRPr="00691ADD">
              <w:rPr>
                <w:i/>
                <w:iCs/>
              </w:rPr>
              <w:t>itamin B6 toxicity comes from pyridoxine, there is insufficient evidence for other vitamer forms. As the vitamer forms are inter-convertible in the body tissue, the UL applies to all forms based on a precautionary approach.</w:t>
            </w:r>
          </w:p>
        </w:tc>
      </w:tr>
    </w:tbl>
    <w:p w14:paraId="331C9059" w14:textId="77777777" w:rsidR="009C60C0" w:rsidRDefault="009C60C0" w:rsidP="00430CC8">
      <w:pPr>
        <w:shd w:val="clear" w:color="auto" w:fill="D8ECEA" w:themeFill="accent3" w:themeFillTint="66"/>
        <w:rPr>
          <w:i/>
          <w:iCs/>
          <w:color w:val="auto"/>
        </w:rPr>
      </w:pPr>
      <w:r w:rsidRPr="00D26490">
        <w:rPr>
          <w:b/>
          <w:bCs/>
          <w:color w:val="004663" w:themeColor="accent2" w:themeShade="BF"/>
        </w:rPr>
        <w:lastRenderedPageBreak/>
        <w:t>Additional considerations</w:t>
      </w:r>
      <w:r w:rsidRPr="00D26490">
        <w:rPr>
          <w:color w:val="004663" w:themeColor="accent2" w:themeShade="BF"/>
        </w:rPr>
        <w:t xml:space="preserve"> </w:t>
      </w:r>
      <w:r w:rsidRPr="00441591">
        <w:rPr>
          <w:i/>
          <w:iCs/>
          <w:color w:val="auto"/>
        </w:rPr>
        <w:t>(</w:t>
      </w:r>
      <w:r w:rsidRPr="00D26490">
        <w:rPr>
          <w:i/>
          <w:iCs/>
          <w:color w:val="auto"/>
        </w:rPr>
        <w:t>committee input not captured in the research evidence)</w:t>
      </w:r>
    </w:p>
    <w:p w14:paraId="69DA747B" w14:textId="77777777" w:rsidR="009C60C0" w:rsidRPr="00430CC8" w:rsidRDefault="009C60C0" w:rsidP="00654ED5">
      <w:pPr>
        <w:rPr>
          <w:color w:val="auto"/>
        </w:rPr>
      </w:pPr>
      <w:r w:rsidRPr="00430CC8">
        <w:rPr>
          <w:color w:val="auto"/>
        </w:rPr>
        <w:t>Uncertainty factors</w:t>
      </w:r>
    </w:p>
    <w:p w14:paraId="7CB37DD4" w14:textId="77777777" w:rsidR="009C60C0" w:rsidRPr="003C4D61" w:rsidRDefault="009C60C0" w:rsidP="003C4D61">
      <w:pPr>
        <w:pStyle w:val="ListParagraph"/>
        <w:numPr>
          <w:ilvl w:val="0"/>
          <w:numId w:val="38"/>
        </w:numPr>
        <w:rPr>
          <w:color w:val="auto"/>
        </w:rPr>
      </w:pPr>
      <w:r w:rsidRPr="003C4D61">
        <w:rPr>
          <w:color w:val="auto"/>
        </w:rPr>
        <w:lastRenderedPageBreak/>
        <w:t xml:space="preserve">Human and animal responses to drugs and poisons are log-normally distributed so it is usual to choose UFs of 10 and 3. These correspond to shifts of approximately 1.0 and 0.5 units, respectively, on a log₁₀ dose scale and provide a convenient framework for accounting for uncertainty and biological variability. Dividing a NOAEL value by 3 reduces the value by approximately half (0.477) a log unit. </w:t>
      </w:r>
    </w:p>
    <w:p w14:paraId="0CEF247B" w14:textId="77777777" w:rsidR="009C60C0" w:rsidRPr="003C4D61" w:rsidRDefault="009C60C0" w:rsidP="003C4D61">
      <w:pPr>
        <w:pStyle w:val="ListParagraph"/>
        <w:numPr>
          <w:ilvl w:val="0"/>
          <w:numId w:val="38"/>
        </w:numPr>
        <w:rPr>
          <w:color w:val="auto"/>
        </w:rPr>
      </w:pPr>
      <w:r w:rsidRPr="003C4D61">
        <w:rPr>
          <w:color w:val="auto"/>
        </w:rPr>
        <w:t>That is if a NOAEL of 50 is divided by 3 we get 16.67 and this corresponds to Log(50) = 1.699 THEN è 1.699 – 0.477 (log(3)) = 1.222 AND è 10^1.222 = 16.7.</w:t>
      </w:r>
    </w:p>
    <w:p w14:paraId="4D573CE7" w14:textId="77777777" w:rsidR="009C60C0" w:rsidRDefault="009C60C0" w:rsidP="00093BC2">
      <w:pPr>
        <w:pStyle w:val="ListParagraph"/>
        <w:numPr>
          <w:ilvl w:val="0"/>
          <w:numId w:val="38"/>
        </w:numPr>
        <w:rPr>
          <w:color w:val="auto"/>
        </w:rPr>
      </w:pPr>
      <w:r>
        <w:rPr>
          <w:color w:val="auto"/>
        </w:rPr>
        <w:t>S</w:t>
      </w:r>
      <w:r w:rsidRPr="000B281F">
        <w:rPr>
          <w:color w:val="auto"/>
        </w:rPr>
        <w:t xml:space="preserve">ince we are looking at an essential nutrient 3 is an appropriate UF for intra-individual variability because the substances are normal constituents of human physiology and human exposure data is available. </w:t>
      </w:r>
    </w:p>
    <w:p w14:paraId="26C848EE" w14:textId="77777777" w:rsidR="009C60C0" w:rsidRPr="00716136" w:rsidRDefault="009C60C0" w:rsidP="00716136">
      <w:pPr>
        <w:rPr>
          <w:color w:val="auto"/>
        </w:rPr>
      </w:pPr>
      <w:r>
        <w:rPr>
          <w:color w:val="auto"/>
        </w:rPr>
        <w:t>Human and Animal data</w:t>
      </w:r>
    </w:p>
    <w:p w14:paraId="6CA29239" w14:textId="77777777" w:rsidR="009C60C0" w:rsidRPr="00093BC2" w:rsidRDefault="009C60C0" w:rsidP="00093BC2">
      <w:pPr>
        <w:pStyle w:val="ListParagraph"/>
        <w:numPr>
          <w:ilvl w:val="0"/>
          <w:numId w:val="38"/>
        </w:numPr>
        <w:rPr>
          <w:color w:val="auto"/>
        </w:rPr>
      </w:pPr>
      <w:r>
        <w:rPr>
          <w:color w:val="auto"/>
        </w:rPr>
        <w:t xml:space="preserve">Using a weight of evidence approach there was discussion about the relative value of human and animal data. Usually, human data would be prioritised. In this case it was noted that there was similar confidence in the human and animal data. Different weight of the human and animal data was considered. Different weightings were modelled and would have made small differences to the final value. However, the justification for a particular weighting was not clear and the mid-point of the human and animal data was chosen. </w:t>
      </w:r>
    </w:p>
    <w:p w14:paraId="16E430F3" w14:textId="2DD9F5CC" w:rsidR="00FE1D2F" w:rsidRDefault="00FE1D2F" w:rsidP="00FE1D2F"/>
    <w:p w14:paraId="5DB90975" w14:textId="77777777" w:rsidR="004149CC" w:rsidRPr="00962F99" w:rsidRDefault="004149CC" w:rsidP="004149CC">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pPr>
      <w:r>
        <w:rPr>
          <w:color w:val="FFFFFF" w:themeColor="background1"/>
          <w:sz w:val="22"/>
          <w:szCs w:val="22"/>
        </w:rPr>
        <w:t>Vitamin B6 exposure in Australia and New Zealand</w:t>
      </w:r>
    </w:p>
    <w:p w14:paraId="4D6572FB" w14:textId="5297EB41" w:rsidR="000F6C8D" w:rsidRPr="002A3A05" w:rsidRDefault="00DC3C95" w:rsidP="000F6C8D">
      <w:pPr>
        <w:spacing w:line="276" w:lineRule="auto"/>
        <w:rPr>
          <w:rFonts w:eastAsia="Times New Roman" w:cs="Arial"/>
          <w:b/>
          <w:bCs/>
          <w:i/>
          <w:iCs/>
          <w:color w:val="auto"/>
        </w:rPr>
      </w:pPr>
      <w:r>
        <w:rPr>
          <w:rFonts w:eastAsia="Times New Roman" w:cs="Arial"/>
          <w:b/>
          <w:bCs/>
          <w:i/>
          <w:iCs/>
          <w:color w:val="auto"/>
        </w:rPr>
        <w:t>F</w:t>
      </w:r>
      <w:r w:rsidR="00B1376D">
        <w:rPr>
          <w:rFonts w:eastAsia="Times New Roman" w:cs="Arial"/>
          <w:b/>
          <w:bCs/>
          <w:i/>
          <w:iCs/>
          <w:color w:val="auto"/>
        </w:rPr>
        <w:t>ood Supply</w:t>
      </w:r>
    </w:p>
    <w:p w14:paraId="47F8E7FE" w14:textId="729C8EBA" w:rsidR="000F6C8D" w:rsidRDefault="000F6C8D" w:rsidP="000F6C8D">
      <w:pPr>
        <w:spacing w:line="276" w:lineRule="auto"/>
      </w:pPr>
      <w:r w:rsidRPr="00721B19">
        <w:t xml:space="preserve">In Australia in 2023, nearly one third (32.9%) of dietary vitamin B6 intake came from three food categories: electrolyte, energy and fortified drinks; cereal-based mixed dishes, such as sandwiches and pasta or noodle dishes; and poultry and feathered game </w:t>
      </w:r>
      <w:r w:rsidR="0045011E">
        <w:rPr>
          <w:noProof/>
        </w:rPr>
        <w:t>(ABS, 2026)</w:t>
      </w:r>
      <w:r w:rsidRPr="00721B19">
        <w:t xml:space="preserve">. New Zealand adult data from the 2008/09 New Zealand Adult Nutrition Survey reported dietary vitamin B6 intakes from food </w:t>
      </w:r>
      <w:r w:rsidR="00296F45">
        <w:t>and</w:t>
      </w:r>
      <w:r w:rsidRPr="00721B19">
        <w:t xml:space="preserve"> supplements. In that survey, the main dietary contributors were fruit (13%), vegetables, potatoes, kumara and taro (each 10%), poultry (7%), breakfast cereals (6%), and bread, non-alcoholic beverages, grains and pasta, and beef and veal (each 5%) </w:t>
      </w:r>
      <w:r w:rsidR="0045011E">
        <w:rPr>
          <w:noProof/>
        </w:rPr>
        <w:t>(Ministry of Health, 2011)</w:t>
      </w:r>
      <w:r w:rsidR="00DD6154">
        <w:t>.</w:t>
      </w:r>
    </w:p>
    <w:p w14:paraId="0CDB4D6F" w14:textId="20D282D5" w:rsidR="007F7873" w:rsidRPr="00875871" w:rsidRDefault="004F298D" w:rsidP="007933E3">
      <w:pPr>
        <w:spacing w:line="276" w:lineRule="auto"/>
        <w:rPr>
          <w:rFonts w:eastAsia="Times New Roman" w:cs="Arial"/>
          <w:color w:val="auto"/>
        </w:rPr>
      </w:pPr>
      <w:r>
        <w:rPr>
          <w:rFonts w:eastAsia="Times New Roman" w:cs="Arial"/>
          <w:color w:val="auto"/>
        </w:rPr>
        <w:t xml:space="preserve">Vitamin B6 intake data for adults in Australia </w:t>
      </w:r>
      <w:r w:rsidR="00990F5D">
        <w:rPr>
          <w:rFonts w:eastAsia="Times New Roman" w:cs="Arial"/>
          <w:color w:val="auto"/>
        </w:rPr>
        <w:t>(</w:t>
      </w:r>
      <w:r>
        <w:rPr>
          <w:rFonts w:eastAsia="Times New Roman" w:cs="Arial"/>
          <w:color w:val="auto"/>
        </w:rPr>
        <w:t>2023)</w:t>
      </w:r>
      <w:r w:rsidR="00B43A03">
        <w:rPr>
          <w:rFonts w:eastAsia="Times New Roman" w:cs="Arial"/>
          <w:color w:val="auto"/>
        </w:rPr>
        <w:t xml:space="preserve"> and </w:t>
      </w:r>
      <w:r w:rsidR="00BB6ACA">
        <w:rPr>
          <w:rFonts w:eastAsia="Times New Roman" w:cs="Arial"/>
          <w:color w:val="auto"/>
        </w:rPr>
        <w:t>Aboriginal and To</w:t>
      </w:r>
      <w:r w:rsidR="00B43A03">
        <w:rPr>
          <w:rFonts w:eastAsia="Times New Roman" w:cs="Arial"/>
          <w:color w:val="auto"/>
        </w:rPr>
        <w:t>r</w:t>
      </w:r>
      <w:r w:rsidR="00BB6ACA">
        <w:rPr>
          <w:rFonts w:eastAsia="Times New Roman" w:cs="Arial"/>
          <w:color w:val="auto"/>
        </w:rPr>
        <w:t>res</w:t>
      </w:r>
      <w:r w:rsidR="00B40631">
        <w:rPr>
          <w:rFonts w:eastAsia="Times New Roman" w:cs="Arial"/>
          <w:color w:val="auto"/>
        </w:rPr>
        <w:t xml:space="preserve"> </w:t>
      </w:r>
      <w:r w:rsidR="00BB6ACA">
        <w:rPr>
          <w:rFonts w:eastAsia="Times New Roman" w:cs="Arial"/>
          <w:color w:val="auto"/>
        </w:rPr>
        <w:t>Stra</w:t>
      </w:r>
      <w:r w:rsidR="00B43A03">
        <w:rPr>
          <w:rFonts w:eastAsia="Times New Roman" w:cs="Arial"/>
          <w:color w:val="auto"/>
        </w:rPr>
        <w:t>i</w:t>
      </w:r>
      <w:r w:rsidR="00BB6ACA">
        <w:rPr>
          <w:rFonts w:eastAsia="Times New Roman" w:cs="Arial"/>
          <w:color w:val="auto"/>
        </w:rPr>
        <w:t xml:space="preserve">t Islanders </w:t>
      </w:r>
      <w:r w:rsidR="00C90177">
        <w:rPr>
          <w:rFonts w:eastAsia="Times New Roman" w:cs="Arial"/>
          <w:color w:val="auto"/>
        </w:rPr>
        <w:t xml:space="preserve">(2023) </w:t>
      </w:r>
      <w:r w:rsidR="001C1DFE">
        <w:rPr>
          <w:rFonts w:eastAsia="Times New Roman" w:cs="Arial"/>
          <w:color w:val="auto"/>
        </w:rPr>
        <w:t xml:space="preserve">are presented in </w:t>
      </w:r>
      <w:r w:rsidR="00AC5436" w:rsidRPr="00231C7E">
        <w:rPr>
          <w:rFonts w:eastAsia="Times New Roman" w:cs="Arial"/>
          <w:color w:val="auto"/>
        </w:rPr>
        <w:t xml:space="preserve">Table </w:t>
      </w:r>
      <w:r w:rsidR="00C90177">
        <w:rPr>
          <w:rFonts w:eastAsia="Times New Roman" w:cs="Arial"/>
          <w:color w:val="auto"/>
        </w:rPr>
        <w:t>1</w:t>
      </w:r>
      <w:r w:rsidR="00B43A03">
        <w:rPr>
          <w:rFonts w:eastAsia="Times New Roman" w:cs="Arial"/>
          <w:color w:val="auto"/>
        </w:rPr>
        <w:t xml:space="preserve"> and Table 2</w:t>
      </w:r>
      <w:r w:rsidR="0007602C">
        <w:rPr>
          <w:rFonts w:eastAsia="Times New Roman" w:cs="Arial"/>
          <w:color w:val="auto"/>
        </w:rPr>
        <w:t>.</w:t>
      </w:r>
      <w:r w:rsidR="003F7F3A" w:rsidRPr="00875871">
        <w:rPr>
          <w:rFonts w:eastAsia="Times New Roman" w:cs="Arial"/>
          <w:color w:val="auto"/>
        </w:rPr>
        <w:t xml:space="preserve"> </w:t>
      </w:r>
    </w:p>
    <w:p w14:paraId="5B6B5D8C" w14:textId="362FC91D" w:rsidR="00A126B8" w:rsidRPr="00902965" w:rsidRDefault="00A126B8" w:rsidP="00902965">
      <w:pPr>
        <w:pStyle w:val="TableTitle"/>
        <w:ind w:left="1134"/>
        <w:rPr>
          <w:caps/>
          <w:sz w:val="18"/>
          <w:szCs w:val="16"/>
        </w:rPr>
      </w:pPr>
      <w:r w:rsidRPr="00902965">
        <w:rPr>
          <w:sz w:val="18"/>
          <w:szCs w:val="16"/>
        </w:rPr>
        <w:lastRenderedPageBreak/>
        <w:t xml:space="preserve">Vitamin B6 </w:t>
      </w:r>
      <w:r w:rsidR="000F6C8D" w:rsidRPr="00902965">
        <w:rPr>
          <w:sz w:val="18"/>
          <w:szCs w:val="16"/>
        </w:rPr>
        <w:t xml:space="preserve">dietary </w:t>
      </w:r>
      <w:r w:rsidRPr="00902965">
        <w:rPr>
          <w:sz w:val="18"/>
          <w:szCs w:val="16"/>
        </w:rPr>
        <w:t xml:space="preserve">intake in Australian adults (general population), </w:t>
      </w:r>
      <w:r w:rsidR="00E40A1A" w:rsidRPr="00902965">
        <w:rPr>
          <w:sz w:val="18"/>
          <w:szCs w:val="16"/>
        </w:rPr>
        <w:t xml:space="preserve">National Nutrition and Physical Activity Survey: Usual Nutrient Intakes </w:t>
      </w:r>
      <w:r w:rsidR="008E48F0" w:rsidRPr="00902965">
        <w:rPr>
          <w:sz w:val="18"/>
          <w:szCs w:val="16"/>
        </w:rPr>
        <w:t>(2023)</w:t>
      </w:r>
    </w:p>
    <w:tbl>
      <w:tblPr>
        <w:tblStyle w:val="GridTable4"/>
        <w:tblW w:w="11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6"/>
        <w:gridCol w:w="1574"/>
        <w:gridCol w:w="1701"/>
        <w:gridCol w:w="1701"/>
        <w:gridCol w:w="1701"/>
        <w:gridCol w:w="1843"/>
        <w:gridCol w:w="1843"/>
      </w:tblGrid>
      <w:tr w:rsidR="001B2BB0" w:rsidRPr="00D633FF" w14:paraId="25D71A3F" w14:textId="35111655" w:rsidTr="001B2B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6" w:type="dxa"/>
            <w:tcBorders>
              <w:bottom w:val="single" w:sz="4" w:space="0" w:color="auto"/>
            </w:tcBorders>
            <w:shd w:val="clear" w:color="auto" w:fill="000000" w:themeFill="text1"/>
            <w:noWrap/>
          </w:tcPr>
          <w:p w14:paraId="40F0BAB2" w14:textId="77777777" w:rsidR="001B2BB0" w:rsidRPr="00D633FF" w:rsidRDefault="001B2BB0">
            <w:pPr>
              <w:keepNext/>
              <w:spacing w:line="276" w:lineRule="auto"/>
              <w:rPr>
                <w:rFonts w:ascii="Calibri" w:eastAsia="Times New Roman" w:hAnsi="Calibri" w:cs="Calibri"/>
                <w:color w:val="FFFFFF"/>
              </w:rPr>
            </w:pPr>
            <w:r w:rsidRPr="00D633FF">
              <w:rPr>
                <w:rFonts w:ascii="Calibri" w:eastAsia="Times New Roman" w:hAnsi="Calibri" w:cs="Calibri"/>
                <w:color w:val="FFFFFF"/>
              </w:rPr>
              <w:t>Age groups (years)</w:t>
            </w:r>
          </w:p>
        </w:tc>
        <w:tc>
          <w:tcPr>
            <w:tcW w:w="1574" w:type="dxa"/>
            <w:shd w:val="clear" w:color="auto" w:fill="000000" w:themeFill="text1"/>
          </w:tcPr>
          <w:p w14:paraId="6E371BA6" w14:textId="77777777" w:rsidR="001B2BB0" w:rsidRPr="00D633FF" w:rsidRDefault="001B2BB0">
            <w:pPr>
              <w:keepNext/>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Sex</w:t>
            </w:r>
          </w:p>
        </w:tc>
        <w:tc>
          <w:tcPr>
            <w:tcW w:w="1701" w:type="dxa"/>
            <w:shd w:val="clear" w:color="auto" w:fill="000000" w:themeFill="text1"/>
          </w:tcPr>
          <w:p w14:paraId="532C991A" w14:textId="50CB6965" w:rsidR="001B2BB0" w:rsidRPr="00D633FF" w:rsidRDefault="001B2BB0" w:rsidP="00A502C6">
            <w:pPr>
              <w:keepNex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Mean Intake (</w:t>
            </w:r>
            <w:r>
              <w:rPr>
                <w:rFonts w:ascii="Calibri" w:eastAsia="Times New Roman" w:hAnsi="Calibri" w:cs="Calibri"/>
                <w:color w:val="FFFFFF"/>
              </w:rPr>
              <w:t>m</w:t>
            </w:r>
            <w:r w:rsidRPr="00D633FF">
              <w:rPr>
                <w:rFonts w:ascii="Calibri" w:eastAsia="Times New Roman" w:hAnsi="Calibri" w:cs="Calibri"/>
                <w:color w:val="FFFFFF"/>
              </w:rPr>
              <w:t>g/day)</w:t>
            </w:r>
          </w:p>
        </w:tc>
        <w:tc>
          <w:tcPr>
            <w:tcW w:w="1701" w:type="dxa"/>
            <w:tcBorders>
              <w:left w:val="single" w:sz="4" w:space="0" w:color="000000" w:themeColor="text1"/>
              <w:right w:val="single" w:sz="4" w:space="0" w:color="000000" w:themeColor="text1"/>
            </w:tcBorders>
            <w:shd w:val="clear" w:color="auto" w:fill="000000" w:themeFill="text1"/>
          </w:tcPr>
          <w:p w14:paraId="26D8099A" w14:textId="77777777" w:rsidR="001B2BB0" w:rsidRDefault="001B2BB0" w:rsidP="00A502C6">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A502C6">
              <w:rPr>
                <w:rFonts w:ascii="Calibri" w:eastAsia="Times New Roman" w:hAnsi="Calibri" w:cs="Calibri"/>
                <w:b w:val="0"/>
                <w:bCs w:val="0"/>
                <w:color w:val="FFFFFF"/>
              </w:rPr>
              <w:t>EAR</w:t>
            </w:r>
            <w:r>
              <w:rPr>
                <w:rFonts w:ascii="Calibri" w:eastAsia="Times New Roman" w:hAnsi="Calibri" w:cs="Calibri"/>
                <w:b w:val="0"/>
                <w:bCs w:val="0"/>
                <w:color w:val="FFFFFF"/>
              </w:rPr>
              <w:t xml:space="preserve"> </w:t>
            </w:r>
          </w:p>
          <w:p w14:paraId="2E7F35B8" w14:textId="1BDA7570" w:rsidR="001B2BB0" w:rsidRPr="00A502C6" w:rsidRDefault="001B2BB0" w:rsidP="00A502C6">
            <w:pPr>
              <w:keepNext/>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rPr>
            </w:pPr>
            <w:r w:rsidRPr="00D633FF">
              <w:rPr>
                <w:rFonts w:ascii="Calibri" w:eastAsia="Times New Roman" w:hAnsi="Calibri" w:cs="Calibri"/>
                <w:color w:val="FFFFFF"/>
              </w:rPr>
              <w:t>(</w:t>
            </w:r>
            <w:r>
              <w:rPr>
                <w:rFonts w:ascii="Calibri" w:eastAsia="Times New Roman" w:hAnsi="Calibri" w:cs="Calibri"/>
                <w:color w:val="FFFFFF"/>
              </w:rPr>
              <w:t>m</w:t>
            </w:r>
            <w:r w:rsidRPr="00D633FF">
              <w:rPr>
                <w:rFonts w:ascii="Calibri" w:eastAsia="Times New Roman" w:hAnsi="Calibri" w:cs="Calibri"/>
                <w:color w:val="FFFFFF"/>
              </w:rPr>
              <w:t>g/day)</w:t>
            </w:r>
          </w:p>
        </w:tc>
        <w:tc>
          <w:tcPr>
            <w:tcW w:w="1701" w:type="dxa"/>
            <w:shd w:val="clear" w:color="auto" w:fill="000000" w:themeFill="text1"/>
          </w:tcPr>
          <w:p w14:paraId="70FA6690" w14:textId="21BEC458" w:rsidR="001B2BB0" w:rsidRPr="00D633FF" w:rsidRDefault="001B2BB0">
            <w:pPr>
              <w:keepNext/>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 less than EAR</w:t>
            </w:r>
          </w:p>
        </w:tc>
        <w:tc>
          <w:tcPr>
            <w:tcW w:w="1843" w:type="dxa"/>
            <w:shd w:val="clear" w:color="auto" w:fill="000000" w:themeFill="text1"/>
          </w:tcPr>
          <w:p w14:paraId="513DA6A3" w14:textId="77777777" w:rsidR="001B2BB0" w:rsidRPr="00D633FF" w:rsidRDefault="001B2BB0">
            <w:pPr>
              <w:keepNext/>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95</w:t>
            </w:r>
            <w:r w:rsidRPr="00D633FF">
              <w:rPr>
                <w:rFonts w:ascii="Calibri" w:eastAsia="Times New Roman" w:hAnsi="Calibri" w:cs="Calibri"/>
                <w:color w:val="FFFFFF"/>
                <w:vertAlign w:val="superscript"/>
              </w:rPr>
              <w:t>th</w:t>
            </w:r>
            <w:r w:rsidRPr="00D633FF">
              <w:rPr>
                <w:rFonts w:ascii="Calibri" w:eastAsia="Times New Roman" w:hAnsi="Calibri" w:cs="Calibri"/>
                <w:color w:val="FFFFFF"/>
              </w:rPr>
              <w:t xml:space="preserve"> percentile intake </w:t>
            </w:r>
          </w:p>
          <w:p w14:paraId="452E8CA9" w14:textId="0E3BF81A" w:rsidR="001B2BB0" w:rsidRPr="00D633FF" w:rsidRDefault="001B2BB0">
            <w:pPr>
              <w:keepNext/>
              <w:spacing w:before="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w:t>
            </w:r>
            <w:r>
              <w:rPr>
                <w:rFonts w:ascii="Calibri" w:eastAsia="Times New Roman" w:hAnsi="Calibri" w:cs="Calibri"/>
                <w:color w:val="FFFFFF"/>
              </w:rPr>
              <w:t>m</w:t>
            </w:r>
            <w:r w:rsidRPr="00D633FF">
              <w:rPr>
                <w:rFonts w:ascii="Calibri" w:eastAsia="Times New Roman" w:hAnsi="Calibri" w:cs="Calibri"/>
                <w:color w:val="FFFFFF"/>
              </w:rPr>
              <w:t>g/day)</w:t>
            </w:r>
          </w:p>
        </w:tc>
        <w:tc>
          <w:tcPr>
            <w:tcW w:w="1843" w:type="dxa"/>
            <w:tcBorders>
              <w:left w:val="single" w:sz="4" w:space="0" w:color="000000" w:themeColor="text1"/>
              <w:right w:val="single" w:sz="4" w:space="0" w:color="000000" w:themeColor="text1"/>
            </w:tcBorders>
            <w:shd w:val="clear" w:color="auto" w:fill="000000" w:themeFill="text1"/>
          </w:tcPr>
          <w:p w14:paraId="2366E5AD" w14:textId="77777777" w:rsidR="001B2BB0" w:rsidRDefault="001B2BB0" w:rsidP="00F370F9">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rPr>
            </w:pPr>
            <w:r>
              <w:rPr>
                <w:rFonts w:ascii="Calibri" w:eastAsia="Times New Roman" w:hAnsi="Calibri" w:cs="Calibri"/>
                <w:color w:val="FFFFFF"/>
              </w:rPr>
              <w:t>RDI</w:t>
            </w:r>
          </w:p>
          <w:p w14:paraId="6B9293F7" w14:textId="56F2EC3F" w:rsidR="001706B0" w:rsidRPr="00D633FF" w:rsidRDefault="001706B0" w:rsidP="00F370F9">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Pr>
                <w:rFonts w:ascii="Calibri" w:eastAsia="Times New Roman" w:hAnsi="Calibri" w:cs="Calibri"/>
                <w:color w:val="FFFFFF"/>
              </w:rPr>
              <w:t>(mg/day)</w:t>
            </w:r>
          </w:p>
        </w:tc>
      </w:tr>
      <w:tr w:rsidR="0068647C" w:rsidRPr="00D633FF" w14:paraId="54EBD1E8" w14:textId="06E6C13F" w:rsidTr="0068647C">
        <w:trPr>
          <w:trHeight w:val="340"/>
        </w:trPr>
        <w:tc>
          <w:tcPr>
            <w:cnfStyle w:val="001000000000" w:firstRow="0" w:lastRow="0" w:firstColumn="1" w:lastColumn="0" w:oddVBand="0" w:evenVBand="0" w:oddHBand="0" w:evenHBand="0" w:firstRowFirstColumn="0" w:firstRowLastColumn="0" w:lastRowFirstColumn="0" w:lastRowLastColumn="0"/>
            <w:tcW w:w="1566" w:type="dxa"/>
            <w:vMerge w:val="restart"/>
            <w:noWrap/>
          </w:tcPr>
          <w:p w14:paraId="4816971D" w14:textId="165C4678" w:rsidR="0068647C" w:rsidRPr="00D633FF" w:rsidRDefault="0068647C" w:rsidP="0068647C">
            <w:pPr>
              <w:keepNext/>
              <w:spacing w:line="276" w:lineRule="auto"/>
              <w:rPr>
                <w:rFonts w:ascii="Calibri" w:eastAsia="Times New Roman" w:hAnsi="Calibri" w:cs="Calibri"/>
              </w:rPr>
            </w:pPr>
            <w:r w:rsidRPr="00D633FF">
              <w:rPr>
                <w:rFonts w:ascii="Calibri" w:eastAsia="Times New Roman" w:hAnsi="Calibri" w:cs="Calibri"/>
              </w:rPr>
              <w:t>1</w:t>
            </w:r>
            <w:r>
              <w:rPr>
                <w:rFonts w:ascii="Calibri" w:eastAsia="Times New Roman" w:hAnsi="Calibri" w:cs="Calibri"/>
              </w:rPr>
              <w:t>8</w:t>
            </w:r>
            <w:r w:rsidRPr="00D633FF">
              <w:rPr>
                <w:rFonts w:ascii="Calibri" w:eastAsia="Times New Roman" w:hAnsi="Calibri" w:cs="Calibri"/>
              </w:rPr>
              <w:t>-</w:t>
            </w:r>
            <w:r>
              <w:rPr>
                <w:rFonts w:ascii="Calibri" w:eastAsia="Times New Roman" w:hAnsi="Calibri" w:cs="Calibri"/>
              </w:rPr>
              <w:t>29</w:t>
            </w:r>
            <w:r w:rsidRPr="00D633FF">
              <w:rPr>
                <w:rFonts w:ascii="Calibri" w:eastAsia="Times New Roman" w:hAnsi="Calibri" w:cs="Calibri"/>
              </w:rPr>
              <w:t xml:space="preserve"> </w:t>
            </w:r>
          </w:p>
        </w:tc>
        <w:tc>
          <w:tcPr>
            <w:tcW w:w="1574" w:type="dxa"/>
            <w:vAlign w:val="center"/>
          </w:tcPr>
          <w:p w14:paraId="25AFFE2A" w14:textId="77777777" w:rsidR="0068647C" w:rsidRPr="00D633FF" w:rsidRDefault="0068647C">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6BB667CC" w14:textId="24E55F41"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w:t>
            </w:r>
          </w:p>
        </w:tc>
        <w:tc>
          <w:tcPr>
            <w:tcW w:w="1701" w:type="dxa"/>
            <w:tcBorders>
              <w:left w:val="single" w:sz="4" w:space="0" w:color="000000" w:themeColor="text1"/>
              <w:right w:val="single" w:sz="4" w:space="0" w:color="000000" w:themeColor="text1"/>
            </w:tcBorders>
          </w:tcPr>
          <w:p w14:paraId="059931D9" w14:textId="5C07E893"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c>
          <w:tcPr>
            <w:tcW w:w="1701" w:type="dxa"/>
            <w:vAlign w:val="center"/>
          </w:tcPr>
          <w:p w14:paraId="4FB8F572" w14:textId="685E52BE"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25.7</w:t>
            </w:r>
          </w:p>
        </w:tc>
        <w:tc>
          <w:tcPr>
            <w:tcW w:w="1843" w:type="dxa"/>
            <w:vAlign w:val="center"/>
          </w:tcPr>
          <w:p w14:paraId="05ACE578" w14:textId="3E41AD5B"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2.7</w:t>
            </w:r>
          </w:p>
        </w:tc>
        <w:tc>
          <w:tcPr>
            <w:tcW w:w="1843" w:type="dxa"/>
            <w:tcBorders>
              <w:left w:val="single" w:sz="4" w:space="0" w:color="000000" w:themeColor="text1"/>
              <w:right w:val="single" w:sz="4" w:space="0" w:color="000000" w:themeColor="text1"/>
            </w:tcBorders>
          </w:tcPr>
          <w:p w14:paraId="5D903719" w14:textId="23794661"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r>
      <w:tr w:rsidR="0068647C" w:rsidRPr="00D633FF" w14:paraId="7FF2ACCF" w14:textId="54DF3EA3" w:rsidTr="00384304">
        <w:trPr>
          <w:trHeight w:val="340"/>
        </w:trPr>
        <w:tc>
          <w:tcPr>
            <w:cnfStyle w:val="001000000000" w:firstRow="0" w:lastRow="0" w:firstColumn="1" w:lastColumn="0" w:oddVBand="0" w:evenVBand="0" w:oddHBand="0" w:evenHBand="0" w:firstRowFirstColumn="0" w:firstRowLastColumn="0" w:lastRowFirstColumn="0" w:lastRowLastColumn="0"/>
            <w:tcW w:w="1566" w:type="dxa"/>
            <w:vMerge/>
            <w:tcBorders>
              <w:bottom w:val="single" w:sz="4" w:space="0" w:color="auto"/>
            </w:tcBorders>
            <w:noWrap/>
            <w:vAlign w:val="center"/>
          </w:tcPr>
          <w:p w14:paraId="75E09CA7" w14:textId="77777777" w:rsidR="0068647C" w:rsidRPr="00D633FF" w:rsidRDefault="0068647C">
            <w:pPr>
              <w:keepNext/>
              <w:spacing w:line="276" w:lineRule="auto"/>
              <w:rPr>
                <w:rFonts w:ascii="Calibri" w:eastAsia="Times New Roman" w:hAnsi="Calibri" w:cs="Calibri"/>
              </w:rPr>
            </w:pPr>
          </w:p>
        </w:tc>
        <w:tc>
          <w:tcPr>
            <w:tcW w:w="1574" w:type="dxa"/>
            <w:shd w:val="clear" w:color="auto" w:fill="FFFFFF"/>
            <w:vAlign w:val="center"/>
          </w:tcPr>
          <w:p w14:paraId="44E697AC" w14:textId="77777777" w:rsidR="0068647C" w:rsidRPr="00D633FF" w:rsidRDefault="0068647C">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5D5575A1" w14:textId="7831458F"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c>
          <w:tcPr>
            <w:tcW w:w="1701" w:type="dxa"/>
            <w:tcBorders>
              <w:left w:val="single" w:sz="4" w:space="0" w:color="000000" w:themeColor="text1"/>
              <w:right w:val="single" w:sz="4" w:space="0" w:color="000000" w:themeColor="text1"/>
            </w:tcBorders>
            <w:shd w:val="clear" w:color="auto" w:fill="FFFFFF"/>
          </w:tcPr>
          <w:p w14:paraId="4EFD5971" w14:textId="2983C034"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c>
          <w:tcPr>
            <w:tcW w:w="1701" w:type="dxa"/>
            <w:shd w:val="clear" w:color="auto" w:fill="FFFFFF"/>
            <w:vAlign w:val="center"/>
          </w:tcPr>
          <w:p w14:paraId="328E7AA7" w14:textId="52562CB1"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58.7</w:t>
            </w:r>
          </w:p>
        </w:tc>
        <w:tc>
          <w:tcPr>
            <w:tcW w:w="1843" w:type="dxa"/>
            <w:shd w:val="clear" w:color="auto" w:fill="FFFFFF"/>
            <w:vAlign w:val="center"/>
          </w:tcPr>
          <w:p w14:paraId="1F04385B" w14:textId="07159F22"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1.8</w:t>
            </w:r>
          </w:p>
        </w:tc>
        <w:tc>
          <w:tcPr>
            <w:tcW w:w="1843" w:type="dxa"/>
            <w:tcBorders>
              <w:left w:val="single" w:sz="4" w:space="0" w:color="000000" w:themeColor="text1"/>
              <w:right w:val="single" w:sz="4" w:space="0" w:color="000000" w:themeColor="text1"/>
            </w:tcBorders>
            <w:shd w:val="clear" w:color="auto" w:fill="FFFFFF"/>
          </w:tcPr>
          <w:p w14:paraId="1372E08A" w14:textId="4A909623"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r>
      <w:tr w:rsidR="0068647C" w:rsidRPr="00D633FF" w14:paraId="05D2CB60" w14:textId="6BA9A197" w:rsidTr="0068647C">
        <w:trPr>
          <w:trHeight w:val="340"/>
        </w:trPr>
        <w:tc>
          <w:tcPr>
            <w:cnfStyle w:val="001000000000" w:firstRow="0" w:lastRow="0" w:firstColumn="1" w:lastColumn="0" w:oddVBand="0" w:evenVBand="0" w:oddHBand="0" w:evenHBand="0" w:firstRowFirstColumn="0" w:firstRowLastColumn="0" w:lastRowFirstColumn="0" w:lastRowLastColumn="0"/>
            <w:tcW w:w="1566" w:type="dxa"/>
            <w:vMerge w:val="restart"/>
            <w:noWrap/>
            <w:hideMark/>
          </w:tcPr>
          <w:p w14:paraId="1BDC726B" w14:textId="39CD4E37" w:rsidR="0068647C" w:rsidRPr="00D633FF" w:rsidRDefault="0068647C" w:rsidP="0068647C">
            <w:pPr>
              <w:keepNext/>
              <w:spacing w:line="276" w:lineRule="auto"/>
              <w:rPr>
                <w:rFonts w:ascii="Calibri" w:eastAsia="Times New Roman" w:hAnsi="Calibri" w:cs="Calibri"/>
              </w:rPr>
            </w:pPr>
            <w:r w:rsidRPr="00D633FF">
              <w:rPr>
                <w:rFonts w:ascii="Calibri" w:eastAsia="Times New Roman" w:hAnsi="Calibri" w:cs="Calibri"/>
              </w:rPr>
              <w:t>3</w:t>
            </w:r>
            <w:r>
              <w:rPr>
                <w:rFonts w:ascii="Calibri" w:eastAsia="Times New Roman" w:hAnsi="Calibri" w:cs="Calibri"/>
              </w:rPr>
              <w:t>0</w:t>
            </w:r>
            <w:r w:rsidRPr="00D633FF">
              <w:rPr>
                <w:rFonts w:ascii="Calibri" w:eastAsia="Times New Roman" w:hAnsi="Calibri" w:cs="Calibri"/>
              </w:rPr>
              <w:t>-</w:t>
            </w:r>
            <w:r>
              <w:rPr>
                <w:rFonts w:ascii="Calibri" w:eastAsia="Times New Roman" w:hAnsi="Calibri" w:cs="Calibri"/>
              </w:rPr>
              <w:t>49</w:t>
            </w:r>
          </w:p>
        </w:tc>
        <w:tc>
          <w:tcPr>
            <w:tcW w:w="1574" w:type="dxa"/>
            <w:vAlign w:val="center"/>
          </w:tcPr>
          <w:p w14:paraId="731E3807" w14:textId="77777777" w:rsidR="0068647C" w:rsidRPr="00D633FF" w:rsidRDefault="0068647C">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6958577B" w14:textId="751F0D42"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w:t>
            </w:r>
          </w:p>
        </w:tc>
        <w:tc>
          <w:tcPr>
            <w:tcW w:w="1701" w:type="dxa"/>
            <w:tcBorders>
              <w:left w:val="single" w:sz="4" w:space="0" w:color="000000" w:themeColor="text1"/>
              <w:right w:val="single" w:sz="4" w:space="0" w:color="000000" w:themeColor="text1"/>
            </w:tcBorders>
          </w:tcPr>
          <w:p w14:paraId="1520BACF" w14:textId="65E8730C"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c>
          <w:tcPr>
            <w:tcW w:w="1701" w:type="dxa"/>
            <w:vAlign w:val="center"/>
          </w:tcPr>
          <w:p w14:paraId="7D20FC18" w14:textId="7C0CE100"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27.6</w:t>
            </w:r>
          </w:p>
        </w:tc>
        <w:tc>
          <w:tcPr>
            <w:tcW w:w="1843" w:type="dxa"/>
            <w:vAlign w:val="center"/>
          </w:tcPr>
          <w:p w14:paraId="757432EE" w14:textId="0A403DDB"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2.6</w:t>
            </w:r>
          </w:p>
        </w:tc>
        <w:tc>
          <w:tcPr>
            <w:tcW w:w="1843" w:type="dxa"/>
            <w:tcBorders>
              <w:left w:val="single" w:sz="4" w:space="0" w:color="000000" w:themeColor="text1"/>
              <w:right w:val="single" w:sz="4" w:space="0" w:color="000000" w:themeColor="text1"/>
            </w:tcBorders>
          </w:tcPr>
          <w:p w14:paraId="65A91510" w14:textId="4CB4615F"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r>
      <w:tr w:rsidR="0068647C" w:rsidRPr="00D633FF" w14:paraId="67501908" w14:textId="4ED45B74" w:rsidTr="009C3717">
        <w:trPr>
          <w:trHeight w:val="340"/>
        </w:trPr>
        <w:tc>
          <w:tcPr>
            <w:cnfStyle w:val="001000000000" w:firstRow="0" w:lastRow="0" w:firstColumn="1" w:lastColumn="0" w:oddVBand="0" w:evenVBand="0" w:oddHBand="0" w:evenHBand="0" w:firstRowFirstColumn="0" w:firstRowLastColumn="0" w:lastRowFirstColumn="0" w:lastRowLastColumn="0"/>
            <w:tcW w:w="1566" w:type="dxa"/>
            <w:vMerge/>
            <w:tcBorders>
              <w:bottom w:val="single" w:sz="4" w:space="0" w:color="auto"/>
            </w:tcBorders>
            <w:noWrap/>
            <w:vAlign w:val="center"/>
          </w:tcPr>
          <w:p w14:paraId="02D0DF8C" w14:textId="77777777" w:rsidR="0068647C" w:rsidRPr="00D633FF" w:rsidRDefault="0068647C">
            <w:pPr>
              <w:keepNext/>
              <w:spacing w:line="276" w:lineRule="auto"/>
              <w:rPr>
                <w:rFonts w:ascii="Calibri" w:eastAsia="Times New Roman" w:hAnsi="Calibri" w:cs="Calibri"/>
              </w:rPr>
            </w:pPr>
          </w:p>
        </w:tc>
        <w:tc>
          <w:tcPr>
            <w:tcW w:w="1574" w:type="dxa"/>
            <w:shd w:val="clear" w:color="auto" w:fill="FFFFFF"/>
            <w:vAlign w:val="center"/>
          </w:tcPr>
          <w:p w14:paraId="221C9DC8" w14:textId="77777777" w:rsidR="0068647C" w:rsidRPr="00D633FF" w:rsidRDefault="0068647C">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3EDDC3AC" w14:textId="297F5978"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c>
          <w:tcPr>
            <w:tcW w:w="1701" w:type="dxa"/>
            <w:tcBorders>
              <w:left w:val="single" w:sz="4" w:space="0" w:color="000000" w:themeColor="text1"/>
              <w:right w:val="single" w:sz="4" w:space="0" w:color="000000" w:themeColor="text1"/>
            </w:tcBorders>
            <w:shd w:val="clear" w:color="auto" w:fill="FFFFFF"/>
          </w:tcPr>
          <w:p w14:paraId="5BE0169F" w14:textId="20849130"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c>
          <w:tcPr>
            <w:tcW w:w="1701" w:type="dxa"/>
            <w:shd w:val="clear" w:color="auto" w:fill="FFFFFF"/>
            <w:vAlign w:val="center"/>
          </w:tcPr>
          <w:p w14:paraId="5CA868F0" w14:textId="3A39F105"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60.2</w:t>
            </w:r>
          </w:p>
        </w:tc>
        <w:tc>
          <w:tcPr>
            <w:tcW w:w="1843" w:type="dxa"/>
            <w:shd w:val="clear" w:color="auto" w:fill="FFFFFF"/>
            <w:vAlign w:val="center"/>
          </w:tcPr>
          <w:p w14:paraId="43CE95A8" w14:textId="38D45C39"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1.8</w:t>
            </w:r>
          </w:p>
        </w:tc>
        <w:tc>
          <w:tcPr>
            <w:tcW w:w="1843" w:type="dxa"/>
            <w:tcBorders>
              <w:left w:val="single" w:sz="4" w:space="0" w:color="000000" w:themeColor="text1"/>
              <w:right w:val="single" w:sz="4" w:space="0" w:color="000000" w:themeColor="text1"/>
            </w:tcBorders>
            <w:shd w:val="clear" w:color="auto" w:fill="FFFFFF"/>
          </w:tcPr>
          <w:p w14:paraId="43C53DDE" w14:textId="68AAC11B"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r>
      <w:tr w:rsidR="0068647C" w:rsidRPr="00D633FF" w14:paraId="7867525E" w14:textId="1B51F706" w:rsidTr="0068647C">
        <w:trPr>
          <w:trHeight w:val="340"/>
        </w:trPr>
        <w:tc>
          <w:tcPr>
            <w:cnfStyle w:val="001000000000" w:firstRow="0" w:lastRow="0" w:firstColumn="1" w:lastColumn="0" w:oddVBand="0" w:evenVBand="0" w:oddHBand="0" w:evenHBand="0" w:firstRowFirstColumn="0" w:firstRowLastColumn="0" w:lastRowFirstColumn="0" w:lastRowLastColumn="0"/>
            <w:tcW w:w="1566" w:type="dxa"/>
            <w:vMerge w:val="restart"/>
            <w:noWrap/>
            <w:hideMark/>
          </w:tcPr>
          <w:p w14:paraId="06DD414B" w14:textId="40325856" w:rsidR="0068647C" w:rsidRPr="00D633FF" w:rsidRDefault="0068647C" w:rsidP="0068647C">
            <w:pPr>
              <w:keepNext/>
              <w:spacing w:line="276" w:lineRule="auto"/>
              <w:rPr>
                <w:rFonts w:ascii="Calibri" w:eastAsia="Times New Roman" w:hAnsi="Calibri" w:cs="Calibri"/>
              </w:rPr>
            </w:pPr>
            <w:r w:rsidRPr="00D633FF">
              <w:rPr>
                <w:rFonts w:ascii="Calibri" w:eastAsia="Times New Roman" w:hAnsi="Calibri" w:cs="Calibri"/>
              </w:rPr>
              <w:t>5</w:t>
            </w:r>
            <w:r>
              <w:rPr>
                <w:rFonts w:ascii="Calibri" w:eastAsia="Times New Roman" w:hAnsi="Calibri" w:cs="Calibri"/>
              </w:rPr>
              <w:t>0</w:t>
            </w:r>
            <w:r w:rsidRPr="00D633FF">
              <w:rPr>
                <w:rFonts w:ascii="Calibri" w:eastAsia="Times New Roman" w:hAnsi="Calibri" w:cs="Calibri"/>
              </w:rPr>
              <w:t>-</w:t>
            </w:r>
            <w:r>
              <w:rPr>
                <w:rFonts w:ascii="Calibri" w:eastAsia="Times New Roman" w:hAnsi="Calibri" w:cs="Calibri"/>
              </w:rPr>
              <w:t>64</w:t>
            </w:r>
          </w:p>
        </w:tc>
        <w:tc>
          <w:tcPr>
            <w:tcW w:w="1574" w:type="dxa"/>
            <w:vAlign w:val="center"/>
          </w:tcPr>
          <w:p w14:paraId="711E979C" w14:textId="77777777" w:rsidR="0068647C" w:rsidRPr="00D633FF" w:rsidRDefault="0068647C">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3DAB32CF" w14:textId="12F77BF2"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c>
          <w:tcPr>
            <w:tcW w:w="1701" w:type="dxa"/>
            <w:tcBorders>
              <w:left w:val="single" w:sz="4" w:space="0" w:color="000000" w:themeColor="text1"/>
              <w:right w:val="single" w:sz="4" w:space="0" w:color="000000" w:themeColor="text1"/>
            </w:tcBorders>
          </w:tcPr>
          <w:p w14:paraId="306D6CE4" w14:textId="543313C1"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c>
          <w:tcPr>
            <w:tcW w:w="1701" w:type="dxa"/>
            <w:vAlign w:val="center"/>
          </w:tcPr>
          <w:p w14:paraId="6BC901D8" w14:textId="3A6E317D"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56.9</w:t>
            </w:r>
          </w:p>
        </w:tc>
        <w:tc>
          <w:tcPr>
            <w:tcW w:w="1843" w:type="dxa"/>
            <w:vAlign w:val="center"/>
          </w:tcPr>
          <w:p w14:paraId="1958A2B9" w14:textId="007222FA"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2.5</w:t>
            </w:r>
          </w:p>
        </w:tc>
        <w:tc>
          <w:tcPr>
            <w:tcW w:w="1843" w:type="dxa"/>
            <w:tcBorders>
              <w:left w:val="single" w:sz="4" w:space="0" w:color="000000" w:themeColor="text1"/>
              <w:right w:val="single" w:sz="4" w:space="0" w:color="000000" w:themeColor="text1"/>
            </w:tcBorders>
          </w:tcPr>
          <w:p w14:paraId="327E548B" w14:textId="619E89A4"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1.7</w:t>
            </w:r>
          </w:p>
        </w:tc>
      </w:tr>
      <w:tr w:rsidR="0068647C" w:rsidRPr="00D633FF" w14:paraId="6EB5BA19" w14:textId="664DAA93" w:rsidTr="00892DFC">
        <w:trPr>
          <w:trHeight w:val="340"/>
        </w:trPr>
        <w:tc>
          <w:tcPr>
            <w:cnfStyle w:val="001000000000" w:firstRow="0" w:lastRow="0" w:firstColumn="1" w:lastColumn="0" w:oddVBand="0" w:evenVBand="0" w:oddHBand="0" w:evenHBand="0" w:firstRowFirstColumn="0" w:firstRowLastColumn="0" w:lastRowFirstColumn="0" w:lastRowLastColumn="0"/>
            <w:tcW w:w="1566" w:type="dxa"/>
            <w:vMerge/>
            <w:tcBorders>
              <w:bottom w:val="single" w:sz="4" w:space="0" w:color="auto"/>
            </w:tcBorders>
            <w:noWrap/>
            <w:vAlign w:val="center"/>
          </w:tcPr>
          <w:p w14:paraId="2ECFE513" w14:textId="77777777" w:rsidR="0068647C" w:rsidRPr="00D633FF" w:rsidRDefault="0068647C">
            <w:pPr>
              <w:keepNext/>
              <w:spacing w:line="276" w:lineRule="auto"/>
              <w:rPr>
                <w:rFonts w:ascii="Calibri" w:eastAsia="Times New Roman" w:hAnsi="Calibri" w:cs="Calibri"/>
              </w:rPr>
            </w:pPr>
          </w:p>
        </w:tc>
        <w:tc>
          <w:tcPr>
            <w:tcW w:w="1574" w:type="dxa"/>
            <w:shd w:val="clear" w:color="auto" w:fill="FFFFFF"/>
            <w:vAlign w:val="center"/>
          </w:tcPr>
          <w:p w14:paraId="7893C65E" w14:textId="77777777" w:rsidR="0068647C" w:rsidRPr="00D633FF" w:rsidRDefault="0068647C">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582DF464" w14:textId="16FF192F"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1.0</w:t>
            </w:r>
          </w:p>
        </w:tc>
        <w:tc>
          <w:tcPr>
            <w:tcW w:w="1701" w:type="dxa"/>
            <w:tcBorders>
              <w:left w:val="single" w:sz="4" w:space="0" w:color="000000" w:themeColor="text1"/>
              <w:right w:val="single" w:sz="4" w:space="0" w:color="000000" w:themeColor="text1"/>
            </w:tcBorders>
            <w:shd w:val="clear" w:color="auto" w:fill="FFFFFF"/>
          </w:tcPr>
          <w:p w14:paraId="41639B37" w14:textId="2F4EB2DE"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c>
          <w:tcPr>
            <w:tcW w:w="1701" w:type="dxa"/>
            <w:shd w:val="clear" w:color="auto" w:fill="FFFFFF"/>
            <w:vAlign w:val="center"/>
          </w:tcPr>
          <w:p w14:paraId="76057E0F" w14:textId="0C26A3B9"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77.7</w:t>
            </w:r>
          </w:p>
        </w:tc>
        <w:tc>
          <w:tcPr>
            <w:tcW w:w="1843" w:type="dxa"/>
            <w:shd w:val="clear" w:color="auto" w:fill="FFFFFF"/>
            <w:vAlign w:val="center"/>
          </w:tcPr>
          <w:p w14:paraId="4BC20E91" w14:textId="34C332EA"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1.8</w:t>
            </w:r>
          </w:p>
        </w:tc>
        <w:tc>
          <w:tcPr>
            <w:tcW w:w="1843" w:type="dxa"/>
            <w:tcBorders>
              <w:left w:val="single" w:sz="4" w:space="0" w:color="000000" w:themeColor="text1"/>
              <w:right w:val="single" w:sz="4" w:space="0" w:color="000000" w:themeColor="text1"/>
            </w:tcBorders>
            <w:shd w:val="clear" w:color="auto" w:fill="FFFFFF"/>
          </w:tcPr>
          <w:p w14:paraId="4C95C0CD" w14:textId="095D4127"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w:t>
            </w:r>
          </w:p>
        </w:tc>
      </w:tr>
      <w:tr w:rsidR="0068647C" w:rsidRPr="00D633FF" w14:paraId="6ACDBE00" w14:textId="4EB23EDB" w:rsidTr="0068647C">
        <w:trPr>
          <w:trHeight w:val="340"/>
        </w:trPr>
        <w:tc>
          <w:tcPr>
            <w:cnfStyle w:val="001000000000" w:firstRow="0" w:lastRow="0" w:firstColumn="1" w:lastColumn="0" w:oddVBand="0" w:evenVBand="0" w:oddHBand="0" w:evenHBand="0" w:firstRowFirstColumn="0" w:firstRowLastColumn="0" w:lastRowFirstColumn="0" w:lastRowLastColumn="0"/>
            <w:tcW w:w="1566" w:type="dxa"/>
            <w:vMerge w:val="restart"/>
            <w:noWrap/>
            <w:hideMark/>
          </w:tcPr>
          <w:p w14:paraId="4CB140BA" w14:textId="79D55E3A" w:rsidR="0068647C" w:rsidRPr="00D633FF" w:rsidRDefault="0068647C" w:rsidP="0068647C">
            <w:pPr>
              <w:keepNext/>
              <w:spacing w:line="276" w:lineRule="auto"/>
              <w:rPr>
                <w:rFonts w:ascii="Calibri" w:eastAsia="Times New Roman" w:hAnsi="Calibri" w:cs="Calibri"/>
              </w:rPr>
            </w:pPr>
            <w:r>
              <w:rPr>
                <w:rFonts w:ascii="Calibri" w:eastAsia="Times New Roman" w:hAnsi="Calibri" w:cs="Calibri"/>
              </w:rPr>
              <w:t>65-74</w:t>
            </w:r>
          </w:p>
        </w:tc>
        <w:tc>
          <w:tcPr>
            <w:tcW w:w="1574" w:type="dxa"/>
            <w:vAlign w:val="center"/>
          </w:tcPr>
          <w:p w14:paraId="470CEBEC" w14:textId="77777777" w:rsidR="0068647C" w:rsidRPr="00D633FF" w:rsidRDefault="0068647C">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55C39A18" w14:textId="0953B9C8"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c>
          <w:tcPr>
            <w:tcW w:w="1701" w:type="dxa"/>
            <w:tcBorders>
              <w:left w:val="single" w:sz="4" w:space="0" w:color="000000" w:themeColor="text1"/>
              <w:right w:val="single" w:sz="4" w:space="0" w:color="000000" w:themeColor="text1"/>
            </w:tcBorders>
          </w:tcPr>
          <w:p w14:paraId="61E948DF" w14:textId="249A9084"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c>
          <w:tcPr>
            <w:tcW w:w="1701" w:type="dxa"/>
            <w:vAlign w:val="center"/>
          </w:tcPr>
          <w:p w14:paraId="4BFB70FF" w14:textId="1D8DBF1C"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62.1</w:t>
            </w:r>
          </w:p>
        </w:tc>
        <w:tc>
          <w:tcPr>
            <w:tcW w:w="1843" w:type="dxa"/>
            <w:vAlign w:val="center"/>
          </w:tcPr>
          <w:p w14:paraId="082ABE28" w14:textId="00EF7CC3"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2.4</w:t>
            </w:r>
          </w:p>
        </w:tc>
        <w:tc>
          <w:tcPr>
            <w:tcW w:w="1843" w:type="dxa"/>
            <w:tcBorders>
              <w:left w:val="single" w:sz="4" w:space="0" w:color="000000" w:themeColor="text1"/>
              <w:right w:val="single" w:sz="4" w:space="0" w:color="000000" w:themeColor="text1"/>
            </w:tcBorders>
          </w:tcPr>
          <w:p w14:paraId="27224149" w14:textId="6521E436"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1.7</w:t>
            </w:r>
          </w:p>
        </w:tc>
      </w:tr>
      <w:tr w:rsidR="0068647C" w:rsidRPr="00D633FF" w14:paraId="77856B7A" w14:textId="0AB44D95" w:rsidTr="00B26CD1">
        <w:trPr>
          <w:trHeight w:val="340"/>
        </w:trPr>
        <w:tc>
          <w:tcPr>
            <w:cnfStyle w:val="001000000000" w:firstRow="0" w:lastRow="0" w:firstColumn="1" w:lastColumn="0" w:oddVBand="0" w:evenVBand="0" w:oddHBand="0" w:evenHBand="0" w:firstRowFirstColumn="0" w:firstRowLastColumn="0" w:lastRowFirstColumn="0" w:lastRowLastColumn="0"/>
            <w:tcW w:w="1566" w:type="dxa"/>
            <w:vMerge/>
            <w:tcBorders>
              <w:bottom w:val="single" w:sz="4" w:space="0" w:color="auto"/>
            </w:tcBorders>
            <w:noWrap/>
            <w:vAlign w:val="center"/>
          </w:tcPr>
          <w:p w14:paraId="71FEEC0D" w14:textId="77777777" w:rsidR="0068647C" w:rsidRPr="001E07D5" w:rsidRDefault="0068647C">
            <w:pPr>
              <w:keepNext/>
              <w:spacing w:line="276" w:lineRule="auto"/>
              <w:rPr>
                <w:rFonts w:ascii="Calibri" w:eastAsia="Times New Roman" w:hAnsi="Calibri" w:cs="Calibri"/>
              </w:rPr>
            </w:pPr>
          </w:p>
        </w:tc>
        <w:tc>
          <w:tcPr>
            <w:tcW w:w="1574" w:type="dxa"/>
            <w:shd w:val="clear" w:color="auto" w:fill="FFFFFF"/>
            <w:vAlign w:val="center"/>
          </w:tcPr>
          <w:p w14:paraId="5BB297D8" w14:textId="77777777" w:rsidR="0068647C" w:rsidRPr="00D633FF" w:rsidRDefault="0068647C">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6D7833AD" w14:textId="61A8D352"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1.0</w:t>
            </w:r>
          </w:p>
        </w:tc>
        <w:tc>
          <w:tcPr>
            <w:tcW w:w="1701" w:type="dxa"/>
            <w:tcBorders>
              <w:left w:val="single" w:sz="4" w:space="0" w:color="000000" w:themeColor="text1"/>
              <w:right w:val="single" w:sz="4" w:space="0" w:color="000000" w:themeColor="text1"/>
            </w:tcBorders>
            <w:shd w:val="clear" w:color="auto" w:fill="FFFFFF"/>
          </w:tcPr>
          <w:p w14:paraId="77A5EE53" w14:textId="34B3B21A"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c>
          <w:tcPr>
            <w:tcW w:w="1701" w:type="dxa"/>
            <w:shd w:val="clear" w:color="auto" w:fill="FFFFFF"/>
            <w:vAlign w:val="center"/>
          </w:tcPr>
          <w:p w14:paraId="37635781" w14:textId="33344774"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80.2</w:t>
            </w:r>
          </w:p>
        </w:tc>
        <w:tc>
          <w:tcPr>
            <w:tcW w:w="1843" w:type="dxa"/>
            <w:shd w:val="clear" w:color="auto" w:fill="FFFFFF"/>
            <w:vAlign w:val="center"/>
          </w:tcPr>
          <w:p w14:paraId="7920B9D0" w14:textId="4000B180" w:rsidR="0068647C" w:rsidRPr="00D633FF"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1.7</w:t>
            </w:r>
          </w:p>
        </w:tc>
        <w:tc>
          <w:tcPr>
            <w:tcW w:w="1843" w:type="dxa"/>
            <w:tcBorders>
              <w:left w:val="single" w:sz="4" w:space="0" w:color="000000" w:themeColor="text1"/>
              <w:right w:val="single" w:sz="4" w:space="0" w:color="000000" w:themeColor="text1"/>
            </w:tcBorders>
            <w:shd w:val="clear" w:color="auto" w:fill="FFFFFF"/>
          </w:tcPr>
          <w:p w14:paraId="42110733" w14:textId="16E066D2" w:rsidR="0068647C" w:rsidRDefault="0068647C">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w:t>
            </w:r>
          </w:p>
        </w:tc>
      </w:tr>
      <w:tr w:rsidR="0068647C" w:rsidRPr="00D633FF" w14:paraId="557CBE73" w14:textId="4EF7E878" w:rsidTr="0068647C">
        <w:trPr>
          <w:trHeight w:val="340"/>
        </w:trPr>
        <w:tc>
          <w:tcPr>
            <w:cnfStyle w:val="001000000000" w:firstRow="0" w:lastRow="0" w:firstColumn="1" w:lastColumn="0" w:oddVBand="0" w:evenVBand="0" w:oddHBand="0" w:evenHBand="0" w:firstRowFirstColumn="0" w:firstRowLastColumn="0" w:lastRowFirstColumn="0" w:lastRowLastColumn="0"/>
            <w:tcW w:w="1566" w:type="dxa"/>
            <w:vMerge w:val="restart"/>
            <w:tcBorders>
              <w:top w:val="single" w:sz="4" w:space="0" w:color="auto"/>
            </w:tcBorders>
            <w:noWrap/>
          </w:tcPr>
          <w:p w14:paraId="06075F6A" w14:textId="03B448B3" w:rsidR="0068647C" w:rsidRPr="001E07D5" w:rsidRDefault="0068647C" w:rsidP="0068647C">
            <w:pPr>
              <w:keepNext/>
              <w:spacing w:line="276" w:lineRule="auto"/>
              <w:rPr>
                <w:rFonts w:ascii="Calibri" w:eastAsia="Times New Roman" w:hAnsi="Calibri" w:cs="Calibri"/>
              </w:rPr>
            </w:pPr>
            <w:r>
              <w:rPr>
                <w:rFonts w:ascii="Calibri" w:eastAsia="Times New Roman" w:hAnsi="Calibri" w:cs="Calibri"/>
              </w:rPr>
              <w:t>75 and over</w:t>
            </w:r>
          </w:p>
        </w:tc>
        <w:tc>
          <w:tcPr>
            <w:tcW w:w="1574" w:type="dxa"/>
            <w:shd w:val="clear" w:color="auto" w:fill="CCCCCF" w:themeFill="accent5" w:themeFillTint="66"/>
            <w:vAlign w:val="center"/>
          </w:tcPr>
          <w:p w14:paraId="63E40DD1" w14:textId="6E5BCD21" w:rsidR="0068647C" w:rsidRPr="00D633FF" w:rsidRDefault="0068647C" w:rsidP="008B07DF">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shd w:val="clear" w:color="auto" w:fill="CCCCCF" w:themeFill="accent5" w:themeFillTint="66"/>
            <w:vAlign w:val="center"/>
          </w:tcPr>
          <w:p w14:paraId="3EF3007D" w14:textId="007E9B7A" w:rsidR="0068647C" w:rsidRPr="00D633FF"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c>
          <w:tcPr>
            <w:tcW w:w="1701" w:type="dxa"/>
            <w:tcBorders>
              <w:left w:val="single" w:sz="4" w:space="0" w:color="000000" w:themeColor="text1"/>
              <w:right w:val="single" w:sz="4" w:space="0" w:color="000000" w:themeColor="text1"/>
            </w:tcBorders>
            <w:shd w:val="clear" w:color="auto" w:fill="CCCCCF" w:themeFill="accent5" w:themeFillTint="66"/>
          </w:tcPr>
          <w:p w14:paraId="6A20A01B" w14:textId="4295F3B8" w:rsidR="0068647C"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c>
          <w:tcPr>
            <w:tcW w:w="1701" w:type="dxa"/>
            <w:shd w:val="clear" w:color="auto" w:fill="CCCCCF" w:themeFill="accent5" w:themeFillTint="66"/>
            <w:vAlign w:val="center"/>
          </w:tcPr>
          <w:p w14:paraId="0B669507" w14:textId="29B043AA" w:rsidR="0068647C" w:rsidRPr="00D633FF"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65.0</w:t>
            </w:r>
          </w:p>
        </w:tc>
        <w:tc>
          <w:tcPr>
            <w:tcW w:w="1843" w:type="dxa"/>
            <w:shd w:val="clear" w:color="auto" w:fill="CCCCCF" w:themeFill="accent5" w:themeFillTint="66"/>
            <w:vAlign w:val="center"/>
          </w:tcPr>
          <w:p w14:paraId="796FEA4E" w14:textId="36F15169" w:rsidR="0068647C" w:rsidRPr="00D633FF"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2.3</w:t>
            </w:r>
          </w:p>
        </w:tc>
        <w:tc>
          <w:tcPr>
            <w:tcW w:w="1843" w:type="dxa"/>
            <w:tcBorders>
              <w:left w:val="single" w:sz="4" w:space="0" w:color="000000" w:themeColor="text1"/>
              <w:right w:val="single" w:sz="4" w:space="0" w:color="000000" w:themeColor="text1"/>
            </w:tcBorders>
            <w:shd w:val="clear" w:color="auto" w:fill="CCCCCF" w:themeFill="accent5" w:themeFillTint="66"/>
          </w:tcPr>
          <w:p w14:paraId="179E32B7" w14:textId="0D3C4121" w:rsidR="0068647C"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1.7</w:t>
            </w:r>
          </w:p>
        </w:tc>
      </w:tr>
      <w:tr w:rsidR="0068647C" w:rsidRPr="00D633FF" w14:paraId="24E271E0" w14:textId="7268805A" w:rsidTr="009F7FAB">
        <w:trPr>
          <w:trHeight w:val="340"/>
        </w:trPr>
        <w:tc>
          <w:tcPr>
            <w:cnfStyle w:val="001000000000" w:firstRow="0" w:lastRow="0" w:firstColumn="1" w:lastColumn="0" w:oddVBand="0" w:evenVBand="0" w:oddHBand="0" w:evenHBand="0" w:firstRowFirstColumn="0" w:firstRowLastColumn="0" w:lastRowFirstColumn="0" w:lastRowLastColumn="0"/>
            <w:tcW w:w="1566" w:type="dxa"/>
            <w:vMerge/>
            <w:noWrap/>
            <w:vAlign w:val="center"/>
          </w:tcPr>
          <w:p w14:paraId="43147580" w14:textId="77777777" w:rsidR="0068647C" w:rsidRPr="001E07D5" w:rsidRDefault="0068647C" w:rsidP="008B07DF">
            <w:pPr>
              <w:keepNext/>
              <w:spacing w:line="276" w:lineRule="auto"/>
              <w:rPr>
                <w:rFonts w:ascii="Calibri" w:eastAsia="Times New Roman" w:hAnsi="Calibri" w:cs="Calibri"/>
              </w:rPr>
            </w:pPr>
          </w:p>
        </w:tc>
        <w:tc>
          <w:tcPr>
            <w:tcW w:w="1574" w:type="dxa"/>
            <w:shd w:val="clear" w:color="auto" w:fill="FFFFFF"/>
            <w:vAlign w:val="center"/>
          </w:tcPr>
          <w:p w14:paraId="02EC836C" w14:textId="52D967D1" w:rsidR="0068647C" w:rsidRPr="00D633FF" w:rsidRDefault="0068647C" w:rsidP="008B07DF">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467A8A7E" w14:textId="7A57FFEA" w:rsidR="0068647C" w:rsidRPr="00D633FF"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1.0</w:t>
            </w:r>
          </w:p>
        </w:tc>
        <w:tc>
          <w:tcPr>
            <w:tcW w:w="1701" w:type="dxa"/>
            <w:tcBorders>
              <w:left w:val="single" w:sz="4" w:space="0" w:color="000000" w:themeColor="text1"/>
              <w:right w:val="single" w:sz="4" w:space="0" w:color="000000" w:themeColor="text1"/>
            </w:tcBorders>
            <w:shd w:val="clear" w:color="auto" w:fill="FFFFFF"/>
          </w:tcPr>
          <w:p w14:paraId="414D686A" w14:textId="44357BEF" w:rsidR="0068647C"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c>
          <w:tcPr>
            <w:tcW w:w="1701" w:type="dxa"/>
            <w:shd w:val="clear" w:color="auto" w:fill="FFFFFF"/>
            <w:vAlign w:val="center"/>
          </w:tcPr>
          <w:p w14:paraId="661FEFD2" w14:textId="68773C33" w:rsidR="0068647C" w:rsidRPr="00D633FF"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80.0</w:t>
            </w:r>
          </w:p>
        </w:tc>
        <w:tc>
          <w:tcPr>
            <w:tcW w:w="1843" w:type="dxa"/>
            <w:shd w:val="clear" w:color="auto" w:fill="FFFFFF"/>
            <w:vAlign w:val="center"/>
          </w:tcPr>
          <w:p w14:paraId="72403948" w14:textId="66D211C8" w:rsidR="0068647C" w:rsidRPr="00D633FF"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1.7</w:t>
            </w:r>
          </w:p>
        </w:tc>
        <w:tc>
          <w:tcPr>
            <w:tcW w:w="1843" w:type="dxa"/>
            <w:tcBorders>
              <w:left w:val="single" w:sz="4" w:space="0" w:color="000000" w:themeColor="text1"/>
              <w:right w:val="single" w:sz="4" w:space="0" w:color="000000" w:themeColor="text1"/>
            </w:tcBorders>
            <w:shd w:val="clear" w:color="auto" w:fill="FFFFFF"/>
          </w:tcPr>
          <w:p w14:paraId="2E10EC1D" w14:textId="3DE51BAF" w:rsidR="0068647C" w:rsidRDefault="0068647C" w:rsidP="008B07D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w:t>
            </w:r>
          </w:p>
        </w:tc>
      </w:tr>
    </w:tbl>
    <w:p w14:paraId="7AAD9892" w14:textId="01D9D3F5" w:rsidR="00A126B8" w:rsidRDefault="001A1E49" w:rsidP="00625FA6">
      <w:pPr>
        <w:spacing w:before="0" w:line="276" w:lineRule="auto"/>
        <w:rPr>
          <w:rFonts w:ascii="Calibri" w:eastAsia="Arial" w:hAnsi="Calibri" w:cs="Calibri"/>
          <w:sz w:val="16"/>
          <w:szCs w:val="16"/>
        </w:rPr>
      </w:pPr>
      <w:r w:rsidRPr="00D633FF">
        <w:rPr>
          <w:rFonts w:ascii="Calibri" w:eastAsia="Arial" w:hAnsi="Calibri" w:cs="Calibri"/>
          <w:b/>
          <w:bCs/>
          <w:sz w:val="16"/>
          <w:szCs w:val="16"/>
        </w:rPr>
        <w:t>Source:</w:t>
      </w:r>
      <w:r w:rsidRPr="00D633FF">
        <w:rPr>
          <w:rFonts w:ascii="Calibri" w:eastAsia="Arial" w:hAnsi="Calibri" w:cs="Calibri"/>
          <w:sz w:val="16"/>
          <w:szCs w:val="16"/>
        </w:rPr>
        <w:t xml:space="preserve"> </w:t>
      </w:r>
      <w:hyperlink r:id="rId32" w:history="1">
        <w:r w:rsidR="002703D1">
          <w:rPr>
            <w:rFonts w:ascii="Calibri" w:eastAsia="Arial" w:hAnsi="Calibri" w:cs="Calibri"/>
            <w:color w:val="006CBC"/>
            <w:sz w:val="16"/>
            <w:szCs w:val="16"/>
            <w:u w:val="single"/>
          </w:rPr>
          <w:t>https://www.abs.gov.au/statistics/health/food-and-nutrition/usual-nutrient-intakes/latest-release</w:t>
        </w:r>
      </w:hyperlink>
      <w:r w:rsidRPr="00D633FF">
        <w:rPr>
          <w:rFonts w:ascii="Calibri" w:eastAsia="Arial" w:hAnsi="Calibri" w:cs="Calibri"/>
          <w:sz w:val="16"/>
          <w:szCs w:val="16"/>
        </w:rPr>
        <w:t xml:space="preserve"> </w:t>
      </w:r>
      <w:r w:rsidRPr="00D633FF">
        <w:rPr>
          <w:rFonts w:ascii="Calibri" w:eastAsia="Arial" w:hAnsi="Calibri" w:cs="Calibri"/>
          <w:sz w:val="16"/>
          <w:szCs w:val="16"/>
        </w:rPr>
        <w:br/>
      </w:r>
      <w:r w:rsidRPr="006F04A4">
        <w:rPr>
          <w:rFonts w:ascii="Calibri" w:eastAsia="Arial" w:hAnsi="Calibri" w:cs="Calibri"/>
          <w:b/>
          <w:bCs/>
          <w:sz w:val="16"/>
          <w:szCs w:val="16"/>
        </w:rPr>
        <w:t>Abbreviations:</w:t>
      </w:r>
      <w:r w:rsidRPr="00D633FF">
        <w:rPr>
          <w:rFonts w:ascii="Calibri" w:eastAsia="Arial" w:hAnsi="Calibri" w:cs="Calibri"/>
          <w:sz w:val="16"/>
          <w:szCs w:val="16"/>
        </w:rPr>
        <w:t xml:space="preserve"> EAR</w:t>
      </w:r>
      <w:r w:rsidR="001340FC">
        <w:rPr>
          <w:rFonts w:ascii="Calibri" w:eastAsia="Arial" w:hAnsi="Calibri" w:cs="Calibri"/>
          <w:sz w:val="16"/>
          <w:szCs w:val="16"/>
        </w:rPr>
        <w:t xml:space="preserve"> -</w:t>
      </w:r>
      <w:r w:rsidRPr="00D633FF">
        <w:rPr>
          <w:rFonts w:ascii="Calibri" w:eastAsia="Arial" w:hAnsi="Calibri" w:cs="Calibri"/>
          <w:sz w:val="16"/>
          <w:szCs w:val="16"/>
        </w:rPr>
        <w:t xml:space="preserve"> estimated average requirement</w:t>
      </w:r>
      <w:r w:rsidR="001340FC">
        <w:rPr>
          <w:rFonts w:ascii="Calibri" w:eastAsia="Arial" w:hAnsi="Calibri" w:cs="Calibri"/>
          <w:sz w:val="16"/>
          <w:szCs w:val="16"/>
        </w:rPr>
        <w:t>,</w:t>
      </w:r>
      <w:r w:rsidR="00E934C2">
        <w:rPr>
          <w:rFonts w:ascii="Calibri" w:eastAsia="Arial" w:hAnsi="Calibri" w:cs="Calibri"/>
          <w:sz w:val="16"/>
          <w:szCs w:val="16"/>
        </w:rPr>
        <w:t xml:space="preserve"> RDI</w:t>
      </w:r>
      <w:r w:rsidR="001340FC">
        <w:rPr>
          <w:rFonts w:ascii="Calibri" w:eastAsia="Arial" w:hAnsi="Calibri" w:cs="Calibri"/>
          <w:sz w:val="16"/>
          <w:szCs w:val="16"/>
        </w:rPr>
        <w:t xml:space="preserve"> -</w:t>
      </w:r>
      <w:r w:rsidR="00E934C2">
        <w:rPr>
          <w:rFonts w:ascii="Calibri" w:eastAsia="Arial" w:hAnsi="Calibri" w:cs="Calibri"/>
          <w:sz w:val="16"/>
          <w:szCs w:val="16"/>
        </w:rPr>
        <w:t xml:space="preserve"> </w:t>
      </w:r>
      <w:r w:rsidR="001340FC">
        <w:rPr>
          <w:rFonts w:ascii="Calibri" w:eastAsia="Arial" w:hAnsi="Calibri" w:cs="Calibri"/>
          <w:sz w:val="16"/>
          <w:szCs w:val="16"/>
        </w:rPr>
        <w:t>Recommended dietary intake</w:t>
      </w:r>
    </w:p>
    <w:p w14:paraId="19D18E6A" w14:textId="77777777" w:rsidR="00810D31" w:rsidRDefault="00810D31" w:rsidP="00625FA6">
      <w:pPr>
        <w:spacing w:before="0" w:line="276" w:lineRule="auto"/>
        <w:rPr>
          <w:rFonts w:ascii="Calibri" w:eastAsia="Arial" w:hAnsi="Calibri" w:cs="Calibri"/>
          <w:sz w:val="16"/>
          <w:szCs w:val="16"/>
        </w:rPr>
      </w:pPr>
    </w:p>
    <w:p w14:paraId="6C2354CD" w14:textId="4AB9C2EC" w:rsidR="00810D31" w:rsidRPr="005956C9" w:rsidRDefault="0007602C" w:rsidP="00810D31">
      <w:pPr>
        <w:spacing w:line="276" w:lineRule="auto"/>
        <w:rPr>
          <w:rFonts w:eastAsia="Times New Roman" w:cs="Arial"/>
          <w:color w:val="auto"/>
        </w:rPr>
      </w:pPr>
      <w:r>
        <w:rPr>
          <w:rFonts w:eastAsia="Times New Roman" w:cs="Arial"/>
          <w:color w:val="auto"/>
        </w:rPr>
        <w:t>In Australia, a</w:t>
      </w:r>
      <w:r w:rsidR="00810D31" w:rsidRPr="005956C9">
        <w:rPr>
          <w:rFonts w:eastAsia="Times New Roman" w:cs="Arial"/>
          <w:color w:val="auto"/>
        </w:rPr>
        <w:t xml:space="preserve">lmost one in two (46.7% or 11.5 million) people aged 2 years and over had an intake of vitamin B6 intake from food and beverages </w:t>
      </w:r>
      <w:r w:rsidR="00FE7871" w:rsidRPr="005956C9">
        <w:rPr>
          <w:rFonts w:eastAsia="Times New Roman" w:cs="Arial"/>
          <w:color w:val="auto"/>
        </w:rPr>
        <w:t xml:space="preserve">below the EAR </w:t>
      </w:r>
      <w:r w:rsidR="00810D31" w:rsidRPr="005956C9">
        <w:rPr>
          <w:rFonts w:eastAsia="Times New Roman" w:cs="Arial"/>
          <w:color w:val="auto"/>
        </w:rPr>
        <w:t>in 2023. The proportion of people with an inadequate vitamin B6 intake was:</w:t>
      </w:r>
    </w:p>
    <w:p w14:paraId="22791FE8" w14:textId="77777777" w:rsidR="00810D31" w:rsidRPr="005956C9" w:rsidRDefault="00810D31" w:rsidP="00810D31">
      <w:pPr>
        <w:pStyle w:val="ListParagraph"/>
        <w:numPr>
          <w:ilvl w:val="0"/>
          <w:numId w:val="30"/>
        </w:numPr>
        <w:spacing w:line="276" w:lineRule="auto"/>
        <w:rPr>
          <w:rFonts w:eastAsia="Times New Roman" w:cs="Arial"/>
          <w:color w:val="auto"/>
        </w:rPr>
      </w:pPr>
      <w:r w:rsidRPr="005956C9">
        <w:rPr>
          <w:rFonts w:eastAsia="Times New Roman" w:cs="Arial"/>
          <w:color w:val="auto"/>
        </w:rPr>
        <w:t>higher for females than males (59.1% compared to 34.6%)</w:t>
      </w:r>
    </w:p>
    <w:p w14:paraId="1BC9BC42" w14:textId="77777777" w:rsidR="00810D31" w:rsidRPr="005956C9" w:rsidRDefault="00810D31" w:rsidP="00810D31">
      <w:pPr>
        <w:pStyle w:val="ListParagraph"/>
        <w:numPr>
          <w:ilvl w:val="0"/>
          <w:numId w:val="30"/>
        </w:numPr>
        <w:spacing w:line="276" w:lineRule="auto"/>
        <w:rPr>
          <w:rFonts w:eastAsia="Times New Roman" w:cs="Arial"/>
          <w:color w:val="auto"/>
        </w:rPr>
      </w:pPr>
      <w:r w:rsidRPr="005956C9">
        <w:rPr>
          <w:rFonts w:eastAsia="Times New Roman" w:cs="Arial"/>
          <w:color w:val="auto"/>
        </w:rPr>
        <w:t>higher for adults aged 18 years and over than children aged 2–17 years (54.9% compared to 15.3%)</w:t>
      </w:r>
    </w:p>
    <w:p w14:paraId="2547F390" w14:textId="1E130290" w:rsidR="00810D31" w:rsidRDefault="00810D31" w:rsidP="00810D31">
      <w:pPr>
        <w:pStyle w:val="ListParagraph"/>
        <w:numPr>
          <w:ilvl w:val="0"/>
          <w:numId w:val="30"/>
        </w:numPr>
        <w:spacing w:line="276" w:lineRule="auto"/>
        <w:rPr>
          <w:rFonts w:eastAsia="Times New Roman" w:cs="Arial"/>
          <w:color w:val="auto"/>
        </w:rPr>
      </w:pPr>
      <w:r w:rsidRPr="005956C9">
        <w:rPr>
          <w:rFonts w:eastAsia="Times New Roman" w:cs="Arial"/>
          <w:color w:val="auto"/>
        </w:rPr>
        <w:t>lower for adults aged 18–29 years and 30–49 years than adults in age groups over 50 years</w:t>
      </w:r>
      <w:r w:rsidR="00547138">
        <w:rPr>
          <w:rFonts w:eastAsia="Times New Roman" w:cs="Arial"/>
          <w:color w:val="auto"/>
        </w:rPr>
        <w:t xml:space="preserve"> (Figure 1)</w:t>
      </w:r>
      <w:r w:rsidRPr="005956C9">
        <w:rPr>
          <w:rFonts w:eastAsia="Times New Roman" w:cs="Arial"/>
          <w:color w:val="auto"/>
        </w:rPr>
        <w:t xml:space="preserve">. </w:t>
      </w:r>
    </w:p>
    <w:p w14:paraId="5576E8C0" w14:textId="7F2109AB" w:rsidR="00811897" w:rsidRDefault="00811897" w:rsidP="00811897">
      <w:pPr>
        <w:spacing w:line="276" w:lineRule="auto"/>
        <w:rPr>
          <w:rFonts w:eastAsia="Times New Roman" w:cs="Arial"/>
          <w:color w:val="auto"/>
        </w:rPr>
      </w:pPr>
    </w:p>
    <w:p w14:paraId="0F1516B7" w14:textId="317CEA32" w:rsidR="00902965" w:rsidRPr="00902965" w:rsidRDefault="00D366A0" w:rsidP="00902965">
      <w:pPr>
        <w:pStyle w:val="FigureTitle"/>
        <w:rPr>
          <w:sz w:val="18"/>
        </w:rPr>
      </w:pPr>
      <w:r w:rsidRPr="00657275">
        <w:rPr>
          <w:noProof/>
          <w:sz w:val="18"/>
          <w:szCs w:val="16"/>
        </w:rPr>
        <w:lastRenderedPageBreak/>
        <w:drawing>
          <wp:anchor distT="0" distB="0" distL="114300" distR="114300" simplePos="0" relativeHeight="251658240" behindDoc="0" locked="0" layoutInCell="1" allowOverlap="1" wp14:anchorId="06ACE849" wp14:editId="0443CED9">
            <wp:simplePos x="0" y="0"/>
            <wp:positionH relativeFrom="column">
              <wp:posOffset>63500</wp:posOffset>
            </wp:positionH>
            <wp:positionV relativeFrom="paragraph">
              <wp:posOffset>394970</wp:posOffset>
            </wp:positionV>
            <wp:extent cx="8343900" cy="3419475"/>
            <wp:effectExtent l="0" t="0" r="0" b="9525"/>
            <wp:wrapTopAndBottom/>
            <wp:docPr id="67835242" name="Picture 1" descr="Bar chart showing proportion of people with inadequate vitamin B6 intake and weighted Estimated Average Requirement (EAR) by age group and sex in 2023. Orange bars represent males, red bars females, and blue lines indicate male and female EAR values, with inadequacy increasing notably in older age groups, especially females aged 50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5242" name="Picture 1" descr="Bar chart showing proportion of people with inadequate vitamin B6 intake and weighted Estimated Average Requirement (EAR) by age group and sex in 2023. Orange bars represent males, red bars females, and blue lines indicate male and female EAR values, with inadequacy increasing notably in older age groups, especially females aged 50 and ove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a:fillRect/>
                    </a:stretch>
                  </pic:blipFill>
                  <pic:spPr bwMode="auto">
                    <a:xfrm>
                      <a:off x="0" y="0"/>
                      <a:ext cx="8343900" cy="3419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1897" w:rsidRPr="00657275">
        <w:rPr>
          <w:sz w:val="18"/>
          <w:szCs w:val="16"/>
        </w:rPr>
        <w:t xml:space="preserve">Proportion of people with an inadequate vitamin B6 intake and weighted Estimated Average Requirement (EAR), </w:t>
      </w:r>
      <w:r w:rsidR="00811897" w:rsidRPr="00902965">
        <w:rPr>
          <w:sz w:val="18"/>
        </w:rPr>
        <w:t>by age and sex, 2023</w:t>
      </w:r>
    </w:p>
    <w:p w14:paraId="28DCBC48" w14:textId="77777777" w:rsidR="00D366A0" w:rsidRDefault="00D366A0" w:rsidP="00810D31">
      <w:pPr>
        <w:spacing w:line="276" w:lineRule="auto"/>
        <w:rPr>
          <w:rFonts w:eastAsia="Times New Roman" w:cs="Arial"/>
          <w:color w:val="auto"/>
        </w:rPr>
      </w:pPr>
    </w:p>
    <w:p w14:paraId="67FAA875" w14:textId="6EE3811A" w:rsidR="00810D31" w:rsidRPr="005956C9" w:rsidRDefault="00810D31" w:rsidP="00810D31">
      <w:pPr>
        <w:spacing w:line="276" w:lineRule="auto"/>
        <w:rPr>
          <w:rFonts w:eastAsia="Times New Roman" w:cs="Arial"/>
          <w:color w:val="auto"/>
        </w:rPr>
      </w:pPr>
      <w:r w:rsidRPr="005956C9">
        <w:rPr>
          <w:rFonts w:eastAsia="Times New Roman" w:cs="Arial"/>
          <w:color w:val="auto"/>
        </w:rPr>
        <w:t>Analysis of the distribution of vitamin B6 intakes shows that over the past decade for adults aged 18 years and over, usual intakes for at</w:t>
      </w:r>
      <w:r w:rsidRPr="005956C9">
        <w:rPr>
          <w:rFonts w:eastAsia="Times New Roman" w:cs="Arial"/>
          <w:i/>
          <w:iCs/>
          <w:color w:val="auto"/>
        </w:rPr>
        <w:t xml:space="preserve"> </w:t>
      </w:r>
      <w:r w:rsidRPr="005956C9">
        <w:rPr>
          <w:rFonts w:eastAsia="Times New Roman" w:cs="Arial"/>
          <w:color w:val="auto"/>
        </w:rPr>
        <w:t>least 75% of the population have decreased.</w:t>
      </w:r>
    </w:p>
    <w:p w14:paraId="64B418AB" w14:textId="5BBE6184" w:rsidR="00810D31" w:rsidRDefault="00810D31" w:rsidP="00810D31">
      <w:pPr>
        <w:spacing w:line="276" w:lineRule="auto"/>
        <w:rPr>
          <w:rFonts w:eastAsia="Times New Roman" w:cs="Arial"/>
          <w:color w:val="auto"/>
        </w:rPr>
      </w:pPr>
      <w:r w:rsidRPr="005956C9">
        <w:rPr>
          <w:rFonts w:eastAsia="Times New Roman" w:cs="Arial"/>
          <w:color w:val="auto"/>
        </w:rPr>
        <w:t xml:space="preserve">The absolute change in the distributions of vitamin B6 usual intake between 2011–12 and 2023 was small (ranging between 0.1 mg/day and 0.3 mg/day across each percentile). The small reduction in intake has meant that a much higher proportion of adults had </w:t>
      </w:r>
      <w:r w:rsidR="00F04233" w:rsidRPr="005956C9">
        <w:rPr>
          <w:rFonts w:eastAsia="Times New Roman" w:cs="Arial"/>
          <w:color w:val="auto"/>
        </w:rPr>
        <w:t>a</w:t>
      </w:r>
      <w:r w:rsidRPr="005956C9">
        <w:rPr>
          <w:rFonts w:eastAsia="Times New Roman" w:cs="Arial"/>
          <w:color w:val="auto"/>
        </w:rPr>
        <w:t xml:space="preserve"> vitamin B6 intake below the EAR in 2023 than did in 2011–12.  These results do not consider the contribution of dietary supplements to vitamin B6 intake</w:t>
      </w:r>
      <w:r w:rsidR="00277BFB">
        <w:rPr>
          <w:rFonts w:eastAsia="Times New Roman" w:cs="Arial"/>
          <w:color w:val="auto"/>
        </w:rPr>
        <w:t xml:space="preserve"> </w:t>
      </w:r>
      <w:r w:rsidR="0045011E">
        <w:rPr>
          <w:rFonts w:eastAsia="Times New Roman" w:cs="Arial"/>
          <w:noProof/>
          <w:color w:val="auto"/>
        </w:rPr>
        <w:t>(ABS, 2025)</w:t>
      </w:r>
      <w:r w:rsidR="00C70A49">
        <w:rPr>
          <w:rFonts w:eastAsia="Times New Roman" w:cs="Arial"/>
          <w:color w:val="auto"/>
        </w:rPr>
        <w:t>.</w:t>
      </w:r>
    </w:p>
    <w:p w14:paraId="630B8A1A" w14:textId="77777777" w:rsidR="00877525" w:rsidRDefault="00877525" w:rsidP="00810D31">
      <w:pPr>
        <w:spacing w:line="276" w:lineRule="auto"/>
        <w:rPr>
          <w:rFonts w:eastAsia="Times New Roman" w:cs="Arial"/>
          <w:color w:val="auto"/>
        </w:rPr>
      </w:pPr>
    </w:p>
    <w:p w14:paraId="0B98292E" w14:textId="7D81DB3E" w:rsidR="00877525" w:rsidRPr="00902965" w:rsidRDefault="00877525" w:rsidP="00F457DE">
      <w:pPr>
        <w:pStyle w:val="TableTitle"/>
        <w:spacing w:before="120"/>
        <w:ind w:left="992" w:hanging="992"/>
        <w:rPr>
          <w:caps/>
          <w:sz w:val="18"/>
        </w:rPr>
      </w:pPr>
      <w:r w:rsidRPr="00902965">
        <w:rPr>
          <w:sz w:val="18"/>
          <w:szCs w:val="16"/>
        </w:rPr>
        <w:lastRenderedPageBreak/>
        <w:t xml:space="preserve">Vitamin B6 dietary intake in National Aboringinal and Torres Strait Islander Nutrition and Physical Activity Survey: </w:t>
      </w:r>
      <w:r w:rsidRPr="00902965">
        <w:rPr>
          <w:sz w:val="18"/>
        </w:rPr>
        <w:t>Food and Nutrients (2023)</w:t>
      </w:r>
    </w:p>
    <w:tbl>
      <w:tblPr>
        <w:tblStyle w:val="GridTable4"/>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985"/>
        <w:gridCol w:w="2551"/>
      </w:tblGrid>
      <w:tr w:rsidR="00877525" w:rsidRPr="00D633FF" w14:paraId="6604861B"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tcBorders>
              <w:bottom w:val="single" w:sz="4" w:space="0" w:color="auto"/>
            </w:tcBorders>
            <w:shd w:val="clear" w:color="auto" w:fill="000000" w:themeFill="text1"/>
            <w:noWrap/>
          </w:tcPr>
          <w:p w14:paraId="62B8BE03" w14:textId="77777777" w:rsidR="00877525" w:rsidRPr="00D633FF" w:rsidRDefault="00877525" w:rsidP="00B10ED7">
            <w:pPr>
              <w:keepNext/>
              <w:spacing w:before="40" w:after="40" w:line="276" w:lineRule="auto"/>
              <w:rPr>
                <w:rFonts w:ascii="Calibri" w:eastAsia="Times New Roman" w:hAnsi="Calibri" w:cs="Calibri"/>
                <w:color w:val="FFFFFF"/>
              </w:rPr>
            </w:pPr>
            <w:r w:rsidRPr="00D633FF">
              <w:rPr>
                <w:rFonts w:ascii="Calibri" w:eastAsia="Times New Roman" w:hAnsi="Calibri" w:cs="Calibri"/>
                <w:color w:val="FFFFFF"/>
              </w:rPr>
              <w:t>Age groups (years)</w:t>
            </w:r>
          </w:p>
        </w:tc>
        <w:tc>
          <w:tcPr>
            <w:tcW w:w="1985" w:type="dxa"/>
            <w:shd w:val="clear" w:color="auto" w:fill="000000" w:themeFill="text1"/>
          </w:tcPr>
          <w:p w14:paraId="645E5DA4" w14:textId="77777777" w:rsidR="00877525" w:rsidRPr="00D633FF" w:rsidRDefault="00877525" w:rsidP="00B10ED7">
            <w:pPr>
              <w:keepNext/>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Sex</w:t>
            </w:r>
          </w:p>
        </w:tc>
        <w:tc>
          <w:tcPr>
            <w:tcW w:w="2551" w:type="dxa"/>
            <w:shd w:val="clear" w:color="auto" w:fill="000000" w:themeFill="text1"/>
          </w:tcPr>
          <w:p w14:paraId="133B53A4" w14:textId="77777777" w:rsidR="00877525" w:rsidRPr="00D633FF" w:rsidRDefault="00877525" w:rsidP="00B10ED7">
            <w:pPr>
              <w:keepNext/>
              <w:spacing w:before="40" w:after="4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Mean Intake (</w:t>
            </w:r>
            <w:r>
              <w:rPr>
                <w:rFonts w:ascii="Calibri" w:eastAsia="Times New Roman" w:hAnsi="Calibri" w:cs="Calibri"/>
                <w:color w:val="FFFFFF"/>
              </w:rPr>
              <w:t>m</w:t>
            </w:r>
            <w:r w:rsidRPr="00D633FF">
              <w:rPr>
                <w:rFonts w:ascii="Calibri" w:eastAsia="Times New Roman" w:hAnsi="Calibri" w:cs="Calibri"/>
                <w:color w:val="FFFFFF"/>
              </w:rPr>
              <w:t>g/day)</w:t>
            </w:r>
          </w:p>
        </w:tc>
      </w:tr>
      <w:tr w:rsidR="0068647C" w:rsidRPr="00D633FF" w14:paraId="1AA7D794" w14:textId="77777777" w:rsidTr="0068647C">
        <w:trPr>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noWrap/>
          </w:tcPr>
          <w:p w14:paraId="5699973E" w14:textId="77777777" w:rsidR="0068647C" w:rsidRPr="00D633FF" w:rsidRDefault="0068647C" w:rsidP="0068647C">
            <w:pPr>
              <w:keepNext/>
              <w:spacing w:before="40" w:after="40" w:line="276" w:lineRule="auto"/>
              <w:rPr>
                <w:rFonts w:ascii="Calibri" w:eastAsia="Times New Roman" w:hAnsi="Calibri" w:cs="Calibri"/>
              </w:rPr>
            </w:pPr>
            <w:r w:rsidRPr="00D633FF">
              <w:rPr>
                <w:rFonts w:ascii="Calibri" w:eastAsia="Times New Roman" w:hAnsi="Calibri" w:cs="Calibri"/>
              </w:rPr>
              <w:t>1</w:t>
            </w:r>
            <w:r>
              <w:rPr>
                <w:rFonts w:ascii="Calibri" w:eastAsia="Times New Roman" w:hAnsi="Calibri" w:cs="Calibri"/>
              </w:rPr>
              <w:t>8</w:t>
            </w:r>
            <w:r w:rsidRPr="00D633FF">
              <w:rPr>
                <w:rFonts w:ascii="Calibri" w:eastAsia="Times New Roman" w:hAnsi="Calibri" w:cs="Calibri"/>
              </w:rPr>
              <w:t>-</w:t>
            </w:r>
            <w:r>
              <w:rPr>
                <w:rFonts w:ascii="Calibri" w:eastAsia="Times New Roman" w:hAnsi="Calibri" w:cs="Calibri"/>
              </w:rPr>
              <w:t>29</w:t>
            </w:r>
            <w:r w:rsidRPr="00D633FF">
              <w:rPr>
                <w:rFonts w:ascii="Calibri" w:eastAsia="Times New Roman" w:hAnsi="Calibri" w:cs="Calibri"/>
              </w:rPr>
              <w:t xml:space="preserve"> </w:t>
            </w:r>
          </w:p>
        </w:tc>
        <w:tc>
          <w:tcPr>
            <w:tcW w:w="1985" w:type="dxa"/>
            <w:vAlign w:val="center"/>
          </w:tcPr>
          <w:p w14:paraId="5D4C12C4" w14:textId="77777777" w:rsidR="0068647C" w:rsidRPr="00D633FF" w:rsidRDefault="0068647C" w:rsidP="00B10ED7">
            <w:pPr>
              <w:keepNext/>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2551" w:type="dxa"/>
            <w:vAlign w:val="center"/>
          </w:tcPr>
          <w:p w14:paraId="4A78E2F6" w14:textId="77777777" w:rsidR="0068647C" w:rsidRPr="00D633FF" w:rsidRDefault="0068647C" w:rsidP="00B10ED7">
            <w:pPr>
              <w:keepNext/>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2.2</w:t>
            </w:r>
          </w:p>
        </w:tc>
      </w:tr>
      <w:tr w:rsidR="0068647C" w:rsidRPr="00D633FF" w14:paraId="5509F055" w14:textId="77777777" w:rsidTr="00C73D02">
        <w:trPr>
          <w:trHeight w:val="340"/>
        </w:trPr>
        <w:tc>
          <w:tcPr>
            <w:cnfStyle w:val="001000000000" w:firstRow="0" w:lastRow="0" w:firstColumn="1" w:lastColumn="0" w:oddVBand="0" w:evenVBand="0" w:oddHBand="0" w:evenHBand="0" w:firstRowFirstColumn="0" w:firstRowLastColumn="0" w:lastRowFirstColumn="0" w:lastRowLastColumn="0"/>
            <w:tcW w:w="1838" w:type="dxa"/>
            <w:vMerge/>
            <w:tcBorders>
              <w:bottom w:val="single" w:sz="4" w:space="0" w:color="auto"/>
            </w:tcBorders>
            <w:noWrap/>
            <w:vAlign w:val="center"/>
          </w:tcPr>
          <w:p w14:paraId="340604EF" w14:textId="77777777" w:rsidR="0068647C" w:rsidRPr="00D633FF" w:rsidRDefault="0068647C" w:rsidP="00B10ED7">
            <w:pPr>
              <w:keepNext/>
              <w:spacing w:before="40" w:after="40" w:line="276" w:lineRule="auto"/>
              <w:rPr>
                <w:rFonts w:ascii="Calibri" w:eastAsia="Times New Roman" w:hAnsi="Calibri" w:cs="Calibri"/>
              </w:rPr>
            </w:pPr>
          </w:p>
        </w:tc>
        <w:tc>
          <w:tcPr>
            <w:tcW w:w="1985" w:type="dxa"/>
            <w:shd w:val="clear" w:color="auto" w:fill="FFFFFF"/>
            <w:vAlign w:val="center"/>
          </w:tcPr>
          <w:p w14:paraId="65F81931" w14:textId="77777777" w:rsidR="0068647C" w:rsidRPr="00D633FF" w:rsidRDefault="0068647C" w:rsidP="00B10ED7">
            <w:pPr>
              <w:keepNext/>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2551" w:type="dxa"/>
            <w:shd w:val="clear" w:color="auto" w:fill="FFFFFF"/>
            <w:vAlign w:val="center"/>
          </w:tcPr>
          <w:p w14:paraId="79EB5ADE" w14:textId="77777777" w:rsidR="0068647C" w:rsidRPr="00D633FF" w:rsidRDefault="0068647C" w:rsidP="00B10ED7">
            <w:pPr>
              <w:keepNext/>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r>
      <w:tr w:rsidR="0068647C" w:rsidRPr="00D633FF" w14:paraId="07651B51" w14:textId="77777777" w:rsidTr="0068647C">
        <w:trPr>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7955C61E" w14:textId="77777777" w:rsidR="0068647C" w:rsidRPr="00D633FF" w:rsidRDefault="0068647C" w:rsidP="0068647C">
            <w:pPr>
              <w:keepNext/>
              <w:spacing w:before="40" w:after="40" w:line="276" w:lineRule="auto"/>
              <w:rPr>
                <w:rFonts w:ascii="Calibri" w:eastAsia="Times New Roman" w:hAnsi="Calibri" w:cs="Calibri"/>
              </w:rPr>
            </w:pPr>
            <w:r w:rsidRPr="00D633FF">
              <w:rPr>
                <w:rFonts w:ascii="Calibri" w:eastAsia="Times New Roman" w:hAnsi="Calibri" w:cs="Calibri"/>
              </w:rPr>
              <w:t>3</w:t>
            </w:r>
            <w:r>
              <w:rPr>
                <w:rFonts w:ascii="Calibri" w:eastAsia="Times New Roman" w:hAnsi="Calibri" w:cs="Calibri"/>
              </w:rPr>
              <w:t>0</w:t>
            </w:r>
            <w:r w:rsidRPr="00D633FF">
              <w:rPr>
                <w:rFonts w:ascii="Calibri" w:eastAsia="Times New Roman" w:hAnsi="Calibri" w:cs="Calibri"/>
              </w:rPr>
              <w:t>-</w:t>
            </w:r>
            <w:r>
              <w:rPr>
                <w:rFonts w:ascii="Calibri" w:eastAsia="Times New Roman" w:hAnsi="Calibri" w:cs="Calibri"/>
              </w:rPr>
              <w:t>49</w:t>
            </w:r>
          </w:p>
        </w:tc>
        <w:tc>
          <w:tcPr>
            <w:tcW w:w="1985" w:type="dxa"/>
            <w:vAlign w:val="center"/>
          </w:tcPr>
          <w:p w14:paraId="6A9E538C" w14:textId="77777777" w:rsidR="0068647C" w:rsidRPr="00D633FF" w:rsidRDefault="0068647C" w:rsidP="00B10ED7">
            <w:pPr>
              <w:keepNext/>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2551" w:type="dxa"/>
            <w:vAlign w:val="center"/>
          </w:tcPr>
          <w:p w14:paraId="56F81C5E" w14:textId="77777777" w:rsidR="0068647C" w:rsidRPr="00D633FF" w:rsidRDefault="0068647C" w:rsidP="00B10ED7">
            <w:pPr>
              <w:keepNext/>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1.7</w:t>
            </w:r>
          </w:p>
        </w:tc>
      </w:tr>
      <w:tr w:rsidR="0068647C" w:rsidRPr="00D633FF" w14:paraId="529B60ED" w14:textId="77777777" w:rsidTr="001132D8">
        <w:trPr>
          <w:trHeight w:val="340"/>
        </w:trPr>
        <w:tc>
          <w:tcPr>
            <w:cnfStyle w:val="001000000000" w:firstRow="0" w:lastRow="0" w:firstColumn="1" w:lastColumn="0" w:oddVBand="0" w:evenVBand="0" w:oddHBand="0" w:evenHBand="0" w:firstRowFirstColumn="0" w:firstRowLastColumn="0" w:lastRowFirstColumn="0" w:lastRowLastColumn="0"/>
            <w:tcW w:w="1838" w:type="dxa"/>
            <w:vMerge/>
            <w:tcBorders>
              <w:bottom w:val="single" w:sz="4" w:space="0" w:color="auto"/>
            </w:tcBorders>
            <w:noWrap/>
            <w:vAlign w:val="center"/>
          </w:tcPr>
          <w:p w14:paraId="4CD5ABBF" w14:textId="77777777" w:rsidR="0068647C" w:rsidRPr="00D633FF" w:rsidRDefault="0068647C" w:rsidP="00B10ED7">
            <w:pPr>
              <w:keepNext/>
              <w:spacing w:before="40" w:after="40" w:line="276" w:lineRule="auto"/>
              <w:rPr>
                <w:rFonts w:ascii="Calibri" w:eastAsia="Times New Roman" w:hAnsi="Calibri" w:cs="Calibri"/>
              </w:rPr>
            </w:pPr>
          </w:p>
        </w:tc>
        <w:tc>
          <w:tcPr>
            <w:tcW w:w="1985" w:type="dxa"/>
            <w:shd w:val="clear" w:color="auto" w:fill="FFFFFF"/>
            <w:vAlign w:val="center"/>
          </w:tcPr>
          <w:p w14:paraId="3C2A9681" w14:textId="77777777" w:rsidR="0068647C" w:rsidRPr="00D633FF" w:rsidRDefault="0068647C" w:rsidP="00B10ED7">
            <w:pPr>
              <w:keepNext/>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2551" w:type="dxa"/>
            <w:shd w:val="clear" w:color="auto" w:fill="FFFFFF"/>
            <w:vAlign w:val="center"/>
          </w:tcPr>
          <w:p w14:paraId="48DC9DB7" w14:textId="77777777" w:rsidR="0068647C" w:rsidRPr="00D633FF" w:rsidRDefault="0068647C" w:rsidP="00B10ED7">
            <w:pPr>
              <w:keepNext/>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r>
      <w:tr w:rsidR="0068647C" w:rsidRPr="00D633FF" w14:paraId="66EFC25B" w14:textId="77777777" w:rsidTr="0068647C">
        <w:trPr>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2DE25012" w14:textId="77777777" w:rsidR="0068647C" w:rsidRPr="00D633FF" w:rsidRDefault="0068647C" w:rsidP="0068647C">
            <w:pPr>
              <w:keepNext/>
              <w:spacing w:before="40" w:after="40" w:line="276" w:lineRule="auto"/>
              <w:rPr>
                <w:rFonts w:ascii="Calibri" w:eastAsia="Times New Roman" w:hAnsi="Calibri" w:cs="Calibri"/>
              </w:rPr>
            </w:pPr>
            <w:r w:rsidRPr="00D633FF">
              <w:rPr>
                <w:rFonts w:ascii="Calibri" w:eastAsia="Times New Roman" w:hAnsi="Calibri" w:cs="Calibri"/>
              </w:rPr>
              <w:t>5</w:t>
            </w:r>
            <w:r>
              <w:rPr>
                <w:rFonts w:ascii="Calibri" w:eastAsia="Times New Roman" w:hAnsi="Calibri" w:cs="Calibri"/>
              </w:rPr>
              <w:t>0</w:t>
            </w:r>
            <w:r w:rsidRPr="00D633FF">
              <w:rPr>
                <w:rFonts w:ascii="Calibri" w:eastAsia="Times New Roman" w:hAnsi="Calibri" w:cs="Calibri"/>
              </w:rPr>
              <w:t>-</w:t>
            </w:r>
            <w:r>
              <w:rPr>
                <w:rFonts w:ascii="Calibri" w:eastAsia="Times New Roman" w:hAnsi="Calibri" w:cs="Calibri"/>
              </w:rPr>
              <w:t>64</w:t>
            </w:r>
          </w:p>
        </w:tc>
        <w:tc>
          <w:tcPr>
            <w:tcW w:w="1985" w:type="dxa"/>
            <w:vAlign w:val="center"/>
          </w:tcPr>
          <w:p w14:paraId="5E269290" w14:textId="77777777" w:rsidR="0068647C" w:rsidRPr="00D633FF" w:rsidRDefault="0068647C" w:rsidP="00B10ED7">
            <w:pPr>
              <w:keepNext/>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2551" w:type="dxa"/>
            <w:vAlign w:val="center"/>
          </w:tcPr>
          <w:p w14:paraId="08D177DB" w14:textId="77777777" w:rsidR="0068647C" w:rsidRPr="00D633FF" w:rsidRDefault="0068647C" w:rsidP="00B10ED7">
            <w:pPr>
              <w:keepNext/>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r>
      <w:tr w:rsidR="0068647C" w:rsidRPr="00D633FF" w14:paraId="4B6DC98F" w14:textId="77777777" w:rsidTr="0025012A">
        <w:trPr>
          <w:trHeight w:val="340"/>
        </w:trPr>
        <w:tc>
          <w:tcPr>
            <w:cnfStyle w:val="001000000000" w:firstRow="0" w:lastRow="0" w:firstColumn="1" w:lastColumn="0" w:oddVBand="0" w:evenVBand="0" w:oddHBand="0" w:evenHBand="0" w:firstRowFirstColumn="0" w:firstRowLastColumn="0" w:lastRowFirstColumn="0" w:lastRowLastColumn="0"/>
            <w:tcW w:w="1838" w:type="dxa"/>
            <w:vMerge/>
            <w:tcBorders>
              <w:bottom w:val="single" w:sz="4" w:space="0" w:color="auto"/>
            </w:tcBorders>
            <w:noWrap/>
            <w:vAlign w:val="center"/>
          </w:tcPr>
          <w:p w14:paraId="170006EF" w14:textId="77777777" w:rsidR="0068647C" w:rsidRPr="00D633FF" w:rsidRDefault="0068647C" w:rsidP="00B10ED7">
            <w:pPr>
              <w:keepNext/>
              <w:spacing w:before="40" w:after="40" w:line="276" w:lineRule="auto"/>
              <w:rPr>
                <w:rFonts w:ascii="Calibri" w:eastAsia="Times New Roman" w:hAnsi="Calibri" w:cs="Calibri"/>
              </w:rPr>
            </w:pPr>
          </w:p>
        </w:tc>
        <w:tc>
          <w:tcPr>
            <w:tcW w:w="1985" w:type="dxa"/>
            <w:shd w:val="clear" w:color="auto" w:fill="FFFFFF"/>
            <w:vAlign w:val="center"/>
          </w:tcPr>
          <w:p w14:paraId="7716CB8C" w14:textId="77777777" w:rsidR="0068647C" w:rsidRPr="00D633FF" w:rsidRDefault="0068647C" w:rsidP="00B10ED7">
            <w:pPr>
              <w:keepNext/>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2551" w:type="dxa"/>
            <w:shd w:val="clear" w:color="auto" w:fill="FFFFFF"/>
            <w:vAlign w:val="center"/>
          </w:tcPr>
          <w:p w14:paraId="408BBA10" w14:textId="77777777" w:rsidR="0068647C" w:rsidRPr="00D633FF" w:rsidRDefault="0068647C" w:rsidP="00B10ED7">
            <w:pPr>
              <w:keepNext/>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r>
      <w:tr w:rsidR="0068647C" w:rsidRPr="00D633FF" w14:paraId="48DBCD30" w14:textId="77777777" w:rsidTr="0068647C">
        <w:trPr>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4DDA534E" w14:textId="77777777" w:rsidR="0068647C" w:rsidRPr="00D633FF" w:rsidRDefault="0068647C" w:rsidP="0068647C">
            <w:pPr>
              <w:keepNext/>
              <w:spacing w:before="40" w:after="40" w:line="276" w:lineRule="auto"/>
              <w:rPr>
                <w:rFonts w:ascii="Calibri" w:eastAsia="Times New Roman" w:hAnsi="Calibri" w:cs="Calibri"/>
              </w:rPr>
            </w:pPr>
            <w:r>
              <w:rPr>
                <w:rFonts w:ascii="Calibri" w:eastAsia="Times New Roman" w:hAnsi="Calibri" w:cs="Calibri"/>
              </w:rPr>
              <w:t xml:space="preserve">65 and over </w:t>
            </w:r>
          </w:p>
        </w:tc>
        <w:tc>
          <w:tcPr>
            <w:tcW w:w="1985" w:type="dxa"/>
            <w:vAlign w:val="center"/>
          </w:tcPr>
          <w:p w14:paraId="4BBAC7CE" w14:textId="77777777" w:rsidR="0068647C" w:rsidRPr="00D633FF" w:rsidRDefault="0068647C" w:rsidP="00B10ED7">
            <w:pPr>
              <w:keepNext/>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2551" w:type="dxa"/>
            <w:vAlign w:val="center"/>
          </w:tcPr>
          <w:p w14:paraId="578FF5F6" w14:textId="77777777" w:rsidR="0068647C" w:rsidRPr="00D633FF" w:rsidRDefault="0068647C" w:rsidP="00B10ED7">
            <w:pPr>
              <w:keepNext/>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r>
      <w:tr w:rsidR="0068647C" w:rsidRPr="00D633FF" w14:paraId="5BDE9449" w14:textId="77777777" w:rsidTr="000F578D">
        <w:trPr>
          <w:trHeight w:val="340"/>
        </w:trPr>
        <w:tc>
          <w:tcPr>
            <w:cnfStyle w:val="001000000000" w:firstRow="0" w:lastRow="0" w:firstColumn="1" w:lastColumn="0" w:oddVBand="0" w:evenVBand="0" w:oddHBand="0" w:evenHBand="0" w:firstRowFirstColumn="0" w:firstRowLastColumn="0" w:lastRowFirstColumn="0" w:lastRowLastColumn="0"/>
            <w:tcW w:w="1838" w:type="dxa"/>
            <w:vMerge/>
            <w:tcBorders>
              <w:bottom w:val="single" w:sz="4" w:space="0" w:color="auto"/>
            </w:tcBorders>
            <w:noWrap/>
            <w:vAlign w:val="center"/>
          </w:tcPr>
          <w:p w14:paraId="335B76B7" w14:textId="77777777" w:rsidR="0068647C" w:rsidRPr="001E07D5" w:rsidRDefault="0068647C" w:rsidP="00B10ED7">
            <w:pPr>
              <w:keepNext/>
              <w:spacing w:before="40" w:after="40" w:line="276" w:lineRule="auto"/>
              <w:rPr>
                <w:rFonts w:ascii="Calibri" w:eastAsia="Times New Roman" w:hAnsi="Calibri" w:cs="Calibri"/>
              </w:rPr>
            </w:pPr>
          </w:p>
        </w:tc>
        <w:tc>
          <w:tcPr>
            <w:tcW w:w="1985" w:type="dxa"/>
            <w:shd w:val="clear" w:color="auto" w:fill="FFFFFF"/>
            <w:vAlign w:val="center"/>
          </w:tcPr>
          <w:p w14:paraId="56E620DF" w14:textId="77777777" w:rsidR="0068647C" w:rsidRPr="00D633FF" w:rsidRDefault="0068647C" w:rsidP="00B10ED7">
            <w:pPr>
              <w:keepNext/>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2551" w:type="dxa"/>
            <w:shd w:val="clear" w:color="auto" w:fill="FFFFFF"/>
            <w:vAlign w:val="center"/>
          </w:tcPr>
          <w:p w14:paraId="5587F569" w14:textId="77777777" w:rsidR="0068647C" w:rsidRPr="00D633FF" w:rsidRDefault="0068647C" w:rsidP="00B10ED7">
            <w:pPr>
              <w:keepNext/>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r>
    </w:tbl>
    <w:p w14:paraId="0D14ABB8" w14:textId="6546226A" w:rsidR="0049026C" w:rsidRDefault="00477914" w:rsidP="000B30CB">
      <w:pPr>
        <w:spacing w:after="120"/>
        <w:rPr>
          <w:rFonts w:eastAsia="Times New Roman" w:cs="Arial"/>
          <w:color w:val="auto"/>
        </w:rPr>
      </w:pPr>
      <w:r w:rsidRPr="00875871">
        <w:rPr>
          <w:rFonts w:eastAsia="Times New Roman" w:cs="Arial"/>
          <w:color w:val="auto"/>
        </w:rPr>
        <w:t xml:space="preserve">Table </w:t>
      </w:r>
      <w:r w:rsidR="00877525">
        <w:rPr>
          <w:rFonts w:eastAsia="Times New Roman" w:cs="Arial"/>
          <w:color w:val="auto"/>
        </w:rPr>
        <w:t>3</w:t>
      </w:r>
      <w:r w:rsidRPr="00875871">
        <w:rPr>
          <w:rFonts w:eastAsia="Times New Roman" w:cs="Arial"/>
          <w:color w:val="auto"/>
        </w:rPr>
        <w:t xml:space="preserve"> outlines the usual intake of Vitamin B6 for adults in New Zealand in 2008-09</w:t>
      </w:r>
      <w:r w:rsidR="00F92F16">
        <w:rPr>
          <w:rFonts w:eastAsia="Times New Roman" w:cs="Arial"/>
          <w:color w:val="auto"/>
        </w:rPr>
        <w:t xml:space="preserve"> f</w:t>
      </w:r>
      <w:r w:rsidR="00B43A03">
        <w:rPr>
          <w:rFonts w:eastAsia="Times New Roman" w:cs="Arial"/>
          <w:color w:val="auto"/>
        </w:rPr>
        <w:t>r</w:t>
      </w:r>
      <w:r w:rsidR="00F92F16">
        <w:rPr>
          <w:rFonts w:eastAsia="Times New Roman" w:cs="Arial"/>
          <w:color w:val="auto"/>
        </w:rPr>
        <w:t>o</w:t>
      </w:r>
      <w:r w:rsidR="006F0903">
        <w:rPr>
          <w:rFonts w:eastAsia="Times New Roman" w:cs="Arial"/>
          <w:color w:val="auto"/>
        </w:rPr>
        <w:t>m</w:t>
      </w:r>
      <w:r w:rsidR="00F92F16">
        <w:rPr>
          <w:rFonts w:eastAsia="Times New Roman" w:cs="Arial"/>
          <w:color w:val="auto"/>
        </w:rPr>
        <w:t xml:space="preserve"> diet and supplements</w:t>
      </w:r>
    </w:p>
    <w:p w14:paraId="55EAB1FD" w14:textId="3AB1AA92" w:rsidR="00DD04E9" w:rsidRPr="00902965" w:rsidRDefault="00DD04E9" w:rsidP="00693F36">
      <w:pPr>
        <w:pStyle w:val="TableTitle"/>
        <w:spacing w:before="120"/>
        <w:ind w:left="1134"/>
        <w:rPr>
          <w:caps/>
          <w:sz w:val="18"/>
          <w:szCs w:val="16"/>
        </w:rPr>
      </w:pPr>
      <w:r w:rsidRPr="00902965">
        <w:rPr>
          <w:sz w:val="18"/>
          <w:szCs w:val="16"/>
        </w:rPr>
        <w:lastRenderedPageBreak/>
        <w:t xml:space="preserve">Vitamin B6 </w:t>
      </w:r>
      <w:r w:rsidR="000F6C8D" w:rsidRPr="00902965">
        <w:rPr>
          <w:sz w:val="18"/>
          <w:szCs w:val="16"/>
        </w:rPr>
        <w:t xml:space="preserve">dietary </w:t>
      </w:r>
      <w:r w:rsidR="00F92F16" w:rsidRPr="00902965">
        <w:rPr>
          <w:sz w:val="18"/>
          <w:szCs w:val="16"/>
        </w:rPr>
        <w:t xml:space="preserve">and supplement </w:t>
      </w:r>
      <w:r w:rsidRPr="00902965">
        <w:rPr>
          <w:sz w:val="18"/>
          <w:szCs w:val="16"/>
        </w:rPr>
        <w:t>intake in New Zealand adults (general population), 2008-09 New Zealand Adult Nutrition Survey</w:t>
      </w:r>
    </w:p>
    <w:tbl>
      <w:tblPr>
        <w:tblStyle w:val="GridTable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34"/>
        <w:gridCol w:w="2126"/>
        <w:gridCol w:w="1985"/>
        <w:gridCol w:w="2835"/>
      </w:tblGrid>
      <w:tr w:rsidR="00DD04E9" w:rsidRPr="00D633FF" w14:paraId="4FFEE5D3" w14:textId="77777777" w:rsidTr="00C354A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shd w:val="clear" w:color="auto" w:fill="000000" w:themeFill="text1"/>
            <w:noWrap/>
            <w:vAlign w:val="center"/>
          </w:tcPr>
          <w:p w14:paraId="27BB2D39" w14:textId="77777777" w:rsidR="00DD04E9" w:rsidRPr="00D633FF" w:rsidRDefault="00DD04E9" w:rsidP="00C354AF">
            <w:pPr>
              <w:keepNext/>
              <w:keepLines/>
              <w:widowControl w:val="0"/>
              <w:spacing w:before="40" w:after="40" w:line="276" w:lineRule="auto"/>
              <w:rPr>
                <w:rFonts w:ascii="Calibri" w:eastAsia="Times New Roman" w:hAnsi="Calibri" w:cs="Calibri"/>
                <w:color w:val="FFFFFF"/>
              </w:rPr>
            </w:pPr>
            <w:r w:rsidRPr="00D633FF">
              <w:rPr>
                <w:rFonts w:ascii="Calibri" w:eastAsia="Times New Roman" w:hAnsi="Calibri" w:cs="Calibri"/>
                <w:color w:val="FFFFFF"/>
              </w:rPr>
              <w:t>Age groups (years)</w:t>
            </w:r>
          </w:p>
        </w:tc>
        <w:tc>
          <w:tcPr>
            <w:tcW w:w="1134" w:type="dxa"/>
            <w:shd w:val="clear" w:color="auto" w:fill="000000" w:themeFill="text1"/>
            <w:vAlign w:val="center"/>
          </w:tcPr>
          <w:p w14:paraId="52C2B647" w14:textId="77777777" w:rsidR="00DD04E9" w:rsidRPr="00D633FF" w:rsidRDefault="00DD04E9" w:rsidP="00C354AF">
            <w:pPr>
              <w:keepNext/>
              <w:keepLines/>
              <w:widowControl w:val="0"/>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Sex</w:t>
            </w:r>
          </w:p>
        </w:tc>
        <w:tc>
          <w:tcPr>
            <w:tcW w:w="2126" w:type="dxa"/>
            <w:shd w:val="clear" w:color="auto" w:fill="000000" w:themeFill="text1"/>
          </w:tcPr>
          <w:p w14:paraId="75719C66" w14:textId="688DC801" w:rsidR="00DD04E9" w:rsidRPr="00D633FF" w:rsidRDefault="00DD04E9" w:rsidP="00B10ED7">
            <w:pPr>
              <w:keepNext/>
              <w:keepLines/>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Mean Intake</w:t>
            </w:r>
            <w:r w:rsidR="00F60666">
              <w:rPr>
                <w:rFonts w:ascii="Calibri" w:eastAsia="Times New Roman" w:hAnsi="Calibri" w:cs="Calibri"/>
                <w:color w:val="FFFFFF"/>
              </w:rPr>
              <w:t xml:space="preserve"> </w:t>
            </w:r>
            <w:r w:rsidRPr="00D633FF">
              <w:rPr>
                <w:rFonts w:ascii="Calibri" w:eastAsia="Times New Roman" w:hAnsi="Calibri" w:cs="Calibri"/>
                <w:color w:val="FFFFFF"/>
              </w:rPr>
              <w:t>(</w:t>
            </w:r>
            <w:r>
              <w:rPr>
                <w:rFonts w:ascii="Calibri" w:eastAsia="Times New Roman" w:hAnsi="Calibri" w:cs="Calibri"/>
                <w:color w:val="FFFFFF"/>
              </w:rPr>
              <w:t>m</w:t>
            </w:r>
            <w:r w:rsidRPr="00D633FF">
              <w:rPr>
                <w:rFonts w:ascii="Calibri" w:eastAsia="Times New Roman" w:hAnsi="Calibri" w:cs="Calibri"/>
                <w:color w:val="FFFFFF"/>
              </w:rPr>
              <w:t>g/day)</w:t>
            </w:r>
          </w:p>
        </w:tc>
        <w:tc>
          <w:tcPr>
            <w:tcW w:w="1985" w:type="dxa"/>
            <w:shd w:val="clear" w:color="auto" w:fill="000000" w:themeFill="text1"/>
          </w:tcPr>
          <w:p w14:paraId="2289EBAB" w14:textId="77777777" w:rsidR="00DD04E9" w:rsidRPr="00D633FF" w:rsidRDefault="00DD04E9" w:rsidP="00B10ED7">
            <w:pPr>
              <w:keepNext/>
              <w:keepLines/>
              <w:widowControl w:val="0"/>
              <w:spacing w:before="40" w:after="4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 less than EAR</w:t>
            </w:r>
          </w:p>
        </w:tc>
        <w:tc>
          <w:tcPr>
            <w:tcW w:w="2835" w:type="dxa"/>
            <w:shd w:val="clear" w:color="auto" w:fill="000000" w:themeFill="text1"/>
          </w:tcPr>
          <w:p w14:paraId="7143C58F" w14:textId="4282D679" w:rsidR="00DD04E9" w:rsidRPr="00D633FF" w:rsidRDefault="00DD04E9" w:rsidP="00B10ED7">
            <w:pPr>
              <w:keepNext/>
              <w:keepLines/>
              <w:widowControl w:val="0"/>
              <w:spacing w:before="40" w:after="4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90</w:t>
            </w:r>
            <w:r w:rsidRPr="00D633FF">
              <w:rPr>
                <w:rFonts w:ascii="Calibri" w:eastAsia="Times New Roman" w:hAnsi="Calibri" w:cs="Calibri"/>
                <w:color w:val="FFFFFF"/>
                <w:vertAlign w:val="superscript"/>
              </w:rPr>
              <w:t>th</w:t>
            </w:r>
            <w:r w:rsidRPr="00D633FF">
              <w:rPr>
                <w:rFonts w:ascii="Calibri" w:eastAsia="Times New Roman" w:hAnsi="Calibri" w:cs="Calibri"/>
                <w:color w:val="FFFFFF"/>
              </w:rPr>
              <w:t xml:space="preserve"> Percentile intake</w:t>
            </w:r>
            <w:r w:rsidR="00F60666">
              <w:rPr>
                <w:rFonts w:ascii="Calibri" w:eastAsia="Times New Roman" w:hAnsi="Calibri" w:cs="Calibri"/>
                <w:color w:val="FFFFFF"/>
              </w:rPr>
              <w:t xml:space="preserve"> </w:t>
            </w:r>
            <w:r w:rsidRPr="00D633FF">
              <w:rPr>
                <w:rFonts w:ascii="Calibri" w:eastAsia="Times New Roman" w:hAnsi="Calibri" w:cs="Calibri"/>
                <w:color w:val="FFFFFF"/>
              </w:rPr>
              <w:t>(</w:t>
            </w:r>
            <w:r>
              <w:rPr>
                <w:rFonts w:ascii="Calibri" w:eastAsia="Times New Roman" w:hAnsi="Calibri" w:cs="Calibri"/>
                <w:color w:val="FFFFFF"/>
              </w:rPr>
              <w:t>m</w:t>
            </w:r>
            <w:r w:rsidRPr="00D633FF">
              <w:rPr>
                <w:rFonts w:ascii="Calibri" w:eastAsia="Times New Roman" w:hAnsi="Calibri" w:cs="Calibri"/>
                <w:color w:val="FFFFFF"/>
              </w:rPr>
              <w:t>g/day)</w:t>
            </w:r>
          </w:p>
        </w:tc>
      </w:tr>
      <w:tr w:rsidR="0068647C" w:rsidRPr="00D633FF" w14:paraId="59EF4ECE"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val="restart"/>
            <w:noWrap/>
          </w:tcPr>
          <w:p w14:paraId="00C3B8A2" w14:textId="77777777" w:rsidR="0068647C" w:rsidRPr="00D633FF" w:rsidRDefault="0068647C" w:rsidP="0068647C">
            <w:pPr>
              <w:keepNext/>
              <w:keepLines/>
              <w:widowControl w:val="0"/>
              <w:spacing w:before="40" w:after="40" w:line="276" w:lineRule="auto"/>
              <w:rPr>
                <w:rFonts w:ascii="Calibri" w:eastAsia="Times New Roman" w:hAnsi="Calibri" w:cs="Calibri"/>
              </w:rPr>
            </w:pPr>
            <w:r w:rsidRPr="00D633FF">
              <w:rPr>
                <w:rFonts w:ascii="Calibri" w:eastAsia="Times New Roman" w:hAnsi="Calibri" w:cs="Calibri"/>
              </w:rPr>
              <w:t>15-18</w:t>
            </w:r>
          </w:p>
        </w:tc>
        <w:tc>
          <w:tcPr>
            <w:tcW w:w="1134" w:type="dxa"/>
            <w:vAlign w:val="center"/>
          </w:tcPr>
          <w:p w14:paraId="6F8EBE52"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2126" w:type="dxa"/>
            <w:vAlign w:val="center"/>
          </w:tcPr>
          <w:p w14:paraId="522834B8" w14:textId="672904CA"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2.7</w:t>
            </w:r>
          </w:p>
        </w:tc>
        <w:tc>
          <w:tcPr>
            <w:tcW w:w="1985" w:type="dxa"/>
            <w:vAlign w:val="center"/>
          </w:tcPr>
          <w:p w14:paraId="6B7B4FA2" w14:textId="0035478E"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w:t>
            </w:r>
          </w:p>
        </w:tc>
        <w:tc>
          <w:tcPr>
            <w:tcW w:w="2835" w:type="dxa"/>
            <w:vAlign w:val="center"/>
          </w:tcPr>
          <w:p w14:paraId="74AADD0E" w14:textId="354B1E92"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3.9</w:t>
            </w:r>
          </w:p>
        </w:tc>
      </w:tr>
      <w:tr w:rsidR="0068647C" w:rsidRPr="00D633FF" w14:paraId="321B461D"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tcBorders>
              <w:bottom w:val="single" w:sz="4" w:space="0" w:color="auto"/>
            </w:tcBorders>
            <w:noWrap/>
          </w:tcPr>
          <w:p w14:paraId="4CAF2441" w14:textId="77777777" w:rsidR="0068647C" w:rsidRPr="00D633FF" w:rsidRDefault="0068647C" w:rsidP="0068647C">
            <w:pPr>
              <w:keepNext/>
              <w:keepLines/>
              <w:widowControl w:val="0"/>
              <w:spacing w:before="40" w:after="40" w:line="276" w:lineRule="auto"/>
              <w:rPr>
                <w:rFonts w:ascii="Calibri" w:eastAsia="Times New Roman" w:hAnsi="Calibri" w:cs="Calibri"/>
              </w:rPr>
            </w:pPr>
          </w:p>
        </w:tc>
        <w:tc>
          <w:tcPr>
            <w:tcW w:w="1134" w:type="dxa"/>
            <w:shd w:val="clear" w:color="auto" w:fill="FFFFFF"/>
            <w:vAlign w:val="center"/>
          </w:tcPr>
          <w:p w14:paraId="760EAF45"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2126" w:type="dxa"/>
            <w:shd w:val="clear" w:color="auto" w:fill="FFFFFF"/>
            <w:vAlign w:val="center"/>
          </w:tcPr>
          <w:p w14:paraId="2C66EC38" w14:textId="33DD69DE"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2.2</w:t>
            </w:r>
          </w:p>
        </w:tc>
        <w:tc>
          <w:tcPr>
            <w:tcW w:w="1985" w:type="dxa"/>
            <w:shd w:val="clear" w:color="auto" w:fill="FFFFFF"/>
            <w:vAlign w:val="center"/>
          </w:tcPr>
          <w:p w14:paraId="0380E774" w14:textId="0F760D0E" w:rsidR="0068647C" w:rsidRPr="00A85655"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85655">
              <w:rPr>
                <w:rFonts w:ascii="Calibri" w:eastAsia="Times New Roman" w:hAnsi="Calibri" w:cs="Calibri"/>
                <w:color w:val="000000"/>
              </w:rPr>
              <w:t>19.0</w:t>
            </w:r>
          </w:p>
        </w:tc>
        <w:tc>
          <w:tcPr>
            <w:tcW w:w="2835" w:type="dxa"/>
            <w:shd w:val="clear" w:color="auto" w:fill="FFFFFF"/>
            <w:vAlign w:val="center"/>
          </w:tcPr>
          <w:p w14:paraId="033C0F15" w14:textId="6BE81CD4" w:rsidR="0068647C" w:rsidRPr="004E3FBC"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E3FBC">
              <w:rPr>
                <w:rFonts w:ascii="Calibri" w:eastAsia="Times New Roman" w:hAnsi="Calibri" w:cs="Calibri"/>
                <w:color w:val="000000"/>
              </w:rPr>
              <w:t>4.0</w:t>
            </w:r>
          </w:p>
        </w:tc>
      </w:tr>
      <w:tr w:rsidR="0068647C" w:rsidRPr="00D633FF" w14:paraId="48C0A0CF"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val="restart"/>
            <w:noWrap/>
          </w:tcPr>
          <w:p w14:paraId="5B5D83D4" w14:textId="77777777" w:rsidR="0068647C" w:rsidRPr="00D633FF" w:rsidRDefault="0068647C" w:rsidP="0068647C">
            <w:pPr>
              <w:keepNext/>
              <w:keepLines/>
              <w:widowControl w:val="0"/>
              <w:spacing w:before="40" w:after="40" w:line="276" w:lineRule="auto"/>
              <w:rPr>
                <w:rFonts w:ascii="Calibri" w:eastAsia="Times New Roman" w:hAnsi="Calibri" w:cs="Calibri"/>
              </w:rPr>
            </w:pPr>
            <w:r w:rsidRPr="00D633FF">
              <w:rPr>
                <w:rFonts w:ascii="Calibri" w:eastAsia="Times New Roman" w:hAnsi="Calibri" w:cs="Calibri"/>
              </w:rPr>
              <w:t xml:space="preserve">19-30 </w:t>
            </w:r>
          </w:p>
        </w:tc>
        <w:tc>
          <w:tcPr>
            <w:tcW w:w="1134" w:type="dxa"/>
            <w:vAlign w:val="center"/>
          </w:tcPr>
          <w:p w14:paraId="2D973CD3"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2126" w:type="dxa"/>
            <w:vAlign w:val="center"/>
          </w:tcPr>
          <w:p w14:paraId="1E053835" w14:textId="1316A6B9"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3.3</w:t>
            </w:r>
          </w:p>
        </w:tc>
        <w:tc>
          <w:tcPr>
            <w:tcW w:w="1985" w:type="dxa"/>
            <w:vAlign w:val="center"/>
          </w:tcPr>
          <w:p w14:paraId="4949FCA8" w14:textId="1706BCC6" w:rsidR="0068647C" w:rsidRPr="00A85655"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85655">
              <w:rPr>
                <w:rFonts w:ascii="Calibri" w:eastAsia="Times New Roman" w:hAnsi="Calibri" w:cs="Calibri"/>
                <w:color w:val="000000"/>
              </w:rPr>
              <w:t>1.5*</w:t>
            </w:r>
          </w:p>
        </w:tc>
        <w:tc>
          <w:tcPr>
            <w:tcW w:w="2835" w:type="dxa"/>
            <w:vAlign w:val="center"/>
          </w:tcPr>
          <w:p w14:paraId="366E83BC" w14:textId="7D3D8187" w:rsidR="0068647C" w:rsidRPr="004E3FBC"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E3FBC">
              <w:rPr>
                <w:rFonts w:ascii="Calibri" w:eastAsia="Times New Roman" w:hAnsi="Calibri" w:cs="Calibri"/>
                <w:color w:val="000000"/>
              </w:rPr>
              <w:t>5.5</w:t>
            </w:r>
          </w:p>
        </w:tc>
      </w:tr>
      <w:tr w:rsidR="0068647C" w:rsidRPr="00D633FF" w14:paraId="5C76983B"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tcBorders>
              <w:bottom w:val="single" w:sz="4" w:space="0" w:color="auto"/>
            </w:tcBorders>
            <w:noWrap/>
          </w:tcPr>
          <w:p w14:paraId="20E5F30D" w14:textId="77777777" w:rsidR="0068647C" w:rsidRPr="00D633FF" w:rsidRDefault="0068647C" w:rsidP="0068647C">
            <w:pPr>
              <w:keepNext/>
              <w:keepLines/>
              <w:widowControl w:val="0"/>
              <w:spacing w:before="40" w:after="40" w:line="276" w:lineRule="auto"/>
              <w:rPr>
                <w:rFonts w:ascii="Calibri" w:eastAsia="Times New Roman" w:hAnsi="Calibri" w:cs="Calibri"/>
              </w:rPr>
            </w:pPr>
          </w:p>
        </w:tc>
        <w:tc>
          <w:tcPr>
            <w:tcW w:w="1134" w:type="dxa"/>
            <w:shd w:val="clear" w:color="auto" w:fill="FFFFFF"/>
            <w:vAlign w:val="center"/>
          </w:tcPr>
          <w:p w14:paraId="30AA0900"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2126" w:type="dxa"/>
            <w:shd w:val="clear" w:color="auto" w:fill="FFFFFF"/>
            <w:vAlign w:val="center"/>
          </w:tcPr>
          <w:p w14:paraId="0627FF39" w14:textId="35436354"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2.3</w:t>
            </w:r>
          </w:p>
        </w:tc>
        <w:tc>
          <w:tcPr>
            <w:tcW w:w="1985" w:type="dxa"/>
            <w:shd w:val="clear" w:color="auto" w:fill="FFFFFF"/>
            <w:vAlign w:val="center"/>
          </w:tcPr>
          <w:p w14:paraId="4776E65A" w14:textId="58DBF3D1" w:rsidR="0068647C" w:rsidRPr="00A85655"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85655">
              <w:rPr>
                <w:rFonts w:ascii="Calibri" w:eastAsia="Times New Roman" w:hAnsi="Calibri" w:cs="Calibri"/>
                <w:color w:val="000000"/>
              </w:rPr>
              <w:t>0.8*</w:t>
            </w:r>
          </w:p>
        </w:tc>
        <w:tc>
          <w:tcPr>
            <w:tcW w:w="2835" w:type="dxa"/>
            <w:shd w:val="clear" w:color="auto" w:fill="FFFFFF"/>
            <w:vAlign w:val="center"/>
          </w:tcPr>
          <w:p w14:paraId="376FF0D3" w14:textId="6A2EB0B5" w:rsidR="0068647C" w:rsidRPr="004E3FBC"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E3FBC">
              <w:rPr>
                <w:rFonts w:ascii="Calibri" w:eastAsia="Times New Roman" w:hAnsi="Calibri" w:cs="Calibri"/>
                <w:color w:val="000000"/>
              </w:rPr>
              <w:t>3.3</w:t>
            </w:r>
          </w:p>
        </w:tc>
      </w:tr>
      <w:tr w:rsidR="0068647C" w:rsidRPr="00D633FF" w14:paraId="392EFB09"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val="restart"/>
            <w:noWrap/>
            <w:hideMark/>
          </w:tcPr>
          <w:p w14:paraId="4CBAF782" w14:textId="77777777" w:rsidR="0068647C" w:rsidRPr="00D633FF" w:rsidRDefault="0068647C" w:rsidP="0068647C">
            <w:pPr>
              <w:keepNext/>
              <w:keepLines/>
              <w:widowControl w:val="0"/>
              <w:spacing w:before="40" w:after="40" w:line="276" w:lineRule="auto"/>
              <w:rPr>
                <w:rFonts w:ascii="Calibri" w:eastAsia="Times New Roman" w:hAnsi="Calibri" w:cs="Calibri"/>
              </w:rPr>
            </w:pPr>
            <w:r w:rsidRPr="00D633FF">
              <w:rPr>
                <w:rFonts w:ascii="Calibri" w:eastAsia="Times New Roman" w:hAnsi="Calibri" w:cs="Calibri"/>
              </w:rPr>
              <w:t>31-50</w:t>
            </w:r>
          </w:p>
        </w:tc>
        <w:tc>
          <w:tcPr>
            <w:tcW w:w="1134" w:type="dxa"/>
            <w:vAlign w:val="center"/>
          </w:tcPr>
          <w:p w14:paraId="3BB61B88"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2126" w:type="dxa"/>
            <w:vAlign w:val="center"/>
          </w:tcPr>
          <w:p w14:paraId="544AFA0F" w14:textId="4DF3F3DE"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2.6</w:t>
            </w:r>
          </w:p>
        </w:tc>
        <w:tc>
          <w:tcPr>
            <w:tcW w:w="1985" w:type="dxa"/>
            <w:vAlign w:val="center"/>
          </w:tcPr>
          <w:p w14:paraId="5B68007E" w14:textId="53E2A882" w:rsidR="0068647C" w:rsidRPr="00A85655"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85655">
              <w:rPr>
                <w:rFonts w:ascii="Calibri" w:eastAsia="Times New Roman" w:hAnsi="Calibri" w:cs="Calibri"/>
                <w:color w:val="000000"/>
              </w:rPr>
              <w:t>0.2*</w:t>
            </w:r>
          </w:p>
        </w:tc>
        <w:tc>
          <w:tcPr>
            <w:tcW w:w="2835" w:type="dxa"/>
            <w:vAlign w:val="center"/>
          </w:tcPr>
          <w:p w14:paraId="3FE7C2F5" w14:textId="5CD3674B" w:rsidR="0068647C" w:rsidRPr="004E3FBC"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E3FBC">
              <w:rPr>
                <w:rFonts w:ascii="Calibri" w:eastAsia="Times New Roman" w:hAnsi="Calibri" w:cs="Calibri"/>
                <w:color w:val="000000"/>
              </w:rPr>
              <w:t>3.6</w:t>
            </w:r>
          </w:p>
        </w:tc>
      </w:tr>
      <w:tr w:rsidR="0068647C" w:rsidRPr="00D633FF" w14:paraId="4A5836C0"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tcBorders>
              <w:bottom w:val="single" w:sz="4" w:space="0" w:color="auto"/>
            </w:tcBorders>
            <w:noWrap/>
          </w:tcPr>
          <w:p w14:paraId="5A614D6D" w14:textId="77777777" w:rsidR="0068647C" w:rsidRPr="00D633FF" w:rsidRDefault="0068647C" w:rsidP="0068647C">
            <w:pPr>
              <w:keepNext/>
              <w:keepLines/>
              <w:widowControl w:val="0"/>
              <w:spacing w:before="40" w:after="40" w:line="276" w:lineRule="auto"/>
              <w:rPr>
                <w:rFonts w:ascii="Calibri" w:eastAsia="Times New Roman" w:hAnsi="Calibri" w:cs="Calibri"/>
              </w:rPr>
            </w:pPr>
          </w:p>
        </w:tc>
        <w:tc>
          <w:tcPr>
            <w:tcW w:w="1134" w:type="dxa"/>
            <w:shd w:val="clear" w:color="auto" w:fill="FFFFFF"/>
            <w:vAlign w:val="center"/>
          </w:tcPr>
          <w:p w14:paraId="61E44189"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2126" w:type="dxa"/>
            <w:shd w:val="clear" w:color="auto" w:fill="FFFFFF"/>
            <w:vAlign w:val="center"/>
          </w:tcPr>
          <w:p w14:paraId="0CB3170A" w14:textId="5FFB5EE9"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1.8</w:t>
            </w:r>
          </w:p>
        </w:tc>
        <w:tc>
          <w:tcPr>
            <w:tcW w:w="1985" w:type="dxa"/>
            <w:shd w:val="clear" w:color="auto" w:fill="FFFFFF"/>
            <w:vAlign w:val="center"/>
          </w:tcPr>
          <w:p w14:paraId="4D878E2F" w14:textId="0AE68062" w:rsidR="0068647C" w:rsidRPr="00A85655"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85655">
              <w:rPr>
                <w:rFonts w:ascii="Calibri" w:eastAsia="Times New Roman" w:hAnsi="Calibri" w:cs="Calibri"/>
                <w:color w:val="000000"/>
              </w:rPr>
              <w:t>17.0</w:t>
            </w:r>
          </w:p>
        </w:tc>
        <w:tc>
          <w:tcPr>
            <w:tcW w:w="2835" w:type="dxa"/>
            <w:shd w:val="clear" w:color="auto" w:fill="FFFFFF"/>
            <w:vAlign w:val="center"/>
          </w:tcPr>
          <w:p w14:paraId="646679B6" w14:textId="38DBA8D2" w:rsidR="0068647C" w:rsidRPr="004E3FBC"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E3FBC">
              <w:rPr>
                <w:rFonts w:ascii="Calibri" w:eastAsia="Times New Roman" w:hAnsi="Calibri" w:cs="Calibri"/>
                <w:color w:val="000000"/>
              </w:rPr>
              <w:t>2.8</w:t>
            </w:r>
          </w:p>
        </w:tc>
      </w:tr>
      <w:tr w:rsidR="0068647C" w:rsidRPr="00D633FF" w14:paraId="629213B9"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val="restart"/>
            <w:noWrap/>
            <w:hideMark/>
          </w:tcPr>
          <w:p w14:paraId="3539325A" w14:textId="77777777" w:rsidR="0068647C" w:rsidRPr="00D633FF" w:rsidRDefault="0068647C" w:rsidP="0068647C">
            <w:pPr>
              <w:keepNext/>
              <w:keepLines/>
              <w:widowControl w:val="0"/>
              <w:spacing w:before="40" w:after="40" w:line="276" w:lineRule="auto"/>
              <w:rPr>
                <w:rFonts w:ascii="Calibri" w:eastAsia="Times New Roman" w:hAnsi="Calibri" w:cs="Calibri"/>
              </w:rPr>
            </w:pPr>
            <w:r w:rsidRPr="00D633FF">
              <w:rPr>
                <w:rFonts w:ascii="Calibri" w:eastAsia="Times New Roman" w:hAnsi="Calibri" w:cs="Calibri"/>
              </w:rPr>
              <w:t>51-70</w:t>
            </w:r>
          </w:p>
        </w:tc>
        <w:tc>
          <w:tcPr>
            <w:tcW w:w="1134" w:type="dxa"/>
            <w:vAlign w:val="center"/>
          </w:tcPr>
          <w:p w14:paraId="6E4D6EEC"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2126" w:type="dxa"/>
            <w:vAlign w:val="center"/>
          </w:tcPr>
          <w:p w14:paraId="2BA557D6" w14:textId="20DA52F3"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1.9</w:t>
            </w:r>
          </w:p>
        </w:tc>
        <w:tc>
          <w:tcPr>
            <w:tcW w:w="1985" w:type="dxa"/>
            <w:vAlign w:val="center"/>
          </w:tcPr>
          <w:p w14:paraId="01276937" w14:textId="21E003E7" w:rsidR="0068647C" w:rsidRPr="00A85655"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85655">
              <w:rPr>
                <w:rFonts w:ascii="Calibri" w:eastAsia="Times New Roman" w:hAnsi="Calibri" w:cs="Calibri"/>
                <w:color w:val="000000"/>
              </w:rPr>
              <w:t>27.5</w:t>
            </w:r>
          </w:p>
        </w:tc>
        <w:tc>
          <w:tcPr>
            <w:tcW w:w="2835" w:type="dxa"/>
            <w:vAlign w:val="center"/>
          </w:tcPr>
          <w:p w14:paraId="5FFC067F" w14:textId="6AD881AA" w:rsidR="0068647C" w:rsidRPr="004E3FBC"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E3FBC">
              <w:rPr>
                <w:rFonts w:ascii="Calibri" w:eastAsia="Times New Roman" w:hAnsi="Calibri" w:cs="Calibri"/>
                <w:color w:val="000000"/>
              </w:rPr>
              <w:t>2.9</w:t>
            </w:r>
          </w:p>
        </w:tc>
      </w:tr>
      <w:tr w:rsidR="0068647C" w:rsidRPr="00D633FF" w14:paraId="4D1F3C11"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tcBorders>
              <w:bottom w:val="single" w:sz="4" w:space="0" w:color="auto"/>
            </w:tcBorders>
            <w:noWrap/>
          </w:tcPr>
          <w:p w14:paraId="190B807E" w14:textId="77777777" w:rsidR="0068647C" w:rsidRPr="00D633FF" w:rsidRDefault="0068647C" w:rsidP="0068647C">
            <w:pPr>
              <w:keepNext/>
              <w:keepLines/>
              <w:widowControl w:val="0"/>
              <w:spacing w:before="40" w:after="40" w:line="276" w:lineRule="auto"/>
              <w:rPr>
                <w:rFonts w:ascii="Calibri" w:eastAsia="Times New Roman" w:hAnsi="Calibri" w:cs="Calibri"/>
              </w:rPr>
            </w:pPr>
          </w:p>
        </w:tc>
        <w:tc>
          <w:tcPr>
            <w:tcW w:w="1134" w:type="dxa"/>
            <w:shd w:val="clear" w:color="auto" w:fill="FFFFFF"/>
            <w:vAlign w:val="center"/>
          </w:tcPr>
          <w:p w14:paraId="694D24E8"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2126" w:type="dxa"/>
            <w:shd w:val="clear" w:color="auto" w:fill="FFFFFF"/>
            <w:vAlign w:val="center"/>
          </w:tcPr>
          <w:p w14:paraId="4F8DCEE4" w14:textId="0066C59C"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w:t>
            </w:r>
          </w:p>
        </w:tc>
        <w:tc>
          <w:tcPr>
            <w:tcW w:w="1985" w:type="dxa"/>
            <w:shd w:val="clear" w:color="auto" w:fill="FFFFFF"/>
            <w:vAlign w:val="center"/>
          </w:tcPr>
          <w:p w14:paraId="0E46EF47" w14:textId="510CC77D" w:rsidR="0068647C" w:rsidRPr="00A85655"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85655">
              <w:rPr>
                <w:rFonts w:ascii="Calibri" w:eastAsia="Times New Roman" w:hAnsi="Calibri" w:cs="Calibri"/>
                <w:color w:val="000000"/>
              </w:rPr>
              <w:t>36.6</w:t>
            </w:r>
          </w:p>
        </w:tc>
        <w:tc>
          <w:tcPr>
            <w:tcW w:w="2835" w:type="dxa"/>
            <w:shd w:val="clear" w:color="auto" w:fill="FFFFFF"/>
            <w:vAlign w:val="center"/>
          </w:tcPr>
          <w:p w14:paraId="5256203A" w14:textId="51FA98D1" w:rsidR="0068647C" w:rsidRPr="004E3FBC"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E3FBC">
              <w:rPr>
                <w:rFonts w:ascii="Calibri" w:eastAsia="Times New Roman" w:hAnsi="Calibri" w:cs="Calibri"/>
                <w:color w:val="000000"/>
              </w:rPr>
              <w:t>2.0</w:t>
            </w:r>
          </w:p>
        </w:tc>
      </w:tr>
      <w:tr w:rsidR="0068647C" w:rsidRPr="00D633FF" w14:paraId="17586C5F"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val="restart"/>
            <w:noWrap/>
            <w:hideMark/>
          </w:tcPr>
          <w:p w14:paraId="425040B3" w14:textId="77777777" w:rsidR="0068647C" w:rsidRPr="00D633FF" w:rsidRDefault="0068647C" w:rsidP="0068647C">
            <w:pPr>
              <w:keepNext/>
              <w:keepLines/>
              <w:widowControl w:val="0"/>
              <w:spacing w:before="40" w:after="40" w:line="276" w:lineRule="auto"/>
              <w:rPr>
                <w:rFonts w:ascii="Calibri" w:eastAsia="Times New Roman" w:hAnsi="Calibri" w:cs="Calibri"/>
              </w:rPr>
            </w:pPr>
            <w:r w:rsidRPr="00D633FF">
              <w:rPr>
                <w:rFonts w:ascii="Calibri" w:eastAsia="Times New Roman" w:hAnsi="Calibri" w:cs="Calibri"/>
              </w:rPr>
              <w:t>71 and over</w:t>
            </w:r>
          </w:p>
        </w:tc>
        <w:tc>
          <w:tcPr>
            <w:tcW w:w="1134" w:type="dxa"/>
            <w:vAlign w:val="center"/>
          </w:tcPr>
          <w:p w14:paraId="1BCEFBC8"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2126" w:type="dxa"/>
            <w:vAlign w:val="center"/>
          </w:tcPr>
          <w:p w14:paraId="6E9DD895" w14:textId="7F63211F"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1.6</w:t>
            </w:r>
          </w:p>
        </w:tc>
        <w:tc>
          <w:tcPr>
            <w:tcW w:w="1985" w:type="dxa"/>
            <w:vAlign w:val="center"/>
          </w:tcPr>
          <w:p w14:paraId="388ABD6C" w14:textId="46AE4586" w:rsidR="0068647C" w:rsidRPr="00A85655"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85655">
              <w:rPr>
                <w:rFonts w:ascii="Calibri" w:eastAsia="Times New Roman" w:hAnsi="Calibri" w:cs="Calibri"/>
                <w:color w:val="000000"/>
              </w:rPr>
              <w:t>28.8</w:t>
            </w:r>
          </w:p>
        </w:tc>
        <w:tc>
          <w:tcPr>
            <w:tcW w:w="2835" w:type="dxa"/>
            <w:vAlign w:val="center"/>
          </w:tcPr>
          <w:p w14:paraId="3D91A449" w14:textId="607C5506" w:rsidR="0068647C" w:rsidRPr="004E3FBC"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E3FBC">
              <w:rPr>
                <w:rFonts w:ascii="Calibri" w:eastAsia="Times New Roman" w:hAnsi="Calibri" w:cs="Calibri"/>
                <w:color w:val="000000"/>
              </w:rPr>
              <w:t>2.1</w:t>
            </w:r>
          </w:p>
        </w:tc>
      </w:tr>
      <w:tr w:rsidR="0068647C" w:rsidRPr="00D633FF" w14:paraId="7E135C1C"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980" w:type="dxa"/>
            <w:vMerge/>
            <w:noWrap/>
            <w:vAlign w:val="center"/>
          </w:tcPr>
          <w:p w14:paraId="364248E9" w14:textId="77777777" w:rsidR="0068647C" w:rsidRPr="00D633FF" w:rsidRDefault="0068647C" w:rsidP="00B10ED7">
            <w:pPr>
              <w:keepNext/>
              <w:keepLines/>
              <w:widowControl w:val="0"/>
              <w:spacing w:before="40" w:after="40" w:line="276" w:lineRule="auto"/>
              <w:rPr>
                <w:rFonts w:ascii="Calibri" w:eastAsia="Times New Roman" w:hAnsi="Calibri" w:cs="Calibri"/>
                <w:highlight w:val="lightGray"/>
              </w:rPr>
            </w:pPr>
          </w:p>
        </w:tc>
        <w:tc>
          <w:tcPr>
            <w:tcW w:w="1134" w:type="dxa"/>
            <w:shd w:val="clear" w:color="auto" w:fill="FFFFFF"/>
            <w:vAlign w:val="center"/>
          </w:tcPr>
          <w:p w14:paraId="27F3E8AA" w14:textId="77777777" w:rsidR="0068647C" w:rsidRPr="00D633FF" w:rsidRDefault="0068647C" w:rsidP="00C354AF">
            <w:pPr>
              <w:keepNext/>
              <w:keepLines/>
              <w:widowControl w:val="0"/>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2126" w:type="dxa"/>
            <w:shd w:val="clear" w:color="auto" w:fill="FFFFFF"/>
            <w:vAlign w:val="center"/>
          </w:tcPr>
          <w:p w14:paraId="53318950" w14:textId="54E5B5D5" w:rsidR="0068647C" w:rsidRPr="00D633FF"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c>
          <w:tcPr>
            <w:tcW w:w="1985" w:type="dxa"/>
            <w:shd w:val="clear" w:color="auto" w:fill="FFFFFF"/>
            <w:vAlign w:val="center"/>
          </w:tcPr>
          <w:p w14:paraId="2E6DADD0" w14:textId="3E47B4A1" w:rsidR="0068647C" w:rsidRPr="00A85655"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85655">
              <w:rPr>
                <w:rFonts w:ascii="Calibri" w:eastAsia="Times New Roman" w:hAnsi="Calibri" w:cs="Calibri"/>
                <w:color w:val="000000"/>
              </w:rPr>
              <w:t>53.0</w:t>
            </w:r>
          </w:p>
        </w:tc>
        <w:tc>
          <w:tcPr>
            <w:tcW w:w="2835" w:type="dxa"/>
            <w:shd w:val="clear" w:color="auto" w:fill="FFFFFF"/>
            <w:vAlign w:val="center"/>
          </w:tcPr>
          <w:p w14:paraId="40B1BFAE" w14:textId="4BA86DC6" w:rsidR="0068647C" w:rsidRPr="004E3FBC" w:rsidRDefault="0068647C" w:rsidP="00B10ED7">
            <w:pPr>
              <w:keepNext/>
              <w:keepLines/>
              <w:widowControl w:val="0"/>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E3FBC">
              <w:rPr>
                <w:rFonts w:ascii="Calibri" w:eastAsia="Times New Roman" w:hAnsi="Calibri" w:cs="Calibri"/>
                <w:color w:val="000000"/>
              </w:rPr>
              <w:t>1.9</w:t>
            </w:r>
          </w:p>
        </w:tc>
      </w:tr>
    </w:tbl>
    <w:p w14:paraId="47C19F93" w14:textId="77777777" w:rsidR="00DD04E9" w:rsidRPr="00A85655" w:rsidRDefault="00DD04E9" w:rsidP="00DD04E9">
      <w:pPr>
        <w:keepNext/>
        <w:keepLines/>
        <w:widowControl w:val="0"/>
        <w:spacing w:line="276" w:lineRule="auto"/>
        <w:contextualSpacing/>
        <w:rPr>
          <w:rFonts w:ascii="Calibri" w:eastAsia="Arial" w:hAnsi="Calibri" w:cs="Calibri"/>
          <w:sz w:val="16"/>
          <w:szCs w:val="16"/>
        </w:rPr>
      </w:pPr>
      <w:r w:rsidRPr="00A85655">
        <w:rPr>
          <w:rFonts w:ascii="Calibri" w:eastAsia="Arial" w:hAnsi="Calibri" w:cs="Calibri"/>
          <w:b/>
          <w:bCs/>
          <w:sz w:val="16"/>
          <w:szCs w:val="16"/>
        </w:rPr>
        <w:t>Source:</w:t>
      </w:r>
      <w:r w:rsidRPr="00A85655">
        <w:rPr>
          <w:rFonts w:ascii="Calibri" w:eastAsia="Arial" w:hAnsi="Calibri" w:cs="Calibri"/>
          <w:sz w:val="16"/>
          <w:szCs w:val="16"/>
        </w:rPr>
        <w:t xml:space="preserve"> </w:t>
      </w:r>
      <w:hyperlink r:id="rId34" w:history="1">
        <w:r w:rsidRPr="00A85655">
          <w:rPr>
            <w:rFonts w:ascii="Calibri" w:eastAsia="Arial" w:hAnsi="Calibri" w:cs="Calibri"/>
            <w:color w:val="006CBC"/>
            <w:sz w:val="14"/>
            <w:u w:val="single"/>
          </w:rPr>
          <w:t>https://www.health.govt.nz/system/files/2011-10/a-focus-on-nutrition-v2.pdf</w:t>
        </w:r>
      </w:hyperlink>
    </w:p>
    <w:p w14:paraId="6A13988D" w14:textId="168411D0" w:rsidR="00DD04E9" w:rsidRPr="00A85655" w:rsidRDefault="00DD04E9" w:rsidP="00DD04E9">
      <w:pPr>
        <w:keepNext/>
        <w:keepLines/>
        <w:widowControl w:val="0"/>
        <w:spacing w:line="276" w:lineRule="auto"/>
        <w:contextualSpacing/>
        <w:rPr>
          <w:rFonts w:ascii="Calibri" w:eastAsia="Arial" w:hAnsi="Calibri" w:cs="Calibri"/>
          <w:sz w:val="16"/>
          <w:szCs w:val="16"/>
        </w:rPr>
      </w:pPr>
      <w:r w:rsidRPr="00A85655">
        <w:rPr>
          <w:rFonts w:ascii="Calibri" w:eastAsia="Arial" w:hAnsi="Calibri" w:cs="Calibri"/>
          <w:b/>
          <w:bCs/>
          <w:sz w:val="16"/>
          <w:szCs w:val="16"/>
        </w:rPr>
        <w:t>Abbreviations</w:t>
      </w:r>
      <w:r w:rsidR="005B061B" w:rsidRPr="00A85655">
        <w:rPr>
          <w:rFonts w:ascii="Calibri" w:eastAsia="Arial" w:hAnsi="Calibri" w:cs="Calibri"/>
          <w:b/>
          <w:bCs/>
          <w:sz w:val="16"/>
          <w:szCs w:val="16"/>
        </w:rPr>
        <w:t xml:space="preserve">: </w:t>
      </w:r>
      <w:r w:rsidRPr="00A85655">
        <w:rPr>
          <w:rFonts w:ascii="Calibri" w:eastAsia="Arial" w:hAnsi="Calibri" w:cs="Calibri"/>
          <w:sz w:val="16"/>
          <w:szCs w:val="16"/>
        </w:rPr>
        <w:t>EAR, estimated average requirement.</w:t>
      </w:r>
    </w:p>
    <w:p w14:paraId="04453863" w14:textId="0CD04460" w:rsidR="00A126B8" w:rsidRDefault="00DD04E9" w:rsidP="00DD085D">
      <w:pPr>
        <w:spacing w:before="0" w:line="276" w:lineRule="auto"/>
        <w:rPr>
          <w:rFonts w:ascii="Calibri" w:eastAsia="Arial" w:hAnsi="Calibri" w:cs="Calibri"/>
          <w:sz w:val="16"/>
          <w:szCs w:val="16"/>
        </w:rPr>
      </w:pPr>
      <w:r w:rsidRPr="00A85655">
        <w:rPr>
          <w:rFonts w:ascii="Calibri" w:eastAsia="Arial" w:hAnsi="Calibri" w:cs="Calibri"/>
          <w:b/>
          <w:bCs/>
          <w:sz w:val="16"/>
          <w:szCs w:val="16"/>
          <w:vertAlign w:val="superscript"/>
        </w:rPr>
        <w:t>#</w:t>
      </w:r>
      <w:r w:rsidRPr="00A85655">
        <w:rPr>
          <w:rFonts w:ascii="Calibri" w:eastAsia="Arial" w:hAnsi="Calibri" w:cs="Calibri"/>
          <w:sz w:val="16"/>
          <w:szCs w:val="16"/>
        </w:rPr>
        <w:t xml:space="preserve"> Coefficient of variation of estimated inadequate intake is greater than 50% and confidence interval lies outside range (0–5%). Estimate should be interpreted with caution due to the high level of imprecision relative to the estimate.</w:t>
      </w:r>
    </w:p>
    <w:p w14:paraId="0F04E5E3" w14:textId="339C3E4F" w:rsidR="008C41EF" w:rsidRDefault="007D29D0" w:rsidP="007D29D0">
      <w:pPr>
        <w:spacing w:line="276" w:lineRule="auto"/>
        <w:rPr>
          <w:szCs w:val="22"/>
        </w:rPr>
      </w:pPr>
      <w:r w:rsidRPr="0092635F">
        <w:rPr>
          <w:rFonts w:eastAsia="Times New Roman" w:cs="Arial"/>
          <w:color w:val="auto"/>
        </w:rPr>
        <w:t>Among Māori and Pacific males and females there were no differences in vitamin B6 intake by age group.</w:t>
      </w:r>
      <w:r w:rsidR="008C41EF" w:rsidRPr="008C41EF">
        <w:rPr>
          <w:szCs w:val="22"/>
        </w:rPr>
        <w:t xml:space="preserve"> </w:t>
      </w:r>
    </w:p>
    <w:p w14:paraId="46C289E2" w14:textId="3D0E306E" w:rsidR="007D29D0" w:rsidRDefault="008C41EF" w:rsidP="007D29D0">
      <w:pPr>
        <w:spacing w:line="276" w:lineRule="auto"/>
        <w:rPr>
          <w:rFonts w:eastAsia="Times New Roman" w:cs="Arial"/>
          <w:color w:val="auto"/>
        </w:rPr>
      </w:pPr>
      <w:r w:rsidRPr="00E82E19">
        <w:rPr>
          <w:szCs w:val="22"/>
        </w:rPr>
        <w:t xml:space="preserve">The 2008/09 New Zealand Adult Nutrition Survey collected data regarding Vitamin B6 intake for ‘dietary supplements’ (ref NZANS) </w:t>
      </w:r>
      <w:r w:rsidR="00BB6B5E">
        <w:rPr>
          <w:szCs w:val="22"/>
        </w:rPr>
        <w:t>T</w:t>
      </w:r>
      <w:r w:rsidRPr="00E82E19">
        <w:rPr>
          <w:szCs w:val="22"/>
        </w:rPr>
        <w:t xml:space="preserve">hese were defined as ‘anything the participant considered to be a supplement to their diet. Supplements therefore included a range of substances, from vitamins and minerals to ‘other’ dietary supplements such as flaxseed oil, garlic and spirulina’ (Winsome 2011). </w:t>
      </w:r>
    </w:p>
    <w:p w14:paraId="73A74BBC" w14:textId="4D8F255A" w:rsidR="00E82E19" w:rsidRPr="00E82E19" w:rsidRDefault="00F62F2D" w:rsidP="00E82E19">
      <w:pPr>
        <w:spacing w:line="276" w:lineRule="auto"/>
        <w:rPr>
          <w:szCs w:val="22"/>
        </w:rPr>
      </w:pPr>
      <w:r w:rsidRPr="0094548F">
        <w:rPr>
          <w:szCs w:val="22"/>
        </w:rPr>
        <w:t xml:space="preserve">Overall, dietary vitamin B6 intake remains well below the </w:t>
      </w:r>
      <w:r w:rsidR="006F0903">
        <w:rPr>
          <w:szCs w:val="22"/>
        </w:rPr>
        <w:t xml:space="preserve">proposed </w:t>
      </w:r>
      <w:r w:rsidRPr="0094548F">
        <w:rPr>
          <w:szCs w:val="22"/>
        </w:rPr>
        <w:t>UL</w:t>
      </w:r>
      <w:r>
        <w:rPr>
          <w:szCs w:val="22"/>
        </w:rPr>
        <w:t xml:space="preserve"> in both Australia and New Zealand for all population groups</w:t>
      </w:r>
      <w:r w:rsidR="00DD085D">
        <w:rPr>
          <w:szCs w:val="22"/>
        </w:rPr>
        <w:t>,</w:t>
      </w:r>
      <w:r>
        <w:rPr>
          <w:szCs w:val="22"/>
        </w:rPr>
        <w:t xml:space="preserve"> </w:t>
      </w:r>
      <w:r w:rsidR="009B2514">
        <w:rPr>
          <w:szCs w:val="22"/>
        </w:rPr>
        <w:t>with</w:t>
      </w:r>
      <w:r w:rsidR="007C357F">
        <w:rPr>
          <w:szCs w:val="22"/>
        </w:rPr>
        <w:t xml:space="preserve"> usual intake data </w:t>
      </w:r>
      <w:r w:rsidR="0088139E">
        <w:rPr>
          <w:szCs w:val="22"/>
        </w:rPr>
        <w:t>includ</w:t>
      </w:r>
      <w:r w:rsidR="009B2514">
        <w:rPr>
          <w:szCs w:val="22"/>
        </w:rPr>
        <w:t>ing</w:t>
      </w:r>
      <w:r w:rsidR="0088139E">
        <w:rPr>
          <w:szCs w:val="22"/>
        </w:rPr>
        <w:t xml:space="preserve"> dietary supplements for New Zealand </w:t>
      </w:r>
      <w:r w:rsidR="00670866">
        <w:rPr>
          <w:szCs w:val="22"/>
        </w:rPr>
        <w:t>but not</w:t>
      </w:r>
      <w:r w:rsidR="007C357F">
        <w:rPr>
          <w:szCs w:val="22"/>
        </w:rPr>
        <w:t xml:space="preserve"> for Australia</w:t>
      </w:r>
      <w:r w:rsidR="007C357F" w:rsidRPr="0094548F">
        <w:rPr>
          <w:szCs w:val="22"/>
        </w:rPr>
        <w:t xml:space="preserve">. </w:t>
      </w:r>
      <w:r w:rsidRPr="0094548F">
        <w:rPr>
          <w:szCs w:val="22"/>
        </w:rPr>
        <w:t xml:space="preserve"> </w:t>
      </w:r>
    </w:p>
    <w:p w14:paraId="5AEA7EE6" w14:textId="08CB0A7A" w:rsidR="00F62F2D" w:rsidRDefault="00F62F2D" w:rsidP="00DD04E9">
      <w:pPr>
        <w:spacing w:line="276" w:lineRule="auto"/>
        <w:rPr>
          <w:szCs w:val="22"/>
        </w:rPr>
      </w:pPr>
      <w:r w:rsidRPr="0094548F">
        <w:rPr>
          <w:szCs w:val="22"/>
        </w:rPr>
        <w:t xml:space="preserve">This is an important limitation because high-dose supplemental vitamin B6, rather than intake from foods and fortified beverages, is the main exposure source relevant to </w:t>
      </w:r>
      <w:r>
        <w:rPr>
          <w:szCs w:val="22"/>
        </w:rPr>
        <w:t xml:space="preserve">peripheral </w:t>
      </w:r>
      <w:r w:rsidRPr="0094548F">
        <w:rPr>
          <w:szCs w:val="22"/>
        </w:rPr>
        <w:t>neuropathy risk</w:t>
      </w:r>
      <w:r>
        <w:rPr>
          <w:szCs w:val="22"/>
        </w:rPr>
        <w:t xml:space="preserve"> </w:t>
      </w:r>
      <w:r w:rsidR="0045011E">
        <w:rPr>
          <w:noProof/>
        </w:rPr>
        <w:t>(SLR, 2006)</w:t>
      </w:r>
      <w:r w:rsidRPr="00451635">
        <w:rPr>
          <w:szCs w:val="22"/>
        </w:rPr>
        <w:t>.</w:t>
      </w:r>
      <w:r>
        <w:rPr>
          <w:szCs w:val="22"/>
        </w:rPr>
        <w:t xml:space="preserve"> </w:t>
      </w:r>
    </w:p>
    <w:p w14:paraId="5F100647" w14:textId="77777777" w:rsidR="00B1376D" w:rsidRDefault="00B1376D" w:rsidP="00721B19">
      <w:pPr>
        <w:spacing w:line="276" w:lineRule="auto"/>
        <w:rPr>
          <w:rFonts w:eastAsia="Times New Roman" w:cs="Arial"/>
          <w:b/>
          <w:bCs/>
          <w:i/>
          <w:iCs/>
          <w:color w:val="auto"/>
        </w:rPr>
      </w:pPr>
    </w:p>
    <w:p w14:paraId="4DF88A66" w14:textId="52925114" w:rsidR="00081A42" w:rsidRDefault="00081A42" w:rsidP="00721B19">
      <w:pPr>
        <w:spacing w:line="276" w:lineRule="auto"/>
        <w:rPr>
          <w:rFonts w:eastAsia="Times New Roman" w:cs="Arial"/>
          <w:b/>
          <w:bCs/>
          <w:i/>
          <w:iCs/>
          <w:color w:val="auto"/>
        </w:rPr>
      </w:pPr>
      <w:r>
        <w:rPr>
          <w:rFonts w:eastAsia="Times New Roman" w:cs="Arial"/>
          <w:b/>
          <w:bCs/>
          <w:i/>
          <w:iCs/>
          <w:color w:val="auto"/>
        </w:rPr>
        <w:t xml:space="preserve">Food </w:t>
      </w:r>
      <w:r w:rsidR="00DC3C95">
        <w:rPr>
          <w:rFonts w:eastAsia="Times New Roman" w:cs="Arial"/>
          <w:b/>
          <w:bCs/>
          <w:i/>
          <w:iCs/>
          <w:color w:val="auto"/>
        </w:rPr>
        <w:t>Supply R</w:t>
      </w:r>
      <w:r>
        <w:rPr>
          <w:rFonts w:eastAsia="Times New Roman" w:cs="Arial"/>
          <w:b/>
          <w:bCs/>
          <w:i/>
          <w:iCs/>
          <w:color w:val="auto"/>
        </w:rPr>
        <w:t>egulation</w:t>
      </w:r>
    </w:p>
    <w:p w14:paraId="5EFF2CC1" w14:textId="5F04AC56" w:rsidR="00081A42" w:rsidRPr="0065619A" w:rsidRDefault="00081A42" w:rsidP="00081A42">
      <w:pPr>
        <w:spacing w:before="0" w:after="0" w:line="276" w:lineRule="auto"/>
        <w:ind w:right="170"/>
        <w:rPr>
          <w:color w:val="000000"/>
          <w:kern w:val="2"/>
          <w:szCs w:val="20"/>
          <w14:ligatures w14:val="standardContextual"/>
        </w:rPr>
      </w:pPr>
      <w:r w:rsidRPr="0065619A">
        <w:t>The Australia New Zealand Food Standards Code regulates when vitamin B</w:t>
      </w:r>
      <w:r>
        <w:t>6</w:t>
      </w:r>
      <w:r w:rsidRPr="0065619A">
        <w:t xml:space="preserve"> can be added to foods. Vitamin B</w:t>
      </w:r>
      <w:r>
        <w:t>6</w:t>
      </w:r>
      <w:r w:rsidRPr="0065619A">
        <w:t xml:space="preserve"> may only be added where the Code provides a permission. Relevant permissions and requirements are set out across Standard 1.3.2, </w:t>
      </w:r>
      <w:r w:rsidR="00482AE7">
        <w:t xml:space="preserve">Standard 2.9, </w:t>
      </w:r>
      <w:r w:rsidRPr="0065619A">
        <w:t>Schedule 17</w:t>
      </w:r>
      <w:r w:rsidR="00742D99">
        <w:t>, 28</w:t>
      </w:r>
      <w:r w:rsidRPr="0065619A">
        <w:t xml:space="preserve"> and Schedule 29, including for formulated caffeinated beverages and special purpose foods such as formulated meal </w:t>
      </w:r>
      <w:r w:rsidRPr="0065619A">
        <w:lastRenderedPageBreak/>
        <w:t>replacements, formulated supplementary foods, formulated supplementary sports foods, foods for special medical purposes and infant formula products.</w:t>
      </w:r>
      <w:r w:rsidR="00C15396">
        <w:t xml:space="preserve"> A summary of permissions is included in Table 4</w:t>
      </w:r>
    </w:p>
    <w:p w14:paraId="7E64E1F1" w14:textId="616B24C8" w:rsidR="00081A42" w:rsidRPr="0065619A" w:rsidRDefault="00081A42">
      <w:pPr>
        <w:pStyle w:val="ListParagraph"/>
        <w:numPr>
          <w:ilvl w:val="0"/>
          <w:numId w:val="34"/>
        </w:numPr>
        <w:rPr>
          <w:kern w:val="2"/>
          <w14:ligatures w14:val="standardContextual"/>
        </w:rPr>
      </w:pPr>
      <w:r w:rsidRPr="0065619A">
        <w:t>The Code does not permit general discretionary fortification with vitamin B</w:t>
      </w:r>
      <w:r>
        <w:t>6</w:t>
      </w:r>
      <w:r w:rsidRPr="0065619A">
        <w:t>. Vitamins and minerals can only be added to foods where there is a specific permission in the Code.</w:t>
      </w:r>
    </w:p>
    <w:p w14:paraId="7F3CE816" w14:textId="48BB3A3B" w:rsidR="00081A42" w:rsidRPr="0065619A" w:rsidRDefault="00081A42">
      <w:pPr>
        <w:pStyle w:val="ListParagraph"/>
        <w:numPr>
          <w:ilvl w:val="0"/>
          <w:numId w:val="34"/>
        </w:numPr>
      </w:pPr>
      <w:r w:rsidRPr="0065619A">
        <w:t>For formulated caffeinated beverages, the Code permits the addition of specified vitamins, including vitamin B</w:t>
      </w:r>
      <w:r>
        <w:t>6</w:t>
      </w:r>
      <w:r w:rsidRPr="0065619A">
        <w:t>, and requires labelling information such as the recommended maximum daily quantity of the beverage.</w:t>
      </w:r>
    </w:p>
    <w:p w14:paraId="5EA098D7" w14:textId="4364D95F" w:rsidR="00081A42" w:rsidRPr="0065619A" w:rsidRDefault="00081A42">
      <w:pPr>
        <w:pStyle w:val="ListParagraph"/>
        <w:numPr>
          <w:ilvl w:val="0"/>
          <w:numId w:val="34"/>
        </w:numPr>
      </w:pPr>
      <w:r w:rsidRPr="0065619A">
        <w:t>For special purpose foods, vitamin B</w:t>
      </w:r>
      <w:r>
        <w:t>6</w:t>
      </w:r>
      <w:r w:rsidRPr="0065619A">
        <w:t xml:space="preserve"> permissions and compositional limits vary by food category. These include formulated meal replacements, formulated supplementary foods, formulated supplementary sports foods, foods for special medical purposes and infant formula products.</w:t>
      </w:r>
    </w:p>
    <w:p w14:paraId="231BEFFF" w14:textId="77777777" w:rsidR="00240CD8" w:rsidRDefault="00240CD8" w:rsidP="00240CD8">
      <w:pPr>
        <w:pStyle w:val="ListParagraph"/>
        <w:numPr>
          <w:ilvl w:val="0"/>
          <w:numId w:val="0"/>
        </w:numPr>
        <w:ind w:left="720"/>
      </w:pPr>
    </w:p>
    <w:p w14:paraId="3C6D4398" w14:textId="77777777" w:rsidR="00430CC8" w:rsidRDefault="00430CC8" w:rsidP="00240CD8">
      <w:pPr>
        <w:keepNext/>
        <w:keepLines/>
        <w:widowControl w:val="0"/>
        <w:spacing w:after="120"/>
        <w:rPr>
          <w:rFonts w:ascii="Calibri" w:eastAsia="Arial" w:hAnsi="Calibri" w:cs="Calibri"/>
          <w:b/>
          <w:iCs/>
          <w:caps/>
          <w:szCs w:val="24"/>
        </w:rPr>
        <w:sectPr w:rsidR="00430CC8" w:rsidSect="00D75D51">
          <w:headerReference w:type="first" r:id="rId35"/>
          <w:pgSz w:w="16838" w:h="11906" w:orient="landscape" w:code="9"/>
          <w:pgMar w:top="907" w:right="1814" w:bottom="1134" w:left="1565" w:header="510" w:footer="454" w:gutter="0"/>
          <w:cols w:space="708"/>
          <w:titlePg/>
          <w:docGrid w:linePitch="360"/>
        </w:sectPr>
      </w:pPr>
    </w:p>
    <w:p w14:paraId="60C01CFD" w14:textId="2B2D2D53" w:rsidR="005458E2" w:rsidRPr="00902965" w:rsidRDefault="00CD3F29" w:rsidP="00902965">
      <w:pPr>
        <w:pStyle w:val="TableTitle"/>
        <w:ind w:left="1134"/>
        <w:rPr>
          <w:caps/>
          <w:sz w:val="18"/>
          <w:szCs w:val="16"/>
        </w:rPr>
      </w:pPr>
      <w:r w:rsidRPr="00902965">
        <w:rPr>
          <w:sz w:val="18"/>
          <w:szCs w:val="16"/>
        </w:rPr>
        <w:lastRenderedPageBreak/>
        <w:t>Summary of V</w:t>
      </w:r>
      <w:r w:rsidR="005458E2" w:rsidRPr="00902965">
        <w:rPr>
          <w:sz w:val="18"/>
          <w:szCs w:val="16"/>
        </w:rPr>
        <w:t xml:space="preserve">itamin B6 </w:t>
      </w:r>
      <w:r w:rsidRPr="00902965">
        <w:rPr>
          <w:sz w:val="18"/>
          <w:szCs w:val="16"/>
        </w:rPr>
        <w:t>permissions in A</w:t>
      </w:r>
      <w:r w:rsidR="00240CD8" w:rsidRPr="00902965">
        <w:rPr>
          <w:sz w:val="18"/>
          <w:szCs w:val="16"/>
        </w:rPr>
        <w:t>ustral</w:t>
      </w:r>
      <w:r w:rsidR="000F42B8">
        <w:rPr>
          <w:sz w:val="18"/>
          <w:szCs w:val="16"/>
        </w:rPr>
        <w:t>i</w:t>
      </w:r>
      <w:r w:rsidR="00240CD8" w:rsidRPr="00902965">
        <w:rPr>
          <w:sz w:val="18"/>
          <w:szCs w:val="16"/>
        </w:rPr>
        <w:t xml:space="preserve">a </w:t>
      </w:r>
      <w:r w:rsidR="000F42B8">
        <w:rPr>
          <w:sz w:val="18"/>
          <w:szCs w:val="16"/>
        </w:rPr>
        <w:t>and New Zealand</w:t>
      </w:r>
    </w:p>
    <w:tbl>
      <w:tblPr>
        <w:tblStyle w:val="SLROption1"/>
        <w:tblW w:w="0" w:type="auto"/>
        <w:tblLook w:val="04A0" w:firstRow="1" w:lastRow="0" w:firstColumn="1" w:lastColumn="0" w:noHBand="0" w:noVBand="1"/>
      </w:tblPr>
      <w:tblGrid>
        <w:gridCol w:w="6374"/>
        <w:gridCol w:w="4111"/>
        <w:gridCol w:w="2964"/>
      </w:tblGrid>
      <w:tr w:rsidR="005458E2" w14:paraId="10F806B3" w14:textId="77777777" w:rsidTr="00AD35A8">
        <w:trPr>
          <w:cnfStyle w:val="100000000000" w:firstRow="1" w:lastRow="0" w:firstColumn="0" w:lastColumn="0" w:oddVBand="0" w:evenVBand="0" w:oddHBand="0" w:evenHBand="0" w:firstRowFirstColumn="0" w:firstRowLastColumn="0" w:lastRowFirstColumn="0" w:lastRowLastColumn="0"/>
          <w:tblHeader w:val="0"/>
        </w:trPr>
        <w:tc>
          <w:tcPr>
            <w:tcW w:w="6374" w:type="dxa"/>
            <w:shd w:val="clear" w:color="auto" w:fill="E3F1F7" w:themeFill="accent1" w:themeFillTint="33"/>
          </w:tcPr>
          <w:p w14:paraId="3FE16ED6" w14:textId="77777777" w:rsidR="005458E2" w:rsidRPr="00240CD8" w:rsidRDefault="005458E2" w:rsidP="00240CD8">
            <w:pPr>
              <w:spacing w:before="0" w:after="0" w:line="240" w:lineRule="auto"/>
              <w:rPr>
                <w:b/>
                <w:bCs/>
                <w:i/>
                <w:iCs/>
                <w:sz w:val="18"/>
                <w:szCs w:val="18"/>
              </w:rPr>
            </w:pPr>
            <w:r w:rsidRPr="00240CD8">
              <w:rPr>
                <w:b/>
                <w:bCs/>
                <w:i/>
                <w:iCs/>
                <w:sz w:val="18"/>
                <w:szCs w:val="18"/>
              </w:rPr>
              <w:t>Food</w:t>
            </w:r>
          </w:p>
        </w:tc>
        <w:tc>
          <w:tcPr>
            <w:tcW w:w="4111" w:type="dxa"/>
            <w:shd w:val="clear" w:color="auto" w:fill="E3F1F7" w:themeFill="accent1" w:themeFillTint="33"/>
          </w:tcPr>
          <w:p w14:paraId="4665CC74" w14:textId="77777777" w:rsidR="005458E2" w:rsidRPr="00240CD8" w:rsidRDefault="005458E2" w:rsidP="00240CD8">
            <w:pPr>
              <w:spacing w:before="0" w:after="0" w:line="240" w:lineRule="auto"/>
              <w:rPr>
                <w:sz w:val="18"/>
                <w:szCs w:val="18"/>
              </w:rPr>
            </w:pPr>
            <w:r w:rsidRPr="00240CD8">
              <w:rPr>
                <w:b/>
                <w:bCs/>
                <w:i/>
                <w:iCs/>
                <w:sz w:val="18"/>
                <w:szCs w:val="18"/>
                <w:lang w:val="en-AU"/>
              </w:rPr>
              <w:t>Maximum claim per reference quantity (maximum percentage RDI claim)</w:t>
            </w:r>
          </w:p>
        </w:tc>
        <w:tc>
          <w:tcPr>
            <w:tcW w:w="2964" w:type="dxa"/>
            <w:shd w:val="clear" w:color="auto" w:fill="E3F1F7" w:themeFill="accent1" w:themeFillTint="33"/>
          </w:tcPr>
          <w:p w14:paraId="4A614745" w14:textId="77777777" w:rsidR="005458E2" w:rsidRPr="00240CD8" w:rsidRDefault="005458E2" w:rsidP="00240CD8">
            <w:pPr>
              <w:spacing w:before="0" w:after="0" w:line="240" w:lineRule="auto"/>
              <w:rPr>
                <w:sz w:val="18"/>
                <w:szCs w:val="18"/>
              </w:rPr>
            </w:pPr>
            <w:r w:rsidRPr="00240CD8">
              <w:rPr>
                <w:b/>
                <w:bCs/>
                <w:i/>
                <w:iCs/>
                <w:sz w:val="18"/>
                <w:szCs w:val="18"/>
                <w:lang w:val="en-AU"/>
              </w:rPr>
              <w:t xml:space="preserve">Maximum permitted amount </w:t>
            </w:r>
          </w:p>
        </w:tc>
      </w:tr>
      <w:tr w:rsidR="005458E2" w14:paraId="2C9C743E" w14:textId="77777777" w:rsidTr="00940F96">
        <w:tc>
          <w:tcPr>
            <w:tcW w:w="6374" w:type="dxa"/>
          </w:tcPr>
          <w:p w14:paraId="1625B255" w14:textId="77777777" w:rsidR="005458E2" w:rsidRPr="00240CD8" w:rsidRDefault="005458E2" w:rsidP="00240CD8">
            <w:pPr>
              <w:spacing w:before="0" w:after="0" w:line="240" w:lineRule="auto"/>
              <w:rPr>
                <w:sz w:val="18"/>
                <w:szCs w:val="18"/>
              </w:rPr>
            </w:pPr>
            <w:r w:rsidRPr="00240CD8">
              <w:rPr>
                <w:sz w:val="18"/>
                <w:szCs w:val="18"/>
              </w:rPr>
              <w:t xml:space="preserve">Cereals and cereal products (biscuits, </w:t>
            </w:r>
            <w:r w:rsidRPr="00240CD8">
              <w:rPr>
                <w:sz w:val="18"/>
                <w:szCs w:val="18"/>
                <w:lang w:val="en-AU"/>
              </w:rPr>
              <w:t>containing not more than 200 g/kg fat and not more than 50 g/kg sugars, bread, breakfast cereals, cereal flours, pasta)</w:t>
            </w:r>
          </w:p>
        </w:tc>
        <w:tc>
          <w:tcPr>
            <w:tcW w:w="4111" w:type="dxa"/>
          </w:tcPr>
          <w:p w14:paraId="3F372E49" w14:textId="77777777" w:rsidR="005458E2" w:rsidRPr="00240CD8" w:rsidRDefault="005458E2" w:rsidP="00240CD8">
            <w:pPr>
              <w:spacing w:before="0" w:after="0" w:line="240" w:lineRule="auto"/>
              <w:rPr>
                <w:sz w:val="18"/>
                <w:szCs w:val="18"/>
              </w:rPr>
            </w:pPr>
            <w:r w:rsidRPr="00240CD8">
              <w:rPr>
                <w:sz w:val="18"/>
                <w:szCs w:val="18"/>
              </w:rPr>
              <w:t>0.4 mg (25%)</w:t>
            </w:r>
          </w:p>
        </w:tc>
        <w:tc>
          <w:tcPr>
            <w:tcW w:w="2964" w:type="dxa"/>
          </w:tcPr>
          <w:p w14:paraId="42F78454" w14:textId="77777777" w:rsidR="005458E2" w:rsidRPr="00240CD8" w:rsidRDefault="005458E2" w:rsidP="00240CD8">
            <w:pPr>
              <w:spacing w:before="0" w:after="0" w:line="240" w:lineRule="auto"/>
              <w:rPr>
                <w:sz w:val="18"/>
                <w:szCs w:val="18"/>
              </w:rPr>
            </w:pPr>
          </w:p>
        </w:tc>
      </w:tr>
      <w:tr w:rsidR="005458E2" w14:paraId="36753438" w14:textId="77777777" w:rsidTr="00940F96">
        <w:tc>
          <w:tcPr>
            <w:tcW w:w="6374" w:type="dxa"/>
          </w:tcPr>
          <w:p w14:paraId="09242D51" w14:textId="77777777" w:rsidR="005458E2" w:rsidRPr="00240CD8" w:rsidRDefault="005458E2" w:rsidP="00240CD8">
            <w:pPr>
              <w:spacing w:before="0" w:after="0" w:line="240" w:lineRule="auto"/>
              <w:rPr>
                <w:sz w:val="18"/>
                <w:szCs w:val="18"/>
              </w:rPr>
            </w:pPr>
            <w:r w:rsidRPr="00240CD8">
              <w:rPr>
                <w:sz w:val="18"/>
                <w:szCs w:val="18"/>
              </w:rPr>
              <w:t xml:space="preserve">Extracts of meat, vegetable or yeast  </w:t>
            </w:r>
          </w:p>
        </w:tc>
        <w:tc>
          <w:tcPr>
            <w:tcW w:w="4111" w:type="dxa"/>
          </w:tcPr>
          <w:p w14:paraId="4BEB3825" w14:textId="77777777" w:rsidR="005458E2" w:rsidRPr="00240CD8" w:rsidRDefault="005458E2" w:rsidP="00240CD8">
            <w:pPr>
              <w:spacing w:before="0" w:after="0" w:line="240" w:lineRule="auto"/>
              <w:rPr>
                <w:sz w:val="18"/>
                <w:szCs w:val="18"/>
              </w:rPr>
            </w:pPr>
            <w:r w:rsidRPr="00240CD8">
              <w:rPr>
                <w:sz w:val="18"/>
                <w:szCs w:val="18"/>
              </w:rPr>
              <w:t>0.4 mg (25%)</w:t>
            </w:r>
          </w:p>
        </w:tc>
        <w:tc>
          <w:tcPr>
            <w:tcW w:w="2964" w:type="dxa"/>
          </w:tcPr>
          <w:p w14:paraId="19D5B45E" w14:textId="77777777" w:rsidR="005458E2" w:rsidRPr="00240CD8" w:rsidRDefault="005458E2" w:rsidP="00240CD8">
            <w:pPr>
              <w:spacing w:before="0" w:after="0" w:line="240" w:lineRule="auto"/>
              <w:rPr>
                <w:sz w:val="18"/>
                <w:szCs w:val="18"/>
              </w:rPr>
            </w:pPr>
          </w:p>
        </w:tc>
      </w:tr>
      <w:tr w:rsidR="005458E2" w14:paraId="06A3F6CC" w14:textId="77777777" w:rsidTr="00940F96">
        <w:tc>
          <w:tcPr>
            <w:tcW w:w="6374" w:type="dxa"/>
          </w:tcPr>
          <w:p w14:paraId="4961196A" w14:textId="77777777" w:rsidR="005458E2" w:rsidRPr="00240CD8" w:rsidRDefault="005458E2" w:rsidP="00240CD8">
            <w:pPr>
              <w:spacing w:before="0" w:after="0" w:line="240" w:lineRule="auto"/>
              <w:rPr>
                <w:sz w:val="18"/>
                <w:szCs w:val="18"/>
              </w:rPr>
            </w:pPr>
            <w:r w:rsidRPr="00240CD8">
              <w:rPr>
                <w:sz w:val="18"/>
                <w:szCs w:val="18"/>
              </w:rPr>
              <w:t>Beverages containing no less than 3% m/m protein derived from legumes</w:t>
            </w:r>
          </w:p>
        </w:tc>
        <w:tc>
          <w:tcPr>
            <w:tcW w:w="4111" w:type="dxa"/>
          </w:tcPr>
          <w:p w14:paraId="2D18E5E1" w14:textId="77777777" w:rsidR="005458E2" w:rsidRPr="00240CD8" w:rsidRDefault="005458E2" w:rsidP="00240CD8">
            <w:pPr>
              <w:spacing w:before="0" w:after="0" w:line="240" w:lineRule="auto"/>
              <w:rPr>
                <w:sz w:val="18"/>
                <w:szCs w:val="18"/>
              </w:rPr>
            </w:pPr>
            <w:r w:rsidRPr="00240CD8">
              <w:rPr>
                <w:sz w:val="18"/>
                <w:szCs w:val="18"/>
              </w:rPr>
              <w:t>no claim permitted</w:t>
            </w:r>
          </w:p>
        </w:tc>
        <w:tc>
          <w:tcPr>
            <w:tcW w:w="2964" w:type="dxa"/>
          </w:tcPr>
          <w:p w14:paraId="2F37B192" w14:textId="77777777" w:rsidR="005458E2" w:rsidRPr="00240CD8" w:rsidRDefault="005458E2" w:rsidP="00240CD8">
            <w:pPr>
              <w:spacing w:before="0" w:after="0" w:line="240" w:lineRule="auto"/>
              <w:rPr>
                <w:sz w:val="18"/>
                <w:szCs w:val="18"/>
              </w:rPr>
            </w:pPr>
            <w:r w:rsidRPr="00240CD8">
              <w:rPr>
                <w:sz w:val="18"/>
                <w:szCs w:val="18"/>
              </w:rPr>
              <w:t>0.12 mg/</w:t>
            </w:r>
            <w:r w:rsidRPr="00240CD8">
              <w:rPr>
                <w:sz w:val="18"/>
                <w:szCs w:val="18"/>
                <w:lang w:val="en-AU"/>
              </w:rPr>
              <w:t>reference quantity</w:t>
            </w:r>
          </w:p>
        </w:tc>
      </w:tr>
      <w:tr w:rsidR="005458E2" w14:paraId="28CA7443" w14:textId="77777777" w:rsidTr="00940F96">
        <w:tc>
          <w:tcPr>
            <w:tcW w:w="6374" w:type="dxa"/>
          </w:tcPr>
          <w:p w14:paraId="5B3FB1E5" w14:textId="77777777" w:rsidR="005458E2" w:rsidRPr="00240CD8" w:rsidRDefault="005458E2" w:rsidP="00240CD8">
            <w:pPr>
              <w:spacing w:before="0" w:after="0" w:line="240" w:lineRule="auto"/>
              <w:rPr>
                <w:sz w:val="18"/>
                <w:szCs w:val="18"/>
              </w:rPr>
            </w:pPr>
            <w:r w:rsidRPr="00240CD8">
              <w:rPr>
                <w:sz w:val="18"/>
                <w:szCs w:val="18"/>
                <w:lang w:val="en-AU"/>
              </w:rPr>
              <w:t>Analogues of meat, where no less than 12% of the energy value of the food is derived from protein, and the food contains no less than 5 g protein per serve of the food</w:t>
            </w:r>
          </w:p>
        </w:tc>
        <w:tc>
          <w:tcPr>
            <w:tcW w:w="4111" w:type="dxa"/>
          </w:tcPr>
          <w:p w14:paraId="35988A77" w14:textId="77777777" w:rsidR="005458E2" w:rsidRPr="00240CD8" w:rsidRDefault="005458E2" w:rsidP="00240CD8">
            <w:pPr>
              <w:spacing w:before="0" w:after="0" w:line="240" w:lineRule="auto"/>
              <w:rPr>
                <w:sz w:val="18"/>
                <w:szCs w:val="18"/>
              </w:rPr>
            </w:pPr>
            <w:r w:rsidRPr="00240CD8">
              <w:rPr>
                <w:sz w:val="18"/>
                <w:szCs w:val="18"/>
              </w:rPr>
              <w:t>0.5 mg (30%)</w:t>
            </w:r>
          </w:p>
        </w:tc>
        <w:tc>
          <w:tcPr>
            <w:tcW w:w="2964" w:type="dxa"/>
          </w:tcPr>
          <w:p w14:paraId="3804BCC4" w14:textId="77777777" w:rsidR="005458E2" w:rsidRPr="00240CD8" w:rsidRDefault="005458E2" w:rsidP="00240CD8">
            <w:pPr>
              <w:spacing w:before="0" w:after="0" w:line="240" w:lineRule="auto"/>
              <w:rPr>
                <w:sz w:val="18"/>
                <w:szCs w:val="18"/>
              </w:rPr>
            </w:pPr>
          </w:p>
        </w:tc>
      </w:tr>
      <w:tr w:rsidR="005458E2" w14:paraId="4B58C6E5" w14:textId="77777777" w:rsidTr="00940F96">
        <w:tc>
          <w:tcPr>
            <w:tcW w:w="6374" w:type="dxa"/>
          </w:tcPr>
          <w:p w14:paraId="79DAE5A2" w14:textId="77777777" w:rsidR="005458E2" w:rsidRPr="00240CD8" w:rsidRDefault="005458E2" w:rsidP="00240CD8">
            <w:pPr>
              <w:spacing w:before="0" w:after="0" w:line="240" w:lineRule="auto"/>
              <w:rPr>
                <w:sz w:val="18"/>
                <w:szCs w:val="18"/>
              </w:rPr>
            </w:pPr>
            <w:r w:rsidRPr="00240CD8">
              <w:rPr>
                <w:sz w:val="18"/>
                <w:szCs w:val="18"/>
                <w:lang w:val="en-AU"/>
              </w:rPr>
              <w:t>Analogues of yoghurt and dairy desserts containing no less than 3.1% m/m protein derived from legumes</w:t>
            </w:r>
          </w:p>
        </w:tc>
        <w:tc>
          <w:tcPr>
            <w:tcW w:w="4111" w:type="dxa"/>
          </w:tcPr>
          <w:p w14:paraId="5DA87A00" w14:textId="77777777" w:rsidR="005458E2" w:rsidRPr="00240CD8" w:rsidRDefault="005458E2" w:rsidP="00240CD8">
            <w:pPr>
              <w:spacing w:before="0" w:after="0" w:line="240" w:lineRule="auto"/>
              <w:rPr>
                <w:sz w:val="18"/>
                <w:szCs w:val="18"/>
              </w:rPr>
            </w:pPr>
            <w:r w:rsidRPr="00240CD8">
              <w:rPr>
                <w:sz w:val="18"/>
                <w:szCs w:val="18"/>
              </w:rPr>
              <w:t>no claim permitted</w:t>
            </w:r>
          </w:p>
        </w:tc>
        <w:tc>
          <w:tcPr>
            <w:tcW w:w="2964" w:type="dxa"/>
          </w:tcPr>
          <w:p w14:paraId="235D3F79" w14:textId="77777777" w:rsidR="005458E2" w:rsidRPr="00240CD8" w:rsidRDefault="005458E2" w:rsidP="00240CD8">
            <w:pPr>
              <w:spacing w:before="0" w:after="0" w:line="240" w:lineRule="auto"/>
              <w:rPr>
                <w:sz w:val="18"/>
                <w:szCs w:val="18"/>
              </w:rPr>
            </w:pPr>
            <w:r w:rsidRPr="00240CD8">
              <w:rPr>
                <w:sz w:val="18"/>
                <w:szCs w:val="18"/>
              </w:rPr>
              <w:t>0.11 mg/</w:t>
            </w:r>
            <w:r w:rsidRPr="00240CD8">
              <w:rPr>
                <w:sz w:val="18"/>
                <w:szCs w:val="18"/>
                <w:lang w:val="en-AU"/>
              </w:rPr>
              <w:t>reference quantity</w:t>
            </w:r>
            <w:r w:rsidRPr="00240CD8">
              <w:rPr>
                <w:sz w:val="18"/>
                <w:szCs w:val="18"/>
              </w:rPr>
              <w:t xml:space="preserve"> </w:t>
            </w:r>
          </w:p>
        </w:tc>
      </w:tr>
      <w:tr w:rsidR="005458E2" w14:paraId="0299E88A" w14:textId="77777777" w:rsidTr="00940F96">
        <w:tc>
          <w:tcPr>
            <w:tcW w:w="6374" w:type="dxa"/>
          </w:tcPr>
          <w:p w14:paraId="27D3130A" w14:textId="77777777" w:rsidR="005458E2" w:rsidRPr="00240CD8" w:rsidRDefault="005458E2" w:rsidP="00240CD8">
            <w:pPr>
              <w:spacing w:before="0" w:after="0" w:line="240" w:lineRule="auto"/>
              <w:rPr>
                <w:sz w:val="18"/>
                <w:szCs w:val="18"/>
              </w:rPr>
            </w:pPr>
            <w:r w:rsidRPr="00240CD8">
              <w:rPr>
                <w:sz w:val="18"/>
                <w:szCs w:val="18"/>
                <w:lang w:val="en-AU"/>
              </w:rPr>
              <w:t>Beverages containing no less than 0.3% m/m protein derived from cereals, nuts, seeds, or a combination of those ingredients</w:t>
            </w:r>
          </w:p>
        </w:tc>
        <w:tc>
          <w:tcPr>
            <w:tcW w:w="4111" w:type="dxa"/>
          </w:tcPr>
          <w:p w14:paraId="678E23EC" w14:textId="77777777" w:rsidR="005458E2" w:rsidRPr="00240CD8" w:rsidRDefault="005458E2" w:rsidP="00240CD8">
            <w:pPr>
              <w:spacing w:before="0" w:after="0" w:line="240" w:lineRule="auto"/>
              <w:rPr>
                <w:sz w:val="18"/>
                <w:szCs w:val="18"/>
              </w:rPr>
            </w:pPr>
            <w:r w:rsidRPr="00240CD8">
              <w:rPr>
                <w:sz w:val="18"/>
                <w:szCs w:val="18"/>
              </w:rPr>
              <w:t>no claim permitted</w:t>
            </w:r>
          </w:p>
        </w:tc>
        <w:tc>
          <w:tcPr>
            <w:tcW w:w="2964" w:type="dxa"/>
          </w:tcPr>
          <w:p w14:paraId="530504E7" w14:textId="77777777" w:rsidR="005458E2" w:rsidRPr="00240CD8" w:rsidRDefault="005458E2" w:rsidP="00240CD8">
            <w:pPr>
              <w:spacing w:before="0" w:after="0" w:line="240" w:lineRule="auto"/>
              <w:rPr>
                <w:sz w:val="18"/>
                <w:szCs w:val="18"/>
              </w:rPr>
            </w:pPr>
            <w:r w:rsidRPr="00240CD8">
              <w:rPr>
                <w:sz w:val="18"/>
                <w:szCs w:val="18"/>
              </w:rPr>
              <w:t>0.12 mg/</w:t>
            </w:r>
            <w:r w:rsidRPr="00240CD8">
              <w:rPr>
                <w:sz w:val="18"/>
                <w:szCs w:val="18"/>
                <w:lang w:val="en-AU"/>
              </w:rPr>
              <w:t>reference quantity</w:t>
            </w:r>
          </w:p>
        </w:tc>
      </w:tr>
      <w:tr w:rsidR="005458E2" w14:paraId="1D872183" w14:textId="77777777" w:rsidTr="00940F96">
        <w:tc>
          <w:tcPr>
            <w:tcW w:w="6374" w:type="dxa"/>
          </w:tcPr>
          <w:p w14:paraId="657AA8B5" w14:textId="77777777" w:rsidR="005458E2" w:rsidRPr="00240CD8" w:rsidRDefault="005458E2" w:rsidP="00240CD8">
            <w:pPr>
              <w:spacing w:before="0" w:after="0" w:line="240" w:lineRule="auto"/>
              <w:rPr>
                <w:b/>
                <w:bCs/>
                <w:sz w:val="18"/>
                <w:szCs w:val="18"/>
              </w:rPr>
            </w:pPr>
            <w:r w:rsidRPr="00240CD8">
              <w:rPr>
                <w:b/>
                <w:bCs/>
                <w:sz w:val="18"/>
                <w:szCs w:val="18"/>
              </w:rPr>
              <w:t>Special Purpose foods</w:t>
            </w:r>
          </w:p>
        </w:tc>
        <w:tc>
          <w:tcPr>
            <w:tcW w:w="4111" w:type="dxa"/>
          </w:tcPr>
          <w:p w14:paraId="2DA718E6" w14:textId="77777777" w:rsidR="005458E2" w:rsidRPr="00240CD8" w:rsidRDefault="005458E2" w:rsidP="00240CD8">
            <w:pPr>
              <w:spacing w:before="0" w:after="0" w:line="240" w:lineRule="auto"/>
              <w:rPr>
                <w:sz w:val="18"/>
                <w:szCs w:val="18"/>
              </w:rPr>
            </w:pPr>
          </w:p>
        </w:tc>
        <w:tc>
          <w:tcPr>
            <w:tcW w:w="2964" w:type="dxa"/>
          </w:tcPr>
          <w:p w14:paraId="7E7304AB" w14:textId="77777777" w:rsidR="005458E2" w:rsidRPr="00240CD8" w:rsidRDefault="005458E2" w:rsidP="00240CD8">
            <w:pPr>
              <w:spacing w:before="0" w:after="0" w:line="240" w:lineRule="auto"/>
              <w:rPr>
                <w:sz w:val="18"/>
                <w:szCs w:val="18"/>
              </w:rPr>
            </w:pPr>
          </w:p>
        </w:tc>
      </w:tr>
      <w:tr w:rsidR="005458E2" w14:paraId="2289AC9C" w14:textId="77777777" w:rsidTr="00940F96">
        <w:tc>
          <w:tcPr>
            <w:tcW w:w="6374" w:type="dxa"/>
          </w:tcPr>
          <w:p w14:paraId="641D6F23" w14:textId="77777777" w:rsidR="005458E2" w:rsidRPr="00240CD8" w:rsidRDefault="005458E2" w:rsidP="00240CD8">
            <w:pPr>
              <w:spacing w:before="0" w:after="0" w:line="240" w:lineRule="auto"/>
              <w:rPr>
                <w:sz w:val="18"/>
                <w:szCs w:val="18"/>
              </w:rPr>
            </w:pPr>
            <w:r w:rsidRPr="00240CD8">
              <w:rPr>
                <w:sz w:val="18"/>
                <w:szCs w:val="18"/>
              </w:rPr>
              <w:t xml:space="preserve">formulated beverages </w:t>
            </w:r>
          </w:p>
        </w:tc>
        <w:tc>
          <w:tcPr>
            <w:tcW w:w="4111" w:type="dxa"/>
          </w:tcPr>
          <w:p w14:paraId="583D75AB" w14:textId="77777777" w:rsidR="005458E2" w:rsidRPr="00240CD8" w:rsidRDefault="005458E2" w:rsidP="00240CD8">
            <w:pPr>
              <w:spacing w:before="0" w:after="0" w:line="240" w:lineRule="auto"/>
              <w:rPr>
                <w:sz w:val="18"/>
                <w:szCs w:val="18"/>
              </w:rPr>
            </w:pPr>
            <w:r w:rsidRPr="00240CD8">
              <w:rPr>
                <w:sz w:val="18"/>
                <w:szCs w:val="18"/>
              </w:rPr>
              <w:t>0.4 mg (25%)</w:t>
            </w:r>
          </w:p>
        </w:tc>
        <w:tc>
          <w:tcPr>
            <w:tcW w:w="2964" w:type="dxa"/>
          </w:tcPr>
          <w:p w14:paraId="48D806CC" w14:textId="77777777" w:rsidR="005458E2" w:rsidRPr="00240CD8" w:rsidRDefault="005458E2" w:rsidP="00240CD8">
            <w:pPr>
              <w:spacing w:before="0" w:after="0" w:line="240" w:lineRule="auto"/>
              <w:rPr>
                <w:sz w:val="18"/>
                <w:szCs w:val="18"/>
              </w:rPr>
            </w:pPr>
          </w:p>
        </w:tc>
      </w:tr>
      <w:tr w:rsidR="005458E2" w14:paraId="21ED3DF7" w14:textId="77777777" w:rsidTr="00940F96">
        <w:tc>
          <w:tcPr>
            <w:tcW w:w="6374" w:type="dxa"/>
          </w:tcPr>
          <w:p w14:paraId="16AF90C0" w14:textId="77777777" w:rsidR="005458E2" w:rsidRPr="00240CD8" w:rsidRDefault="005458E2" w:rsidP="00240CD8">
            <w:pPr>
              <w:spacing w:before="0" w:after="0" w:line="240" w:lineRule="auto"/>
              <w:rPr>
                <w:sz w:val="18"/>
                <w:szCs w:val="18"/>
              </w:rPr>
            </w:pPr>
            <w:r w:rsidRPr="00240CD8">
              <w:rPr>
                <w:sz w:val="18"/>
                <w:szCs w:val="18"/>
                <w:lang w:val="en-AU"/>
              </w:rPr>
              <w:t>formulated meal replacements</w:t>
            </w:r>
          </w:p>
        </w:tc>
        <w:tc>
          <w:tcPr>
            <w:tcW w:w="4111" w:type="dxa"/>
          </w:tcPr>
          <w:p w14:paraId="6850D271" w14:textId="77777777" w:rsidR="005458E2" w:rsidRPr="00240CD8" w:rsidRDefault="005458E2" w:rsidP="00240CD8">
            <w:pPr>
              <w:spacing w:before="0" w:after="0" w:line="240" w:lineRule="auto"/>
              <w:rPr>
                <w:sz w:val="18"/>
                <w:szCs w:val="18"/>
              </w:rPr>
            </w:pPr>
            <w:r w:rsidRPr="00240CD8">
              <w:rPr>
                <w:sz w:val="18"/>
                <w:szCs w:val="18"/>
                <w:lang w:val="en-AU"/>
              </w:rPr>
              <w:t>0.8 mg (50%)</w:t>
            </w:r>
          </w:p>
        </w:tc>
        <w:tc>
          <w:tcPr>
            <w:tcW w:w="2964" w:type="dxa"/>
          </w:tcPr>
          <w:p w14:paraId="7FA617D5" w14:textId="77777777" w:rsidR="005458E2" w:rsidRPr="00240CD8" w:rsidRDefault="005458E2" w:rsidP="00240CD8">
            <w:pPr>
              <w:spacing w:before="0" w:after="0" w:line="240" w:lineRule="auto"/>
              <w:rPr>
                <w:sz w:val="18"/>
                <w:szCs w:val="18"/>
              </w:rPr>
            </w:pPr>
          </w:p>
        </w:tc>
      </w:tr>
      <w:tr w:rsidR="005458E2" w14:paraId="655021E8" w14:textId="77777777" w:rsidTr="00940F96">
        <w:tc>
          <w:tcPr>
            <w:tcW w:w="6374" w:type="dxa"/>
          </w:tcPr>
          <w:p w14:paraId="256F02AD" w14:textId="77777777" w:rsidR="005458E2" w:rsidRPr="00240CD8" w:rsidRDefault="005458E2" w:rsidP="00240CD8">
            <w:pPr>
              <w:spacing w:before="0" w:after="0" w:line="240" w:lineRule="auto"/>
              <w:rPr>
                <w:sz w:val="18"/>
                <w:szCs w:val="18"/>
              </w:rPr>
            </w:pPr>
            <w:r w:rsidRPr="00240CD8">
              <w:rPr>
                <w:sz w:val="18"/>
                <w:szCs w:val="18"/>
              </w:rPr>
              <w:t>formulated supplementary foods</w:t>
            </w:r>
          </w:p>
        </w:tc>
        <w:tc>
          <w:tcPr>
            <w:tcW w:w="4111" w:type="dxa"/>
          </w:tcPr>
          <w:p w14:paraId="2EC66770" w14:textId="77777777" w:rsidR="005458E2" w:rsidRPr="00240CD8" w:rsidRDefault="005458E2" w:rsidP="00240CD8">
            <w:pPr>
              <w:spacing w:before="0" w:after="0" w:line="240" w:lineRule="auto"/>
              <w:rPr>
                <w:sz w:val="18"/>
                <w:szCs w:val="18"/>
              </w:rPr>
            </w:pPr>
            <w:r w:rsidRPr="00240CD8">
              <w:rPr>
                <w:sz w:val="18"/>
                <w:szCs w:val="18"/>
                <w:lang w:val="en-AU"/>
              </w:rPr>
              <w:t>0.8 mg (50%)</w:t>
            </w:r>
          </w:p>
        </w:tc>
        <w:tc>
          <w:tcPr>
            <w:tcW w:w="2964" w:type="dxa"/>
          </w:tcPr>
          <w:p w14:paraId="0C7AFD32" w14:textId="77777777" w:rsidR="005458E2" w:rsidRPr="00240CD8" w:rsidRDefault="005458E2" w:rsidP="00240CD8">
            <w:pPr>
              <w:spacing w:before="0" w:after="0" w:line="240" w:lineRule="auto"/>
              <w:rPr>
                <w:sz w:val="18"/>
                <w:szCs w:val="18"/>
              </w:rPr>
            </w:pPr>
          </w:p>
        </w:tc>
      </w:tr>
      <w:tr w:rsidR="005458E2" w14:paraId="1AE3A562" w14:textId="77777777" w:rsidTr="00940F96">
        <w:tc>
          <w:tcPr>
            <w:tcW w:w="6374" w:type="dxa"/>
          </w:tcPr>
          <w:p w14:paraId="4E31AAB4" w14:textId="77777777" w:rsidR="005458E2" w:rsidRPr="00240CD8" w:rsidRDefault="005458E2" w:rsidP="00240CD8">
            <w:pPr>
              <w:spacing w:before="0" w:after="0" w:line="240" w:lineRule="auto"/>
              <w:rPr>
                <w:sz w:val="18"/>
                <w:szCs w:val="18"/>
              </w:rPr>
            </w:pPr>
            <w:r w:rsidRPr="00240CD8">
              <w:rPr>
                <w:sz w:val="18"/>
                <w:szCs w:val="18"/>
              </w:rPr>
              <w:t>formulated supplementary food for young children</w:t>
            </w:r>
          </w:p>
        </w:tc>
        <w:tc>
          <w:tcPr>
            <w:tcW w:w="4111" w:type="dxa"/>
          </w:tcPr>
          <w:p w14:paraId="626EAB08" w14:textId="77777777" w:rsidR="005458E2" w:rsidRPr="00240CD8" w:rsidRDefault="005458E2" w:rsidP="00240CD8">
            <w:pPr>
              <w:spacing w:before="0" w:after="0" w:line="240" w:lineRule="auto"/>
              <w:rPr>
                <w:sz w:val="18"/>
                <w:szCs w:val="18"/>
              </w:rPr>
            </w:pPr>
            <w:r w:rsidRPr="00240CD8">
              <w:rPr>
                <w:sz w:val="18"/>
                <w:szCs w:val="18"/>
              </w:rPr>
              <w:t>0.35 mg (50%)</w:t>
            </w:r>
          </w:p>
        </w:tc>
        <w:tc>
          <w:tcPr>
            <w:tcW w:w="2964" w:type="dxa"/>
          </w:tcPr>
          <w:p w14:paraId="4AA44479" w14:textId="77777777" w:rsidR="005458E2" w:rsidRPr="00240CD8" w:rsidRDefault="005458E2" w:rsidP="00240CD8">
            <w:pPr>
              <w:spacing w:before="0" w:after="0" w:line="240" w:lineRule="auto"/>
              <w:rPr>
                <w:sz w:val="18"/>
                <w:szCs w:val="18"/>
              </w:rPr>
            </w:pPr>
          </w:p>
        </w:tc>
      </w:tr>
      <w:tr w:rsidR="005458E2" w14:paraId="161CF7F5" w14:textId="77777777" w:rsidTr="00940F96">
        <w:tc>
          <w:tcPr>
            <w:tcW w:w="6374" w:type="dxa"/>
          </w:tcPr>
          <w:p w14:paraId="2A4C68C2" w14:textId="77777777" w:rsidR="005458E2" w:rsidRPr="00240CD8" w:rsidRDefault="005458E2" w:rsidP="00240CD8">
            <w:pPr>
              <w:spacing w:before="0" w:after="0" w:line="240" w:lineRule="auto"/>
              <w:rPr>
                <w:sz w:val="18"/>
                <w:szCs w:val="18"/>
              </w:rPr>
            </w:pPr>
            <w:r w:rsidRPr="00240CD8">
              <w:rPr>
                <w:sz w:val="18"/>
                <w:szCs w:val="18"/>
                <w:lang w:val="en-AU"/>
              </w:rPr>
              <w:t>formulated supplementary sports foods</w:t>
            </w:r>
          </w:p>
        </w:tc>
        <w:tc>
          <w:tcPr>
            <w:tcW w:w="4111" w:type="dxa"/>
          </w:tcPr>
          <w:p w14:paraId="505BB13E" w14:textId="77777777" w:rsidR="005458E2" w:rsidRPr="00240CD8" w:rsidRDefault="005458E2" w:rsidP="00240CD8">
            <w:pPr>
              <w:spacing w:before="0" w:after="0" w:line="240" w:lineRule="auto"/>
              <w:rPr>
                <w:sz w:val="18"/>
                <w:szCs w:val="18"/>
              </w:rPr>
            </w:pPr>
          </w:p>
        </w:tc>
        <w:tc>
          <w:tcPr>
            <w:tcW w:w="2964" w:type="dxa"/>
          </w:tcPr>
          <w:p w14:paraId="68AB7E66" w14:textId="77777777" w:rsidR="005458E2" w:rsidRPr="00240CD8" w:rsidRDefault="005458E2" w:rsidP="00240CD8">
            <w:pPr>
              <w:spacing w:before="0" w:after="0" w:line="240" w:lineRule="auto"/>
              <w:rPr>
                <w:sz w:val="18"/>
                <w:szCs w:val="18"/>
              </w:rPr>
            </w:pPr>
            <w:r w:rsidRPr="00240CD8">
              <w:rPr>
                <w:sz w:val="18"/>
                <w:szCs w:val="18"/>
              </w:rPr>
              <w:t>3.2 mg/one day quantity</w:t>
            </w:r>
          </w:p>
        </w:tc>
      </w:tr>
      <w:tr w:rsidR="005458E2" w14:paraId="0B116D91" w14:textId="77777777" w:rsidTr="00940F96">
        <w:tc>
          <w:tcPr>
            <w:tcW w:w="6374" w:type="dxa"/>
          </w:tcPr>
          <w:p w14:paraId="706130DE" w14:textId="77777777" w:rsidR="005458E2" w:rsidRPr="00240CD8" w:rsidRDefault="005458E2" w:rsidP="00240CD8">
            <w:pPr>
              <w:spacing w:before="0" w:after="0" w:line="240" w:lineRule="auto"/>
              <w:rPr>
                <w:sz w:val="18"/>
                <w:szCs w:val="18"/>
              </w:rPr>
            </w:pPr>
            <w:r w:rsidRPr="00240CD8">
              <w:rPr>
                <w:sz w:val="18"/>
                <w:szCs w:val="18"/>
                <w:lang w:val="en-AU"/>
              </w:rPr>
              <w:t>formulated caffeinated beverages</w:t>
            </w:r>
          </w:p>
        </w:tc>
        <w:tc>
          <w:tcPr>
            <w:tcW w:w="4111" w:type="dxa"/>
          </w:tcPr>
          <w:p w14:paraId="5B9C9DB2" w14:textId="77777777" w:rsidR="005458E2" w:rsidRPr="00240CD8" w:rsidRDefault="005458E2" w:rsidP="00240CD8">
            <w:pPr>
              <w:spacing w:before="0" w:after="0" w:line="240" w:lineRule="auto"/>
              <w:rPr>
                <w:sz w:val="18"/>
                <w:szCs w:val="18"/>
              </w:rPr>
            </w:pPr>
          </w:p>
        </w:tc>
        <w:tc>
          <w:tcPr>
            <w:tcW w:w="2964" w:type="dxa"/>
          </w:tcPr>
          <w:p w14:paraId="225AA8FB" w14:textId="77777777" w:rsidR="005458E2" w:rsidRPr="00240CD8" w:rsidRDefault="005458E2" w:rsidP="00240CD8">
            <w:pPr>
              <w:spacing w:before="0" w:after="0" w:line="240" w:lineRule="auto"/>
              <w:rPr>
                <w:sz w:val="18"/>
                <w:szCs w:val="18"/>
              </w:rPr>
            </w:pPr>
            <w:r w:rsidRPr="00240CD8">
              <w:rPr>
                <w:sz w:val="18"/>
                <w:szCs w:val="18"/>
              </w:rPr>
              <w:t xml:space="preserve">10 mg/one day quantity </w:t>
            </w:r>
          </w:p>
        </w:tc>
      </w:tr>
      <w:tr w:rsidR="005458E2" w14:paraId="1F1467B3" w14:textId="77777777" w:rsidTr="00AD35A8">
        <w:tc>
          <w:tcPr>
            <w:tcW w:w="6374" w:type="dxa"/>
            <w:shd w:val="clear" w:color="auto" w:fill="E3F1F7" w:themeFill="accent1" w:themeFillTint="33"/>
          </w:tcPr>
          <w:p w14:paraId="36A518FC" w14:textId="77777777" w:rsidR="005458E2" w:rsidRPr="00240CD8" w:rsidRDefault="005458E2" w:rsidP="00940F96">
            <w:pPr>
              <w:spacing w:before="0" w:after="0" w:line="240" w:lineRule="auto"/>
              <w:jc w:val="center"/>
              <w:rPr>
                <w:sz w:val="18"/>
                <w:szCs w:val="18"/>
              </w:rPr>
            </w:pPr>
          </w:p>
        </w:tc>
        <w:tc>
          <w:tcPr>
            <w:tcW w:w="4111" w:type="dxa"/>
            <w:shd w:val="clear" w:color="auto" w:fill="E3F1F7" w:themeFill="accent1" w:themeFillTint="33"/>
          </w:tcPr>
          <w:p w14:paraId="76BC560F" w14:textId="77777777" w:rsidR="005458E2" w:rsidRPr="00240CD8" w:rsidRDefault="005458E2" w:rsidP="00940F96">
            <w:pPr>
              <w:spacing w:before="0" w:after="0" w:line="240" w:lineRule="auto"/>
              <w:jc w:val="center"/>
              <w:rPr>
                <w:sz w:val="18"/>
                <w:szCs w:val="18"/>
              </w:rPr>
            </w:pPr>
            <w:r w:rsidRPr="00240CD8">
              <w:rPr>
                <w:b/>
                <w:bCs/>
                <w:i/>
                <w:iCs/>
                <w:sz w:val="18"/>
                <w:szCs w:val="18"/>
              </w:rPr>
              <w:t>Minimum amount</w:t>
            </w:r>
          </w:p>
        </w:tc>
        <w:tc>
          <w:tcPr>
            <w:tcW w:w="2964" w:type="dxa"/>
            <w:shd w:val="clear" w:color="auto" w:fill="E3F1F7" w:themeFill="accent1" w:themeFillTint="33"/>
          </w:tcPr>
          <w:p w14:paraId="323E6779" w14:textId="77777777" w:rsidR="005458E2" w:rsidRPr="00240CD8" w:rsidRDefault="005458E2" w:rsidP="00940F96">
            <w:pPr>
              <w:spacing w:before="0" w:after="0" w:line="240" w:lineRule="auto"/>
              <w:jc w:val="center"/>
              <w:rPr>
                <w:b/>
                <w:bCs/>
                <w:sz w:val="18"/>
                <w:szCs w:val="18"/>
              </w:rPr>
            </w:pPr>
            <w:r w:rsidRPr="00240CD8">
              <w:rPr>
                <w:b/>
                <w:bCs/>
                <w:i/>
                <w:iCs/>
                <w:sz w:val="18"/>
                <w:szCs w:val="18"/>
                <w:lang w:val="en-AU"/>
              </w:rPr>
              <w:t>Maximum amount</w:t>
            </w:r>
          </w:p>
        </w:tc>
      </w:tr>
      <w:tr w:rsidR="005458E2" w14:paraId="6465478B" w14:textId="77777777" w:rsidTr="00940F96">
        <w:tc>
          <w:tcPr>
            <w:tcW w:w="6374" w:type="dxa"/>
          </w:tcPr>
          <w:p w14:paraId="6CDAF03A" w14:textId="77777777" w:rsidR="005458E2" w:rsidRPr="00240CD8" w:rsidRDefault="005458E2" w:rsidP="00240CD8">
            <w:pPr>
              <w:spacing w:before="0" w:after="0" w:line="240" w:lineRule="auto"/>
              <w:rPr>
                <w:sz w:val="18"/>
                <w:szCs w:val="18"/>
              </w:rPr>
            </w:pPr>
            <w:r w:rsidRPr="00240CD8">
              <w:rPr>
                <w:sz w:val="18"/>
                <w:szCs w:val="18"/>
              </w:rPr>
              <w:t>food for special medical purposes represented as a sole source of nutrition</w:t>
            </w:r>
          </w:p>
        </w:tc>
        <w:tc>
          <w:tcPr>
            <w:tcW w:w="4111" w:type="dxa"/>
          </w:tcPr>
          <w:p w14:paraId="263ED5BC" w14:textId="77777777" w:rsidR="005458E2" w:rsidRPr="00240CD8" w:rsidRDefault="005458E2" w:rsidP="00240CD8">
            <w:pPr>
              <w:spacing w:before="0" w:after="0" w:line="240" w:lineRule="auto"/>
              <w:rPr>
                <w:sz w:val="18"/>
                <w:szCs w:val="18"/>
              </w:rPr>
            </w:pPr>
            <w:r w:rsidRPr="00240CD8">
              <w:rPr>
                <w:sz w:val="18"/>
                <w:szCs w:val="18"/>
              </w:rPr>
              <w:t>0.2 mg/MJ</w:t>
            </w:r>
          </w:p>
        </w:tc>
        <w:tc>
          <w:tcPr>
            <w:tcW w:w="2964" w:type="dxa"/>
          </w:tcPr>
          <w:p w14:paraId="539A6017" w14:textId="77777777" w:rsidR="005458E2" w:rsidRPr="00240CD8" w:rsidRDefault="005458E2" w:rsidP="00240CD8">
            <w:pPr>
              <w:spacing w:before="0" w:after="0" w:line="240" w:lineRule="auto"/>
              <w:rPr>
                <w:sz w:val="18"/>
                <w:szCs w:val="18"/>
              </w:rPr>
            </w:pPr>
            <w:r w:rsidRPr="00240CD8">
              <w:rPr>
                <w:sz w:val="18"/>
                <w:szCs w:val="18"/>
              </w:rPr>
              <w:t>1.2 mg/MJ</w:t>
            </w:r>
          </w:p>
        </w:tc>
      </w:tr>
      <w:tr w:rsidR="005458E2" w14:paraId="0E489334" w14:textId="77777777" w:rsidTr="00940F96">
        <w:tc>
          <w:tcPr>
            <w:tcW w:w="6374" w:type="dxa"/>
          </w:tcPr>
          <w:p w14:paraId="1C767CA2" w14:textId="77777777" w:rsidR="005458E2" w:rsidRPr="00240CD8" w:rsidRDefault="005458E2" w:rsidP="00240CD8">
            <w:pPr>
              <w:spacing w:before="0" w:after="0" w:line="240" w:lineRule="auto"/>
              <w:rPr>
                <w:sz w:val="18"/>
                <w:szCs w:val="18"/>
              </w:rPr>
            </w:pPr>
            <w:r w:rsidRPr="00240CD8">
              <w:rPr>
                <w:sz w:val="18"/>
                <w:szCs w:val="18"/>
              </w:rPr>
              <w:t>very low energy diet</w:t>
            </w:r>
          </w:p>
        </w:tc>
        <w:tc>
          <w:tcPr>
            <w:tcW w:w="4111" w:type="dxa"/>
          </w:tcPr>
          <w:p w14:paraId="0898243A" w14:textId="77777777" w:rsidR="005458E2" w:rsidRPr="00240CD8" w:rsidRDefault="005458E2" w:rsidP="00240CD8">
            <w:pPr>
              <w:spacing w:before="0" w:after="0" w:line="240" w:lineRule="auto"/>
              <w:rPr>
                <w:sz w:val="18"/>
                <w:szCs w:val="18"/>
              </w:rPr>
            </w:pPr>
            <w:r w:rsidRPr="00240CD8">
              <w:rPr>
                <w:sz w:val="18"/>
                <w:szCs w:val="18"/>
              </w:rPr>
              <w:t>2 mg/daily intake</w:t>
            </w:r>
          </w:p>
        </w:tc>
        <w:tc>
          <w:tcPr>
            <w:tcW w:w="2964" w:type="dxa"/>
          </w:tcPr>
          <w:p w14:paraId="4FB28296" w14:textId="77777777" w:rsidR="005458E2" w:rsidRPr="00240CD8" w:rsidRDefault="005458E2" w:rsidP="00240CD8">
            <w:pPr>
              <w:spacing w:before="0" w:after="0" w:line="240" w:lineRule="auto"/>
              <w:rPr>
                <w:sz w:val="18"/>
                <w:szCs w:val="18"/>
              </w:rPr>
            </w:pPr>
          </w:p>
        </w:tc>
      </w:tr>
      <w:tr w:rsidR="005458E2" w14:paraId="16CB6428" w14:textId="77777777" w:rsidTr="00AD35A8">
        <w:tc>
          <w:tcPr>
            <w:tcW w:w="6374" w:type="dxa"/>
            <w:shd w:val="clear" w:color="auto" w:fill="E3F1F7" w:themeFill="accent1" w:themeFillTint="33"/>
          </w:tcPr>
          <w:p w14:paraId="1143FC26" w14:textId="4EAA036A" w:rsidR="005458E2" w:rsidRPr="00240CD8" w:rsidRDefault="00940F96" w:rsidP="00940F96">
            <w:pPr>
              <w:spacing w:before="0" w:after="0" w:line="240" w:lineRule="auto"/>
              <w:jc w:val="center"/>
              <w:rPr>
                <w:sz w:val="18"/>
                <w:szCs w:val="18"/>
              </w:rPr>
            </w:pPr>
            <w:r w:rsidRPr="00940F96">
              <w:rPr>
                <w:b/>
                <w:bCs/>
                <w:i/>
                <w:iCs/>
                <w:sz w:val="18"/>
                <w:szCs w:val="18"/>
              </w:rPr>
              <w:t>Food</w:t>
            </w:r>
          </w:p>
        </w:tc>
        <w:tc>
          <w:tcPr>
            <w:tcW w:w="4111" w:type="dxa"/>
            <w:shd w:val="clear" w:color="auto" w:fill="E3F1F7" w:themeFill="accent1" w:themeFillTint="33"/>
          </w:tcPr>
          <w:p w14:paraId="782CF181" w14:textId="77777777" w:rsidR="005458E2" w:rsidRPr="00240CD8" w:rsidRDefault="005458E2" w:rsidP="00940F96">
            <w:pPr>
              <w:spacing w:before="0" w:after="0" w:line="240" w:lineRule="auto"/>
              <w:jc w:val="center"/>
              <w:rPr>
                <w:b/>
                <w:bCs/>
                <w:i/>
                <w:iCs/>
                <w:sz w:val="18"/>
                <w:szCs w:val="18"/>
              </w:rPr>
            </w:pPr>
            <w:r w:rsidRPr="00240CD8">
              <w:rPr>
                <w:b/>
                <w:bCs/>
                <w:i/>
                <w:iCs/>
                <w:sz w:val="18"/>
                <w:szCs w:val="18"/>
              </w:rPr>
              <w:t>Minimum amount</w:t>
            </w:r>
          </w:p>
        </w:tc>
        <w:tc>
          <w:tcPr>
            <w:tcW w:w="2964" w:type="dxa"/>
            <w:shd w:val="clear" w:color="auto" w:fill="E3F1F7" w:themeFill="accent1" w:themeFillTint="33"/>
          </w:tcPr>
          <w:p w14:paraId="6F39C870" w14:textId="77777777" w:rsidR="005458E2" w:rsidRPr="00240CD8" w:rsidRDefault="005458E2" w:rsidP="00940F96">
            <w:pPr>
              <w:spacing w:before="0" w:after="0" w:line="240" w:lineRule="auto"/>
              <w:jc w:val="center"/>
              <w:rPr>
                <w:b/>
                <w:bCs/>
                <w:i/>
                <w:iCs/>
                <w:sz w:val="18"/>
                <w:szCs w:val="18"/>
              </w:rPr>
            </w:pPr>
            <w:r w:rsidRPr="00240CD8">
              <w:rPr>
                <w:b/>
                <w:bCs/>
                <w:i/>
                <w:iCs/>
                <w:sz w:val="18"/>
                <w:szCs w:val="18"/>
              </w:rPr>
              <w:t>Guidance upper level</w:t>
            </w:r>
          </w:p>
        </w:tc>
      </w:tr>
      <w:tr w:rsidR="005458E2" w14:paraId="21D48050" w14:textId="77777777" w:rsidTr="00940F96">
        <w:tc>
          <w:tcPr>
            <w:tcW w:w="6374" w:type="dxa"/>
          </w:tcPr>
          <w:p w14:paraId="13CE0290" w14:textId="77777777" w:rsidR="005458E2" w:rsidRPr="00240CD8" w:rsidRDefault="005458E2" w:rsidP="00240CD8">
            <w:pPr>
              <w:spacing w:before="0" w:after="0" w:line="240" w:lineRule="auto"/>
              <w:rPr>
                <w:sz w:val="18"/>
                <w:szCs w:val="18"/>
              </w:rPr>
            </w:pPr>
            <w:r w:rsidRPr="00240CD8">
              <w:rPr>
                <w:sz w:val="18"/>
                <w:szCs w:val="18"/>
              </w:rPr>
              <w:t xml:space="preserve">infant formula </w:t>
            </w:r>
          </w:p>
        </w:tc>
        <w:tc>
          <w:tcPr>
            <w:tcW w:w="4111" w:type="dxa"/>
          </w:tcPr>
          <w:p w14:paraId="61451258" w14:textId="77777777" w:rsidR="005458E2" w:rsidRPr="00240CD8" w:rsidRDefault="005458E2" w:rsidP="00240CD8">
            <w:pPr>
              <w:spacing w:before="0" w:after="0" w:line="240" w:lineRule="auto"/>
              <w:rPr>
                <w:sz w:val="18"/>
                <w:szCs w:val="18"/>
              </w:rPr>
            </w:pPr>
            <w:r w:rsidRPr="00240CD8">
              <w:rPr>
                <w:sz w:val="18"/>
                <w:szCs w:val="18"/>
              </w:rPr>
              <w:t>8 µg/100 KJ</w:t>
            </w:r>
          </w:p>
        </w:tc>
        <w:tc>
          <w:tcPr>
            <w:tcW w:w="2964" w:type="dxa"/>
          </w:tcPr>
          <w:p w14:paraId="31DDB77A" w14:textId="77777777" w:rsidR="005458E2" w:rsidRPr="00240CD8" w:rsidRDefault="005458E2" w:rsidP="00240CD8">
            <w:pPr>
              <w:spacing w:before="0" w:after="0" w:line="240" w:lineRule="auto"/>
              <w:rPr>
                <w:sz w:val="18"/>
                <w:szCs w:val="18"/>
              </w:rPr>
            </w:pPr>
            <w:r w:rsidRPr="00240CD8">
              <w:rPr>
                <w:sz w:val="18"/>
                <w:szCs w:val="18"/>
              </w:rPr>
              <w:t>42 µg/100 KJ</w:t>
            </w:r>
          </w:p>
        </w:tc>
      </w:tr>
      <w:tr w:rsidR="005458E2" w14:paraId="63E0371B" w14:textId="77777777" w:rsidTr="00940F96">
        <w:tc>
          <w:tcPr>
            <w:tcW w:w="6374" w:type="dxa"/>
          </w:tcPr>
          <w:p w14:paraId="704B515B" w14:textId="77777777" w:rsidR="005458E2" w:rsidRPr="00240CD8" w:rsidRDefault="005458E2" w:rsidP="00240CD8">
            <w:pPr>
              <w:spacing w:before="0" w:after="0" w:line="240" w:lineRule="auto"/>
              <w:rPr>
                <w:sz w:val="18"/>
                <w:szCs w:val="18"/>
              </w:rPr>
            </w:pPr>
            <w:r w:rsidRPr="00240CD8">
              <w:rPr>
                <w:sz w:val="18"/>
                <w:szCs w:val="18"/>
              </w:rPr>
              <w:t>follow-on formula</w:t>
            </w:r>
          </w:p>
        </w:tc>
        <w:tc>
          <w:tcPr>
            <w:tcW w:w="4111" w:type="dxa"/>
          </w:tcPr>
          <w:p w14:paraId="147CF72A" w14:textId="77777777" w:rsidR="005458E2" w:rsidRPr="00240CD8" w:rsidRDefault="005458E2" w:rsidP="00240CD8">
            <w:pPr>
              <w:spacing w:before="0" w:after="0" w:line="240" w:lineRule="auto"/>
              <w:rPr>
                <w:sz w:val="18"/>
                <w:szCs w:val="18"/>
              </w:rPr>
            </w:pPr>
            <w:r w:rsidRPr="00240CD8">
              <w:rPr>
                <w:sz w:val="18"/>
                <w:szCs w:val="18"/>
              </w:rPr>
              <w:t>8 µg/100 KJ</w:t>
            </w:r>
          </w:p>
        </w:tc>
        <w:tc>
          <w:tcPr>
            <w:tcW w:w="2964" w:type="dxa"/>
          </w:tcPr>
          <w:p w14:paraId="1922B757" w14:textId="77777777" w:rsidR="005458E2" w:rsidRPr="00240CD8" w:rsidRDefault="005458E2" w:rsidP="00240CD8">
            <w:pPr>
              <w:spacing w:before="0" w:after="0" w:line="240" w:lineRule="auto"/>
              <w:rPr>
                <w:sz w:val="18"/>
                <w:szCs w:val="18"/>
              </w:rPr>
            </w:pPr>
            <w:r w:rsidRPr="00240CD8">
              <w:rPr>
                <w:sz w:val="18"/>
                <w:szCs w:val="18"/>
              </w:rPr>
              <w:t>42 µg/100 KJ</w:t>
            </w:r>
          </w:p>
        </w:tc>
      </w:tr>
    </w:tbl>
    <w:p w14:paraId="52144BE4" w14:textId="5B012362" w:rsidR="00081A42" w:rsidRPr="005B1899" w:rsidRDefault="00081A42" w:rsidP="00081A42">
      <w:pPr>
        <w:spacing w:line="276" w:lineRule="auto"/>
        <w:rPr>
          <w:color w:val="000000"/>
          <w:kern w:val="2"/>
          <w:sz w:val="18"/>
          <w14:ligatures w14:val="standardContextual"/>
        </w:rPr>
      </w:pPr>
      <w:r w:rsidRPr="005B1899">
        <w:rPr>
          <w:b/>
          <w:bCs/>
          <w:sz w:val="18"/>
          <w:szCs w:val="16"/>
        </w:rPr>
        <w:t>Sources:</w:t>
      </w:r>
      <w:r w:rsidRPr="005B1899">
        <w:rPr>
          <w:sz w:val="18"/>
          <w:szCs w:val="16"/>
        </w:rPr>
        <w:t xml:space="preserve"> FSANZ, </w:t>
      </w:r>
      <w:r w:rsidRPr="005B1899">
        <w:rPr>
          <w:i/>
          <w:iCs/>
          <w:sz w:val="18"/>
          <w:szCs w:val="16"/>
        </w:rPr>
        <w:t>Vitamins and minerals added to food</w:t>
      </w:r>
      <w:r w:rsidRPr="005B1899">
        <w:rPr>
          <w:sz w:val="18"/>
          <w:szCs w:val="16"/>
        </w:rPr>
        <w:t xml:space="preserve">, </w:t>
      </w:r>
      <w:hyperlink r:id="rId36" w:history="1">
        <w:r w:rsidR="00E62230" w:rsidRPr="005B1899">
          <w:rPr>
            <w:rStyle w:val="Hyperlink"/>
            <w:sz w:val="18"/>
            <w:szCs w:val="16"/>
          </w:rPr>
          <w:t>https://www.foodstandards.gov.au/consumer/food-fortification/vitamin-added</w:t>
        </w:r>
      </w:hyperlink>
      <w:r w:rsidRPr="005B1899">
        <w:rPr>
          <w:sz w:val="18"/>
          <w:szCs w:val="16"/>
        </w:rPr>
        <w:t xml:space="preserve">; Federal Register of Legislation, </w:t>
      </w:r>
      <w:r w:rsidRPr="005B1899">
        <w:rPr>
          <w:i/>
          <w:iCs/>
          <w:sz w:val="18"/>
          <w:szCs w:val="16"/>
        </w:rPr>
        <w:t>Australia New Zealand Food Standards Code – Standard 1.3.2 – Vitamins and minerals</w:t>
      </w:r>
      <w:r w:rsidRPr="005B1899">
        <w:rPr>
          <w:sz w:val="18"/>
          <w:szCs w:val="16"/>
        </w:rPr>
        <w:t xml:space="preserve">, </w:t>
      </w:r>
      <w:hyperlink r:id="rId37" w:history="1">
        <w:r w:rsidR="00E62230" w:rsidRPr="005B1899">
          <w:rPr>
            <w:rStyle w:val="Hyperlink"/>
            <w:sz w:val="18"/>
            <w:szCs w:val="16"/>
          </w:rPr>
          <w:t>https://www.legislation.gov.au/Latest/F2017C00048</w:t>
        </w:r>
      </w:hyperlink>
      <w:r w:rsidRPr="005B1899">
        <w:rPr>
          <w:sz w:val="18"/>
          <w:szCs w:val="16"/>
        </w:rPr>
        <w:t xml:space="preserve">; </w:t>
      </w:r>
      <w:r w:rsidRPr="005B1899">
        <w:rPr>
          <w:i/>
          <w:iCs/>
          <w:sz w:val="18"/>
          <w:szCs w:val="16"/>
        </w:rPr>
        <w:t>Schedule 17 – Vitamins and minerals</w:t>
      </w:r>
      <w:r w:rsidRPr="005B1899">
        <w:rPr>
          <w:sz w:val="18"/>
          <w:szCs w:val="16"/>
        </w:rPr>
        <w:t xml:space="preserve">, </w:t>
      </w:r>
      <w:hyperlink r:id="rId38" w:history="1">
        <w:r w:rsidR="00E62230" w:rsidRPr="005B1899">
          <w:rPr>
            <w:rStyle w:val="Hyperlink"/>
            <w:sz w:val="18"/>
            <w:szCs w:val="16"/>
          </w:rPr>
          <w:t>https://www.legislation.gov.au/F2015L00449/latest</w:t>
        </w:r>
      </w:hyperlink>
      <w:r w:rsidRPr="005B1899">
        <w:rPr>
          <w:sz w:val="18"/>
          <w:szCs w:val="16"/>
        </w:rPr>
        <w:t xml:space="preserve">; </w:t>
      </w:r>
      <w:r w:rsidRPr="005B1899">
        <w:rPr>
          <w:i/>
          <w:iCs/>
          <w:sz w:val="18"/>
          <w:szCs w:val="16"/>
        </w:rPr>
        <w:t>Schedule 29 – Special purpose foods</w:t>
      </w:r>
      <w:r w:rsidRPr="005B1899">
        <w:rPr>
          <w:sz w:val="18"/>
          <w:szCs w:val="16"/>
        </w:rPr>
        <w:t xml:space="preserve">, </w:t>
      </w:r>
      <w:hyperlink r:id="rId39" w:history="1">
        <w:r w:rsidR="00E62230" w:rsidRPr="005B1899">
          <w:rPr>
            <w:rStyle w:val="Hyperlink"/>
            <w:sz w:val="18"/>
            <w:szCs w:val="16"/>
          </w:rPr>
          <w:t>https://www.legislation.gov.au/F2015L00463/latest</w:t>
        </w:r>
      </w:hyperlink>
      <w:r w:rsidR="00E62230" w:rsidRPr="005B1899">
        <w:rPr>
          <w:sz w:val="18"/>
          <w:szCs w:val="16"/>
        </w:rPr>
        <w:t xml:space="preserve">. </w:t>
      </w:r>
      <w:r w:rsidRPr="005B1899">
        <w:rPr>
          <w:sz w:val="18"/>
          <w:szCs w:val="16"/>
        </w:rPr>
        <w:t xml:space="preserve"> </w:t>
      </w:r>
    </w:p>
    <w:p w14:paraId="4D713740" w14:textId="77777777" w:rsidR="00081A42" w:rsidRDefault="00081A42" w:rsidP="00721B19">
      <w:pPr>
        <w:spacing w:line="276" w:lineRule="auto"/>
        <w:rPr>
          <w:rFonts w:eastAsia="Times New Roman" w:cs="Arial"/>
          <w:b/>
          <w:bCs/>
          <w:i/>
          <w:iCs/>
          <w:color w:val="auto"/>
        </w:rPr>
      </w:pPr>
    </w:p>
    <w:p w14:paraId="46C6F5CF" w14:textId="77777777" w:rsidR="00430CC8" w:rsidRDefault="00430CC8" w:rsidP="00721B19">
      <w:pPr>
        <w:spacing w:line="276" w:lineRule="auto"/>
        <w:rPr>
          <w:rFonts w:eastAsia="Times New Roman" w:cs="Arial"/>
          <w:b/>
          <w:bCs/>
          <w:i/>
          <w:iCs/>
          <w:color w:val="auto"/>
        </w:rPr>
        <w:sectPr w:rsidR="00430CC8" w:rsidSect="00D75D51">
          <w:pgSz w:w="16838" w:h="11906" w:orient="landscape" w:code="9"/>
          <w:pgMar w:top="907" w:right="1814" w:bottom="1134" w:left="1565" w:header="510" w:footer="454" w:gutter="0"/>
          <w:cols w:space="708"/>
          <w:titlePg/>
          <w:docGrid w:linePitch="360"/>
        </w:sectPr>
      </w:pPr>
    </w:p>
    <w:p w14:paraId="0C771292" w14:textId="576F81E2" w:rsidR="00721B19" w:rsidRPr="002A3A05" w:rsidRDefault="00B1376D" w:rsidP="00721B19">
      <w:pPr>
        <w:spacing w:line="276" w:lineRule="auto"/>
        <w:rPr>
          <w:rFonts w:eastAsia="Times New Roman" w:cs="Arial"/>
          <w:b/>
          <w:bCs/>
          <w:i/>
          <w:iCs/>
          <w:color w:val="auto"/>
        </w:rPr>
      </w:pPr>
      <w:r>
        <w:rPr>
          <w:rFonts w:eastAsia="Times New Roman" w:cs="Arial"/>
          <w:b/>
          <w:bCs/>
          <w:i/>
          <w:iCs/>
          <w:color w:val="auto"/>
        </w:rPr>
        <w:lastRenderedPageBreak/>
        <w:t>Supplements</w:t>
      </w:r>
    </w:p>
    <w:p w14:paraId="0E2D0042" w14:textId="24A941CF" w:rsidR="002A3A05" w:rsidRPr="000F42B8" w:rsidRDefault="002A3A05" w:rsidP="009F324B">
      <w:pPr>
        <w:rPr>
          <w:b/>
          <w:bCs/>
          <w:i/>
          <w:iCs/>
        </w:rPr>
      </w:pPr>
      <w:r w:rsidRPr="000F42B8">
        <w:rPr>
          <w:b/>
          <w:bCs/>
          <w:i/>
          <w:iCs/>
        </w:rPr>
        <w:t>Australia</w:t>
      </w:r>
    </w:p>
    <w:p w14:paraId="3988C647" w14:textId="0AFD0BE8" w:rsidR="003B6995" w:rsidRDefault="00425ED4" w:rsidP="003B6995">
      <w:pPr>
        <w:spacing w:line="276" w:lineRule="auto"/>
        <w:rPr>
          <w:rFonts w:eastAsia="Times New Roman" w:cs="Arial"/>
          <w:color w:val="auto"/>
        </w:rPr>
      </w:pPr>
      <w:r w:rsidRPr="00791E89">
        <w:t xml:space="preserve">In Australia, supplement use is common and is a key consideration for vitamin B6 </w:t>
      </w:r>
      <w:r w:rsidR="00B609FD">
        <w:t>toxicity</w:t>
      </w:r>
      <w:r w:rsidRPr="00791E89">
        <w:t xml:space="preserve"> risk. </w:t>
      </w:r>
      <w:r w:rsidR="00791E89" w:rsidRPr="00791E89">
        <w:t xml:space="preserve">In 2023, the ABS </w:t>
      </w:r>
      <w:r w:rsidRPr="00791E89">
        <w:t xml:space="preserve">reported that one in three people </w:t>
      </w:r>
      <w:r w:rsidR="0072346B">
        <w:t xml:space="preserve">(33.6%) </w:t>
      </w:r>
      <w:r w:rsidRPr="00791E89">
        <w:t>took a dietary supplement</w:t>
      </w:r>
      <w:r w:rsidR="00791E89">
        <w:t xml:space="preserve">, </w:t>
      </w:r>
      <w:r w:rsidR="007C61F0" w:rsidRPr="005956C9">
        <w:rPr>
          <w:rFonts w:eastAsia="Times New Roman" w:cs="Arial"/>
          <w:color w:val="auto"/>
        </w:rPr>
        <w:t>an increase from 28.5% in 2011–12. Females were more likely to take a supplement than males (38.8% compared to 28.3%) across all adult age groups. Among children aged 2–17 years, the proportion of males and females that took a supplement were similar (19.2% and 18.0%).</w:t>
      </w:r>
      <w:r w:rsidR="003B6995">
        <w:rPr>
          <w:rFonts w:eastAsia="Times New Roman" w:cs="Arial"/>
          <w:color w:val="auto"/>
        </w:rPr>
        <w:t xml:space="preserve"> </w:t>
      </w:r>
      <w:r w:rsidR="003B6995" w:rsidRPr="005956C9">
        <w:rPr>
          <w:rFonts w:eastAsia="Times New Roman" w:cs="Arial"/>
          <w:color w:val="auto"/>
        </w:rPr>
        <w:t>Children aged 12–17 years (15.0%) were less likely to take a supplement than any other age group. Among adults, the proportion of people who took supplements increased with age, from one in four (24.5%) people aged 18–29 years to two in four (50.9%) people aged 75 years and over</w:t>
      </w:r>
      <w:r w:rsidR="00AD7FCA">
        <w:rPr>
          <w:rFonts w:eastAsia="Times New Roman" w:cs="Arial"/>
          <w:color w:val="auto"/>
        </w:rPr>
        <w:t xml:space="preserve"> </w:t>
      </w:r>
      <w:r w:rsidR="0045011E">
        <w:rPr>
          <w:rFonts w:eastAsia="Times New Roman" w:cs="Arial"/>
          <w:noProof/>
          <w:color w:val="auto"/>
        </w:rPr>
        <w:t>(ABS, 2025)</w:t>
      </w:r>
      <w:r w:rsidR="00591FC0">
        <w:rPr>
          <w:rFonts w:eastAsia="Times New Roman" w:cs="Arial"/>
          <w:color w:val="auto"/>
        </w:rPr>
        <w:t>.</w:t>
      </w:r>
    </w:p>
    <w:p w14:paraId="5BF137D3" w14:textId="7F0916E6" w:rsidR="000D6CCD" w:rsidRDefault="000D6CCD" w:rsidP="005B77F1">
      <w:pPr>
        <w:spacing w:line="276" w:lineRule="auto"/>
        <w:rPr>
          <w:rFonts w:eastAsia="Times New Roman" w:cs="Arial"/>
          <w:color w:val="auto"/>
        </w:rPr>
      </w:pPr>
      <w:r w:rsidRPr="005956C9">
        <w:rPr>
          <w:rFonts w:eastAsia="Times New Roman" w:cs="Arial"/>
          <w:color w:val="auto"/>
        </w:rPr>
        <w:t xml:space="preserve">Vitamin or mineral supplements </w:t>
      </w:r>
      <w:r>
        <w:rPr>
          <w:rFonts w:eastAsia="Times New Roman" w:cs="Arial"/>
          <w:color w:val="auto"/>
        </w:rPr>
        <w:t>were</w:t>
      </w:r>
      <w:r w:rsidRPr="005956C9">
        <w:rPr>
          <w:rFonts w:eastAsia="Times New Roman" w:cs="Arial"/>
          <w:color w:val="auto"/>
        </w:rPr>
        <w:t xml:space="preserve"> the most common type of supplement consumed among people 2 years and over, increasing from over two in ten (21.9%) people in 2011–12 to three in ten (29.7%) people in 2023.</w:t>
      </w:r>
      <w:r w:rsidR="009105DA">
        <w:rPr>
          <w:rFonts w:eastAsia="Times New Roman" w:cs="Arial"/>
          <w:color w:val="auto"/>
        </w:rPr>
        <w:t xml:space="preserve"> </w:t>
      </w:r>
      <w:r w:rsidRPr="005956C9">
        <w:rPr>
          <w:rFonts w:eastAsia="Times New Roman" w:cs="Arial"/>
          <w:color w:val="auto"/>
        </w:rPr>
        <w:t>Just over one in seven (15.5%) people took a multivitamin or multimineral supplement. Adult females were more likely to take a multivitamin or multimineral supplement than males in every age group (except those aged 75 years and over where the difference was not significant), while for children aged 2–17 years the proportions for males and females were similar (10.1% and 9.2%).</w:t>
      </w:r>
      <w:r w:rsidR="009105DA">
        <w:rPr>
          <w:rFonts w:eastAsia="Times New Roman" w:cs="Arial"/>
          <w:color w:val="auto"/>
        </w:rPr>
        <w:t xml:space="preserve"> </w:t>
      </w:r>
      <w:r w:rsidRPr="005956C9">
        <w:rPr>
          <w:rFonts w:eastAsia="Times New Roman" w:cs="Arial"/>
          <w:color w:val="auto"/>
        </w:rPr>
        <w:t>Children aged 12–17 years (5.8%) were the least likely to take a multivitamin or multimineral supplement. Among adults, the proportion of people who took a multivitamin or multimineral supplement increased with age, to one in five people aged 65–74 years (21.3%) and 75 years and over (19.7%)</w:t>
      </w:r>
      <w:r w:rsidR="00073A56">
        <w:rPr>
          <w:rFonts w:eastAsia="Times New Roman" w:cs="Arial"/>
          <w:color w:val="auto"/>
        </w:rPr>
        <w:t xml:space="preserve"> </w:t>
      </w:r>
      <w:r w:rsidR="0045011E">
        <w:rPr>
          <w:rFonts w:eastAsia="Times New Roman" w:cs="Arial"/>
          <w:noProof/>
          <w:color w:val="auto"/>
        </w:rPr>
        <w:t>(ABS, 2025)</w:t>
      </w:r>
      <w:r w:rsidR="00591FC0">
        <w:rPr>
          <w:rFonts w:eastAsia="Times New Roman" w:cs="Arial"/>
          <w:color w:val="auto"/>
        </w:rPr>
        <w:t>.</w:t>
      </w:r>
    </w:p>
    <w:p w14:paraId="3E606CAB" w14:textId="5BDCCC6A" w:rsidR="00591FC0" w:rsidRPr="00DC4DA0" w:rsidRDefault="00C11B84" w:rsidP="00C656BE">
      <w:pPr>
        <w:spacing w:line="276" w:lineRule="auto"/>
        <w:rPr>
          <w:rFonts w:eastAsia="Times New Roman" w:cs="Arial"/>
          <w:color w:val="auto"/>
        </w:rPr>
      </w:pPr>
      <w:r w:rsidRPr="00DC4DA0">
        <w:rPr>
          <w:rFonts w:eastAsia="Times New Roman" w:cs="Arial"/>
          <w:color w:val="auto"/>
        </w:rPr>
        <w:t xml:space="preserve">&lt; </w:t>
      </w:r>
      <w:r w:rsidR="00C656BE" w:rsidRPr="00DC4DA0">
        <w:rPr>
          <w:rFonts w:eastAsia="Times New Roman" w:cs="Arial"/>
          <w:i/>
          <w:iCs/>
          <w:color w:val="auto"/>
        </w:rPr>
        <w:t xml:space="preserve">At the time of writing, </w:t>
      </w:r>
      <w:r w:rsidR="00073A56" w:rsidRPr="00DC4DA0">
        <w:rPr>
          <w:rFonts w:eastAsia="Times New Roman" w:cs="Arial"/>
          <w:i/>
          <w:iCs/>
          <w:color w:val="auto"/>
        </w:rPr>
        <w:t>2023</w:t>
      </w:r>
      <w:r w:rsidR="00C656BE" w:rsidRPr="00DC4DA0">
        <w:rPr>
          <w:rFonts w:eastAsia="Times New Roman" w:cs="Arial"/>
          <w:i/>
          <w:iCs/>
          <w:color w:val="auto"/>
        </w:rPr>
        <w:t xml:space="preserve"> ABS data </w:t>
      </w:r>
      <w:r w:rsidR="00073A56" w:rsidRPr="00DC4DA0">
        <w:rPr>
          <w:rFonts w:eastAsia="Times New Roman" w:cs="Arial"/>
          <w:i/>
          <w:iCs/>
          <w:color w:val="auto"/>
        </w:rPr>
        <w:t xml:space="preserve">specific to </w:t>
      </w:r>
      <w:r w:rsidR="00C656BE" w:rsidRPr="00DC4DA0">
        <w:rPr>
          <w:rFonts w:eastAsia="Times New Roman" w:cs="Arial"/>
          <w:i/>
          <w:iCs/>
          <w:color w:val="auto"/>
        </w:rPr>
        <w:t>Vitamin B6 supplements was not available</w:t>
      </w:r>
      <w:r w:rsidR="00324480" w:rsidRPr="00DC4DA0">
        <w:rPr>
          <w:rFonts w:eastAsia="Times New Roman" w:cs="Arial"/>
          <w:i/>
          <w:iCs/>
          <w:color w:val="auto"/>
        </w:rPr>
        <w:t xml:space="preserve">. Data from this publication will be added when </w:t>
      </w:r>
      <w:r w:rsidR="00D24282" w:rsidRPr="00DC4DA0">
        <w:rPr>
          <w:rFonts w:eastAsia="Times New Roman" w:cs="Arial"/>
          <w:i/>
          <w:iCs/>
          <w:color w:val="auto"/>
        </w:rPr>
        <w:t xml:space="preserve">it becomes </w:t>
      </w:r>
      <w:r w:rsidR="00324480" w:rsidRPr="00DC4DA0">
        <w:rPr>
          <w:rFonts w:eastAsia="Times New Roman" w:cs="Arial"/>
          <w:i/>
          <w:iCs/>
          <w:color w:val="auto"/>
        </w:rPr>
        <w:t>available</w:t>
      </w:r>
      <w:r w:rsidR="00324480" w:rsidRPr="00DC4DA0">
        <w:rPr>
          <w:rFonts w:eastAsia="Times New Roman" w:cs="Arial"/>
          <w:color w:val="auto"/>
        </w:rPr>
        <w:t xml:space="preserve"> </w:t>
      </w:r>
      <w:r w:rsidR="00591FC0" w:rsidRPr="00DC4DA0">
        <w:rPr>
          <w:rFonts w:eastAsia="Times New Roman" w:cs="Arial"/>
          <w:color w:val="auto"/>
        </w:rPr>
        <w:t>&gt;</w:t>
      </w:r>
    </w:p>
    <w:p w14:paraId="7DA9C98E" w14:textId="778695AB" w:rsidR="00C656BE" w:rsidRPr="005B1899" w:rsidRDefault="00BE15BC" w:rsidP="00C656BE">
      <w:pPr>
        <w:spacing w:line="276" w:lineRule="auto"/>
        <w:rPr>
          <w:rFonts w:eastAsia="Times New Roman" w:cs="Arial"/>
          <w:color w:val="auto"/>
        </w:rPr>
      </w:pPr>
      <w:r w:rsidRPr="00BE15BC">
        <w:rPr>
          <w:rFonts w:eastAsia="Times New Roman" w:cs="Arial"/>
          <w:color w:val="auto"/>
        </w:rPr>
        <w:t xml:space="preserve">A study of vitamin B6 supplement sales in Australia found that 20.32 million products containing 5 mg </w:t>
      </w:r>
      <w:r w:rsidR="00F92012">
        <w:rPr>
          <w:rFonts w:eastAsia="Times New Roman" w:cs="Arial"/>
          <w:color w:val="auto"/>
        </w:rPr>
        <w:t xml:space="preserve">or more </w:t>
      </w:r>
      <w:r w:rsidRPr="00BE15BC">
        <w:rPr>
          <w:rFonts w:eastAsia="Times New Roman" w:cs="Arial"/>
          <w:color w:val="auto"/>
        </w:rPr>
        <w:t>of vitamin B6 were sold across 15.8 million transactions between 2023 and 2025. Products containing 10–49 mg accounted for more than half of all units sold, while products containing 50 mg or more accounted for 16.75% of units and 21.63% of transactions. The study also found evidence of multiple or duplicate purchases, which may increase cumulative intake. Sales were otherwise stable, apart from the 2023 withdrawal of products containing more than 100 mg. The authors concluded that Australians continue to buy large volumes of vitamin B6 products above recommended intake levels, including combinations of lower-dose products that may not be affected by proposed rescheduling. They also noted that the implementation period for scheduling changes may allow high-risk exposure to continue unless stronger risk communication is provided</w:t>
      </w:r>
      <w:r>
        <w:rPr>
          <w:rFonts w:eastAsia="Times New Roman" w:cs="Arial"/>
          <w:color w:val="auto"/>
        </w:rPr>
        <w:t xml:space="preserve"> </w:t>
      </w:r>
      <w:r w:rsidR="0045011E">
        <w:rPr>
          <w:rFonts w:eastAsia="Times New Roman" w:cs="Arial"/>
          <w:noProof/>
          <w:color w:val="auto"/>
        </w:rPr>
        <w:t>(Chan et al., 2026)</w:t>
      </w:r>
      <w:r w:rsidR="00D620E0" w:rsidRPr="00D620E0">
        <w:rPr>
          <w:rFonts w:eastAsia="Times New Roman" w:cs="Arial"/>
          <w:color w:val="auto"/>
        </w:rPr>
        <w:t>.</w:t>
      </w:r>
    </w:p>
    <w:p w14:paraId="4D2B7BCB" w14:textId="31819276" w:rsidR="002A3A05" w:rsidRPr="000F42B8" w:rsidRDefault="002A3A05" w:rsidP="00425ED4">
      <w:pPr>
        <w:rPr>
          <w:b/>
          <w:bCs/>
          <w:i/>
          <w:iCs/>
        </w:rPr>
      </w:pPr>
      <w:r w:rsidRPr="000F42B8">
        <w:rPr>
          <w:b/>
          <w:bCs/>
          <w:i/>
          <w:iCs/>
        </w:rPr>
        <w:t>New Zealand</w:t>
      </w:r>
    </w:p>
    <w:p w14:paraId="6771143B" w14:textId="62BF311D" w:rsidR="00425ED4" w:rsidRDefault="002B5F1F" w:rsidP="005B77F1">
      <w:pPr>
        <w:spacing w:line="276" w:lineRule="auto"/>
        <w:rPr>
          <w:rFonts w:eastAsia="Times New Roman" w:cs="Arial"/>
          <w:color w:val="auto"/>
        </w:rPr>
      </w:pPr>
      <w:r w:rsidRPr="005B77F1">
        <w:rPr>
          <w:rFonts w:eastAsia="Times New Roman" w:cs="Arial"/>
          <w:color w:val="auto"/>
        </w:rPr>
        <w:t xml:space="preserve">The </w:t>
      </w:r>
      <w:r w:rsidR="0043692B" w:rsidRPr="005B77F1">
        <w:rPr>
          <w:rFonts w:eastAsia="Times New Roman" w:cs="Arial"/>
          <w:color w:val="auto"/>
        </w:rPr>
        <w:t xml:space="preserve">2008/09 </w:t>
      </w:r>
      <w:r w:rsidR="001B4E9E" w:rsidRPr="005B77F1">
        <w:rPr>
          <w:rFonts w:eastAsia="Times New Roman" w:cs="Arial"/>
          <w:color w:val="auto"/>
        </w:rPr>
        <w:t xml:space="preserve">New Zealand Adult Nutrition Survey </w:t>
      </w:r>
      <w:r w:rsidR="00970DC2" w:rsidRPr="005B77F1">
        <w:rPr>
          <w:rFonts w:eastAsia="Times New Roman" w:cs="Arial"/>
          <w:color w:val="auto"/>
        </w:rPr>
        <w:t>co</w:t>
      </w:r>
      <w:r w:rsidR="00970DC2">
        <w:rPr>
          <w:rFonts w:eastAsia="Times New Roman" w:cs="Arial"/>
          <w:color w:val="auto"/>
        </w:rPr>
        <w:t>ll</w:t>
      </w:r>
      <w:r w:rsidR="00970DC2" w:rsidRPr="005B77F1">
        <w:rPr>
          <w:rFonts w:eastAsia="Times New Roman" w:cs="Arial"/>
          <w:color w:val="auto"/>
        </w:rPr>
        <w:t xml:space="preserve">ected </w:t>
      </w:r>
      <w:r w:rsidR="001B4E9E" w:rsidRPr="005B77F1">
        <w:rPr>
          <w:rFonts w:eastAsia="Times New Roman" w:cs="Arial"/>
          <w:color w:val="auto"/>
        </w:rPr>
        <w:t xml:space="preserve">data </w:t>
      </w:r>
      <w:r w:rsidR="005A3FB3" w:rsidRPr="005B77F1">
        <w:rPr>
          <w:rFonts w:eastAsia="Times New Roman" w:cs="Arial"/>
          <w:color w:val="auto"/>
        </w:rPr>
        <w:t xml:space="preserve">regarding </w:t>
      </w:r>
      <w:r w:rsidR="005F3DDD" w:rsidRPr="005B77F1">
        <w:rPr>
          <w:rFonts w:eastAsia="Times New Roman" w:cs="Arial"/>
          <w:color w:val="auto"/>
        </w:rPr>
        <w:t xml:space="preserve">Vitamin B6 </w:t>
      </w:r>
      <w:r w:rsidR="005A3FB3" w:rsidRPr="005B77F1">
        <w:rPr>
          <w:rFonts w:eastAsia="Times New Roman" w:cs="Arial"/>
          <w:color w:val="auto"/>
        </w:rPr>
        <w:t xml:space="preserve">intake for </w:t>
      </w:r>
      <w:r w:rsidR="005F3DDD" w:rsidRPr="005B77F1">
        <w:rPr>
          <w:rFonts w:eastAsia="Times New Roman" w:cs="Arial"/>
          <w:color w:val="auto"/>
        </w:rPr>
        <w:t>‘</w:t>
      </w:r>
      <w:r w:rsidR="005A3FB3" w:rsidRPr="005B77F1">
        <w:rPr>
          <w:rFonts w:eastAsia="Times New Roman" w:cs="Arial"/>
          <w:color w:val="auto"/>
        </w:rPr>
        <w:t>dietary supplements</w:t>
      </w:r>
      <w:r w:rsidR="005F3DDD" w:rsidRPr="005B77F1">
        <w:rPr>
          <w:rFonts w:eastAsia="Times New Roman" w:cs="Arial"/>
          <w:color w:val="auto"/>
        </w:rPr>
        <w:t>’</w:t>
      </w:r>
      <w:r w:rsidR="0087152B" w:rsidRPr="005B77F1">
        <w:rPr>
          <w:rFonts w:eastAsia="Times New Roman" w:cs="Arial"/>
          <w:color w:val="auto"/>
        </w:rPr>
        <w:t xml:space="preserve"> </w:t>
      </w:r>
      <w:r w:rsidR="0045011E">
        <w:rPr>
          <w:rFonts w:eastAsia="Times New Roman" w:cs="Arial"/>
          <w:noProof/>
          <w:color w:val="auto"/>
        </w:rPr>
        <w:t>(Ministry of Health, 2011)</w:t>
      </w:r>
      <w:r w:rsidR="00D2151C" w:rsidRPr="005B77F1">
        <w:rPr>
          <w:rFonts w:eastAsia="Times New Roman" w:cs="Arial"/>
          <w:color w:val="auto"/>
        </w:rPr>
        <w:t xml:space="preserve"> </w:t>
      </w:r>
      <w:r w:rsidR="00ED3632" w:rsidRPr="005B77F1">
        <w:rPr>
          <w:rFonts w:eastAsia="Times New Roman" w:cs="Arial"/>
          <w:color w:val="auto"/>
        </w:rPr>
        <w:t xml:space="preserve">however, these were defined as </w:t>
      </w:r>
      <w:r w:rsidR="000D0546" w:rsidRPr="005B77F1">
        <w:rPr>
          <w:rFonts w:eastAsia="Times New Roman" w:cs="Arial"/>
          <w:color w:val="auto"/>
        </w:rPr>
        <w:t>‘</w:t>
      </w:r>
      <w:r w:rsidR="0087152B" w:rsidRPr="005B77F1">
        <w:rPr>
          <w:rFonts w:eastAsia="Times New Roman" w:cs="Arial"/>
          <w:color w:val="auto"/>
        </w:rPr>
        <w:t>anything the participant considered to be a</w:t>
      </w:r>
      <w:r w:rsidR="000D0546" w:rsidRPr="005B77F1">
        <w:rPr>
          <w:rFonts w:eastAsia="Times New Roman" w:cs="Arial"/>
          <w:color w:val="auto"/>
        </w:rPr>
        <w:t xml:space="preserve"> </w:t>
      </w:r>
      <w:r w:rsidR="0087152B" w:rsidRPr="005B77F1">
        <w:rPr>
          <w:rFonts w:eastAsia="Times New Roman" w:cs="Arial"/>
          <w:color w:val="auto"/>
        </w:rPr>
        <w:t>supplement to their diet. Supplements therefore included a range of substances, from</w:t>
      </w:r>
      <w:r w:rsidR="000D0546" w:rsidRPr="005B77F1">
        <w:rPr>
          <w:rFonts w:eastAsia="Times New Roman" w:cs="Arial"/>
          <w:color w:val="auto"/>
        </w:rPr>
        <w:t xml:space="preserve"> </w:t>
      </w:r>
      <w:r w:rsidR="0087152B" w:rsidRPr="005B77F1">
        <w:rPr>
          <w:rFonts w:eastAsia="Times New Roman" w:cs="Arial"/>
          <w:color w:val="auto"/>
        </w:rPr>
        <w:t>vitamins and minerals to ‘other’ dietary supplements such as flaxseed oil, garlic and</w:t>
      </w:r>
      <w:r w:rsidR="000D0546" w:rsidRPr="005B77F1">
        <w:rPr>
          <w:rFonts w:eastAsia="Times New Roman" w:cs="Arial"/>
          <w:color w:val="auto"/>
        </w:rPr>
        <w:t xml:space="preserve"> </w:t>
      </w:r>
      <w:r w:rsidR="0087152B" w:rsidRPr="005B77F1">
        <w:rPr>
          <w:rFonts w:eastAsia="Times New Roman" w:cs="Arial"/>
          <w:color w:val="auto"/>
        </w:rPr>
        <w:t>spirulina</w:t>
      </w:r>
      <w:r w:rsidR="000D0546" w:rsidRPr="005B77F1">
        <w:rPr>
          <w:rFonts w:eastAsia="Times New Roman" w:cs="Arial"/>
          <w:color w:val="auto"/>
        </w:rPr>
        <w:t xml:space="preserve">’ </w:t>
      </w:r>
      <w:r w:rsidR="0045011E">
        <w:rPr>
          <w:rFonts w:eastAsia="Times New Roman" w:cs="Arial"/>
          <w:noProof/>
          <w:color w:val="auto"/>
        </w:rPr>
        <w:t>(Parnell et al., 2011)</w:t>
      </w:r>
      <w:r w:rsidR="0087152B" w:rsidRPr="005B77F1">
        <w:rPr>
          <w:rFonts w:eastAsia="Times New Roman" w:cs="Arial"/>
          <w:color w:val="auto"/>
        </w:rPr>
        <w:t>.</w:t>
      </w:r>
      <w:r w:rsidR="00425ED4" w:rsidRPr="005B77F1">
        <w:rPr>
          <w:rFonts w:eastAsia="Times New Roman" w:cs="Arial"/>
          <w:color w:val="auto"/>
        </w:rPr>
        <w:t xml:space="preserve"> </w:t>
      </w:r>
    </w:p>
    <w:p w14:paraId="36422B57" w14:textId="366378DC" w:rsidR="00081A42" w:rsidRPr="00081A42" w:rsidRDefault="00081A42" w:rsidP="00FC3574">
      <w:pPr>
        <w:spacing w:line="276" w:lineRule="auto"/>
        <w:rPr>
          <w:rFonts w:eastAsia="Times New Roman" w:cs="Calibri"/>
          <w:b/>
          <w:bCs/>
          <w:i/>
          <w:iCs/>
          <w:szCs w:val="20"/>
        </w:rPr>
      </w:pPr>
      <w:r w:rsidRPr="00081A42">
        <w:rPr>
          <w:rFonts w:eastAsia="Times New Roman" w:cs="Calibri"/>
          <w:b/>
          <w:bCs/>
          <w:i/>
          <w:iCs/>
          <w:szCs w:val="20"/>
        </w:rPr>
        <w:t xml:space="preserve">Supplement </w:t>
      </w:r>
      <w:r w:rsidR="007F1DDB">
        <w:rPr>
          <w:rFonts w:eastAsia="Times New Roman" w:cs="Calibri"/>
          <w:b/>
          <w:bCs/>
          <w:i/>
          <w:iCs/>
          <w:szCs w:val="20"/>
        </w:rPr>
        <w:t>R</w:t>
      </w:r>
      <w:r w:rsidRPr="00081A42">
        <w:rPr>
          <w:rFonts w:eastAsia="Times New Roman" w:cs="Calibri"/>
          <w:b/>
          <w:bCs/>
          <w:i/>
          <w:iCs/>
          <w:szCs w:val="20"/>
        </w:rPr>
        <w:t>egulation</w:t>
      </w:r>
    </w:p>
    <w:p w14:paraId="1AA8F35C" w14:textId="5CBB14EF" w:rsidR="004B1682" w:rsidRDefault="004B1682">
      <w:pPr>
        <w:spacing w:line="276" w:lineRule="auto"/>
      </w:pPr>
      <w:r>
        <w:lastRenderedPageBreak/>
        <w:t xml:space="preserve">In Australia, the </w:t>
      </w:r>
      <w:hyperlink r:id="rId40" w:tgtFrame="_blank" w:history="1">
        <w:r>
          <w:rPr>
            <w:rStyle w:val="Hyperlink"/>
          </w:rPr>
          <w:t>Therapeutic Goods Administration</w:t>
        </w:r>
      </w:hyperlink>
      <w:r>
        <w:t xml:space="preserve"> has strengthened controls for vitamin B</w:t>
      </w:r>
      <w:r w:rsidR="008B0D25">
        <w:t>6</w:t>
      </w:r>
      <w:r>
        <w:t>-containing medicines and supplements because of the risk of peripheral neuropathy from high-dose or cumulative intake. Vitamin B</w:t>
      </w:r>
      <w:r w:rsidR="008B0D25">
        <w:t>6</w:t>
      </w:r>
      <w:r>
        <w:t xml:space="preserve"> is present in many multivitamin, B-complex, magnesium</w:t>
      </w:r>
      <w:r w:rsidR="00F77B57">
        <w:t>,</w:t>
      </w:r>
      <w:r>
        <w:t xml:space="preserve"> zinc</w:t>
      </w:r>
      <w:r w:rsidR="00CB7024">
        <w:t>,</w:t>
      </w:r>
      <w:r w:rsidR="00F77B57">
        <w:t xml:space="preserve"> </w:t>
      </w:r>
      <w:r w:rsidR="00356EC2">
        <w:rPr>
          <w:color w:val="auto"/>
        </w:rPr>
        <w:t>as well as products marketed for stress, sleep, nerve support, immunity, depression, premenstrual symptoms or general wellbeing</w:t>
      </w:r>
      <w:r w:rsidR="00247D75">
        <w:rPr>
          <w:color w:val="auto"/>
        </w:rPr>
        <w:t>. C</w:t>
      </w:r>
      <w:r>
        <w:t xml:space="preserve">onsumers may take more than one product without recognising their total exposure. </w:t>
      </w:r>
      <w:r w:rsidR="00AE611B">
        <w:t>Since March 2022 p</w:t>
      </w:r>
      <w:r>
        <w:t>roducts providing more than 10 mg/day must carry a peripheral neuropathy warning</w:t>
      </w:r>
      <w:r w:rsidR="00B31D74">
        <w:t>. T</w:t>
      </w:r>
      <w:r>
        <w:t xml:space="preserve">he maximum permitted daily dose in listed medicines </w:t>
      </w:r>
      <w:r w:rsidR="00CB7024">
        <w:t>was</w:t>
      </w:r>
      <w:r>
        <w:t xml:space="preserve"> reduced from 200 mg to 100 mg for adults</w:t>
      </w:r>
      <w:r w:rsidR="00B31D74">
        <w:t>. F</w:t>
      </w:r>
      <w:r>
        <w:t>rom 1 June 2027, oral products providing more than 50 mg and not more than 200 mg per recommended daily dose will become Pharmacist Only Medicines</w:t>
      </w:r>
      <w:r w:rsidR="009A13DA">
        <w:t xml:space="preserve"> (Schedule 3)</w:t>
      </w:r>
      <w:r>
        <w:t xml:space="preserve">, while products above 200 mg will remain </w:t>
      </w:r>
      <w:r w:rsidR="0033543A">
        <w:t>P</w:t>
      </w:r>
      <w:r>
        <w:t xml:space="preserve">rescription </w:t>
      </w:r>
      <w:r w:rsidR="0033543A">
        <w:t>O</w:t>
      </w:r>
      <w:r>
        <w:t>nly</w:t>
      </w:r>
      <w:r w:rsidR="0033543A">
        <w:t xml:space="preserve"> Medicines (Schedule 4)</w:t>
      </w:r>
      <w:r w:rsidR="00CB7024">
        <w:t>.</w:t>
      </w:r>
      <w:r w:rsidR="001A358E">
        <w:t xml:space="preserve"> TGA has also indicated that </w:t>
      </w:r>
      <w:r w:rsidR="001A358E" w:rsidRPr="001A358E">
        <w:t>should there be a change following the NHMRC review</w:t>
      </w:r>
      <w:r w:rsidR="001A358E">
        <w:t xml:space="preserve"> of the vitamin B6 UL</w:t>
      </w:r>
      <w:r w:rsidR="001A358E" w:rsidRPr="001A358E">
        <w:t>, the appropriateness of the new limits will be re-evaluated</w:t>
      </w:r>
      <w:r w:rsidR="00ED7C40">
        <w:t xml:space="preserve"> </w:t>
      </w:r>
      <w:r w:rsidR="0045011E">
        <w:rPr>
          <w:noProof/>
        </w:rPr>
        <w:t>(TGA, 2025)</w:t>
      </w:r>
      <w:r w:rsidR="00984506">
        <w:t>.</w:t>
      </w:r>
    </w:p>
    <w:p w14:paraId="73BF1A87" w14:textId="77777777" w:rsidR="00207077" w:rsidRPr="00207077" w:rsidRDefault="00207077" w:rsidP="005B77F1">
      <w:pPr>
        <w:spacing w:line="276" w:lineRule="auto"/>
        <w:rPr>
          <w:rFonts w:eastAsia="Times New Roman" w:cs="Arial"/>
          <w:b/>
          <w:bCs/>
          <w:i/>
          <w:iCs/>
          <w:color w:val="auto"/>
        </w:rPr>
      </w:pPr>
    </w:p>
    <w:p w14:paraId="6E4481DE" w14:textId="49370241" w:rsidR="00560EBD" w:rsidRPr="00962F99" w:rsidRDefault="00560EBD" w:rsidP="00560EBD">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pPr>
      <w:r>
        <w:rPr>
          <w:color w:val="FFFFFF" w:themeColor="background1"/>
          <w:sz w:val="22"/>
          <w:szCs w:val="22"/>
        </w:rPr>
        <w:t>Vitamin B6 exposure in Australia and New Zealand – Special Populations</w:t>
      </w:r>
    </w:p>
    <w:p w14:paraId="26BDE890" w14:textId="7DADCE79" w:rsidR="00560EBD" w:rsidRDefault="00560EBD" w:rsidP="00425ED4">
      <w:pPr>
        <w:rPr>
          <w:b/>
          <w:bCs/>
          <w:i/>
          <w:iCs/>
        </w:rPr>
      </w:pPr>
      <w:r>
        <w:rPr>
          <w:b/>
          <w:bCs/>
          <w:i/>
          <w:iCs/>
        </w:rPr>
        <w:t>Pregnancy and Lactation</w:t>
      </w:r>
    </w:p>
    <w:p w14:paraId="46BB7A77" w14:textId="41EAB016" w:rsidR="00560EBD" w:rsidRDefault="00560EBD" w:rsidP="00425ED4">
      <w:pPr>
        <w:rPr>
          <w:szCs w:val="20"/>
        </w:rPr>
      </w:pPr>
      <w:r>
        <w:rPr>
          <w:szCs w:val="20"/>
        </w:rPr>
        <w:t>There is no evidence that special considerations are needed during pregnancy and lactation.</w:t>
      </w:r>
    </w:p>
    <w:p w14:paraId="762913A3" w14:textId="61F33EBA" w:rsidR="00FA5DB2" w:rsidRDefault="00FA5DB2">
      <w:pPr>
        <w:rPr>
          <w:color w:val="000000"/>
          <w:kern w:val="2"/>
          <w:szCs w:val="20"/>
          <w14:ligatures w14:val="standardContextual"/>
        </w:rPr>
      </w:pPr>
      <w:r>
        <w:t>For pregnancy and lactation, the available evidence does not indicate a need for a separate vitamin B</w:t>
      </w:r>
      <w:r w:rsidR="0033543A">
        <w:t>6</w:t>
      </w:r>
      <w:r>
        <w:t xml:space="preserve"> UL or a different uncertainty factor. Lowering the UL may provide an additional margin of safety for people who are pregnant or lactating and use vitamin B</w:t>
      </w:r>
      <w:r w:rsidR="0033543A">
        <w:t>6</w:t>
      </w:r>
      <w:r>
        <w:t>-containing supplements, including pregnancy multivitamins or products used for nausea and vomiting. However, evidence remains limited on high-dose exposure during pregnancy and lactation, including in utero exposure, infant exposure through breastmilk and vitamin B</w:t>
      </w:r>
      <w:r w:rsidR="0033543A">
        <w:t>6</w:t>
      </w:r>
      <w:r>
        <w:t xml:space="preserve"> metabolism in neonates. This supports clear advice to avoid unnecessary high-dose vitamin B</w:t>
      </w:r>
      <w:r w:rsidR="0033543A">
        <w:t>6</w:t>
      </w:r>
      <w:r>
        <w:t xml:space="preserve"> supplementation during pregnancy and lactation unless clinically indicated and supervised by a health professional </w:t>
      </w:r>
      <w:r w:rsidR="0045011E">
        <w:rPr>
          <w:noProof/>
        </w:rPr>
        <w:t>(EFSA Panel on Nutrition et al., 2023; SLR Consulting Australia Pty Ltd, 2006)</w:t>
      </w:r>
      <w:r>
        <w:t>. People taking pregnancy multivitamins or using vitamin B</w:t>
      </w:r>
      <w:r w:rsidR="0033543A">
        <w:t>6</w:t>
      </w:r>
      <w:r>
        <w:t xml:space="preserve"> for </w:t>
      </w:r>
      <w:r w:rsidR="00E06676">
        <w:t xml:space="preserve">sever nausea and vomiting or </w:t>
      </w:r>
      <w:r>
        <w:t>hyperemesis gravidarum may be at risk of excess intake</w:t>
      </w:r>
      <w:r w:rsidR="00172775">
        <w:t xml:space="preserve">. </w:t>
      </w:r>
      <w:r>
        <w:t xml:space="preserve">LEAPP Australia Pregnancy Care Guidelines </w:t>
      </w:r>
      <w:r w:rsidR="00E1445C">
        <w:t>state</w:t>
      </w:r>
      <w:r>
        <w:t>: ‘</w:t>
      </w:r>
      <w:r w:rsidR="00E1445C" w:rsidRPr="00E1445C">
        <w:t>Conditional recommendation against - Do not routinely recommend vitamin B6 supplementation during pregnancy</w:t>
      </w:r>
      <w:r>
        <w:t xml:space="preserve">’ </w:t>
      </w:r>
      <w:r w:rsidR="0045011E">
        <w:rPr>
          <w:noProof/>
        </w:rPr>
        <w:t>(ALEC, 202</w:t>
      </w:r>
      <w:r w:rsidR="002A5A02">
        <w:rPr>
          <w:noProof/>
        </w:rPr>
        <w:t>6</w:t>
      </w:r>
      <w:r w:rsidR="0045011E">
        <w:rPr>
          <w:noProof/>
        </w:rPr>
        <w:t>)</w:t>
      </w:r>
      <w:r>
        <w:t>.</w:t>
      </w:r>
    </w:p>
    <w:p w14:paraId="6FA974CA" w14:textId="5E8F9555" w:rsidR="005B77F1" w:rsidRPr="005B77F1" w:rsidRDefault="005B77F1" w:rsidP="00425ED4">
      <w:pPr>
        <w:rPr>
          <w:b/>
          <w:bCs/>
          <w:i/>
          <w:iCs/>
        </w:rPr>
      </w:pPr>
      <w:r w:rsidRPr="005B77F1">
        <w:rPr>
          <w:b/>
          <w:bCs/>
          <w:i/>
          <w:iCs/>
        </w:rPr>
        <w:t>Sensitive populations</w:t>
      </w:r>
    </w:p>
    <w:p w14:paraId="01174E92" w14:textId="267F7702" w:rsidR="007B3162" w:rsidRDefault="00074562" w:rsidP="00206817">
      <w:pPr>
        <w:rPr>
          <w:szCs w:val="20"/>
        </w:rPr>
      </w:pPr>
      <w:r>
        <w:rPr>
          <w:color w:val="auto"/>
          <w:szCs w:val="20"/>
        </w:rPr>
        <w:t xml:space="preserve">Several populations may be more sensitive to </w:t>
      </w:r>
      <w:r w:rsidR="0033543A">
        <w:rPr>
          <w:color w:val="auto"/>
          <w:szCs w:val="20"/>
        </w:rPr>
        <w:t>v</w:t>
      </w:r>
      <w:r>
        <w:rPr>
          <w:color w:val="auto"/>
          <w:szCs w:val="20"/>
        </w:rPr>
        <w:t>itamin B6</w:t>
      </w:r>
      <w:r w:rsidR="006C4727">
        <w:rPr>
          <w:color w:val="auto"/>
          <w:szCs w:val="20"/>
        </w:rPr>
        <w:t>, such as p</w:t>
      </w:r>
      <w:r w:rsidR="004824AE" w:rsidRPr="00C45A6C">
        <w:rPr>
          <w:color w:val="auto"/>
        </w:rPr>
        <w:t>atients with pre-existing neuropathy</w:t>
      </w:r>
      <w:r w:rsidR="006C4727">
        <w:rPr>
          <w:color w:val="auto"/>
        </w:rPr>
        <w:t>, r</w:t>
      </w:r>
      <w:r w:rsidR="00140502" w:rsidRPr="00C45A6C">
        <w:rPr>
          <w:color w:val="auto"/>
        </w:rPr>
        <w:t>enal impairment</w:t>
      </w:r>
      <w:r w:rsidR="006C4727">
        <w:rPr>
          <w:color w:val="auto"/>
        </w:rPr>
        <w:t xml:space="preserve">, </w:t>
      </w:r>
      <w:r w:rsidR="00E462B6">
        <w:rPr>
          <w:color w:val="auto"/>
        </w:rPr>
        <w:t>g</w:t>
      </w:r>
      <w:r w:rsidR="005A6177" w:rsidRPr="00C45A6C">
        <w:rPr>
          <w:color w:val="auto"/>
        </w:rPr>
        <w:t>enetic sensitivity</w:t>
      </w:r>
      <w:r w:rsidR="00E462B6">
        <w:rPr>
          <w:color w:val="auto"/>
        </w:rPr>
        <w:t>, impaired vitamin B6 metabolism</w:t>
      </w:r>
      <w:r w:rsidR="00320FDA">
        <w:rPr>
          <w:color w:val="auto"/>
        </w:rPr>
        <w:t xml:space="preserve"> </w:t>
      </w:r>
      <w:r w:rsidR="0045011E">
        <w:rPr>
          <w:noProof/>
          <w:color w:val="auto"/>
        </w:rPr>
        <w:t>(van Hunsel et al., 2025)</w:t>
      </w:r>
      <w:r w:rsidR="00320FDA">
        <w:rPr>
          <w:color w:val="auto"/>
        </w:rPr>
        <w:t xml:space="preserve">, </w:t>
      </w:r>
      <w:r w:rsidR="00D34C37" w:rsidRPr="00C45A6C">
        <w:rPr>
          <w:color w:val="auto"/>
        </w:rPr>
        <w:t>Parkinson’s</w:t>
      </w:r>
      <w:r w:rsidR="003C12F3" w:rsidRPr="00C45A6C">
        <w:rPr>
          <w:color w:val="auto"/>
        </w:rPr>
        <w:t xml:space="preserve"> disease patients on levodopa therapy</w:t>
      </w:r>
      <w:r w:rsidR="00301E66">
        <w:rPr>
          <w:color w:val="auto"/>
        </w:rPr>
        <w:t xml:space="preserve"> </w:t>
      </w:r>
      <w:r w:rsidR="0045011E">
        <w:rPr>
          <w:noProof/>
          <w:color w:val="auto"/>
        </w:rPr>
        <w:t>(Lizárraga &amp; Lang, 2022)</w:t>
      </w:r>
      <w:r w:rsidR="00E57114">
        <w:rPr>
          <w:szCs w:val="20"/>
        </w:rPr>
        <w:t xml:space="preserve">, </w:t>
      </w:r>
      <w:r w:rsidR="003E75ED" w:rsidRPr="00B61735">
        <w:rPr>
          <w:szCs w:val="20"/>
          <w:lang w:eastAsia="en-US"/>
        </w:rPr>
        <w:t>genetic polymorphisms (like homocysteineuria)</w:t>
      </w:r>
      <w:r w:rsidR="004E0C54" w:rsidRPr="00B61735">
        <w:rPr>
          <w:szCs w:val="20"/>
          <w:lang w:eastAsia="en-US"/>
        </w:rPr>
        <w:t>,</w:t>
      </w:r>
      <w:r w:rsidR="004E0C54">
        <w:rPr>
          <w:rFonts w:asciiTheme="minorHAnsi" w:hAnsiTheme="minorHAnsi"/>
          <w:sz w:val="22"/>
          <w:szCs w:val="22"/>
          <w:lang w:eastAsia="en-US"/>
        </w:rPr>
        <w:t xml:space="preserve"> </w:t>
      </w:r>
      <w:r w:rsidR="00C36424" w:rsidRPr="00C45A6C">
        <w:rPr>
          <w:color w:val="auto"/>
        </w:rPr>
        <w:t xml:space="preserve">people with </w:t>
      </w:r>
      <w:r w:rsidR="003E75ED" w:rsidRPr="00C45A6C">
        <w:rPr>
          <w:color w:val="auto"/>
        </w:rPr>
        <w:t>pre</w:t>
      </w:r>
      <w:r w:rsidR="003E75ED">
        <w:rPr>
          <w:color w:val="auto"/>
        </w:rPr>
        <w:t>-</w:t>
      </w:r>
      <w:r w:rsidR="003E75ED" w:rsidRPr="00C45A6C">
        <w:rPr>
          <w:color w:val="auto"/>
        </w:rPr>
        <w:t>existing</w:t>
      </w:r>
      <w:r w:rsidR="00E44E4C">
        <w:rPr>
          <w:color w:val="auto"/>
        </w:rPr>
        <w:t xml:space="preserve"> autonomic nervous </w:t>
      </w:r>
      <w:r w:rsidR="00816BEF">
        <w:rPr>
          <w:color w:val="auto"/>
        </w:rPr>
        <w:t>system</w:t>
      </w:r>
      <w:r w:rsidR="00C36424" w:rsidRPr="00C45A6C">
        <w:rPr>
          <w:color w:val="auto"/>
        </w:rPr>
        <w:t xml:space="preserve"> issues/dysautonomia, or gut dysbiosis</w:t>
      </w:r>
      <w:r w:rsidR="004E0C54">
        <w:rPr>
          <w:color w:val="auto"/>
        </w:rPr>
        <w:t>, people with l</w:t>
      </w:r>
      <w:r w:rsidR="00AA474B" w:rsidRPr="00C45A6C">
        <w:rPr>
          <w:color w:val="auto"/>
        </w:rPr>
        <w:t>ower body weight</w:t>
      </w:r>
      <w:r w:rsidR="004E0C54">
        <w:rPr>
          <w:color w:val="auto"/>
        </w:rPr>
        <w:t xml:space="preserve"> or </w:t>
      </w:r>
      <w:r w:rsidR="001873EE" w:rsidRPr="00C45A6C">
        <w:rPr>
          <w:color w:val="auto"/>
        </w:rPr>
        <w:t xml:space="preserve">eating </w:t>
      </w:r>
      <w:r w:rsidR="008E54F8" w:rsidRPr="00C45A6C">
        <w:rPr>
          <w:color w:val="auto"/>
        </w:rPr>
        <w:t>disorders</w:t>
      </w:r>
      <w:r w:rsidR="00206817">
        <w:rPr>
          <w:color w:val="auto"/>
        </w:rPr>
        <w:t xml:space="preserve">, </w:t>
      </w:r>
      <w:r w:rsidR="00206817" w:rsidRPr="00A708C0">
        <w:rPr>
          <w:color w:val="auto"/>
          <w:szCs w:val="20"/>
        </w:rPr>
        <w:t>b</w:t>
      </w:r>
      <w:r w:rsidR="00001DF3" w:rsidRPr="00001DF3">
        <w:rPr>
          <w:szCs w:val="20"/>
        </w:rPr>
        <w:t>ariatric surgery patients (altered absorption, post-surgery multivitamin use)</w:t>
      </w:r>
      <w:r w:rsidR="00206817">
        <w:rPr>
          <w:szCs w:val="20"/>
        </w:rPr>
        <w:t xml:space="preserve"> </w:t>
      </w:r>
      <w:r w:rsidR="0045011E">
        <w:rPr>
          <w:noProof/>
        </w:rPr>
        <w:t>(SLR, 2006)</w:t>
      </w:r>
      <w:r w:rsidR="007B3162">
        <w:rPr>
          <w:szCs w:val="20"/>
        </w:rPr>
        <w:t>.</w:t>
      </w:r>
      <w:r w:rsidR="00ED7528">
        <w:rPr>
          <w:szCs w:val="20"/>
        </w:rPr>
        <w:t xml:space="preserve"> </w:t>
      </w:r>
      <w:r w:rsidR="00560EBD">
        <w:rPr>
          <w:szCs w:val="20"/>
        </w:rPr>
        <w:t>However, t</w:t>
      </w:r>
      <w:r w:rsidR="00ED7528">
        <w:rPr>
          <w:szCs w:val="20"/>
        </w:rPr>
        <w:t>here is currently insufficient evidence to set</w:t>
      </w:r>
      <w:r w:rsidR="004E7957">
        <w:rPr>
          <w:szCs w:val="20"/>
        </w:rPr>
        <w:t xml:space="preserve"> separate ULs for any of these populations.</w:t>
      </w:r>
    </w:p>
    <w:p w14:paraId="3F1CACC5" w14:textId="0CF80C03" w:rsidR="00D34C37" w:rsidRPr="00CD0805" w:rsidRDefault="00D23BF9" w:rsidP="00E66CB4">
      <w:pPr>
        <w:rPr>
          <w:color w:val="auto"/>
        </w:rPr>
      </w:pPr>
      <w:r w:rsidRPr="00CD0805">
        <w:rPr>
          <w:szCs w:val="20"/>
        </w:rPr>
        <w:lastRenderedPageBreak/>
        <w:t xml:space="preserve">NRVs </w:t>
      </w:r>
      <w:r w:rsidRPr="00CD0805">
        <w:t xml:space="preserve">are </w:t>
      </w:r>
      <w:r>
        <w:t xml:space="preserve">intended as </w:t>
      </w:r>
      <w:r w:rsidRPr="00CD0805">
        <w:t>public health advice that applies to the general population</w:t>
      </w:r>
      <w:r w:rsidR="00EE7134">
        <w:t>. W</w:t>
      </w:r>
      <w:r w:rsidR="00EE7134" w:rsidRPr="00EE7134">
        <w:t>hile the UL aims to be protective for almost all individuals in the general population, people who may have specific sensitivities</w:t>
      </w:r>
      <w:r w:rsidR="00EE7134">
        <w:t xml:space="preserve">, or </w:t>
      </w:r>
      <w:r w:rsidR="00E73DBF" w:rsidRPr="00CD0805">
        <w:t>need nuanced advice due to specific health conditions or other circumstances</w:t>
      </w:r>
      <w:r w:rsidR="00CD0805" w:rsidRPr="00CD0805">
        <w:t xml:space="preserve">, such as those listed above, </w:t>
      </w:r>
      <w:r w:rsidR="00E73DBF" w:rsidRPr="00CD0805">
        <w:t>should seek individualised advice from a health professional.</w:t>
      </w:r>
      <w:r w:rsidR="00E5356A" w:rsidRPr="00CD0805">
        <w:rPr>
          <w:color w:val="auto"/>
        </w:rPr>
        <w:t xml:space="preserve"> </w:t>
      </w:r>
    </w:p>
    <w:p w14:paraId="0A74624D" w14:textId="409AE28A" w:rsidR="00E55D7A" w:rsidRPr="0076671A" w:rsidRDefault="00804982" w:rsidP="00E55D7A">
      <w:pPr>
        <w:rPr>
          <w:b/>
          <w:bCs/>
          <w:i/>
          <w:iCs/>
          <w:color w:val="auto"/>
        </w:rPr>
      </w:pPr>
      <w:r w:rsidRPr="0076671A">
        <w:rPr>
          <w:b/>
          <w:bCs/>
          <w:i/>
          <w:iCs/>
          <w:color w:val="auto"/>
        </w:rPr>
        <w:t>Population</w:t>
      </w:r>
      <w:r w:rsidR="0076671A">
        <w:rPr>
          <w:b/>
          <w:bCs/>
          <w:i/>
          <w:iCs/>
          <w:color w:val="auto"/>
        </w:rPr>
        <w:t>s</w:t>
      </w:r>
      <w:r w:rsidRPr="0076671A">
        <w:rPr>
          <w:b/>
          <w:bCs/>
          <w:i/>
          <w:iCs/>
          <w:color w:val="auto"/>
        </w:rPr>
        <w:t xml:space="preserve"> more likely </w:t>
      </w:r>
      <w:r w:rsidR="000A4654" w:rsidRPr="0076671A">
        <w:rPr>
          <w:b/>
          <w:bCs/>
          <w:i/>
          <w:iCs/>
          <w:color w:val="auto"/>
        </w:rPr>
        <w:t xml:space="preserve">to have excess </w:t>
      </w:r>
      <w:r w:rsidR="00F42E73" w:rsidRPr="0076671A">
        <w:rPr>
          <w:b/>
          <w:bCs/>
          <w:i/>
          <w:iCs/>
          <w:color w:val="auto"/>
        </w:rPr>
        <w:t xml:space="preserve">Vitamin B6 </w:t>
      </w:r>
      <w:r w:rsidR="000A4654" w:rsidRPr="0076671A">
        <w:rPr>
          <w:b/>
          <w:bCs/>
          <w:i/>
          <w:iCs/>
          <w:color w:val="auto"/>
        </w:rPr>
        <w:t>intake</w:t>
      </w:r>
    </w:p>
    <w:p w14:paraId="769B8B7D" w14:textId="09817E71" w:rsidR="009F0DE6" w:rsidRDefault="009F0DE6">
      <w:pPr>
        <w:rPr>
          <w:color w:val="000000"/>
          <w:kern w:val="2"/>
          <w:szCs w:val="20"/>
          <w14:ligatures w14:val="standardContextual"/>
        </w:rPr>
      </w:pPr>
      <w:r>
        <w:rPr>
          <w:color w:val="auto"/>
        </w:rPr>
        <w:t>Some groups may be more likely to have excess vitamin B</w:t>
      </w:r>
      <w:r w:rsidR="00DF2C92">
        <w:rPr>
          <w:color w:val="auto"/>
        </w:rPr>
        <w:t>6</w:t>
      </w:r>
      <w:r>
        <w:rPr>
          <w:color w:val="auto"/>
        </w:rPr>
        <w:t xml:space="preserve"> intake because of cumulative exposure from multiple products, particularly where vitamin B</w:t>
      </w:r>
      <w:r w:rsidR="00DF2C92">
        <w:rPr>
          <w:color w:val="auto"/>
        </w:rPr>
        <w:t>6</w:t>
      </w:r>
      <w:r>
        <w:rPr>
          <w:color w:val="auto"/>
        </w:rPr>
        <w:t xml:space="preserve"> is not obvious on the label or is included in combination products </w:t>
      </w:r>
      <w:r w:rsidR="0045011E">
        <w:rPr>
          <w:noProof/>
          <w:color w:val="auto"/>
        </w:rPr>
        <w:t>(Gdynia et al., 2025)</w:t>
      </w:r>
      <w:r>
        <w:rPr>
          <w:color w:val="auto"/>
        </w:rPr>
        <w:t>. Products that may contribute to cumulative intake include multivitamins, B-complex products, magnesium or zinc supplements with added vitamin B</w:t>
      </w:r>
      <w:r w:rsidR="0033543A">
        <w:rPr>
          <w:color w:val="auto"/>
        </w:rPr>
        <w:t>6</w:t>
      </w:r>
      <w:r>
        <w:rPr>
          <w:color w:val="auto"/>
        </w:rPr>
        <w:t xml:space="preserve">, protein supplements, </w:t>
      </w:r>
      <w:r w:rsidR="00EF3967">
        <w:rPr>
          <w:rFonts w:eastAsia="Times New Roman" w:cs="Arial"/>
          <w:szCs w:val="20"/>
        </w:rPr>
        <w:t>formulated caffeinated beverages</w:t>
      </w:r>
      <w:r w:rsidR="00EF3967">
        <w:rPr>
          <w:color w:val="auto"/>
        </w:rPr>
        <w:t xml:space="preserve"> </w:t>
      </w:r>
      <w:r w:rsidR="00D17E73">
        <w:rPr>
          <w:color w:val="auto"/>
        </w:rPr>
        <w:t xml:space="preserve">(often referred to as </w:t>
      </w:r>
      <w:r>
        <w:rPr>
          <w:color w:val="auto"/>
        </w:rPr>
        <w:t>energy drinks</w:t>
      </w:r>
      <w:r w:rsidR="0033543A">
        <w:rPr>
          <w:color w:val="auto"/>
        </w:rPr>
        <w:t>)</w:t>
      </w:r>
      <w:r>
        <w:rPr>
          <w:color w:val="auto"/>
        </w:rPr>
        <w:t xml:space="preserve"> and fortified foods, as well as products marketed for stress, sleep, nerve support, immunity, depression, premenstrual symptoms or general wellbeing.</w:t>
      </w:r>
    </w:p>
    <w:p w14:paraId="003FCA2F" w14:textId="36702BB7" w:rsidR="009F0DE6" w:rsidRDefault="009F0DE6">
      <w:pPr>
        <w:spacing w:after="80"/>
        <w:rPr>
          <w:color w:val="auto"/>
        </w:rPr>
      </w:pPr>
      <w:r>
        <w:rPr>
          <w:color w:val="auto"/>
        </w:rPr>
        <w:t xml:space="preserve">Other potentially higher-risk groups include people who are prescribed or advised </w:t>
      </w:r>
      <w:proofErr w:type="gramStart"/>
      <w:r>
        <w:rPr>
          <w:color w:val="auto"/>
        </w:rPr>
        <w:t>to</w:t>
      </w:r>
      <w:r w:rsidR="00247D75">
        <w:rPr>
          <w:color w:val="auto"/>
        </w:rPr>
        <w:t xml:space="preserve"> </w:t>
      </w:r>
      <w:r>
        <w:rPr>
          <w:color w:val="auto"/>
        </w:rPr>
        <w:t>take</w:t>
      </w:r>
      <w:proofErr w:type="gramEnd"/>
      <w:r>
        <w:rPr>
          <w:color w:val="auto"/>
        </w:rPr>
        <w:t xml:space="preserve"> vitamin B</w:t>
      </w:r>
      <w:r w:rsidR="00DF2C92">
        <w:rPr>
          <w:color w:val="auto"/>
        </w:rPr>
        <w:t>6</w:t>
      </w:r>
      <w:r>
        <w:rPr>
          <w:color w:val="auto"/>
        </w:rPr>
        <w:t xml:space="preserve">-containing supplements, </w:t>
      </w:r>
      <w:r w:rsidR="009913D2">
        <w:rPr>
          <w:color w:val="auto"/>
        </w:rPr>
        <w:t>include</w:t>
      </w:r>
      <w:r>
        <w:rPr>
          <w:color w:val="auto"/>
        </w:rPr>
        <w:t xml:space="preserve"> transplant recipients, people undergoing or following bariatric surgery, women with premenstrual symptoms, athletes, children with neurodevelopmental disorders receiving integrative medicine treatment, people with depressive symptoms and older adults. Older adults may be more likely to develop neuropathy from chronic lower-dose vitamin B</w:t>
      </w:r>
      <w:r w:rsidR="0033543A">
        <w:rPr>
          <w:color w:val="auto"/>
        </w:rPr>
        <w:t>6</w:t>
      </w:r>
      <w:r>
        <w:rPr>
          <w:color w:val="auto"/>
        </w:rPr>
        <w:t xml:space="preserve"> supplement use </w:t>
      </w:r>
      <w:r w:rsidR="0045011E">
        <w:rPr>
          <w:noProof/>
          <w:color w:val="auto"/>
        </w:rPr>
        <w:t>(Gdynia et al., 2025)</w:t>
      </w:r>
      <w:r>
        <w:rPr>
          <w:color w:val="auto"/>
        </w:rPr>
        <w:t>.</w:t>
      </w:r>
    </w:p>
    <w:p w14:paraId="59D0ED00" w14:textId="77777777" w:rsidR="00430CC8" w:rsidRDefault="00430CC8" w:rsidP="0098446A">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sectPr w:rsidR="00430CC8" w:rsidSect="00D75D51">
          <w:pgSz w:w="16838" w:h="11906" w:orient="landscape" w:code="9"/>
          <w:pgMar w:top="907" w:right="1814" w:bottom="1134" w:left="1565" w:header="510" w:footer="454" w:gutter="0"/>
          <w:cols w:space="708"/>
          <w:titlePg/>
          <w:docGrid w:linePitch="360"/>
        </w:sectPr>
      </w:pPr>
    </w:p>
    <w:p w14:paraId="44215E06" w14:textId="363FAB12" w:rsidR="0098446A" w:rsidRPr="00962F99" w:rsidRDefault="00074966" w:rsidP="0098446A">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pPr>
      <w:r>
        <w:rPr>
          <w:color w:val="FFFFFF" w:themeColor="background1"/>
          <w:sz w:val="22"/>
          <w:szCs w:val="22"/>
        </w:rPr>
        <w:lastRenderedPageBreak/>
        <w:t xml:space="preserve">Benchmarking against comparable international </w:t>
      </w:r>
      <w:r w:rsidR="00960ACA">
        <w:rPr>
          <w:color w:val="FFFFFF" w:themeColor="background1"/>
          <w:sz w:val="22"/>
          <w:szCs w:val="22"/>
        </w:rPr>
        <w:t>jurisdictions</w:t>
      </w:r>
      <w:r>
        <w:rPr>
          <w:color w:val="FFFFFF" w:themeColor="background1"/>
          <w:sz w:val="22"/>
          <w:szCs w:val="22"/>
        </w:rPr>
        <w:t xml:space="preserve"> </w:t>
      </w:r>
    </w:p>
    <w:tbl>
      <w:tblPr>
        <w:tblStyle w:val="TableGrid"/>
        <w:tblW w:w="13457"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44"/>
        <w:gridCol w:w="1412"/>
        <w:gridCol w:w="2963"/>
        <w:gridCol w:w="3118"/>
        <w:gridCol w:w="4820"/>
      </w:tblGrid>
      <w:tr w:rsidR="004D01F7" w14:paraId="61E0F52F" w14:textId="77777777" w:rsidTr="003F0898">
        <w:tc>
          <w:tcPr>
            <w:tcW w:w="1144" w:type="dxa"/>
            <w:shd w:val="clear" w:color="auto" w:fill="C8E4EF" w:themeFill="accent1" w:themeFillTint="66"/>
          </w:tcPr>
          <w:p w14:paraId="693A8B03" w14:textId="77777777" w:rsidR="004D01F7" w:rsidRPr="009034CE" w:rsidRDefault="004D01F7" w:rsidP="004D01F7">
            <w:pPr>
              <w:rPr>
                <w:b/>
                <w:bCs/>
              </w:rPr>
            </w:pPr>
          </w:p>
        </w:tc>
        <w:tc>
          <w:tcPr>
            <w:tcW w:w="1412" w:type="dxa"/>
            <w:shd w:val="clear" w:color="auto" w:fill="C8E4EF" w:themeFill="accent1" w:themeFillTint="66"/>
          </w:tcPr>
          <w:p w14:paraId="05F3EA6E" w14:textId="77777777" w:rsidR="004D01F7" w:rsidRPr="009034CE" w:rsidRDefault="004D01F7" w:rsidP="004D01F7">
            <w:pPr>
              <w:rPr>
                <w:b/>
                <w:bCs/>
              </w:rPr>
            </w:pPr>
            <w:r w:rsidRPr="009034CE">
              <w:rPr>
                <w:b/>
                <w:bCs/>
              </w:rPr>
              <w:t>UL for adults</w:t>
            </w:r>
          </w:p>
        </w:tc>
        <w:tc>
          <w:tcPr>
            <w:tcW w:w="2963" w:type="dxa"/>
            <w:shd w:val="clear" w:color="auto" w:fill="C8E4EF" w:themeFill="accent1" w:themeFillTint="66"/>
          </w:tcPr>
          <w:p w14:paraId="7975267E" w14:textId="77777777" w:rsidR="004D01F7" w:rsidRPr="009034CE" w:rsidRDefault="004D01F7" w:rsidP="004D01F7">
            <w:pPr>
              <w:rPr>
                <w:b/>
                <w:bCs/>
              </w:rPr>
            </w:pPr>
            <w:r w:rsidRPr="009034CE">
              <w:rPr>
                <w:b/>
                <w:bCs/>
              </w:rPr>
              <w:t>Evidence-base</w:t>
            </w:r>
          </w:p>
        </w:tc>
        <w:tc>
          <w:tcPr>
            <w:tcW w:w="3118" w:type="dxa"/>
            <w:shd w:val="clear" w:color="auto" w:fill="C8E4EF" w:themeFill="accent1" w:themeFillTint="66"/>
          </w:tcPr>
          <w:p w14:paraId="408EE627" w14:textId="5C3D6061" w:rsidR="004D01F7" w:rsidRPr="009034CE" w:rsidRDefault="004D01F7" w:rsidP="004D01F7">
            <w:pPr>
              <w:rPr>
                <w:b/>
                <w:bCs/>
              </w:rPr>
            </w:pPr>
            <w:r>
              <w:rPr>
                <w:b/>
                <w:bCs/>
              </w:rPr>
              <w:t>Reference point</w:t>
            </w:r>
          </w:p>
        </w:tc>
        <w:tc>
          <w:tcPr>
            <w:tcW w:w="4820" w:type="dxa"/>
            <w:shd w:val="clear" w:color="auto" w:fill="C8E4EF" w:themeFill="accent1" w:themeFillTint="66"/>
          </w:tcPr>
          <w:p w14:paraId="1E52BA3E" w14:textId="0FD7F29B" w:rsidR="004D01F7" w:rsidRPr="009034CE" w:rsidRDefault="004D01F7" w:rsidP="004D01F7">
            <w:pPr>
              <w:rPr>
                <w:b/>
                <w:bCs/>
              </w:rPr>
            </w:pPr>
            <w:r w:rsidRPr="009034CE">
              <w:rPr>
                <w:b/>
                <w:bCs/>
              </w:rPr>
              <w:t>Uncertainty factor</w:t>
            </w:r>
          </w:p>
        </w:tc>
      </w:tr>
      <w:tr w:rsidR="000F3A78" w14:paraId="2D1FF3CE" w14:textId="77777777" w:rsidTr="003F0898">
        <w:tc>
          <w:tcPr>
            <w:tcW w:w="1144" w:type="dxa"/>
            <w:shd w:val="clear" w:color="auto" w:fill="C8E4EF" w:themeFill="accent1" w:themeFillTint="66"/>
          </w:tcPr>
          <w:p w14:paraId="6C5E7431" w14:textId="77777777" w:rsidR="000F3A78" w:rsidRDefault="001E2086" w:rsidP="00254C3E">
            <w:pPr>
              <w:spacing w:line="240" w:lineRule="auto"/>
              <w:contextualSpacing/>
              <w:rPr>
                <w:b/>
                <w:bCs/>
              </w:rPr>
            </w:pPr>
            <w:r>
              <w:rPr>
                <w:b/>
                <w:bCs/>
              </w:rPr>
              <w:t>EFSA</w:t>
            </w:r>
            <w:r w:rsidR="001E0C93">
              <w:rPr>
                <w:b/>
                <w:bCs/>
              </w:rPr>
              <w:t xml:space="preserve"> (</w:t>
            </w:r>
            <w:r w:rsidR="00A304F5">
              <w:rPr>
                <w:b/>
                <w:bCs/>
              </w:rPr>
              <w:t>2023</w:t>
            </w:r>
            <w:r w:rsidR="001E0C93">
              <w:rPr>
                <w:b/>
                <w:bCs/>
              </w:rPr>
              <w:t>)</w:t>
            </w:r>
          </w:p>
          <w:p w14:paraId="31D23920" w14:textId="4C9E65C9" w:rsidR="007F0497" w:rsidRPr="009034CE" w:rsidRDefault="007F0497" w:rsidP="00254C3E">
            <w:pPr>
              <w:spacing w:line="240" w:lineRule="auto"/>
              <w:contextualSpacing/>
              <w:rPr>
                <w:b/>
                <w:bCs/>
              </w:rPr>
            </w:pPr>
            <w:r w:rsidRPr="006610E7">
              <w:rPr>
                <w:b/>
                <w:bCs/>
                <w:color w:val="005F85" w:themeColor="accent2"/>
              </w:rPr>
              <w:t>Europe</w:t>
            </w:r>
          </w:p>
        </w:tc>
        <w:tc>
          <w:tcPr>
            <w:tcW w:w="1412" w:type="dxa"/>
          </w:tcPr>
          <w:p w14:paraId="68E65658" w14:textId="2D46BCA3" w:rsidR="000F3A78" w:rsidRPr="009034CE" w:rsidRDefault="002E3D9B" w:rsidP="00254C3E">
            <w:pPr>
              <w:contextualSpacing/>
              <w:jc w:val="center"/>
              <w:rPr>
                <w:i/>
                <w:iCs/>
              </w:rPr>
            </w:pPr>
            <w:r>
              <w:rPr>
                <w:i/>
                <w:iCs/>
              </w:rPr>
              <w:t>12</w:t>
            </w:r>
            <w:r w:rsidRPr="009034CE">
              <w:rPr>
                <w:i/>
                <w:iCs/>
              </w:rPr>
              <w:t xml:space="preserve"> mg/day</w:t>
            </w:r>
          </w:p>
        </w:tc>
        <w:tc>
          <w:tcPr>
            <w:tcW w:w="2963" w:type="dxa"/>
          </w:tcPr>
          <w:p w14:paraId="6E60C3E8" w14:textId="4A4F8EB5" w:rsidR="000F3A78" w:rsidRPr="0004172C" w:rsidRDefault="00970737" w:rsidP="00254C3E">
            <w:pPr>
              <w:contextualSpacing/>
              <w:rPr>
                <w:i/>
                <w:iCs/>
                <w:sz w:val="18"/>
                <w:szCs w:val="16"/>
              </w:rPr>
            </w:pPr>
            <w:r>
              <w:t xml:space="preserve">- </w:t>
            </w:r>
            <w:r w:rsidR="00246212" w:rsidRPr="00246212">
              <w:t>Dalton and Dalton (1987)</w:t>
            </w:r>
            <w:r>
              <w:t xml:space="preserve"> </w:t>
            </w:r>
            <w:r w:rsidRPr="0004172C">
              <w:rPr>
                <w:i/>
                <w:iCs/>
                <w:sz w:val="18"/>
                <w:szCs w:val="16"/>
              </w:rPr>
              <w:t>supported by other case reports (Dalton, 1985; Blackburn and Warren, 2017) and Member States’ vigilance data</w:t>
            </w:r>
          </w:p>
          <w:p w14:paraId="678B5704" w14:textId="5ADD1D54" w:rsidR="00246212" w:rsidRPr="00804FBE" w:rsidRDefault="00AD5CAB" w:rsidP="00AD5CAB">
            <w:r>
              <w:t xml:space="preserve">- </w:t>
            </w:r>
            <w:r w:rsidR="00246212" w:rsidRPr="00CB29C0">
              <w:t xml:space="preserve">Phillips et al. </w:t>
            </w:r>
            <w:r>
              <w:t>(</w:t>
            </w:r>
            <w:r w:rsidR="00246212" w:rsidRPr="00CB29C0">
              <w:t>1978</w:t>
            </w:r>
            <w:r>
              <w:t>)</w:t>
            </w:r>
          </w:p>
        </w:tc>
        <w:tc>
          <w:tcPr>
            <w:tcW w:w="3118" w:type="dxa"/>
          </w:tcPr>
          <w:p w14:paraId="16535DDF" w14:textId="77777777" w:rsidR="00EE20CF" w:rsidRDefault="006B250C" w:rsidP="00A623A5">
            <w:pPr>
              <w:contextualSpacing/>
            </w:pPr>
            <w:r>
              <w:rPr>
                <w:szCs w:val="20"/>
              </w:rPr>
              <w:t>R</w:t>
            </w:r>
            <w:r w:rsidR="000122CC" w:rsidRPr="003C73AF">
              <w:rPr>
                <w:szCs w:val="20"/>
              </w:rPr>
              <w:t xml:space="preserve">eference point of </w:t>
            </w:r>
            <w:r w:rsidR="000122CC" w:rsidRPr="00EE20CF">
              <w:rPr>
                <w:i/>
                <w:iCs/>
                <w:szCs w:val="20"/>
              </w:rPr>
              <w:t>50 mg/day</w:t>
            </w:r>
            <w:r w:rsidR="000122CC" w:rsidRPr="003C73AF">
              <w:rPr>
                <w:szCs w:val="20"/>
              </w:rPr>
              <w:t xml:space="preserve"> identiﬁed </w:t>
            </w:r>
            <w:r w:rsidR="00246212">
              <w:rPr>
                <w:szCs w:val="20"/>
              </w:rPr>
              <w:t>from hu</w:t>
            </w:r>
            <w:r w:rsidR="00A623A5">
              <w:rPr>
                <w:szCs w:val="20"/>
              </w:rPr>
              <w:t>man stud</w:t>
            </w:r>
            <w:r w:rsidR="00EE20CF">
              <w:rPr>
                <w:szCs w:val="20"/>
              </w:rPr>
              <w:t>y</w:t>
            </w:r>
            <w:r w:rsidR="00A623A5" w:rsidRPr="00814A18">
              <w:t xml:space="preserve"> </w:t>
            </w:r>
          </w:p>
          <w:p w14:paraId="6796279E" w14:textId="1744F3B4" w:rsidR="000F3A78" w:rsidRDefault="00A623A5" w:rsidP="00EE20CF">
            <w:r w:rsidRPr="00EE20CF">
              <w:t xml:space="preserve">LOAEL of </w:t>
            </w:r>
            <w:r w:rsidRPr="00EE20CF">
              <w:rPr>
                <w:i/>
                <w:iCs/>
              </w:rPr>
              <w:t>50 mg/kg body weight per day</w:t>
            </w:r>
            <w:r w:rsidRPr="00EE20CF">
              <w:t xml:space="preserve"> from animal study</w:t>
            </w:r>
          </w:p>
        </w:tc>
        <w:tc>
          <w:tcPr>
            <w:tcW w:w="4820" w:type="dxa"/>
          </w:tcPr>
          <w:p w14:paraId="514497D2" w14:textId="69F29556" w:rsidR="000F3A78" w:rsidRDefault="006A3818" w:rsidP="00254C3E">
            <w:pPr>
              <w:contextualSpacing/>
            </w:pPr>
            <w:r>
              <w:t xml:space="preserve">UF of 4 applied </w:t>
            </w:r>
            <w:r w:rsidR="00220BD0">
              <w:t xml:space="preserve">to reference point from </w:t>
            </w:r>
            <w:r w:rsidR="00E76B98">
              <w:t xml:space="preserve">human </w:t>
            </w:r>
            <w:r w:rsidR="003616AE">
              <w:t>data</w:t>
            </w:r>
          </w:p>
          <w:p w14:paraId="6BBCCBE0" w14:textId="268CB5C6" w:rsidR="00220BD0" w:rsidRDefault="00220BD0" w:rsidP="00254C3E">
            <w:pPr>
              <w:contextualSpacing/>
            </w:pPr>
            <w:r>
              <w:t xml:space="preserve">UF of 300 applied to LOAEL from animal </w:t>
            </w:r>
            <w:r w:rsidR="003616AE">
              <w:t>data</w:t>
            </w:r>
          </w:p>
          <w:p w14:paraId="067AB936" w14:textId="351E057D" w:rsidR="00E76B98" w:rsidRPr="00355838" w:rsidRDefault="00B82806" w:rsidP="00254C3E">
            <w:pPr>
              <w:contextualSpacing/>
            </w:pPr>
            <w:r>
              <w:t xml:space="preserve">Final </w:t>
            </w:r>
            <w:r w:rsidR="001559A2">
              <w:t xml:space="preserve">UL </w:t>
            </w:r>
            <w:r w:rsidR="00247D75">
              <w:t>is</w:t>
            </w:r>
            <w:r w:rsidR="00A94F26">
              <w:t xml:space="preserve"> the</w:t>
            </w:r>
            <w:r>
              <w:t xml:space="preserve"> </w:t>
            </w:r>
            <w:r w:rsidR="001559A2">
              <w:t xml:space="preserve">midpoint of the </w:t>
            </w:r>
            <w:r w:rsidR="00761D86">
              <w:t>human data UL and the animal data UL, rounded down</w:t>
            </w:r>
          </w:p>
        </w:tc>
      </w:tr>
      <w:tr w:rsidR="0008450F" w14:paraId="3682C2D6" w14:textId="77777777" w:rsidTr="003F0898">
        <w:tc>
          <w:tcPr>
            <w:tcW w:w="1144" w:type="dxa"/>
            <w:shd w:val="clear" w:color="auto" w:fill="C8E4EF" w:themeFill="accent1" w:themeFillTint="66"/>
          </w:tcPr>
          <w:p w14:paraId="47A00AA7" w14:textId="77777777" w:rsidR="00796F1E" w:rsidRDefault="0008450F" w:rsidP="00254C3E">
            <w:pPr>
              <w:spacing w:line="240" w:lineRule="auto"/>
              <w:contextualSpacing/>
              <w:rPr>
                <w:b/>
                <w:bCs/>
              </w:rPr>
            </w:pPr>
            <w:r>
              <w:rPr>
                <w:b/>
                <w:bCs/>
              </w:rPr>
              <w:t>NNR</w:t>
            </w:r>
          </w:p>
          <w:p w14:paraId="0DB04712" w14:textId="7626BFFC" w:rsidR="0008450F" w:rsidRPr="009034CE" w:rsidRDefault="00796F1E" w:rsidP="00254C3E">
            <w:pPr>
              <w:spacing w:line="240" w:lineRule="auto"/>
              <w:contextualSpacing/>
              <w:rPr>
                <w:b/>
                <w:bCs/>
              </w:rPr>
            </w:pPr>
            <w:r>
              <w:rPr>
                <w:b/>
                <w:bCs/>
              </w:rPr>
              <w:t>(2023)</w:t>
            </w:r>
          </w:p>
        </w:tc>
        <w:tc>
          <w:tcPr>
            <w:tcW w:w="1412" w:type="dxa"/>
          </w:tcPr>
          <w:p w14:paraId="3EA33BF4" w14:textId="5B5F1158" w:rsidR="0008450F" w:rsidRPr="009034CE" w:rsidRDefault="00796F1E" w:rsidP="00254C3E">
            <w:pPr>
              <w:contextualSpacing/>
              <w:jc w:val="center"/>
              <w:rPr>
                <w:i/>
                <w:iCs/>
              </w:rPr>
            </w:pPr>
            <w:r>
              <w:rPr>
                <w:i/>
                <w:iCs/>
              </w:rPr>
              <w:t>12.5mg/day</w:t>
            </w:r>
          </w:p>
        </w:tc>
        <w:tc>
          <w:tcPr>
            <w:tcW w:w="2963" w:type="dxa"/>
          </w:tcPr>
          <w:p w14:paraId="173FE53F" w14:textId="27B68B4F" w:rsidR="0008450F" w:rsidRPr="00804FBE" w:rsidRDefault="00531F4D" w:rsidP="00531F4D">
            <w:pPr>
              <w:contextualSpacing/>
            </w:pPr>
            <w:r>
              <w:t>adopted EFSA (2023)</w:t>
            </w:r>
          </w:p>
        </w:tc>
        <w:tc>
          <w:tcPr>
            <w:tcW w:w="3118" w:type="dxa"/>
          </w:tcPr>
          <w:p w14:paraId="094A610E" w14:textId="12D87500" w:rsidR="0008450F" w:rsidRDefault="00C120D1" w:rsidP="00531F4D">
            <w:pPr>
              <w:contextualSpacing/>
            </w:pPr>
            <w:r>
              <w:t>adopted EFSA (2023)</w:t>
            </w:r>
          </w:p>
        </w:tc>
        <w:tc>
          <w:tcPr>
            <w:tcW w:w="4820" w:type="dxa"/>
          </w:tcPr>
          <w:p w14:paraId="1E44FC0E" w14:textId="77777777" w:rsidR="00796F1E" w:rsidRDefault="00796F1E" w:rsidP="00796F1E">
            <w:pPr>
              <w:contextualSpacing/>
            </w:pPr>
            <w:r>
              <w:t>UF of 4 applied to reference point from human data</w:t>
            </w:r>
          </w:p>
          <w:p w14:paraId="578664D9" w14:textId="77777777" w:rsidR="00796F1E" w:rsidRDefault="00796F1E" w:rsidP="00796F1E">
            <w:pPr>
              <w:contextualSpacing/>
            </w:pPr>
            <w:r>
              <w:t>UF of 300 applied to LOAEL from animal data</w:t>
            </w:r>
          </w:p>
          <w:p w14:paraId="057A0E49" w14:textId="59D7C8C6" w:rsidR="0008450F" w:rsidRPr="00355838" w:rsidRDefault="00796F1E" w:rsidP="00796F1E">
            <w:pPr>
              <w:contextualSpacing/>
            </w:pPr>
            <w:r>
              <w:t>Final UL is the midpoint of the human data UL and the animal data UL,</w:t>
            </w:r>
          </w:p>
        </w:tc>
      </w:tr>
      <w:tr w:rsidR="004D01F7" w14:paraId="7D1B089E" w14:textId="77777777" w:rsidTr="003F0898">
        <w:tc>
          <w:tcPr>
            <w:tcW w:w="1144" w:type="dxa"/>
            <w:shd w:val="clear" w:color="auto" w:fill="C8E4EF" w:themeFill="accent1" w:themeFillTint="66"/>
          </w:tcPr>
          <w:p w14:paraId="0E2AE744" w14:textId="77777777" w:rsidR="004D01F7" w:rsidRDefault="004D01F7" w:rsidP="00254C3E">
            <w:pPr>
              <w:spacing w:line="240" w:lineRule="auto"/>
              <w:contextualSpacing/>
              <w:rPr>
                <w:b/>
                <w:bCs/>
              </w:rPr>
            </w:pPr>
            <w:r w:rsidRPr="009034CE">
              <w:rPr>
                <w:b/>
                <w:bCs/>
              </w:rPr>
              <w:t>SCF (2000)</w:t>
            </w:r>
          </w:p>
          <w:p w14:paraId="1EF6D15B" w14:textId="77777777" w:rsidR="004D01F7" w:rsidRPr="009034CE" w:rsidRDefault="004D01F7" w:rsidP="00254C3E">
            <w:pPr>
              <w:spacing w:line="240" w:lineRule="auto"/>
              <w:contextualSpacing/>
              <w:rPr>
                <w:b/>
                <w:bCs/>
              </w:rPr>
            </w:pPr>
            <w:r w:rsidRPr="006610E7">
              <w:rPr>
                <w:b/>
                <w:bCs/>
                <w:color w:val="005F85" w:themeColor="accent2"/>
              </w:rPr>
              <w:t>Europe</w:t>
            </w:r>
          </w:p>
        </w:tc>
        <w:tc>
          <w:tcPr>
            <w:tcW w:w="1412" w:type="dxa"/>
          </w:tcPr>
          <w:p w14:paraId="7DCA45A1" w14:textId="77777777" w:rsidR="004D01F7" w:rsidRPr="009034CE" w:rsidRDefault="004D01F7" w:rsidP="00254C3E">
            <w:pPr>
              <w:contextualSpacing/>
              <w:jc w:val="center"/>
              <w:rPr>
                <w:i/>
                <w:iCs/>
              </w:rPr>
            </w:pPr>
            <w:r w:rsidRPr="009034CE">
              <w:rPr>
                <w:i/>
                <w:iCs/>
              </w:rPr>
              <w:t>25 mg/day</w:t>
            </w:r>
          </w:p>
        </w:tc>
        <w:tc>
          <w:tcPr>
            <w:tcW w:w="2963" w:type="dxa"/>
          </w:tcPr>
          <w:p w14:paraId="0D6A4D88" w14:textId="242F7330" w:rsidR="00254C3E" w:rsidRDefault="004D01F7" w:rsidP="005170D2">
            <w:pPr>
              <w:contextualSpacing/>
            </w:pPr>
            <w:r w:rsidRPr="00804FBE">
              <w:t>Dalton and Dalton (1987)</w:t>
            </w:r>
          </w:p>
        </w:tc>
        <w:tc>
          <w:tcPr>
            <w:tcW w:w="3118" w:type="dxa"/>
          </w:tcPr>
          <w:p w14:paraId="72E7272D" w14:textId="39A74BB2" w:rsidR="004D01F7" w:rsidRPr="00355838" w:rsidRDefault="004D01F7" w:rsidP="00254C3E">
            <w:pPr>
              <w:contextualSpacing/>
            </w:pPr>
            <w:r>
              <w:t xml:space="preserve">Used a reference point of </w:t>
            </w:r>
            <w:r w:rsidRPr="00B556E2">
              <w:rPr>
                <w:i/>
                <w:iCs/>
              </w:rPr>
              <w:t>100 mg/day</w:t>
            </w:r>
          </w:p>
        </w:tc>
        <w:tc>
          <w:tcPr>
            <w:tcW w:w="4820" w:type="dxa"/>
          </w:tcPr>
          <w:p w14:paraId="422D1AB2" w14:textId="6CA792D2" w:rsidR="004D01F7" w:rsidRDefault="004D01F7" w:rsidP="00254C3E">
            <w:pPr>
              <w:contextualSpacing/>
            </w:pPr>
            <w:r w:rsidRPr="00355838">
              <w:t>UF of 4</w:t>
            </w:r>
            <w:r>
              <w:t xml:space="preserve"> applied</w:t>
            </w:r>
          </w:p>
        </w:tc>
      </w:tr>
      <w:tr w:rsidR="004D01F7" w14:paraId="4ECA244E" w14:textId="77777777" w:rsidTr="003F0898">
        <w:tc>
          <w:tcPr>
            <w:tcW w:w="1144" w:type="dxa"/>
            <w:shd w:val="clear" w:color="auto" w:fill="C8E4EF" w:themeFill="accent1" w:themeFillTint="66"/>
          </w:tcPr>
          <w:p w14:paraId="4ED031F7" w14:textId="77777777" w:rsidR="006610E7" w:rsidRDefault="004D01F7" w:rsidP="00254C3E">
            <w:pPr>
              <w:spacing w:line="240" w:lineRule="auto"/>
              <w:contextualSpacing/>
              <w:rPr>
                <w:b/>
                <w:bCs/>
              </w:rPr>
            </w:pPr>
            <w:r w:rsidRPr="00B556E2">
              <w:rPr>
                <w:b/>
                <w:bCs/>
              </w:rPr>
              <w:t xml:space="preserve">IOM </w:t>
            </w:r>
          </w:p>
          <w:p w14:paraId="1126A3B1" w14:textId="023BE516" w:rsidR="004D01F7" w:rsidRDefault="004D01F7" w:rsidP="00254C3E">
            <w:pPr>
              <w:spacing w:line="240" w:lineRule="auto"/>
              <w:contextualSpacing/>
              <w:rPr>
                <w:b/>
                <w:bCs/>
              </w:rPr>
            </w:pPr>
            <w:r w:rsidRPr="00B556E2">
              <w:rPr>
                <w:b/>
                <w:bCs/>
              </w:rPr>
              <w:t>(1998)</w:t>
            </w:r>
          </w:p>
          <w:p w14:paraId="12626E62" w14:textId="77777777" w:rsidR="004D01F7" w:rsidRPr="00B556E2" w:rsidRDefault="004D01F7" w:rsidP="00254C3E">
            <w:pPr>
              <w:spacing w:line="240" w:lineRule="auto"/>
              <w:contextualSpacing/>
              <w:rPr>
                <w:b/>
                <w:bCs/>
              </w:rPr>
            </w:pPr>
            <w:r w:rsidRPr="006610E7">
              <w:rPr>
                <w:b/>
                <w:bCs/>
                <w:color w:val="005F85" w:themeColor="accent2"/>
              </w:rPr>
              <w:t>US</w:t>
            </w:r>
          </w:p>
        </w:tc>
        <w:tc>
          <w:tcPr>
            <w:tcW w:w="1412" w:type="dxa"/>
          </w:tcPr>
          <w:p w14:paraId="6531581A" w14:textId="77777777" w:rsidR="004D01F7" w:rsidRPr="00B556E2" w:rsidRDefault="004D01F7" w:rsidP="00254C3E">
            <w:pPr>
              <w:contextualSpacing/>
              <w:jc w:val="center"/>
              <w:rPr>
                <w:i/>
                <w:iCs/>
              </w:rPr>
            </w:pPr>
            <w:r w:rsidRPr="00B556E2">
              <w:rPr>
                <w:i/>
                <w:iCs/>
              </w:rPr>
              <w:t>100 mg/day</w:t>
            </w:r>
          </w:p>
        </w:tc>
        <w:tc>
          <w:tcPr>
            <w:tcW w:w="2963" w:type="dxa"/>
          </w:tcPr>
          <w:p w14:paraId="353B2FDE" w14:textId="77777777" w:rsidR="004D01F7" w:rsidRDefault="004D01F7" w:rsidP="00254C3E">
            <w:pPr>
              <w:contextualSpacing/>
            </w:pPr>
            <w:r w:rsidRPr="00D2494B">
              <w:t xml:space="preserve">Bernstein and Lobitz (1988) and Del </w:t>
            </w:r>
            <w:proofErr w:type="spellStart"/>
            <w:r w:rsidRPr="00D2494B">
              <w:t>Tredici</w:t>
            </w:r>
            <w:proofErr w:type="spellEnd"/>
            <w:r w:rsidRPr="00D2494B">
              <w:t xml:space="preserve"> et al. (1985)</w:t>
            </w:r>
          </w:p>
          <w:p w14:paraId="310DC79F" w14:textId="77777777" w:rsidR="00254C3E" w:rsidRPr="00D2494B" w:rsidRDefault="00254C3E" w:rsidP="00254C3E">
            <w:pPr>
              <w:contextualSpacing/>
            </w:pPr>
          </w:p>
        </w:tc>
        <w:tc>
          <w:tcPr>
            <w:tcW w:w="3118" w:type="dxa"/>
          </w:tcPr>
          <w:p w14:paraId="2E25F211" w14:textId="620FB910" w:rsidR="004D01F7" w:rsidRPr="00355838" w:rsidRDefault="004D01F7" w:rsidP="00254C3E">
            <w:pPr>
              <w:contextualSpacing/>
            </w:pPr>
            <w:r>
              <w:t>Used a NOAEL of 2</w:t>
            </w:r>
            <w:r w:rsidRPr="00B556E2">
              <w:rPr>
                <w:i/>
                <w:iCs/>
              </w:rPr>
              <w:t>00 mg/day</w:t>
            </w:r>
          </w:p>
        </w:tc>
        <w:tc>
          <w:tcPr>
            <w:tcW w:w="4820" w:type="dxa"/>
          </w:tcPr>
          <w:p w14:paraId="78AFE0FF" w14:textId="56B88694" w:rsidR="004D01F7" w:rsidRDefault="004D01F7" w:rsidP="00254C3E">
            <w:pPr>
              <w:contextualSpacing/>
            </w:pPr>
            <w:r w:rsidRPr="00355838">
              <w:t xml:space="preserve">UF of </w:t>
            </w:r>
            <w:r>
              <w:t>2 applied</w:t>
            </w:r>
          </w:p>
        </w:tc>
      </w:tr>
      <w:tr w:rsidR="004D01F7" w14:paraId="2F5F3B1E" w14:textId="77777777" w:rsidTr="003F0898">
        <w:tc>
          <w:tcPr>
            <w:tcW w:w="1144" w:type="dxa"/>
            <w:shd w:val="clear" w:color="auto" w:fill="C8E4EF" w:themeFill="accent1" w:themeFillTint="66"/>
          </w:tcPr>
          <w:p w14:paraId="3BDF969C" w14:textId="77777777" w:rsidR="004D01F7" w:rsidRDefault="004D01F7" w:rsidP="00254C3E">
            <w:pPr>
              <w:spacing w:line="240" w:lineRule="auto"/>
              <w:contextualSpacing/>
              <w:rPr>
                <w:b/>
                <w:bCs/>
              </w:rPr>
            </w:pPr>
            <w:r>
              <w:rPr>
                <w:b/>
                <w:bCs/>
              </w:rPr>
              <w:t>EVM (2003)</w:t>
            </w:r>
          </w:p>
          <w:p w14:paraId="0BA1A316" w14:textId="77777777" w:rsidR="004D01F7" w:rsidRPr="009034CE" w:rsidRDefault="004D01F7" w:rsidP="00254C3E">
            <w:pPr>
              <w:spacing w:line="240" w:lineRule="auto"/>
              <w:contextualSpacing/>
              <w:rPr>
                <w:b/>
                <w:bCs/>
              </w:rPr>
            </w:pPr>
            <w:r w:rsidRPr="006610E7">
              <w:rPr>
                <w:b/>
                <w:bCs/>
                <w:color w:val="005F85" w:themeColor="accent2"/>
              </w:rPr>
              <w:t>UK</w:t>
            </w:r>
          </w:p>
        </w:tc>
        <w:tc>
          <w:tcPr>
            <w:tcW w:w="1412" w:type="dxa"/>
          </w:tcPr>
          <w:p w14:paraId="52FA3040" w14:textId="77777777" w:rsidR="004D01F7" w:rsidRDefault="004D01F7" w:rsidP="00254C3E">
            <w:pPr>
              <w:contextualSpacing/>
              <w:jc w:val="center"/>
            </w:pPr>
            <w:r w:rsidRPr="00B556E2">
              <w:rPr>
                <w:i/>
                <w:iCs/>
              </w:rPr>
              <w:t>10 mg/day</w:t>
            </w:r>
          </w:p>
        </w:tc>
        <w:tc>
          <w:tcPr>
            <w:tcW w:w="2963" w:type="dxa"/>
          </w:tcPr>
          <w:p w14:paraId="6319D5FF" w14:textId="7BC1F4E6" w:rsidR="004D01F7" w:rsidRPr="00D2494B" w:rsidRDefault="004D01F7" w:rsidP="00254C3E">
            <w:pPr>
              <w:contextualSpacing/>
            </w:pPr>
            <w:r w:rsidRPr="00CB29C0">
              <w:t xml:space="preserve">Phillips et al. </w:t>
            </w:r>
            <w:r w:rsidR="00AD5CAB">
              <w:t>(</w:t>
            </w:r>
            <w:r w:rsidRPr="00CB29C0">
              <w:t>1978</w:t>
            </w:r>
            <w:r w:rsidR="00AD5CAB">
              <w:t>)</w:t>
            </w:r>
          </w:p>
        </w:tc>
        <w:tc>
          <w:tcPr>
            <w:tcW w:w="3118" w:type="dxa"/>
          </w:tcPr>
          <w:p w14:paraId="02C581B4" w14:textId="103B8D02" w:rsidR="004D01F7" w:rsidRDefault="004D01F7" w:rsidP="00254C3E">
            <w:pPr>
              <w:contextualSpacing/>
            </w:pPr>
            <w:r>
              <w:t xml:space="preserve">Used a </w:t>
            </w:r>
            <w:r w:rsidRPr="00814A18">
              <w:t xml:space="preserve">LOAEL of </w:t>
            </w:r>
            <w:r w:rsidRPr="00F85570">
              <w:rPr>
                <w:i/>
                <w:iCs/>
              </w:rPr>
              <w:t>50 mg/kg body weight per day</w:t>
            </w:r>
          </w:p>
        </w:tc>
        <w:tc>
          <w:tcPr>
            <w:tcW w:w="4820" w:type="dxa"/>
          </w:tcPr>
          <w:p w14:paraId="7133942A" w14:textId="00CE6C56" w:rsidR="004D01F7" w:rsidRDefault="004D01F7" w:rsidP="00254C3E">
            <w:pPr>
              <w:contextualSpacing/>
            </w:pPr>
            <w:r>
              <w:t>UF of 300 applied (animal study</w:t>
            </w:r>
            <w:r w:rsidR="00442733">
              <w:t>, short duration, inter-individual variability</w:t>
            </w:r>
            <w:r>
              <w:t>)</w:t>
            </w:r>
          </w:p>
        </w:tc>
      </w:tr>
      <w:tr w:rsidR="00EE0CB7" w14:paraId="4EF2CA5E" w14:textId="77777777" w:rsidTr="00EE0CB7">
        <w:tc>
          <w:tcPr>
            <w:tcW w:w="1144" w:type="dxa"/>
            <w:shd w:val="clear" w:color="auto" w:fill="C8E4EF" w:themeFill="accent1" w:themeFillTint="66"/>
          </w:tcPr>
          <w:p w14:paraId="0A1B8FEA" w14:textId="77777777" w:rsidR="00EE0CB7" w:rsidRDefault="00EE0CB7" w:rsidP="00254C3E">
            <w:pPr>
              <w:spacing w:line="240" w:lineRule="auto"/>
              <w:contextualSpacing/>
              <w:rPr>
                <w:b/>
                <w:bCs/>
              </w:rPr>
            </w:pPr>
            <w:r>
              <w:rPr>
                <w:b/>
                <w:bCs/>
              </w:rPr>
              <w:t>WHO/FAO (2004)</w:t>
            </w:r>
          </w:p>
          <w:p w14:paraId="736BB0BB" w14:textId="2A9EA812" w:rsidR="00EE0CB7" w:rsidRPr="009034CE" w:rsidRDefault="00EE0CB7" w:rsidP="00254C3E">
            <w:pPr>
              <w:spacing w:line="240" w:lineRule="auto"/>
              <w:contextualSpacing/>
              <w:rPr>
                <w:b/>
                <w:bCs/>
              </w:rPr>
            </w:pPr>
            <w:r w:rsidRPr="006610E7">
              <w:rPr>
                <w:b/>
                <w:bCs/>
                <w:color w:val="005F85" w:themeColor="accent2"/>
              </w:rPr>
              <w:t>Global</w:t>
            </w:r>
          </w:p>
        </w:tc>
        <w:tc>
          <w:tcPr>
            <w:tcW w:w="1412" w:type="dxa"/>
          </w:tcPr>
          <w:p w14:paraId="0567F70A" w14:textId="77777777" w:rsidR="00EE0CB7" w:rsidRDefault="00EE0CB7" w:rsidP="00254C3E">
            <w:pPr>
              <w:contextualSpacing/>
              <w:jc w:val="center"/>
            </w:pPr>
            <w:r w:rsidRPr="00B556E2">
              <w:rPr>
                <w:i/>
                <w:iCs/>
              </w:rPr>
              <w:t>100 mg/day</w:t>
            </w:r>
          </w:p>
        </w:tc>
        <w:tc>
          <w:tcPr>
            <w:tcW w:w="2963" w:type="dxa"/>
          </w:tcPr>
          <w:p w14:paraId="0B4202B9" w14:textId="77777777" w:rsidR="00EE0CB7" w:rsidRDefault="00EE0CB7" w:rsidP="006212FB">
            <w:pPr>
              <w:contextualSpacing/>
              <w:rPr>
                <w:i/>
                <w:iCs/>
              </w:rPr>
            </w:pPr>
            <w:r w:rsidRPr="002B59FF">
              <w:rPr>
                <w:i/>
                <w:iCs/>
              </w:rPr>
              <w:t>Adopted IOM recommendation</w:t>
            </w:r>
          </w:p>
        </w:tc>
        <w:tc>
          <w:tcPr>
            <w:tcW w:w="3118" w:type="dxa"/>
          </w:tcPr>
          <w:p w14:paraId="63CA8628" w14:textId="447E45C5" w:rsidR="00EE0CB7" w:rsidRDefault="00EE0CB7" w:rsidP="006212FB">
            <w:pPr>
              <w:contextualSpacing/>
            </w:pPr>
            <w:r>
              <w:t>-</w:t>
            </w:r>
          </w:p>
        </w:tc>
        <w:tc>
          <w:tcPr>
            <w:tcW w:w="4820" w:type="dxa"/>
          </w:tcPr>
          <w:p w14:paraId="53997BE9" w14:textId="3B477294" w:rsidR="00EE0CB7" w:rsidRDefault="00EE0CB7" w:rsidP="006212FB">
            <w:pPr>
              <w:contextualSpacing/>
            </w:pPr>
            <w:r>
              <w:t>-</w:t>
            </w:r>
          </w:p>
        </w:tc>
      </w:tr>
      <w:tr w:rsidR="004D01F7" w14:paraId="765D485F" w14:textId="77777777" w:rsidTr="003F0898">
        <w:tc>
          <w:tcPr>
            <w:tcW w:w="1144" w:type="dxa"/>
            <w:shd w:val="clear" w:color="auto" w:fill="C8E4EF" w:themeFill="accent1" w:themeFillTint="66"/>
          </w:tcPr>
          <w:p w14:paraId="2CFB37BE" w14:textId="77777777" w:rsidR="004D01F7" w:rsidRDefault="004D01F7" w:rsidP="00254C3E">
            <w:pPr>
              <w:spacing w:line="240" w:lineRule="auto"/>
              <w:contextualSpacing/>
              <w:rPr>
                <w:b/>
                <w:bCs/>
              </w:rPr>
            </w:pPr>
            <w:r>
              <w:rPr>
                <w:b/>
                <w:bCs/>
              </w:rPr>
              <w:t>NHMRC (2006)</w:t>
            </w:r>
          </w:p>
          <w:p w14:paraId="534A4DDE" w14:textId="4E17E0F6" w:rsidR="006610E7" w:rsidRPr="009034CE" w:rsidRDefault="006610E7" w:rsidP="00254C3E">
            <w:pPr>
              <w:spacing w:line="240" w:lineRule="auto"/>
              <w:contextualSpacing/>
              <w:rPr>
                <w:b/>
                <w:bCs/>
              </w:rPr>
            </w:pPr>
            <w:r w:rsidRPr="006610E7">
              <w:rPr>
                <w:b/>
                <w:bCs/>
                <w:color w:val="005F85" w:themeColor="accent2"/>
              </w:rPr>
              <w:t>Aus/NZ</w:t>
            </w:r>
          </w:p>
        </w:tc>
        <w:tc>
          <w:tcPr>
            <w:tcW w:w="1412" w:type="dxa"/>
          </w:tcPr>
          <w:p w14:paraId="649A0FB1" w14:textId="77777777" w:rsidR="004D01F7" w:rsidRDefault="004D01F7" w:rsidP="00254C3E">
            <w:pPr>
              <w:contextualSpacing/>
              <w:jc w:val="center"/>
            </w:pPr>
            <w:r>
              <w:rPr>
                <w:i/>
                <w:iCs/>
              </w:rPr>
              <w:t>5</w:t>
            </w:r>
            <w:r w:rsidRPr="00B556E2">
              <w:rPr>
                <w:i/>
                <w:iCs/>
              </w:rPr>
              <w:t>0 mg/day</w:t>
            </w:r>
          </w:p>
        </w:tc>
        <w:tc>
          <w:tcPr>
            <w:tcW w:w="2963" w:type="dxa"/>
          </w:tcPr>
          <w:p w14:paraId="483C775F" w14:textId="77777777" w:rsidR="004D01F7" w:rsidRDefault="004D01F7" w:rsidP="00254C3E">
            <w:pPr>
              <w:contextualSpacing/>
            </w:pPr>
            <w:r w:rsidRPr="006F7639">
              <w:t xml:space="preserve">Bernstein and Lobitz (1988) and Del </w:t>
            </w:r>
            <w:proofErr w:type="spellStart"/>
            <w:r w:rsidRPr="006F7639">
              <w:t>Tredici</w:t>
            </w:r>
            <w:proofErr w:type="spellEnd"/>
            <w:r w:rsidRPr="006F7639">
              <w:t xml:space="preserve"> et al. (1985)</w:t>
            </w:r>
          </w:p>
          <w:p w14:paraId="0558F589" w14:textId="77777777" w:rsidR="00254C3E" w:rsidRPr="006F7639" w:rsidRDefault="00254C3E" w:rsidP="00254C3E">
            <w:pPr>
              <w:contextualSpacing/>
            </w:pPr>
          </w:p>
        </w:tc>
        <w:tc>
          <w:tcPr>
            <w:tcW w:w="3118" w:type="dxa"/>
          </w:tcPr>
          <w:p w14:paraId="3FDD2A59" w14:textId="579D324F" w:rsidR="004D01F7" w:rsidRPr="00355838" w:rsidRDefault="004D01F7" w:rsidP="00254C3E">
            <w:pPr>
              <w:contextualSpacing/>
            </w:pPr>
            <w:r w:rsidRPr="00804FBE">
              <w:t>identiﬁed a</w:t>
            </w:r>
            <w:r>
              <w:t xml:space="preserve"> </w:t>
            </w:r>
            <w:r w:rsidRPr="002A3818">
              <w:t xml:space="preserve">NOAEL of </w:t>
            </w:r>
            <w:r w:rsidRPr="00F85570">
              <w:rPr>
                <w:i/>
                <w:iCs/>
              </w:rPr>
              <w:t>200 mg/day.</w:t>
            </w:r>
            <w:r w:rsidRPr="00804FBE">
              <w:t xml:space="preserve"> </w:t>
            </w:r>
          </w:p>
        </w:tc>
        <w:tc>
          <w:tcPr>
            <w:tcW w:w="4820" w:type="dxa"/>
          </w:tcPr>
          <w:p w14:paraId="40D04264" w14:textId="6CD8D9A6" w:rsidR="004D01F7" w:rsidRPr="00355838" w:rsidRDefault="004D01F7" w:rsidP="00254C3E">
            <w:pPr>
              <w:contextualSpacing/>
            </w:pPr>
            <w:r w:rsidRPr="00355838">
              <w:t xml:space="preserve">UF of 4 applied, under the assumption that the exposure period (5-6 months or less) may not have been long enough for symptoms to appear </w:t>
            </w:r>
          </w:p>
        </w:tc>
      </w:tr>
    </w:tbl>
    <w:p w14:paraId="5450C38D" w14:textId="56AA65F9" w:rsidR="00254C3E" w:rsidRPr="004130F4" w:rsidRDefault="00254C3E" w:rsidP="003F0898">
      <w:pPr>
        <w:spacing w:before="0" w:after="0" w:line="259" w:lineRule="auto"/>
        <w:contextualSpacing/>
        <w:rPr>
          <w:b/>
          <w:bCs/>
        </w:rPr>
      </w:pPr>
      <w:r w:rsidRPr="004130F4">
        <w:rPr>
          <w:b/>
          <w:bCs/>
        </w:rPr>
        <w:t>Studies:</w:t>
      </w:r>
    </w:p>
    <w:p w14:paraId="73AE5174" w14:textId="358FE600" w:rsidR="004D01F7" w:rsidRPr="003F0898" w:rsidRDefault="004D01F7" w:rsidP="00D12321">
      <w:pPr>
        <w:pStyle w:val="ListParagraph"/>
        <w:numPr>
          <w:ilvl w:val="0"/>
          <w:numId w:val="29"/>
        </w:numPr>
        <w:spacing w:before="0" w:after="160" w:line="259" w:lineRule="auto"/>
        <w:ind w:left="714" w:hanging="357"/>
        <w:contextualSpacing/>
        <w:rPr>
          <w:sz w:val="18"/>
          <w:szCs w:val="16"/>
        </w:rPr>
      </w:pPr>
      <w:r w:rsidRPr="003F0898">
        <w:rPr>
          <w:sz w:val="18"/>
          <w:szCs w:val="16"/>
          <w:u w:val="single"/>
        </w:rPr>
        <w:t xml:space="preserve">Bernstein and Lobitz (1988) and Del </w:t>
      </w:r>
      <w:proofErr w:type="spellStart"/>
      <w:r w:rsidRPr="003F0898">
        <w:rPr>
          <w:sz w:val="18"/>
          <w:szCs w:val="16"/>
          <w:u w:val="single"/>
        </w:rPr>
        <w:t>Tredici</w:t>
      </w:r>
      <w:proofErr w:type="spellEnd"/>
      <w:r w:rsidRPr="003F0898">
        <w:rPr>
          <w:sz w:val="18"/>
          <w:szCs w:val="16"/>
          <w:u w:val="single"/>
        </w:rPr>
        <w:t xml:space="preserve"> et al. (1985)</w:t>
      </w:r>
      <w:r w:rsidRPr="003F0898">
        <w:rPr>
          <w:sz w:val="18"/>
          <w:szCs w:val="16"/>
        </w:rPr>
        <w:t xml:space="preserve"> - studies on patients with diabetic neuropathy or carpal tunnel syndrome (CTS) in whom neuropathy did not get worse following vitamin B6 intakes of 100–300 mg/day</w:t>
      </w:r>
    </w:p>
    <w:p w14:paraId="0177D38B" w14:textId="77777777" w:rsidR="004D01F7" w:rsidRPr="003F0898" w:rsidRDefault="004D01F7" w:rsidP="00D12321">
      <w:pPr>
        <w:pStyle w:val="ListParagraph"/>
        <w:numPr>
          <w:ilvl w:val="0"/>
          <w:numId w:val="29"/>
        </w:numPr>
        <w:spacing w:before="0" w:after="160" w:line="259" w:lineRule="auto"/>
        <w:ind w:left="714" w:hanging="357"/>
        <w:contextualSpacing/>
        <w:rPr>
          <w:sz w:val="18"/>
          <w:szCs w:val="16"/>
        </w:rPr>
      </w:pPr>
      <w:r w:rsidRPr="003F0898">
        <w:rPr>
          <w:sz w:val="18"/>
          <w:szCs w:val="16"/>
          <w:u w:val="single"/>
        </w:rPr>
        <w:t>Dalton and Dalton (1987)</w:t>
      </w:r>
      <w:r w:rsidRPr="003F0898">
        <w:rPr>
          <w:sz w:val="18"/>
          <w:szCs w:val="16"/>
        </w:rPr>
        <w:t xml:space="preserve"> - case-control study (IOM and WHO considered evidence not reliable enough in terms of administered vitamin B6 doses)</w:t>
      </w:r>
    </w:p>
    <w:p w14:paraId="6CFB2D79" w14:textId="77777777" w:rsidR="004D01F7" w:rsidRPr="003F0898" w:rsidRDefault="004D01F7" w:rsidP="00D12321">
      <w:pPr>
        <w:pStyle w:val="ListParagraph"/>
        <w:numPr>
          <w:ilvl w:val="0"/>
          <w:numId w:val="29"/>
        </w:numPr>
        <w:spacing w:before="0" w:after="160" w:line="259" w:lineRule="auto"/>
        <w:ind w:left="714" w:hanging="357"/>
        <w:contextualSpacing/>
        <w:rPr>
          <w:sz w:val="18"/>
          <w:szCs w:val="16"/>
        </w:rPr>
      </w:pPr>
      <w:r w:rsidRPr="003F0898">
        <w:rPr>
          <w:sz w:val="18"/>
          <w:szCs w:val="16"/>
          <w:u w:val="single"/>
        </w:rPr>
        <w:t xml:space="preserve">Phillips et al., (1978) </w:t>
      </w:r>
      <w:r w:rsidRPr="003F0898">
        <w:rPr>
          <w:sz w:val="18"/>
          <w:szCs w:val="16"/>
        </w:rPr>
        <w:t>- LOAEL of 50 mg/kg body weight per day determined from a study in beagle dogs</w:t>
      </w:r>
    </w:p>
    <w:p w14:paraId="4D8E5A46" w14:textId="3E6905E8" w:rsidR="003E3626" w:rsidRPr="00962F99" w:rsidRDefault="00C81428" w:rsidP="006E1279">
      <w:pPr>
        <w:pStyle w:val="Heading5"/>
        <w:shd w:val="clear" w:color="auto" w:fill="005F85" w:themeFill="accent2"/>
        <w:rPr>
          <w:color w:val="FFFFFF" w:themeColor="background1"/>
          <w:sz w:val="22"/>
          <w:szCs w:val="22"/>
        </w:rPr>
      </w:pPr>
      <w:r>
        <w:rPr>
          <w:color w:val="FFFFFF" w:themeColor="background1"/>
          <w:sz w:val="22"/>
          <w:szCs w:val="22"/>
        </w:rPr>
        <w:lastRenderedPageBreak/>
        <w:t>Balance of effects (</w:t>
      </w:r>
      <w:r w:rsidR="00417024">
        <w:rPr>
          <w:color w:val="FFFFFF" w:themeColor="background1"/>
          <w:sz w:val="22"/>
          <w:szCs w:val="22"/>
        </w:rPr>
        <w:t xml:space="preserve">health </w:t>
      </w:r>
      <w:r>
        <w:rPr>
          <w:color w:val="FFFFFF" w:themeColor="background1"/>
          <w:sz w:val="22"/>
          <w:szCs w:val="22"/>
        </w:rPr>
        <w:t>benefits and harms)</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6521"/>
        <w:gridCol w:w="6928"/>
      </w:tblGrid>
      <w:tr w:rsidR="00F5526B" w14:paraId="50EC3896" w14:textId="77777777" w:rsidTr="009913D2">
        <w:tc>
          <w:tcPr>
            <w:tcW w:w="6521" w:type="dxa"/>
            <w:shd w:val="clear" w:color="auto" w:fill="C8E4EF" w:themeFill="accent1" w:themeFillTint="66"/>
          </w:tcPr>
          <w:p w14:paraId="2EEE36AC" w14:textId="77777777" w:rsidR="00F5526B" w:rsidRPr="00962F99" w:rsidRDefault="00F5526B">
            <w:pPr>
              <w:spacing w:line="276" w:lineRule="auto"/>
              <w:rPr>
                <w:rFonts w:eastAsia="Times New Roman" w:cs="Arial"/>
                <w:b/>
                <w:bCs/>
                <w:color w:val="005F85" w:themeColor="accent2"/>
                <w:szCs w:val="20"/>
              </w:rPr>
            </w:pPr>
            <w:r w:rsidRPr="00962F99">
              <w:rPr>
                <w:rFonts w:eastAsia="Times New Roman" w:cs="Arial"/>
                <w:b/>
                <w:bCs/>
                <w:color w:val="005F85" w:themeColor="accent2"/>
                <w:szCs w:val="20"/>
                <w:u w:val="single"/>
              </w:rPr>
              <w:t>OPTION 1</w:t>
            </w:r>
            <w:r w:rsidRPr="00962F99">
              <w:rPr>
                <w:rFonts w:eastAsia="Times New Roman" w:cs="Arial"/>
                <w:b/>
                <w:bCs/>
                <w:color w:val="005F85" w:themeColor="accent2"/>
                <w:szCs w:val="20"/>
              </w:rPr>
              <w:t>:</w:t>
            </w:r>
          </w:p>
          <w:p w14:paraId="61D29315" w14:textId="77777777" w:rsidR="00F5526B" w:rsidRDefault="00F5526B" w:rsidP="006331B2">
            <w:pPr>
              <w:spacing w:line="276" w:lineRule="auto"/>
              <w:contextualSpacing/>
              <w:rPr>
                <w:rFonts w:eastAsia="Times New Roman" w:cs="Arial"/>
                <w:b/>
                <w:bCs/>
                <w:color w:val="005F85" w:themeColor="accent2"/>
                <w:szCs w:val="20"/>
              </w:rPr>
            </w:pPr>
            <w:r w:rsidRPr="00962F99">
              <w:rPr>
                <w:rFonts w:eastAsia="Times New Roman" w:cs="Arial"/>
                <w:b/>
                <w:bCs/>
                <w:color w:val="005F85" w:themeColor="accent2"/>
                <w:szCs w:val="20"/>
              </w:rPr>
              <w:t>Maintain current UL recommendations</w:t>
            </w:r>
          </w:p>
          <w:p w14:paraId="34A26982" w14:textId="731F7B88" w:rsidR="00E96FF7" w:rsidRPr="006331B2" w:rsidRDefault="00E96FF7" w:rsidP="006331B2">
            <w:pPr>
              <w:spacing w:line="276" w:lineRule="auto"/>
              <w:contextualSpacing/>
              <w:rPr>
                <w:rFonts w:eastAsia="Times New Roman" w:cs="Arial"/>
                <w:b/>
                <w:bCs/>
                <w:color w:val="005F85" w:themeColor="accent2"/>
                <w:szCs w:val="20"/>
              </w:rPr>
            </w:pPr>
          </w:p>
        </w:tc>
        <w:tc>
          <w:tcPr>
            <w:tcW w:w="6928" w:type="dxa"/>
            <w:shd w:val="clear" w:color="auto" w:fill="C8E4EF" w:themeFill="accent1" w:themeFillTint="66"/>
          </w:tcPr>
          <w:p w14:paraId="55B66276" w14:textId="47D65785" w:rsidR="00F5526B" w:rsidRDefault="00F5526B">
            <w:r w:rsidRPr="00962F99">
              <w:rPr>
                <w:rFonts w:eastAsia="Times New Roman" w:cs="Arial"/>
                <w:b/>
                <w:bCs/>
                <w:color w:val="005F85" w:themeColor="accent2"/>
                <w:szCs w:val="20"/>
                <w:u w:val="single"/>
              </w:rPr>
              <w:t>OPTION 2</w:t>
            </w:r>
            <w:r w:rsidRPr="00962F99">
              <w:rPr>
                <w:rFonts w:eastAsia="Times New Roman" w:cs="Arial"/>
                <w:b/>
                <w:bCs/>
                <w:color w:val="005F85" w:themeColor="accent2"/>
                <w:szCs w:val="20"/>
              </w:rPr>
              <w:t>:</w:t>
            </w:r>
            <w:r w:rsidRPr="00962F99">
              <w:rPr>
                <w:rFonts w:eastAsia="Times New Roman" w:cs="Arial"/>
                <w:b/>
                <w:bCs/>
                <w:color w:val="005F85" w:themeColor="accent2"/>
                <w:szCs w:val="20"/>
              </w:rPr>
              <w:br/>
            </w:r>
            <w:r w:rsidR="00985D14">
              <w:rPr>
                <w:rFonts w:eastAsia="Times New Roman" w:cs="Arial"/>
                <w:b/>
                <w:color w:val="005F85" w:themeColor="accent2"/>
                <w:szCs w:val="20"/>
              </w:rPr>
              <w:t>Decrease the UL</w:t>
            </w:r>
          </w:p>
        </w:tc>
      </w:tr>
      <w:tr w:rsidR="00F5526B" w14:paraId="136F5094" w14:textId="77777777" w:rsidTr="009913D2">
        <w:trPr>
          <w:trHeight w:val="711"/>
        </w:trPr>
        <w:tc>
          <w:tcPr>
            <w:tcW w:w="6521" w:type="dxa"/>
          </w:tcPr>
          <w:p w14:paraId="7BDC87C1" w14:textId="13B1E0BD" w:rsidR="0002023B" w:rsidRDefault="00F5526B" w:rsidP="00973F99">
            <w:pPr>
              <w:spacing w:line="276" w:lineRule="auto"/>
              <w:ind w:right="34"/>
              <w:rPr>
                <w:color w:val="auto"/>
              </w:rPr>
            </w:pPr>
            <w:r w:rsidRPr="00AF519D">
              <w:rPr>
                <w:color w:val="C00000"/>
              </w:rPr>
              <w:tab/>
            </w:r>
            <w:r w:rsidR="00786FDF">
              <w:rPr>
                <w:color w:val="auto"/>
              </w:rPr>
              <w:t>O</w:t>
            </w:r>
            <w:r w:rsidR="0002023B">
              <w:rPr>
                <w:color w:val="auto"/>
              </w:rPr>
              <w:t xml:space="preserve">ngoing concerns with increased reporting of </w:t>
            </w:r>
            <w:r w:rsidR="009F1D53">
              <w:rPr>
                <w:color w:val="auto"/>
              </w:rPr>
              <w:t>adverse effects with levels of vitamin B</w:t>
            </w:r>
            <w:r w:rsidR="00AE6614">
              <w:rPr>
                <w:color w:val="auto"/>
              </w:rPr>
              <w:t>6 below the UL</w:t>
            </w:r>
          </w:p>
          <w:p w14:paraId="4021CC58" w14:textId="05313A42" w:rsidR="001C42DF" w:rsidRPr="00AF519D" w:rsidRDefault="001C42DF" w:rsidP="00C131ED">
            <w:pPr>
              <w:rPr>
                <w:color w:val="C00000"/>
              </w:rPr>
            </w:pPr>
          </w:p>
        </w:tc>
        <w:tc>
          <w:tcPr>
            <w:tcW w:w="6928" w:type="dxa"/>
          </w:tcPr>
          <w:p w14:paraId="5D689A62" w14:textId="7D01A25F" w:rsidR="00221C91" w:rsidRDefault="0031285B" w:rsidP="00C131ED">
            <w:pPr>
              <w:rPr>
                <w:color w:val="auto"/>
              </w:rPr>
            </w:pPr>
            <w:r w:rsidRPr="0031285B">
              <w:rPr>
                <w:color w:val="auto"/>
              </w:rPr>
              <w:t>Decreasing the level is more protective of the population</w:t>
            </w:r>
            <w:r>
              <w:rPr>
                <w:color w:val="auto"/>
              </w:rPr>
              <w:t>, and more consistent with recent international values.</w:t>
            </w:r>
          </w:p>
          <w:p w14:paraId="02E48281" w14:textId="44023206" w:rsidR="00233899" w:rsidRPr="009913D2" w:rsidRDefault="00233899" w:rsidP="00C131ED">
            <w:pPr>
              <w:rPr>
                <w:color w:val="auto"/>
              </w:rPr>
            </w:pPr>
          </w:p>
        </w:tc>
      </w:tr>
    </w:tbl>
    <w:p w14:paraId="5746FA99" w14:textId="77777777" w:rsidR="003F0898" w:rsidRPr="00D26490" w:rsidRDefault="003F0898" w:rsidP="00EC623A">
      <w:pPr>
        <w:shd w:val="clear" w:color="auto" w:fill="DEDDEC" w:themeFill="accent4" w:themeFillTint="33"/>
        <w:rPr>
          <w:color w:val="auto"/>
        </w:rPr>
      </w:pPr>
      <w:r w:rsidRPr="00D26490">
        <w:rPr>
          <w:b/>
          <w:bCs/>
          <w:color w:val="004663" w:themeColor="accent2" w:themeShade="BF"/>
        </w:rPr>
        <w:t>Additional considerations</w:t>
      </w:r>
      <w:r w:rsidRPr="00D26490">
        <w:rPr>
          <w:color w:val="004663" w:themeColor="accent2" w:themeShade="BF"/>
        </w:rPr>
        <w:t xml:space="preserve"> (</w:t>
      </w:r>
      <w:r w:rsidRPr="00D26490">
        <w:rPr>
          <w:i/>
          <w:iCs/>
          <w:color w:val="auto"/>
        </w:rPr>
        <w:t>committee input not captured in the research evidence)</w:t>
      </w:r>
    </w:p>
    <w:p w14:paraId="5908A88E" w14:textId="77777777" w:rsidR="003F0898" w:rsidRPr="008204D9" w:rsidRDefault="003F0898" w:rsidP="008204D9">
      <w:pPr>
        <w:pStyle w:val="ListParagraph"/>
        <w:numPr>
          <w:ilvl w:val="0"/>
          <w:numId w:val="38"/>
        </w:numPr>
        <w:rPr>
          <w:color w:val="auto"/>
        </w:rPr>
      </w:pPr>
      <w:r w:rsidRPr="008204D9">
        <w:rPr>
          <w:color w:val="auto"/>
        </w:rPr>
        <w:t>The balance of effects is in relation to the health effects only, with the recommendations applying to the general population.</w:t>
      </w:r>
    </w:p>
    <w:p w14:paraId="3C373BC8" w14:textId="77777777" w:rsidR="003F0898" w:rsidRPr="00D26490" w:rsidRDefault="003F0898">
      <w:pPr>
        <w:pStyle w:val="ListParagraph"/>
        <w:numPr>
          <w:ilvl w:val="0"/>
          <w:numId w:val="38"/>
        </w:numPr>
        <w:rPr>
          <w:color w:val="auto"/>
        </w:rPr>
      </w:pPr>
      <w:r>
        <w:rPr>
          <w:color w:val="auto"/>
        </w:rPr>
        <w:t xml:space="preserve">The uncertainty factors were discussed for human and animal studies based on conventions of e base log </w:t>
      </w:r>
      <w:r w:rsidRPr="00D26490">
        <w:rPr>
          <w:color w:val="auto"/>
        </w:rPr>
        <w:t>The balance of effects is in relation to the health effects only, with the recommendations applying to the general population.</w:t>
      </w:r>
    </w:p>
    <w:p w14:paraId="2DFD4C96" w14:textId="77777777" w:rsidR="003F0898" w:rsidRDefault="003F0898">
      <w:pPr>
        <w:pStyle w:val="ListParagraph"/>
        <w:numPr>
          <w:ilvl w:val="0"/>
          <w:numId w:val="38"/>
        </w:numPr>
        <w:rPr>
          <w:color w:val="auto"/>
        </w:rPr>
      </w:pPr>
      <w:r w:rsidRPr="00D26490">
        <w:rPr>
          <w:color w:val="auto"/>
        </w:rPr>
        <w:t>The likelihood of harm is very low as the UL is in the magnitude of 10x higher than requirements (EAR)</w:t>
      </w:r>
    </w:p>
    <w:p w14:paraId="696FE3AB" w14:textId="77777777" w:rsidR="003F0898" w:rsidRPr="00B80626" w:rsidRDefault="003F0898" w:rsidP="00B80626">
      <w:pPr>
        <w:pStyle w:val="ListParagraph"/>
        <w:numPr>
          <w:ilvl w:val="0"/>
          <w:numId w:val="38"/>
        </w:numPr>
        <w:rPr>
          <w:color w:val="auto"/>
        </w:rPr>
      </w:pPr>
      <w:r>
        <w:rPr>
          <w:color w:val="auto"/>
        </w:rPr>
        <w:t>E</w:t>
      </w:r>
      <w:r w:rsidRPr="00BD6078">
        <w:rPr>
          <w:color w:val="auto"/>
        </w:rPr>
        <w:t>stablishing a more protective UL</w:t>
      </w:r>
      <w:r>
        <w:rPr>
          <w:color w:val="auto"/>
        </w:rPr>
        <w:t xml:space="preserve"> reduces the risk when vitamin B6 toxicity is not diagnosed early, as ongoing exposure to excess vitamin B6 can continue to impact severity</w:t>
      </w:r>
      <w:r w:rsidRPr="00BD6078">
        <w:rPr>
          <w:color w:val="auto"/>
        </w:rPr>
        <w:t xml:space="preserve"> of neuropathy, duration or reversibility</w:t>
      </w:r>
    </w:p>
    <w:p w14:paraId="3550CAA4" w14:textId="45292D31" w:rsidR="003F0898" w:rsidRDefault="003F0898" w:rsidP="008140F0">
      <w:pPr>
        <w:shd w:val="clear" w:color="auto" w:fill="D8ECEA" w:themeFill="accent3" w:themeFillTint="66"/>
        <w:rPr>
          <w:b/>
          <w:bCs/>
          <w:color w:val="00596A" w:themeColor="accent6" w:themeTint="E6"/>
          <w:shd w:val="clear" w:color="auto" w:fill="D8ECEA" w:themeFill="accent3" w:themeFillTint="66"/>
        </w:rPr>
      </w:pPr>
      <w:r w:rsidRPr="008140F0">
        <w:rPr>
          <w:b/>
          <w:bCs/>
          <w:color w:val="00596A" w:themeColor="accent6" w:themeTint="E6"/>
          <w:shd w:val="clear" w:color="auto" w:fill="D8ECEA" w:themeFill="accent3" w:themeFillTint="66"/>
        </w:rPr>
        <w:t xml:space="preserve">Judgement - </w:t>
      </w:r>
      <w:r w:rsidRPr="00EE0CB7">
        <w:rPr>
          <w:b/>
          <w:bCs/>
          <w:color w:val="auto"/>
          <w:shd w:val="clear" w:color="auto" w:fill="D8ECEA" w:themeFill="accent3" w:themeFillTint="66"/>
        </w:rPr>
        <w:t>The balance of effects (health benefits and harms)</w:t>
      </w:r>
    </w:p>
    <w:p w14:paraId="4C51DEE3" w14:textId="77777777" w:rsidR="008140F0" w:rsidRDefault="008140F0" w:rsidP="008140F0">
      <w:pPr>
        <w:spacing w:before="0" w:after="0"/>
      </w:pP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2751"/>
        <w:gridCol w:w="1843"/>
        <w:gridCol w:w="2835"/>
        <w:gridCol w:w="1984"/>
        <w:gridCol w:w="709"/>
        <w:gridCol w:w="1405"/>
      </w:tblGrid>
      <w:tr w:rsidR="00F75900" w14:paraId="7ADC9577" w14:textId="77777777" w:rsidTr="000E0F9D">
        <w:tc>
          <w:tcPr>
            <w:tcW w:w="1922" w:type="dxa"/>
          </w:tcPr>
          <w:p w14:paraId="54428CC2" w14:textId="5840F5D5" w:rsidR="00F75900" w:rsidRDefault="00F75900" w:rsidP="001C6825">
            <w:pPr>
              <w:spacing w:before="0"/>
            </w:pPr>
            <w:r w:rsidRPr="00F11F46">
              <w:rPr>
                <w:color w:val="auto"/>
              </w:rPr>
              <w:t>Favours Option 1</w:t>
            </w:r>
          </w:p>
        </w:tc>
        <w:tc>
          <w:tcPr>
            <w:tcW w:w="2751" w:type="dxa"/>
          </w:tcPr>
          <w:p w14:paraId="181EBF41" w14:textId="623EF39D" w:rsidR="00F75900" w:rsidRDefault="00F75900" w:rsidP="001C6825">
            <w:pPr>
              <w:spacing w:before="0"/>
            </w:pPr>
            <w:r w:rsidRPr="00F11F46">
              <w:rPr>
                <w:color w:val="auto"/>
              </w:rPr>
              <w:t>Probably favours Option 1</w:t>
            </w:r>
          </w:p>
        </w:tc>
        <w:tc>
          <w:tcPr>
            <w:tcW w:w="1843" w:type="dxa"/>
          </w:tcPr>
          <w:p w14:paraId="6E9BCCBE" w14:textId="2A3B2EAD" w:rsidR="00F75900" w:rsidRDefault="00F75900" w:rsidP="001C6825">
            <w:pPr>
              <w:spacing w:before="0"/>
            </w:pPr>
            <w:r w:rsidRPr="00F11F46">
              <w:rPr>
                <w:color w:val="auto"/>
              </w:rPr>
              <w:t>Favours neither</w:t>
            </w:r>
          </w:p>
        </w:tc>
        <w:tc>
          <w:tcPr>
            <w:tcW w:w="2835" w:type="dxa"/>
          </w:tcPr>
          <w:p w14:paraId="6A0A94B3" w14:textId="490D3193" w:rsidR="00F75900" w:rsidRDefault="00F75900" w:rsidP="001C6825">
            <w:pPr>
              <w:spacing w:before="0"/>
            </w:pPr>
            <w:r w:rsidRPr="00F11F46">
              <w:rPr>
                <w:color w:val="auto"/>
              </w:rPr>
              <w:t>Probably favours Option 2</w:t>
            </w:r>
          </w:p>
        </w:tc>
        <w:tc>
          <w:tcPr>
            <w:tcW w:w="1984" w:type="dxa"/>
            <w:shd w:val="clear" w:color="auto" w:fill="C5E3DF" w:themeFill="accent3" w:themeFillTint="99"/>
          </w:tcPr>
          <w:p w14:paraId="32F784A6" w14:textId="60F035A3" w:rsidR="00F75900" w:rsidRDefault="00F75900" w:rsidP="001C6825">
            <w:pPr>
              <w:spacing w:before="0"/>
            </w:pPr>
            <w:r w:rsidRPr="00F11F46">
              <w:rPr>
                <w:color w:val="auto"/>
              </w:rPr>
              <w:t>Favours Option 2</w:t>
            </w:r>
            <w:r>
              <w:rPr>
                <w:color w:val="auto"/>
              </w:rPr>
              <w:t xml:space="preserve"> </w:t>
            </w:r>
            <w:r w:rsidRPr="006212FB">
              <w:rPr>
                <w:rFonts w:eastAsia="SimHei" w:cs="Times New Roman"/>
                <w:b/>
                <w:bCs/>
                <w:lang w:eastAsia="en-AU"/>
              </w:rPr>
              <w:sym w:font="Wingdings" w:char="F0FC"/>
            </w:r>
          </w:p>
        </w:tc>
        <w:tc>
          <w:tcPr>
            <w:tcW w:w="709" w:type="dxa"/>
          </w:tcPr>
          <w:p w14:paraId="5CA8A42D" w14:textId="68E18E64" w:rsidR="00F75900" w:rsidRDefault="00F75900" w:rsidP="001C6825">
            <w:pPr>
              <w:spacing w:before="0"/>
            </w:pPr>
            <w:r w:rsidRPr="00F11F46">
              <w:rPr>
                <w:color w:val="auto"/>
              </w:rPr>
              <w:t>Varies</w:t>
            </w:r>
          </w:p>
        </w:tc>
        <w:tc>
          <w:tcPr>
            <w:tcW w:w="1405" w:type="dxa"/>
          </w:tcPr>
          <w:p w14:paraId="4CAF4450" w14:textId="7E2439C5" w:rsidR="00F75900" w:rsidRDefault="00F75900" w:rsidP="001C6825">
            <w:pPr>
              <w:spacing w:before="0"/>
            </w:pPr>
            <w:r w:rsidRPr="00F11F46">
              <w:rPr>
                <w:color w:val="auto"/>
              </w:rPr>
              <w:t>Don't know</w:t>
            </w:r>
          </w:p>
        </w:tc>
      </w:tr>
    </w:tbl>
    <w:p w14:paraId="0BFAE570" w14:textId="77777777" w:rsidR="00F75900" w:rsidRDefault="00F75900" w:rsidP="001C6825">
      <w:pPr>
        <w:spacing w:before="0"/>
      </w:pPr>
    </w:p>
    <w:p w14:paraId="21450101" w14:textId="2B0F7B53" w:rsidR="00436107" w:rsidRDefault="00E074E3" w:rsidP="001C6825">
      <w:pPr>
        <w:spacing w:before="0"/>
      </w:pPr>
      <w:r>
        <w:t xml:space="preserve">This decision was made </w:t>
      </w:r>
      <w:r w:rsidR="00A26790">
        <w:t xml:space="preserve">by consensus </w:t>
      </w:r>
      <w:r>
        <w:t xml:space="preserve">at a </w:t>
      </w:r>
      <w:r w:rsidR="00A26790">
        <w:t>committee meeting with 1</w:t>
      </w:r>
      <w:r w:rsidR="00756D3A">
        <w:t>0 of 12 members present.</w:t>
      </w:r>
      <w:r w:rsidR="00576022">
        <w:t xml:space="preserve"> </w:t>
      </w:r>
    </w:p>
    <w:p w14:paraId="778C4F9A" w14:textId="77777777" w:rsidR="00EA4C99" w:rsidRDefault="00EA4C99" w:rsidP="000A4BA3">
      <w:pPr>
        <w:spacing w:before="0"/>
      </w:pPr>
    </w:p>
    <w:p w14:paraId="7797B26B" w14:textId="77777777" w:rsidR="00EC623A" w:rsidRDefault="00EC623A" w:rsidP="00BD6DB5">
      <w:pPr>
        <w:pStyle w:val="Heading5"/>
        <w:shd w:val="clear" w:color="auto" w:fill="005F85" w:themeFill="accent2"/>
        <w:rPr>
          <w:color w:val="FFFFFF" w:themeColor="background1"/>
          <w:sz w:val="22"/>
          <w:szCs w:val="22"/>
        </w:rPr>
        <w:sectPr w:rsidR="00EC623A" w:rsidSect="00D75D51">
          <w:pgSz w:w="16838" w:h="11906" w:orient="landscape" w:code="9"/>
          <w:pgMar w:top="907" w:right="1814" w:bottom="1134" w:left="1565" w:header="510" w:footer="454" w:gutter="0"/>
          <w:cols w:space="708"/>
          <w:titlePg/>
          <w:docGrid w:linePitch="360"/>
        </w:sectPr>
      </w:pPr>
    </w:p>
    <w:p w14:paraId="33397388" w14:textId="4D3FBD11" w:rsidR="004E167D" w:rsidRDefault="004E167D" w:rsidP="00BD6DB5">
      <w:pPr>
        <w:pStyle w:val="Heading5"/>
        <w:shd w:val="clear" w:color="auto" w:fill="005F85" w:themeFill="accent2"/>
        <w:rPr>
          <w:color w:val="FFFFFF" w:themeColor="background1"/>
          <w:sz w:val="22"/>
          <w:szCs w:val="22"/>
        </w:rPr>
      </w:pPr>
      <w:r>
        <w:rPr>
          <w:color w:val="FFFFFF" w:themeColor="background1"/>
          <w:sz w:val="22"/>
          <w:szCs w:val="22"/>
        </w:rPr>
        <w:lastRenderedPageBreak/>
        <w:t>Certainty of the evidence</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7230"/>
        <w:gridCol w:w="6219"/>
      </w:tblGrid>
      <w:tr w:rsidR="00EF1543" w14:paraId="7454BA08" w14:textId="77777777" w:rsidTr="007E210E">
        <w:tc>
          <w:tcPr>
            <w:tcW w:w="7230" w:type="dxa"/>
            <w:shd w:val="clear" w:color="auto" w:fill="C8E4EF" w:themeFill="accent1" w:themeFillTint="66"/>
          </w:tcPr>
          <w:p w14:paraId="276152ED" w14:textId="77777777" w:rsidR="00EF1543" w:rsidRPr="00962F99" w:rsidRDefault="00EF1543" w:rsidP="00EF1543">
            <w:pPr>
              <w:spacing w:line="276" w:lineRule="auto"/>
              <w:rPr>
                <w:rFonts w:eastAsia="Times New Roman" w:cs="Arial"/>
                <w:b/>
                <w:bCs/>
                <w:color w:val="005F85" w:themeColor="accent2"/>
                <w:szCs w:val="20"/>
              </w:rPr>
            </w:pPr>
            <w:r w:rsidRPr="00962F99">
              <w:rPr>
                <w:rFonts w:eastAsia="Times New Roman" w:cs="Arial"/>
                <w:b/>
                <w:bCs/>
                <w:color w:val="005F85" w:themeColor="accent2"/>
                <w:szCs w:val="20"/>
                <w:u w:val="single"/>
              </w:rPr>
              <w:t>OPTION 1</w:t>
            </w:r>
            <w:r w:rsidRPr="00962F99">
              <w:rPr>
                <w:rFonts w:eastAsia="Times New Roman" w:cs="Arial"/>
                <w:b/>
                <w:bCs/>
                <w:color w:val="005F85" w:themeColor="accent2"/>
                <w:szCs w:val="20"/>
              </w:rPr>
              <w:t>:</w:t>
            </w:r>
          </w:p>
          <w:p w14:paraId="5BB70F22" w14:textId="77777777" w:rsidR="00EF1543" w:rsidRDefault="00EF1543" w:rsidP="00EF1543">
            <w:pPr>
              <w:spacing w:line="276" w:lineRule="auto"/>
              <w:contextualSpacing/>
              <w:rPr>
                <w:rFonts w:eastAsia="Times New Roman" w:cs="Arial"/>
                <w:b/>
                <w:bCs/>
                <w:color w:val="005F85" w:themeColor="accent2"/>
                <w:szCs w:val="20"/>
              </w:rPr>
            </w:pPr>
            <w:r w:rsidRPr="00962F99">
              <w:rPr>
                <w:rFonts w:eastAsia="Times New Roman" w:cs="Arial"/>
                <w:b/>
                <w:bCs/>
                <w:color w:val="005F85" w:themeColor="accent2"/>
                <w:szCs w:val="20"/>
              </w:rPr>
              <w:t>Maintain current UL recommendations</w:t>
            </w:r>
          </w:p>
          <w:p w14:paraId="40F86658" w14:textId="4956F0D1" w:rsidR="00EF1543" w:rsidRDefault="00EF1543" w:rsidP="00EF1543"/>
        </w:tc>
        <w:tc>
          <w:tcPr>
            <w:tcW w:w="6219" w:type="dxa"/>
            <w:shd w:val="clear" w:color="auto" w:fill="C8E4EF" w:themeFill="accent1" w:themeFillTint="66"/>
          </w:tcPr>
          <w:p w14:paraId="147B0DEC" w14:textId="11762EB6" w:rsidR="00EF1543" w:rsidRDefault="00EF1543" w:rsidP="00EF1543">
            <w:r w:rsidRPr="00962F99">
              <w:rPr>
                <w:rFonts w:eastAsia="Times New Roman" w:cs="Arial"/>
                <w:b/>
                <w:bCs/>
                <w:color w:val="005F85" w:themeColor="accent2"/>
                <w:szCs w:val="20"/>
                <w:u w:val="single"/>
              </w:rPr>
              <w:t>OPTION 2</w:t>
            </w:r>
            <w:r w:rsidRPr="00962F99">
              <w:rPr>
                <w:rFonts w:eastAsia="Times New Roman" w:cs="Arial"/>
                <w:b/>
                <w:bCs/>
                <w:color w:val="005F85" w:themeColor="accent2"/>
                <w:szCs w:val="20"/>
              </w:rPr>
              <w:t>:</w:t>
            </w:r>
            <w:r w:rsidRPr="00962F99">
              <w:rPr>
                <w:rFonts w:eastAsia="Times New Roman" w:cs="Arial"/>
                <w:b/>
                <w:bCs/>
                <w:color w:val="005F85" w:themeColor="accent2"/>
                <w:szCs w:val="20"/>
              </w:rPr>
              <w:br/>
            </w:r>
            <w:r w:rsidR="00985D14">
              <w:rPr>
                <w:rFonts w:eastAsia="Times New Roman" w:cs="Arial"/>
                <w:b/>
                <w:color w:val="005F85" w:themeColor="accent2"/>
                <w:szCs w:val="20"/>
              </w:rPr>
              <w:t>Decrease the UL</w:t>
            </w:r>
          </w:p>
        </w:tc>
      </w:tr>
      <w:tr w:rsidR="004E167D" w14:paraId="0027A715" w14:textId="77777777" w:rsidTr="007E210E">
        <w:tc>
          <w:tcPr>
            <w:tcW w:w="7230" w:type="dxa"/>
          </w:tcPr>
          <w:p w14:paraId="06919966" w14:textId="49A5E766" w:rsidR="00595FB2" w:rsidRPr="00113185" w:rsidRDefault="00595FB2" w:rsidP="00595FB2">
            <w:pPr>
              <w:spacing w:line="276" w:lineRule="auto"/>
            </w:pPr>
            <w:r w:rsidRPr="00113185">
              <w:t xml:space="preserve">Papers used to set </w:t>
            </w:r>
            <w:r w:rsidR="00F65007">
              <w:t xml:space="preserve">NHMRCs 2006 </w:t>
            </w:r>
            <w:r w:rsidRPr="00113185">
              <w:t>Upper Level of Intake of vitamin B6</w:t>
            </w:r>
          </w:p>
          <w:p w14:paraId="1AB680E6" w14:textId="77777777" w:rsidR="00595FB2" w:rsidRPr="00113185" w:rsidRDefault="00595FB2">
            <w:pPr>
              <w:pStyle w:val="ListParagraph"/>
              <w:numPr>
                <w:ilvl w:val="0"/>
                <w:numId w:val="31"/>
              </w:numPr>
              <w:spacing w:after="60" w:line="276" w:lineRule="auto"/>
              <w:ind w:left="462"/>
            </w:pPr>
            <w:r w:rsidRPr="00113185">
              <w:t>Bernstein &amp; Lobitz (1988): 70 diabetic patients, most studied for no more than 5 months at 100–150 mg/day. No adverse effects reported. (Survey data)</w:t>
            </w:r>
          </w:p>
          <w:p w14:paraId="795F409D" w14:textId="77777777" w:rsidR="00595FB2" w:rsidRPr="00113185" w:rsidRDefault="00595FB2">
            <w:pPr>
              <w:pStyle w:val="ListParagraph"/>
              <w:numPr>
                <w:ilvl w:val="0"/>
                <w:numId w:val="31"/>
              </w:numPr>
              <w:spacing w:after="60" w:line="276" w:lineRule="auto"/>
              <w:ind w:left="462"/>
            </w:pPr>
            <w:r w:rsidRPr="00113185">
              <w:t>Dalton &amp; Dalton (1987): Retrospective assessment of symptoms in a treated cohort with PMT. Mean B6 levels in those with symptoms were the same as in those without, but those with symptoms had been on pills for 2.9 years compared with 1.6 years for those without. (Survey data)</w:t>
            </w:r>
          </w:p>
          <w:p w14:paraId="6E19C409" w14:textId="1B85DC40" w:rsidR="006408EC" w:rsidRDefault="00595FB2">
            <w:pPr>
              <w:pStyle w:val="ListParagraph"/>
              <w:numPr>
                <w:ilvl w:val="0"/>
                <w:numId w:val="31"/>
              </w:numPr>
              <w:spacing w:after="60" w:line="276" w:lineRule="auto"/>
              <w:ind w:left="462"/>
            </w:pPr>
            <w:r w:rsidRPr="00113185">
              <w:t xml:space="preserve">Del </w:t>
            </w:r>
            <w:proofErr w:type="spellStart"/>
            <w:r w:rsidRPr="00113185">
              <w:t>Tredici</w:t>
            </w:r>
            <w:proofErr w:type="spellEnd"/>
            <w:r w:rsidRPr="00113185">
              <w:t xml:space="preserve"> et al (1985): Carpel tunnel patients. No adverse effects seen at 4 months at 100–300 mg/day. (Survey data)</w:t>
            </w:r>
          </w:p>
          <w:p w14:paraId="21C483FE" w14:textId="65E4ABF9" w:rsidR="00024421" w:rsidRPr="00F135B9" w:rsidRDefault="00C131ED" w:rsidP="00F135B9">
            <w:pPr>
              <w:rPr>
                <w:rFonts w:eastAsiaTheme="majorEastAsia"/>
              </w:rPr>
            </w:pPr>
            <w:r>
              <w:rPr>
                <w:rFonts w:eastAsiaTheme="majorEastAsia"/>
              </w:rPr>
              <w:t>An e</w:t>
            </w:r>
            <w:r w:rsidRPr="005334C3">
              <w:rPr>
                <w:rFonts w:eastAsiaTheme="majorEastAsia"/>
              </w:rPr>
              <w:t xml:space="preserve">vidence </w:t>
            </w:r>
            <w:proofErr w:type="gramStart"/>
            <w:r w:rsidRPr="005334C3">
              <w:rPr>
                <w:rFonts w:eastAsiaTheme="majorEastAsia"/>
              </w:rPr>
              <w:t>review</w:t>
            </w:r>
            <w:proofErr w:type="gramEnd"/>
            <w:r w:rsidRPr="005334C3">
              <w:rPr>
                <w:rFonts w:eastAsiaTheme="majorEastAsia"/>
              </w:rPr>
              <w:t xml:space="preserve"> </w:t>
            </w:r>
            <w:r>
              <w:rPr>
                <w:rFonts w:eastAsiaTheme="majorEastAsia"/>
              </w:rPr>
              <w:t>commissioned by NHMRC in 2026 a</w:t>
            </w:r>
            <w:r w:rsidRPr="005334C3">
              <w:rPr>
                <w:rFonts w:eastAsiaTheme="majorEastAsia"/>
              </w:rPr>
              <w:t>ssess</w:t>
            </w:r>
            <w:r>
              <w:rPr>
                <w:rFonts w:eastAsiaTheme="majorEastAsia"/>
              </w:rPr>
              <w:t>ed</w:t>
            </w:r>
            <w:r w:rsidRPr="005334C3">
              <w:rPr>
                <w:rFonts w:eastAsiaTheme="majorEastAsia"/>
              </w:rPr>
              <w:t xml:space="preserve"> </w:t>
            </w:r>
            <w:r w:rsidRPr="00C4547B">
              <w:rPr>
                <w:rFonts w:eastAsiaTheme="majorEastAsia"/>
              </w:rPr>
              <w:t>the key historical studies underpinning both NHMRC and EFSAs guidance values. They found that, Dalton &amp; Dalton (1987)</w:t>
            </w:r>
            <w:r w:rsidR="00E83B74">
              <w:rPr>
                <w:rFonts w:eastAsiaTheme="majorEastAsia"/>
              </w:rPr>
              <w:t>,</w:t>
            </w:r>
            <w:r w:rsidRPr="00C4547B">
              <w:rPr>
                <w:rFonts w:eastAsiaTheme="majorEastAsia"/>
              </w:rPr>
              <w:t xml:space="preserve"> Bernstein &amp; Lobitz (1988) and Del </w:t>
            </w:r>
            <w:proofErr w:type="spellStart"/>
            <w:r w:rsidRPr="00C4547B">
              <w:rPr>
                <w:rFonts w:eastAsiaTheme="majorEastAsia"/>
              </w:rPr>
              <w:t>Tredici</w:t>
            </w:r>
            <w:proofErr w:type="spellEnd"/>
            <w:r w:rsidRPr="00C4547B">
              <w:rPr>
                <w:rFonts w:eastAsiaTheme="majorEastAsia"/>
              </w:rPr>
              <w:t xml:space="preserve"> et al. (1985) showed high risk of bias, reflecting self-report, lack of blinding or randomisation, absent or inadequate control groups, non-representative study populations and inherent risk of bias based on study designs (which rank low on the hierarchy of evidence). This is a key consideration in interpreting the reliability of the vitamin B6 UL regardless of which guidance value is adopted.</w:t>
            </w:r>
          </w:p>
        </w:tc>
        <w:tc>
          <w:tcPr>
            <w:tcW w:w="6219" w:type="dxa"/>
          </w:tcPr>
          <w:p w14:paraId="4DB16DA7" w14:textId="12DBE693" w:rsidR="00C131ED" w:rsidRDefault="00F65007" w:rsidP="00C131ED">
            <w:pPr>
              <w:rPr>
                <w:rFonts w:eastAsiaTheme="majorEastAsia"/>
              </w:rPr>
            </w:pPr>
            <w:r>
              <w:rPr>
                <w:rFonts w:eastAsiaTheme="majorEastAsia"/>
              </w:rPr>
              <w:t>An e</w:t>
            </w:r>
            <w:r w:rsidRPr="005334C3">
              <w:rPr>
                <w:rFonts w:eastAsiaTheme="majorEastAsia"/>
              </w:rPr>
              <w:t xml:space="preserve">vidence </w:t>
            </w:r>
            <w:proofErr w:type="gramStart"/>
            <w:r w:rsidRPr="005334C3">
              <w:rPr>
                <w:rFonts w:eastAsiaTheme="majorEastAsia"/>
              </w:rPr>
              <w:t>review</w:t>
            </w:r>
            <w:proofErr w:type="gramEnd"/>
            <w:r w:rsidRPr="005334C3">
              <w:rPr>
                <w:rFonts w:eastAsiaTheme="majorEastAsia"/>
              </w:rPr>
              <w:t xml:space="preserve"> </w:t>
            </w:r>
            <w:r>
              <w:rPr>
                <w:rFonts w:eastAsiaTheme="majorEastAsia"/>
              </w:rPr>
              <w:t>commissioned by NHMRC in 2026 a</w:t>
            </w:r>
            <w:r w:rsidRPr="005334C3">
              <w:rPr>
                <w:rFonts w:eastAsiaTheme="majorEastAsia"/>
              </w:rPr>
              <w:t>ssess</w:t>
            </w:r>
            <w:r>
              <w:rPr>
                <w:rFonts w:eastAsiaTheme="majorEastAsia"/>
              </w:rPr>
              <w:t>ed</w:t>
            </w:r>
            <w:r w:rsidRPr="005334C3">
              <w:rPr>
                <w:rFonts w:eastAsiaTheme="majorEastAsia"/>
              </w:rPr>
              <w:t xml:space="preserve"> </w:t>
            </w:r>
            <w:r w:rsidRPr="00C4547B">
              <w:rPr>
                <w:rFonts w:eastAsiaTheme="majorEastAsia"/>
              </w:rPr>
              <w:t>the key historical studies underpinning both NHMRC and EFSAs guidance values.</w:t>
            </w:r>
            <w:r w:rsidR="00EA3CBD">
              <w:rPr>
                <w:rFonts w:eastAsiaTheme="majorEastAsia"/>
              </w:rPr>
              <w:t xml:space="preserve"> </w:t>
            </w:r>
            <w:r w:rsidR="00C131ED" w:rsidRPr="00A10495">
              <w:rPr>
                <w:rFonts w:eastAsiaTheme="majorEastAsia"/>
              </w:rPr>
              <w:t>Assessment of the key human stud</w:t>
            </w:r>
            <w:r w:rsidR="00C131ED">
              <w:rPr>
                <w:rFonts w:eastAsiaTheme="majorEastAsia"/>
              </w:rPr>
              <w:t>y</w:t>
            </w:r>
            <w:r w:rsidR="00C131ED" w:rsidRPr="00A10495">
              <w:rPr>
                <w:rFonts w:eastAsiaTheme="majorEastAsia"/>
              </w:rPr>
              <w:t xml:space="preserve"> underpinning </w:t>
            </w:r>
            <w:r w:rsidR="00C131ED">
              <w:rPr>
                <w:rFonts w:eastAsiaTheme="majorEastAsia"/>
              </w:rPr>
              <w:t>EFSAs</w:t>
            </w:r>
            <w:r w:rsidR="00C131ED" w:rsidRPr="00A10495">
              <w:rPr>
                <w:rFonts w:eastAsiaTheme="majorEastAsia"/>
              </w:rPr>
              <w:t xml:space="preserve"> guidance values</w:t>
            </w:r>
            <w:r w:rsidR="00FF4B83">
              <w:rPr>
                <w:rFonts w:eastAsiaTheme="majorEastAsia"/>
              </w:rPr>
              <w:t xml:space="preserve"> found that </w:t>
            </w:r>
            <w:r w:rsidR="00C131ED" w:rsidRPr="00A10495">
              <w:rPr>
                <w:rFonts w:eastAsiaTheme="majorEastAsia"/>
              </w:rPr>
              <w:t xml:space="preserve">Dalton &amp; Dalton (1987), showed high risk of bias, reflecting self-report, lack of blinding or randomisation, absent or inadequate control groups, non-representative study populations and inherent risk of bias based on study design (which rank low on the hierarchy of evidence). The animal study underpinning EFSA's UL (Phillips et al. 1978) was rated </w:t>
            </w:r>
            <w:r w:rsidR="002F6E55">
              <w:rPr>
                <w:rFonts w:eastAsiaTheme="majorEastAsia"/>
              </w:rPr>
              <w:t>l</w:t>
            </w:r>
            <w:r w:rsidR="002F6E55" w:rsidRPr="00A10495">
              <w:rPr>
                <w:rFonts w:eastAsiaTheme="majorEastAsia"/>
              </w:rPr>
              <w:t>ow</w:t>
            </w:r>
            <w:r w:rsidR="00C131ED" w:rsidRPr="00A10495">
              <w:rPr>
                <w:rFonts w:eastAsiaTheme="majorEastAsia"/>
              </w:rPr>
              <w:t xml:space="preserve"> risk of bias (however, it is a non-guideline, non-GLP</w:t>
            </w:r>
            <w:r w:rsidR="00B929C4">
              <w:rPr>
                <w:rFonts w:eastAsiaTheme="majorEastAsia"/>
              </w:rPr>
              <w:t xml:space="preserve"> (good laboratory practice)</w:t>
            </w:r>
            <w:r w:rsidR="00C131ED" w:rsidRPr="00A10495">
              <w:rPr>
                <w:rFonts w:eastAsiaTheme="majorEastAsia"/>
              </w:rPr>
              <w:t xml:space="preserve"> peer review published study that lacks the level of study reporting associated with regulatory quality studies)</w:t>
            </w:r>
            <w:r w:rsidR="008C41EF">
              <w:rPr>
                <w:rFonts w:eastAsiaTheme="majorEastAsia"/>
              </w:rPr>
              <w:t xml:space="preserve"> </w:t>
            </w:r>
            <w:r w:rsidR="0045011E">
              <w:rPr>
                <w:noProof/>
              </w:rPr>
              <w:t>(SLR, 2006)</w:t>
            </w:r>
            <w:r w:rsidR="00C131ED" w:rsidRPr="00A10495">
              <w:rPr>
                <w:rFonts w:eastAsiaTheme="majorEastAsia"/>
              </w:rPr>
              <w:t xml:space="preserve">. </w:t>
            </w:r>
          </w:p>
          <w:p w14:paraId="59D1530C" w14:textId="77777777" w:rsidR="00E83B74" w:rsidRPr="006C79BF" w:rsidRDefault="00E83B74" w:rsidP="00E83B74">
            <w:pPr>
              <w:rPr>
                <w:rFonts w:eastAsiaTheme="majorEastAsia"/>
              </w:rPr>
            </w:pPr>
            <w:r w:rsidRPr="00C4547B">
              <w:rPr>
                <w:rFonts w:eastAsiaTheme="majorEastAsia"/>
              </w:rPr>
              <w:t>This is a key consideration in interpreting the reliability of the vitamin B6 UL regardless of which guidance value is adopted.</w:t>
            </w:r>
          </w:p>
          <w:p w14:paraId="3F2B6DFF" w14:textId="4B3F1264" w:rsidR="004E167D" w:rsidRPr="00AF519D" w:rsidRDefault="004E167D" w:rsidP="0084609B">
            <w:pPr>
              <w:rPr>
                <w:color w:val="C00000"/>
              </w:rPr>
            </w:pPr>
          </w:p>
        </w:tc>
      </w:tr>
    </w:tbl>
    <w:p w14:paraId="72512628" w14:textId="77777777" w:rsidR="002F06F2" w:rsidRDefault="002F06F2" w:rsidP="002F06F2">
      <w:pPr>
        <w:shd w:val="clear" w:color="auto" w:fill="DEDDEC" w:themeFill="accent4" w:themeFillTint="33"/>
        <w:rPr>
          <w:i/>
          <w:iCs/>
          <w:color w:val="00B050"/>
        </w:rPr>
      </w:pPr>
      <w:r w:rsidRPr="001C48A5">
        <w:rPr>
          <w:b/>
          <w:bCs/>
          <w:color w:val="004663" w:themeColor="accent2" w:themeShade="BF"/>
        </w:rPr>
        <w:t>Additional considerations</w:t>
      </w:r>
      <w:r>
        <w:rPr>
          <w:b/>
          <w:bCs/>
          <w:color w:val="004663" w:themeColor="accent2" w:themeShade="BF"/>
        </w:rPr>
        <w:t xml:space="preserve"> </w:t>
      </w:r>
      <w:r w:rsidRPr="00F969C4">
        <w:rPr>
          <w:i/>
          <w:iCs/>
          <w:color w:val="auto"/>
        </w:rPr>
        <w:t>(</w:t>
      </w:r>
      <w:r w:rsidRPr="001C48A5">
        <w:rPr>
          <w:b/>
          <w:bCs/>
          <w:i/>
          <w:iCs/>
          <w:color w:val="auto"/>
        </w:rPr>
        <w:t>c</w:t>
      </w:r>
      <w:r w:rsidRPr="001C48A5">
        <w:rPr>
          <w:i/>
          <w:iCs/>
          <w:color w:val="auto"/>
        </w:rPr>
        <w:t>ommittee input not captured in the research evidence</w:t>
      </w:r>
      <w:r>
        <w:rPr>
          <w:i/>
          <w:iCs/>
          <w:color w:val="auto"/>
        </w:rPr>
        <w:t>)</w:t>
      </w:r>
    </w:p>
    <w:p w14:paraId="2E31CFCF" w14:textId="77777777" w:rsidR="002F06F2" w:rsidRPr="001C48A5" w:rsidRDefault="002F06F2">
      <w:pPr>
        <w:pStyle w:val="ListParagraph"/>
        <w:numPr>
          <w:ilvl w:val="0"/>
          <w:numId w:val="36"/>
        </w:numPr>
        <w:rPr>
          <w:i/>
          <w:iCs/>
          <w:color w:val="auto"/>
        </w:rPr>
      </w:pPr>
      <w:r w:rsidRPr="001C48A5">
        <w:rPr>
          <w:color w:val="auto"/>
        </w:rPr>
        <w:t xml:space="preserve">The human data is considered to have a low certainty of evidence due to the high risk of bias </w:t>
      </w:r>
    </w:p>
    <w:p w14:paraId="47FDF4AB" w14:textId="77777777" w:rsidR="002F06F2" w:rsidRPr="00AB6BF5" w:rsidRDefault="002F06F2" w:rsidP="00AB6BF5">
      <w:pPr>
        <w:pStyle w:val="ListParagraph"/>
        <w:numPr>
          <w:ilvl w:val="0"/>
          <w:numId w:val="36"/>
        </w:numPr>
        <w:rPr>
          <w:i/>
          <w:iCs/>
          <w:color w:val="auto"/>
        </w:rPr>
      </w:pPr>
      <w:r w:rsidRPr="00AB6BF5">
        <w:rPr>
          <w:color w:val="auto"/>
        </w:rPr>
        <w:t>The animal data is considered to have a very low certainty of evidence as although Phillips (1978) study was rated as low risk of bias</w:t>
      </w:r>
      <w:r>
        <w:rPr>
          <w:color w:val="auto"/>
        </w:rPr>
        <w:t>,</w:t>
      </w:r>
      <w:r w:rsidRPr="00AB6BF5">
        <w:rPr>
          <w:color w:val="auto"/>
        </w:rPr>
        <w:t xml:space="preserve"> there were concerns about the study type (non-guideline, non-GLP), which lacks the level of study reporting associated with regulatory quality studies and indirectness due to the taxonomic differences between species (humans and dogs).</w:t>
      </w:r>
    </w:p>
    <w:p w14:paraId="74A00DFF" w14:textId="77777777" w:rsidR="002F06F2" w:rsidRPr="001C48A5" w:rsidRDefault="002F06F2">
      <w:pPr>
        <w:pStyle w:val="ListParagraph"/>
        <w:numPr>
          <w:ilvl w:val="0"/>
          <w:numId w:val="36"/>
        </w:numPr>
        <w:rPr>
          <w:i/>
          <w:iCs/>
          <w:color w:val="auto"/>
        </w:rPr>
      </w:pPr>
      <w:r w:rsidRPr="001C48A5">
        <w:rPr>
          <w:color w:val="auto"/>
        </w:rPr>
        <w:lastRenderedPageBreak/>
        <w:t>The difference in certainty of evidence for human and animal data may impact the midpoint chosen when using a weight of evidence approach for deriving the UL, with the result potentially closer to that from human data</w:t>
      </w:r>
    </w:p>
    <w:p w14:paraId="059E9664" w14:textId="0C7D8ABE" w:rsidR="002F06F2" w:rsidRPr="005F0A69" w:rsidRDefault="002F06F2" w:rsidP="005F0A69">
      <w:pPr>
        <w:pStyle w:val="ListParagraph"/>
        <w:numPr>
          <w:ilvl w:val="0"/>
          <w:numId w:val="36"/>
        </w:numPr>
        <w:rPr>
          <w:color w:val="auto"/>
        </w:rPr>
      </w:pPr>
      <w:r w:rsidRPr="001C48A5">
        <w:rPr>
          <w:color w:val="auto"/>
        </w:rPr>
        <w:t>Even though the research studies are largely conducted using only one vitamer of B6 (</w:t>
      </w:r>
      <w:proofErr w:type="spellStart"/>
      <w:r w:rsidRPr="001C48A5">
        <w:rPr>
          <w:color w:val="auto"/>
        </w:rPr>
        <w:t>pyroxidine</w:t>
      </w:r>
      <w:proofErr w:type="spellEnd"/>
      <w:r w:rsidRPr="001C48A5">
        <w:rPr>
          <w:color w:val="auto"/>
        </w:rPr>
        <w:t>), it is the vitamer that is largely included in supplements, therefore a downgrading the certainty due to indirectness was not considered necessary</w:t>
      </w:r>
    </w:p>
    <w:p w14:paraId="1D3EFEE3" w14:textId="3AF944A6" w:rsidR="002F06F2" w:rsidRPr="00EE0CB7" w:rsidRDefault="002F06F2" w:rsidP="00B418AA">
      <w:pPr>
        <w:shd w:val="clear" w:color="auto" w:fill="D8ECEA" w:themeFill="accent3" w:themeFillTint="66"/>
        <w:rPr>
          <w:color w:val="auto"/>
        </w:rPr>
      </w:pPr>
      <w:r w:rsidRPr="00B418AA">
        <w:rPr>
          <w:b/>
          <w:bCs/>
          <w:color w:val="00596A" w:themeColor="accent6" w:themeTint="E6"/>
          <w:shd w:val="clear" w:color="auto" w:fill="D8ECEA" w:themeFill="accent3" w:themeFillTint="66"/>
        </w:rPr>
        <w:t xml:space="preserve">Judgement </w:t>
      </w:r>
      <w:r w:rsidRPr="00B418AA">
        <w:rPr>
          <w:color w:val="00596A" w:themeColor="accent6" w:themeTint="E6"/>
          <w:shd w:val="clear" w:color="auto" w:fill="D8ECEA" w:themeFill="accent3" w:themeFillTint="66"/>
        </w:rPr>
        <w:t>-</w:t>
      </w:r>
      <w:r w:rsidRPr="00B418AA">
        <w:rPr>
          <w:b/>
          <w:bCs/>
          <w:color w:val="00596A" w:themeColor="accent6" w:themeTint="E6"/>
          <w:shd w:val="clear" w:color="auto" w:fill="D8ECEA" w:themeFill="accent3" w:themeFillTint="66"/>
        </w:rPr>
        <w:t xml:space="preserve"> </w:t>
      </w:r>
      <w:r w:rsidRPr="00EE0CB7">
        <w:rPr>
          <w:b/>
          <w:bCs/>
          <w:color w:val="auto"/>
          <w:shd w:val="clear" w:color="auto" w:fill="D8ECEA" w:themeFill="accent3" w:themeFillTint="66"/>
        </w:rPr>
        <w:t xml:space="preserve">The certainty of the evidence </w:t>
      </w:r>
      <w:proofErr w:type="gramStart"/>
      <w:r w:rsidRPr="00EE0CB7">
        <w:rPr>
          <w:b/>
          <w:bCs/>
          <w:color w:val="auto"/>
          <w:shd w:val="clear" w:color="auto" w:fill="D8ECEA" w:themeFill="accent3" w:themeFillTint="66"/>
        </w:rPr>
        <w:t>is considered to be</w:t>
      </w:r>
      <w:proofErr w:type="gramEnd"/>
    </w:p>
    <w:p w14:paraId="6BDFBCDA" w14:textId="1F0E538D" w:rsidR="00C778C9" w:rsidRDefault="00C778C9" w:rsidP="002657B2">
      <w:pPr>
        <w:spacing w:before="0"/>
      </w:pPr>
      <w:r w:rsidRPr="00400557">
        <w:rPr>
          <w:b/>
          <w:bCs/>
          <w:color w:val="auto"/>
          <w:u w:val="single"/>
        </w:rPr>
        <w:t>Human data</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3362"/>
        <w:gridCol w:w="3362"/>
        <w:gridCol w:w="3362"/>
      </w:tblGrid>
      <w:tr w:rsidR="00C778C9" w14:paraId="0C975D22" w14:textId="77777777" w:rsidTr="00C778C9">
        <w:trPr>
          <w:jc w:val="center"/>
        </w:trPr>
        <w:tc>
          <w:tcPr>
            <w:tcW w:w="3363" w:type="dxa"/>
          </w:tcPr>
          <w:p w14:paraId="1FB6A4F6" w14:textId="09A9C2D3" w:rsidR="00C778C9" w:rsidRDefault="00C778C9" w:rsidP="00C778C9">
            <w:pPr>
              <w:spacing w:before="0"/>
              <w:jc w:val="center"/>
            </w:pPr>
            <w:r w:rsidRPr="007E210E">
              <w:rPr>
                <w:rFonts w:eastAsia="SimHei" w:cs="Times New Roman"/>
                <w:lang w:eastAsia="en-AU"/>
              </w:rPr>
              <w:t>Very low</w:t>
            </w:r>
          </w:p>
        </w:tc>
        <w:tc>
          <w:tcPr>
            <w:tcW w:w="3362" w:type="dxa"/>
            <w:shd w:val="clear" w:color="auto" w:fill="C5E3DF" w:themeFill="accent3" w:themeFillTint="99"/>
          </w:tcPr>
          <w:p w14:paraId="3CE3225F" w14:textId="50A3DF9C" w:rsidR="00C778C9" w:rsidRDefault="00C778C9" w:rsidP="00C778C9">
            <w:pPr>
              <w:spacing w:before="0"/>
              <w:jc w:val="center"/>
            </w:pPr>
            <w:r w:rsidRPr="007E210E">
              <w:rPr>
                <w:rFonts w:eastAsia="SimHei" w:cs="Times New Roman"/>
                <w:lang w:eastAsia="en-AU"/>
              </w:rPr>
              <w:t>Low</w:t>
            </w:r>
            <w:r>
              <w:rPr>
                <w:rFonts w:eastAsia="SimHei" w:cs="Times New Roman"/>
                <w:lang w:eastAsia="en-AU"/>
              </w:rPr>
              <w:t xml:space="preserve"> </w:t>
            </w:r>
            <w:r w:rsidRPr="006212FB">
              <w:rPr>
                <w:rFonts w:eastAsia="SimHei" w:cs="Times New Roman"/>
                <w:b/>
                <w:bCs/>
                <w:lang w:eastAsia="en-AU"/>
              </w:rPr>
              <w:sym w:font="Wingdings" w:char="F0FC"/>
            </w:r>
          </w:p>
        </w:tc>
        <w:tc>
          <w:tcPr>
            <w:tcW w:w="3362" w:type="dxa"/>
          </w:tcPr>
          <w:p w14:paraId="70AA6868" w14:textId="39C63E09" w:rsidR="00C778C9" w:rsidRDefault="00C778C9" w:rsidP="00C778C9">
            <w:pPr>
              <w:spacing w:before="0"/>
              <w:jc w:val="center"/>
            </w:pPr>
            <w:r w:rsidRPr="007E210E">
              <w:rPr>
                <w:rFonts w:eastAsia="SimHei" w:cs="Times New Roman"/>
                <w:lang w:eastAsia="en-AU"/>
              </w:rPr>
              <w:t>Moderate</w:t>
            </w:r>
          </w:p>
        </w:tc>
        <w:tc>
          <w:tcPr>
            <w:tcW w:w="3362" w:type="dxa"/>
          </w:tcPr>
          <w:p w14:paraId="54744C13" w14:textId="0546BB5C" w:rsidR="00C778C9" w:rsidRDefault="00C778C9" w:rsidP="00C778C9">
            <w:pPr>
              <w:spacing w:before="0"/>
              <w:jc w:val="center"/>
            </w:pPr>
            <w:r w:rsidRPr="007E210E">
              <w:rPr>
                <w:rFonts w:eastAsia="SimHei" w:cs="Times New Roman"/>
                <w:lang w:eastAsia="en-AU"/>
              </w:rPr>
              <w:t>High</w:t>
            </w:r>
          </w:p>
        </w:tc>
      </w:tr>
    </w:tbl>
    <w:p w14:paraId="29AB24EC" w14:textId="03275B3C" w:rsidR="00C778C9" w:rsidRDefault="00BD27DA" w:rsidP="00AB7E34">
      <w:pPr>
        <w:spacing w:before="0"/>
      </w:pPr>
      <w:r w:rsidRPr="007E210E">
        <w:rPr>
          <w:b/>
          <w:bCs/>
          <w:color w:val="auto"/>
          <w:u w:val="single"/>
        </w:rPr>
        <w:t>Animal data</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3362"/>
        <w:gridCol w:w="3362"/>
        <w:gridCol w:w="3362"/>
      </w:tblGrid>
      <w:tr w:rsidR="00BD27DA" w14:paraId="586CF0A9" w14:textId="77777777" w:rsidTr="00BD27DA">
        <w:trPr>
          <w:jc w:val="center"/>
        </w:trPr>
        <w:tc>
          <w:tcPr>
            <w:tcW w:w="3363" w:type="dxa"/>
            <w:shd w:val="clear" w:color="auto" w:fill="C5E3DF" w:themeFill="accent3" w:themeFillTint="99"/>
          </w:tcPr>
          <w:p w14:paraId="35C6C150" w14:textId="14C60E0C" w:rsidR="00BD27DA" w:rsidRDefault="00BD27DA" w:rsidP="00BD27DA">
            <w:pPr>
              <w:spacing w:before="0"/>
              <w:jc w:val="center"/>
            </w:pPr>
            <w:r w:rsidRPr="007E210E">
              <w:rPr>
                <w:rFonts w:eastAsia="SimHei" w:cs="Times New Roman"/>
                <w:lang w:eastAsia="en-AU"/>
              </w:rPr>
              <w:t>Very low</w:t>
            </w:r>
            <w:r>
              <w:rPr>
                <w:rFonts w:eastAsia="SimHei" w:cs="Times New Roman"/>
                <w:lang w:eastAsia="en-AU"/>
              </w:rPr>
              <w:t xml:space="preserve"> </w:t>
            </w:r>
            <w:r w:rsidRPr="006212FB">
              <w:rPr>
                <w:rFonts w:eastAsia="SimHei" w:cs="Times New Roman"/>
                <w:b/>
                <w:bCs/>
                <w:lang w:eastAsia="en-AU"/>
              </w:rPr>
              <w:sym w:font="Wingdings" w:char="F0FC"/>
            </w:r>
          </w:p>
        </w:tc>
        <w:tc>
          <w:tcPr>
            <w:tcW w:w="3362" w:type="dxa"/>
            <w:shd w:val="clear" w:color="auto" w:fill="FFFFFF" w:themeFill="background1"/>
          </w:tcPr>
          <w:p w14:paraId="24F2FD58" w14:textId="0F222FED" w:rsidR="00BD27DA" w:rsidRDefault="00BD27DA" w:rsidP="00BD27DA">
            <w:pPr>
              <w:spacing w:before="0"/>
              <w:jc w:val="center"/>
            </w:pPr>
            <w:r w:rsidRPr="007E210E">
              <w:rPr>
                <w:rFonts w:eastAsia="SimHei" w:cs="Times New Roman"/>
                <w:lang w:eastAsia="en-AU"/>
              </w:rPr>
              <w:t>Low</w:t>
            </w:r>
          </w:p>
        </w:tc>
        <w:tc>
          <w:tcPr>
            <w:tcW w:w="3362" w:type="dxa"/>
          </w:tcPr>
          <w:p w14:paraId="18EDE64C" w14:textId="568276BC" w:rsidR="00BD27DA" w:rsidRDefault="00BD27DA" w:rsidP="00BD27DA">
            <w:pPr>
              <w:spacing w:before="0"/>
              <w:jc w:val="center"/>
            </w:pPr>
            <w:r w:rsidRPr="007E210E">
              <w:rPr>
                <w:rFonts w:eastAsia="SimHei" w:cs="Times New Roman"/>
                <w:lang w:eastAsia="en-AU"/>
              </w:rPr>
              <w:t>Moderate</w:t>
            </w:r>
          </w:p>
        </w:tc>
        <w:tc>
          <w:tcPr>
            <w:tcW w:w="3362" w:type="dxa"/>
          </w:tcPr>
          <w:p w14:paraId="79A8B677" w14:textId="56479173" w:rsidR="00BD27DA" w:rsidRDefault="00BD27DA" w:rsidP="00BD27DA">
            <w:pPr>
              <w:spacing w:before="0"/>
              <w:jc w:val="center"/>
            </w:pPr>
            <w:r w:rsidRPr="007E210E">
              <w:rPr>
                <w:rFonts w:eastAsia="SimHei" w:cs="Times New Roman"/>
                <w:lang w:eastAsia="en-AU"/>
              </w:rPr>
              <w:t>High</w:t>
            </w:r>
          </w:p>
        </w:tc>
      </w:tr>
    </w:tbl>
    <w:p w14:paraId="4524C96E" w14:textId="77777777" w:rsidR="00BD27DA" w:rsidRDefault="00BD27DA" w:rsidP="00BD27DA">
      <w:pPr>
        <w:spacing w:before="0"/>
        <w:rPr>
          <w:b/>
          <w:bCs/>
        </w:rPr>
      </w:pPr>
    </w:p>
    <w:p w14:paraId="6C0E0B39" w14:textId="215496AA" w:rsidR="00BD27DA" w:rsidRDefault="00BD27DA" w:rsidP="00BD27DA">
      <w:pPr>
        <w:spacing w:before="0"/>
      </w:pPr>
      <w:r>
        <w:rPr>
          <w:b/>
          <w:bCs/>
        </w:rPr>
        <w:t>D</w:t>
      </w:r>
      <w:r>
        <w:t>ecisions made by consensus at a committee meeting with a 10 of 12 members present.</w:t>
      </w:r>
    </w:p>
    <w:p w14:paraId="7BE214AD" w14:textId="77777777" w:rsidR="00C778C9" w:rsidRDefault="00C778C9" w:rsidP="00AB7E34">
      <w:pPr>
        <w:spacing w:before="0"/>
      </w:pPr>
    </w:p>
    <w:p w14:paraId="41ECEB71" w14:textId="61EBAD47" w:rsidR="002C5C7A" w:rsidRPr="00962F99" w:rsidRDefault="002C5C7A" w:rsidP="00BD6DB5">
      <w:pPr>
        <w:pStyle w:val="Heading5"/>
        <w:shd w:val="clear" w:color="auto" w:fill="005F85" w:themeFill="accent2"/>
        <w:rPr>
          <w:color w:val="FFFFFF" w:themeColor="background1"/>
          <w:sz w:val="22"/>
          <w:szCs w:val="22"/>
        </w:rPr>
      </w:pPr>
      <w:r>
        <w:rPr>
          <w:color w:val="FFFFFF" w:themeColor="background1"/>
          <w:sz w:val="22"/>
          <w:szCs w:val="22"/>
        </w:rPr>
        <w:t>Values</w:t>
      </w:r>
      <w:r w:rsidR="001725E2">
        <w:rPr>
          <w:color w:val="FFFFFF" w:themeColor="background1"/>
          <w:sz w:val="22"/>
          <w:szCs w:val="22"/>
        </w:rPr>
        <w:t xml:space="preserve"> and </w:t>
      </w:r>
      <w:r>
        <w:rPr>
          <w:color w:val="FFFFFF" w:themeColor="background1"/>
          <w:sz w:val="22"/>
          <w:szCs w:val="22"/>
        </w:rPr>
        <w:t xml:space="preserve">preferences (consumers, communities) </w:t>
      </w:r>
    </w:p>
    <w:p w14:paraId="3213E123" w14:textId="4CEF86CE" w:rsidR="00DB4AB1" w:rsidRPr="00F14773" w:rsidRDefault="00DB4AB1" w:rsidP="00DB4AB1">
      <w:pPr>
        <w:spacing w:line="240" w:lineRule="atLeast"/>
        <w:rPr>
          <w:rFonts w:eastAsia="Times New Roman" w:cs="Calibri"/>
          <w:i/>
          <w:iCs/>
          <w:szCs w:val="20"/>
        </w:rPr>
      </w:pPr>
      <w:r w:rsidRPr="00F14773">
        <w:rPr>
          <w:rFonts w:eastAsia="Times New Roman" w:cs="Calibri"/>
          <w:szCs w:val="20"/>
        </w:rPr>
        <w:t xml:space="preserve">No literature search specific to </w:t>
      </w:r>
      <w:r>
        <w:rPr>
          <w:rFonts w:eastAsia="Times New Roman" w:cs="Calibri"/>
          <w:szCs w:val="20"/>
        </w:rPr>
        <w:t xml:space="preserve">vales and preferences </w:t>
      </w:r>
      <w:r w:rsidRPr="00F14773">
        <w:rPr>
          <w:rFonts w:eastAsia="Times New Roman" w:cs="Calibri"/>
          <w:szCs w:val="20"/>
        </w:rPr>
        <w:t xml:space="preserve">was undertaken. </w:t>
      </w:r>
    </w:p>
    <w:p w14:paraId="32EC464B" w14:textId="7A7C918A" w:rsidR="00914B97" w:rsidRDefault="00FB49AE" w:rsidP="00914B97">
      <w:pPr>
        <w:rPr>
          <w:color w:val="000000"/>
          <w:kern w:val="2"/>
          <w:szCs w:val="20"/>
          <w14:ligatures w14:val="standardContextual"/>
        </w:rPr>
      </w:pPr>
      <w:r>
        <w:t xml:space="preserve">As dietary intake is unlikely to result in vitamin B6 </w:t>
      </w:r>
      <w:r w:rsidR="009C08A3">
        <w:t xml:space="preserve">levels high enough to cause </w:t>
      </w:r>
      <w:r>
        <w:t>toxicity</w:t>
      </w:r>
      <w:r w:rsidR="009C08A3">
        <w:t xml:space="preserve">, those most likely to be affected by a change in the UL </w:t>
      </w:r>
      <w:r w:rsidR="00882FB7">
        <w:t>are</w:t>
      </w:r>
      <w:r w:rsidR="009C08A3">
        <w:t xml:space="preserve"> </w:t>
      </w:r>
      <w:r w:rsidR="00535051">
        <w:t xml:space="preserve">consumers of </w:t>
      </w:r>
      <w:r w:rsidR="009C08A3">
        <w:t>supplement</w:t>
      </w:r>
      <w:r w:rsidR="00535051">
        <w:t>s</w:t>
      </w:r>
      <w:r w:rsidR="009C08A3">
        <w:t xml:space="preserve">. </w:t>
      </w:r>
      <w:r w:rsidR="00914B97">
        <w:t>Consumers who use supplements may value choice, access and autonomy, particularly where they perceive vitamin B</w:t>
      </w:r>
      <w:r w:rsidR="002F6E55">
        <w:t>6</w:t>
      </w:r>
      <w:r w:rsidR="00914B97">
        <w:t xml:space="preserve">-containing products </w:t>
      </w:r>
      <w:r w:rsidR="002F6E55">
        <w:t xml:space="preserve">may </w:t>
      </w:r>
      <w:r w:rsidR="00914B97">
        <w:t>support wellbeing, energy, stress, sleep or specific health concerns. However, excess vitamin B</w:t>
      </w:r>
      <w:r w:rsidR="002F6E55">
        <w:t>6</w:t>
      </w:r>
      <w:r w:rsidR="00914B97">
        <w:t xml:space="preserve"> intake is likely to be unintentional for many consumers, as vitamin B</w:t>
      </w:r>
      <w:r w:rsidR="002F6E55">
        <w:t>6</w:t>
      </w:r>
      <w:r w:rsidR="00914B97">
        <w:t xml:space="preserve"> can be present in multiple products, including multivitamins, B-complex products</w:t>
      </w:r>
      <w:r w:rsidR="000064A7">
        <w:t xml:space="preserve">, </w:t>
      </w:r>
      <w:r w:rsidR="00914B97">
        <w:t>magnesium or zinc supplements</w:t>
      </w:r>
      <w:r w:rsidR="000064A7">
        <w:t xml:space="preserve"> and formulated caffeinated beverages</w:t>
      </w:r>
      <w:r w:rsidR="00535051">
        <w:t xml:space="preserve"> </w:t>
      </w:r>
      <w:r w:rsidR="00535051" w:rsidRPr="00535051">
        <w:t>as well as products marketed for stress, sleep, nerve support, immunity, depression, premenstrual symptoms or general wellbeing</w:t>
      </w:r>
      <w:r w:rsidR="00914B97">
        <w:t>. Consumers may not recognise cumulative intake across products or understand that long-term use can increase the risk of peripheral neuropathy.</w:t>
      </w:r>
    </w:p>
    <w:p w14:paraId="4359FF50" w14:textId="634E7428" w:rsidR="00123394" w:rsidRDefault="00914B97" w:rsidP="000E3152">
      <w:r>
        <w:t xml:space="preserve">A lower UL may better align with the values of consumers who prioritise safety and clear risk information, particularly where the health benefit of higher-dose supplementation </w:t>
      </w:r>
      <w:r w:rsidR="00FF6CED">
        <w:t>has not been clearly demonstrated</w:t>
      </w:r>
      <w:r>
        <w:t>. Some consumers may not support reduced access to higher-dose products, especially if they use them for perceived or adv</w:t>
      </w:r>
      <w:r w:rsidR="00245231">
        <w:t>i</w:t>
      </w:r>
      <w:r>
        <w:t>sed benefits. In practice, population intake is likely to be influenced more by regulatory settings, product reformulation, labelling and health professional advice than by individual consumer preference alone.</w:t>
      </w:r>
    </w:p>
    <w:p w14:paraId="396E8751" w14:textId="77777777" w:rsidR="00E025E9" w:rsidRPr="00F65CBE" w:rsidRDefault="00E025E9" w:rsidP="00156FCE">
      <w:pPr>
        <w:pBdr>
          <w:top w:val="single" w:sz="4" w:space="1" w:color="auto"/>
        </w:pBdr>
        <w:shd w:val="clear" w:color="auto" w:fill="DEDDEC" w:themeFill="accent4" w:themeFillTint="33"/>
        <w:rPr>
          <w:color w:val="auto"/>
        </w:rPr>
      </w:pPr>
      <w:r w:rsidRPr="00F65CBE">
        <w:rPr>
          <w:b/>
          <w:bCs/>
          <w:color w:val="005F85" w:themeColor="accent2"/>
        </w:rPr>
        <w:t xml:space="preserve">Additional considerations </w:t>
      </w:r>
      <w:r w:rsidRPr="00F65CBE">
        <w:rPr>
          <w:i/>
          <w:iCs/>
          <w:color w:val="auto"/>
        </w:rPr>
        <w:t>(committee input not captured in the research evidence</w:t>
      </w:r>
      <w:r>
        <w:rPr>
          <w:i/>
          <w:iCs/>
          <w:color w:val="auto"/>
        </w:rPr>
        <w:t>)</w:t>
      </w:r>
    </w:p>
    <w:p w14:paraId="1468B706" w14:textId="77777777" w:rsidR="005C1F42" w:rsidRPr="00F65CBE" w:rsidRDefault="005C1F42" w:rsidP="005C1F42">
      <w:pPr>
        <w:rPr>
          <w:color w:val="auto"/>
        </w:rPr>
      </w:pPr>
      <w:r w:rsidRPr="00F65CBE">
        <w:rPr>
          <w:b/>
          <w:bCs/>
          <w:color w:val="auto"/>
          <w:u w:val="single"/>
        </w:rPr>
        <w:t>Values</w:t>
      </w:r>
    </w:p>
    <w:p w14:paraId="136847AA" w14:textId="77777777" w:rsidR="005C1F42" w:rsidRPr="00F65CBE" w:rsidRDefault="005C1F42" w:rsidP="005C1F42">
      <w:pPr>
        <w:pStyle w:val="ListParagraph"/>
        <w:numPr>
          <w:ilvl w:val="0"/>
          <w:numId w:val="39"/>
        </w:numPr>
        <w:rPr>
          <w:color w:val="auto"/>
        </w:rPr>
      </w:pPr>
      <w:r w:rsidRPr="00F65CBE">
        <w:rPr>
          <w:color w:val="auto"/>
        </w:rPr>
        <w:lastRenderedPageBreak/>
        <w:t>committee considered that it is unlikely that anyone would not place any value on being protected from adverse effects from excess intake/people care about not experiencing toxicity</w:t>
      </w:r>
    </w:p>
    <w:p w14:paraId="2291EDF8" w14:textId="77777777" w:rsidR="005C1F42" w:rsidRPr="00F65CBE" w:rsidRDefault="005C1F42" w:rsidP="005C1F42">
      <w:pPr>
        <w:pStyle w:val="ListParagraph"/>
        <w:numPr>
          <w:ilvl w:val="0"/>
          <w:numId w:val="39"/>
        </w:numPr>
        <w:rPr>
          <w:color w:val="auto"/>
        </w:rPr>
      </w:pPr>
      <w:r w:rsidRPr="00F65CBE">
        <w:rPr>
          <w:color w:val="auto"/>
        </w:rPr>
        <w:t>GP experience brings lived-experience evidence that patients suffering toxic effects of excess vitamin B6 wish they had known more about the effects or that there were better safety measures in place</w:t>
      </w:r>
    </w:p>
    <w:p w14:paraId="5363192F" w14:textId="77777777" w:rsidR="005C1F42" w:rsidRPr="00F65CBE" w:rsidRDefault="005C1F42" w:rsidP="005C1F42">
      <w:pPr>
        <w:pStyle w:val="ListParagraph"/>
        <w:numPr>
          <w:ilvl w:val="0"/>
          <w:numId w:val="39"/>
        </w:numPr>
        <w:rPr>
          <w:color w:val="auto"/>
        </w:rPr>
      </w:pPr>
      <w:r w:rsidRPr="00F65CBE">
        <w:rPr>
          <w:color w:val="auto"/>
        </w:rPr>
        <w:t>A lower UL would give a greater safety margin, where greater effort would be needed to exceed to UL making it less likely to be exceeded by mistake</w:t>
      </w:r>
    </w:p>
    <w:p w14:paraId="7EA61039" w14:textId="77777777" w:rsidR="005C1F42" w:rsidRPr="00F65CBE" w:rsidRDefault="005C1F42" w:rsidP="005C1F42">
      <w:pPr>
        <w:pStyle w:val="ListParagraph"/>
        <w:numPr>
          <w:ilvl w:val="0"/>
          <w:numId w:val="39"/>
        </w:numPr>
        <w:rPr>
          <w:color w:val="auto"/>
        </w:rPr>
      </w:pPr>
      <w:r w:rsidRPr="00F65CBE">
        <w:rPr>
          <w:color w:val="auto"/>
        </w:rPr>
        <w:t>People taking high levels of vitamin B6 who are not experiencing adverse health effects might not value a decreased UL</w:t>
      </w:r>
    </w:p>
    <w:p w14:paraId="43C95DE8" w14:textId="77777777" w:rsidR="005C1F42" w:rsidRPr="00F65CBE" w:rsidRDefault="005C1F42" w:rsidP="005C1F42">
      <w:pPr>
        <w:rPr>
          <w:b/>
          <w:bCs/>
          <w:color w:val="auto"/>
          <w:u w:val="single"/>
        </w:rPr>
      </w:pPr>
      <w:r w:rsidRPr="00F65CBE">
        <w:rPr>
          <w:b/>
          <w:bCs/>
          <w:color w:val="auto"/>
          <w:u w:val="single"/>
        </w:rPr>
        <w:t>Preferences</w:t>
      </w:r>
    </w:p>
    <w:p w14:paraId="1F246938" w14:textId="617F119B" w:rsidR="005C1F42" w:rsidRPr="00F65CBE" w:rsidRDefault="005C1F42" w:rsidP="005C1F42">
      <w:pPr>
        <w:pStyle w:val="ListParagraph"/>
        <w:numPr>
          <w:ilvl w:val="0"/>
          <w:numId w:val="37"/>
        </w:numPr>
        <w:rPr>
          <w:color w:val="auto"/>
        </w:rPr>
      </w:pPr>
      <w:r w:rsidRPr="00F65CBE">
        <w:rPr>
          <w:color w:val="auto"/>
        </w:rPr>
        <w:t xml:space="preserve">From a health perspective, </w:t>
      </w:r>
      <w:r w:rsidR="00C76623" w:rsidRPr="00C76623">
        <w:rPr>
          <w:color w:val="auto"/>
        </w:rPr>
        <w:t xml:space="preserve">any impacts of a lower UL </w:t>
      </w:r>
      <w:r w:rsidRPr="00F65CBE">
        <w:rPr>
          <w:color w:val="auto"/>
        </w:rPr>
        <w:t>it should only impact the high consumers of vitamin B6</w:t>
      </w:r>
    </w:p>
    <w:p w14:paraId="52E55E50" w14:textId="3DBADB09" w:rsidR="005C1F42" w:rsidRPr="00F65CBE" w:rsidRDefault="005C1F42" w:rsidP="005C1F42">
      <w:pPr>
        <w:pStyle w:val="ListParagraph"/>
        <w:numPr>
          <w:ilvl w:val="0"/>
          <w:numId w:val="37"/>
        </w:numPr>
        <w:rPr>
          <w:color w:val="auto"/>
        </w:rPr>
      </w:pPr>
      <w:r w:rsidRPr="00F65CBE">
        <w:rPr>
          <w:color w:val="auto"/>
        </w:rPr>
        <w:t xml:space="preserve">Industry/key interest-holders </w:t>
      </w:r>
      <w:r w:rsidR="00962DCA">
        <w:rPr>
          <w:color w:val="auto"/>
        </w:rPr>
        <w:t>may</w:t>
      </w:r>
      <w:r w:rsidRPr="00F65CBE">
        <w:rPr>
          <w:color w:val="auto"/>
        </w:rPr>
        <w:t xml:space="preserve"> be impacted </w:t>
      </w:r>
      <w:r w:rsidR="00962DCA">
        <w:rPr>
          <w:color w:val="auto"/>
        </w:rPr>
        <w:t xml:space="preserve">if FSANZ or TGA consider changes to regulatory levels of vitamin B6, which could result in </w:t>
      </w:r>
      <w:r w:rsidR="00DE5B56">
        <w:rPr>
          <w:color w:val="auto"/>
        </w:rPr>
        <w:t xml:space="preserve">regulatory costs associated with </w:t>
      </w:r>
      <w:r w:rsidR="00962DCA">
        <w:rPr>
          <w:color w:val="auto"/>
        </w:rPr>
        <w:t xml:space="preserve">requirements for </w:t>
      </w:r>
      <w:r w:rsidR="0058548B">
        <w:rPr>
          <w:color w:val="auto"/>
        </w:rPr>
        <w:t xml:space="preserve">registration/reformulation/relabelling </w:t>
      </w:r>
      <w:r w:rsidR="00962DCA">
        <w:rPr>
          <w:color w:val="auto"/>
        </w:rPr>
        <w:t xml:space="preserve"> </w:t>
      </w:r>
    </w:p>
    <w:p w14:paraId="1BCA14F7" w14:textId="3BD8DDDA" w:rsidR="00E025E9" w:rsidRPr="00A61A81" w:rsidRDefault="005C1F42" w:rsidP="00A61A81">
      <w:pPr>
        <w:pStyle w:val="ListParagraph"/>
        <w:numPr>
          <w:ilvl w:val="0"/>
          <w:numId w:val="37"/>
        </w:numPr>
        <w:rPr>
          <w:color w:val="auto"/>
        </w:rPr>
      </w:pPr>
      <w:r w:rsidRPr="00F65CBE">
        <w:rPr>
          <w:color w:val="auto"/>
        </w:rPr>
        <w:t>Although impacts to industry may be significant, the remit of NHMRC is to produce guidelines to improve the health of the general population.</w:t>
      </w:r>
      <w:r>
        <w:rPr>
          <w:color w:val="auto"/>
        </w:rPr>
        <w:t xml:space="preserve"> While impact to industry was considered, decisions were made </w:t>
      </w:r>
      <w:proofErr w:type="gramStart"/>
      <w:r>
        <w:rPr>
          <w:color w:val="auto"/>
        </w:rPr>
        <w:t>on the basis of</w:t>
      </w:r>
      <w:proofErr w:type="gramEnd"/>
      <w:r>
        <w:rPr>
          <w:color w:val="auto"/>
        </w:rPr>
        <w:t xml:space="preserve"> population health. </w:t>
      </w:r>
      <w:r w:rsidRPr="00F65CBE">
        <w:rPr>
          <w:color w:val="auto"/>
        </w:rPr>
        <w:t xml:space="preserve"> </w:t>
      </w:r>
    </w:p>
    <w:p w14:paraId="28DD32EE" w14:textId="77777777" w:rsidR="00E025E9" w:rsidRDefault="00E025E9" w:rsidP="000E3152"/>
    <w:p w14:paraId="429D4A59" w14:textId="10A1715B" w:rsidR="0007519B" w:rsidRDefault="0007519B" w:rsidP="00156FCE">
      <w:pPr>
        <w:shd w:val="clear" w:color="auto" w:fill="D8ECEA" w:themeFill="accent3" w:themeFillTint="66"/>
        <w:rPr>
          <w:color w:val="auto"/>
        </w:rPr>
      </w:pPr>
      <w:r w:rsidRPr="00156FCE">
        <w:rPr>
          <w:b/>
          <w:bCs/>
          <w:color w:val="00596A" w:themeColor="accent6" w:themeTint="E6"/>
          <w:shd w:val="clear" w:color="auto" w:fill="D8ECEA" w:themeFill="accent3" w:themeFillTint="66"/>
        </w:rPr>
        <w:t xml:space="preserve">Judgement </w:t>
      </w:r>
      <w:r w:rsidR="00E025E9" w:rsidRPr="00156FCE">
        <w:rPr>
          <w:b/>
          <w:bCs/>
          <w:color w:val="00596A" w:themeColor="accent6" w:themeTint="E6"/>
          <w:shd w:val="clear" w:color="auto" w:fill="D8ECEA" w:themeFill="accent3" w:themeFillTint="66"/>
        </w:rPr>
        <w:t xml:space="preserve">- </w:t>
      </w:r>
      <w:r w:rsidRPr="00EE0CB7">
        <w:rPr>
          <w:b/>
          <w:bCs/>
          <w:color w:val="auto"/>
          <w:shd w:val="clear" w:color="auto" w:fill="D8ECEA" w:themeFill="accent3" w:themeFillTint="66"/>
        </w:rPr>
        <w:t>Values</w:t>
      </w:r>
      <w:r w:rsidRPr="00EE0CB7">
        <w:rPr>
          <w:b/>
          <w:bCs/>
          <w:color w:val="auto"/>
        </w:rPr>
        <w:t xml:space="preserve">: is there important variability in how people value the main </w:t>
      </w:r>
      <w:r w:rsidR="00520B3C" w:rsidRPr="00EE0CB7">
        <w:rPr>
          <w:b/>
          <w:bCs/>
          <w:color w:val="auto"/>
        </w:rPr>
        <w:t>health outcomes</w:t>
      </w:r>
      <w:r w:rsidRPr="00EE0CB7">
        <w:rPr>
          <w:b/>
          <w:bCs/>
          <w:color w:val="auto"/>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3308"/>
        <w:gridCol w:w="3308"/>
        <w:gridCol w:w="3309"/>
      </w:tblGrid>
      <w:tr w:rsidR="0007519B" w14:paraId="5E68A3C6" w14:textId="77777777">
        <w:tc>
          <w:tcPr>
            <w:tcW w:w="3308" w:type="dxa"/>
            <w:vAlign w:val="center"/>
          </w:tcPr>
          <w:p w14:paraId="273A11CC" w14:textId="77777777" w:rsidR="0007519B" w:rsidRPr="00E42922" w:rsidRDefault="0007519B">
            <w:pPr>
              <w:spacing w:before="60" w:line="240" w:lineRule="auto"/>
              <w:jc w:val="center"/>
              <w:rPr>
                <w:color w:val="auto"/>
              </w:rPr>
            </w:pPr>
            <w:r w:rsidRPr="00E42922">
              <w:rPr>
                <w:color w:val="auto"/>
              </w:rPr>
              <w:t>Few people will value the main outcomes</w:t>
            </w:r>
          </w:p>
        </w:tc>
        <w:tc>
          <w:tcPr>
            <w:tcW w:w="3308" w:type="dxa"/>
            <w:vAlign w:val="center"/>
          </w:tcPr>
          <w:p w14:paraId="79C9944D" w14:textId="77777777" w:rsidR="0007519B" w:rsidRPr="00E42922" w:rsidRDefault="0007519B">
            <w:pPr>
              <w:spacing w:before="60" w:line="240" w:lineRule="auto"/>
              <w:jc w:val="center"/>
              <w:rPr>
                <w:color w:val="auto"/>
              </w:rPr>
            </w:pPr>
            <w:r w:rsidRPr="00E42922">
              <w:rPr>
                <w:color w:val="auto"/>
              </w:rPr>
              <w:t>Most people will value the main outcomes</w:t>
            </w:r>
          </w:p>
        </w:tc>
        <w:tc>
          <w:tcPr>
            <w:tcW w:w="3308" w:type="dxa"/>
            <w:shd w:val="clear" w:color="auto" w:fill="C5E3DF" w:themeFill="accent3" w:themeFillTint="99"/>
            <w:vAlign w:val="center"/>
          </w:tcPr>
          <w:p w14:paraId="454B3BF8" w14:textId="4FFD7098" w:rsidR="0007519B" w:rsidRPr="00E42922" w:rsidRDefault="0007519B">
            <w:pPr>
              <w:spacing w:before="60" w:line="240" w:lineRule="auto"/>
              <w:jc w:val="center"/>
              <w:rPr>
                <w:color w:val="auto"/>
              </w:rPr>
            </w:pPr>
            <w:r w:rsidRPr="00E42922">
              <w:rPr>
                <w:rFonts w:ascii="Cambria Math" w:hAnsi="Cambria Math" w:cs="Cambria Math"/>
                <w:color w:val="auto"/>
              </w:rPr>
              <w:t> </w:t>
            </w:r>
            <w:r w:rsidRPr="00E42922">
              <w:rPr>
                <w:color w:val="auto"/>
              </w:rPr>
              <w:t>Almost everyone</w:t>
            </w:r>
            <w:r w:rsidRPr="00E42922">
              <w:rPr>
                <w:rFonts w:cs="Gotham Book"/>
                <w:color w:val="auto"/>
              </w:rPr>
              <w:t> </w:t>
            </w:r>
            <w:r w:rsidRPr="00E42922">
              <w:rPr>
                <w:color w:val="auto"/>
              </w:rPr>
              <w:t>will value the main outcomes</w:t>
            </w:r>
            <w:r w:rsidR="00512D0A">
              <w:rPr>
                <w:color w:val="auto"/>
              </w:rPr>
              <w:t xml:space="preserve"> </w:t>
            </w:r>
            <w:r w:rsidR="00512D0A" w:rsidRPr="00EE0CB7">
              <w:rPr>
                <w:rFonts w:eastAsia="SimHei" w:cs="Times New Roman"/>
                <w:b/>
                <w:bCs/>
                <w:lang w:eastAsia="en-AU"/>
              </w:rPr>
              <w:sym w:font="Wingdings" w:char="F0FC"/>
            </w:r>
          </w:p>
        </w:tc>
        <w:tc>
          <w:tcPr>
            <w:tcW w:w="3309" w:type="dxa"/>
            <w:vAlign w:val="center"/>
          </w:tcPr>
          <w:p w14:paraId="72486571" w14:textId="77777777" w:rsidR="0007519B" w:rsidRPr="00E42922" w:rsidRDefault="0007519B">
            <w:pPr>
              <w:spacing w:before="60" w:line="240" w:lineRule="auto"/>
              <w:jc w:val="center"/>
              <w:rPr>
                <w:color w:val="auto"/>
              </w:rPr>
            </w:pPr>
            <w:r w:rsidRPr="00E42922">
              <w:rPr>
                <w:color w:val="auto"/>
              </w:rPr>
              <w:t>Everyone will value the main outcomes</w:t>
            </w:r>
          </w:p>
        </w:tc>
      </w:tr>
    </w:tbl>
    <w:p w14:paraId="104C1372" w14:textId="2EDB929B" w:rsidR="005C1F42" w:rsidRDefault="00520B3C" w:rsidP="001C6825">
      <w:pPr>
        <w:spacing w:before="0"/>
      </w:pPr>
      <w:r>
        <w:rPr>
          <w:b/>
          <w:bCs/>
        </w:rPr>
        <w:t>D</w:t>
      </w:r>
      <w:r w:rsidR="005C1F42">
        <w:t>ecision was made by consensus at a committee meeting with 10 of 12 members present.</w:t>
      </w:r>
    </w:p>
    <w:p w14:paraId="06CD4DBE" w14:textId="7C1B3EBF" w:rsidR="00D872F0" w:rsidRDefault="00D872F0" w:rsidP="001C6825">
      <w:pPr>
        <w:spacing w:before="0"/>
      </w:pPr>
      <w:r w:rsidRPr="00E42922">
        <w:rPr>
          <w:rFonts w:ascii="Cambria Math" w:hAnsi="Cambria Math" w:cs="Cambria Math"/>
          <w:color w:val="auto"/>
        </w:rPr>
        <w:t> </w:t>
      </w:r>
      <w:r w:rsidRPr="00E42922">
        <w:rPr>
          <w:color w:val="auto"/>
        </w:rPr>
        <w:t>Almost everyone</w:t>
      </w:r>
      <w:r w:rsidRPr="00E42922">
        <w:rPr>
          <w:rFonts w:cs="Gotham Book"/>
          <w:color w:val="auto"/>
        </w:rPr>
        <w:t> </w:t>
      </w:r>
      <w:r w:rsidRPr="00E42922">
        <w:rPr>
          <w:color w:val="auto"/>
        </w:rPr>
        <w:t>will value</w:t>
      </w:r>
      <w:r w:rsidR="006E447B">
        <w:rPr>
          <w:color w:val="auto"/>
        </w:rPr>
        <w:t xml:space="preserve"> health outcomes from reducing the UL for vitamin B6</w:t>
      </w:r>
    </w:p>
    <w:p w14:paraId="0B7DFCCD" w14:textId="77777777" w:rsidR="005C1F42" w:rsidRDefault="005C1F42" w:rsidP="00E652A2">
      <w:pPr>
        <w:spacing w:before="0"/>
        <w:rPr>
          <w:b/>
          <w:bCs/>
          <w:color w:val="FFFFFF" w:themeColor="background1"/>
          <w:shd w:val="clear" w:color="auto" w:fill="005F85" w:themeFill="accent2"/>
        </w:rPr>
      </w:pPr>
    </w:p>
    <w:p w14:paraId="26335724" w14:textId="5F28EE15" w:rsidR="005C1F42" w:rsidRPr="00EE0CB7" w:rsidRDefault="005C1F42" w:rsidP="00156FCE">
      <w:pPr>
        <w:shd w:val="clear" w:color="auto" w:fill="D8ECEA" w:themeFill="accent3" w:themeFillTint="66"/>
        <w:rPr>
          <w:b/>
          <w:bCs/>
          <w:color w:val="auto"/>
        </w:rPr>
      </w:pPr>
      <w:r w:rsidRPr="00156FCE">
        <w:rPr>
          <w:b/>
          <w:bCs/>
          <w:color w:val="00596A" w:themeColor="accent6" w:themeTint="E6"/>
          <w:shd w:val="clear" w:color="auto" w:fill="D8ECEA" w:themeFill="accent3" w:themeFillTint="66"/>
        </w:rPr>
        <w:t xml:space="preserve">Judgement - </w:t>
      </w:r>
      <w:r w:rsidRPr="00EE0CB7">
        <w:rPr>
          <w:b/>
          <w:bCs/>
          <w:color w:val="auto"/>
          <w:shd w:val="clear" w:color="auto" w:fill="D8ECEA" w:themeFill="accent3" w:themeFillTint="66"/>
        </w:rPr>
        <w:t>Preferences</w:t>
      </w:r>
      <w:r w:rsidRPr="00EE0CB7">
        <w:rPr>
          <w:b/>
          <w:bCs/>
          <w:color w:val="auto"/>
        </w:rPr>
        <w:t>: Is the option acceptable to key interest-holders?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350"/>
        <w:gridCol w:w="2350"/>
        <w:gridCol w:w="1998"/>
        <w:gridCol w:w="2121"/>
        <w:gridCol w:w="2298"/>
      </w:tblGrid>
      <w:tr w:rsidR="005C1F42" w14:paraId="44F75AA6" w14:textId="77777777">
        <w:tc>
          <w:tcPr>
            <w:tcW w:w="2106" w:type="dxa"/>
            <w:vAlign w:val="center"/>
          </w:tcPr>
          <w:p w14:paraId="1AA2BFD8" w14:textId="77777777" w:rsidR="005C1F42" w:rsidRPr="00991330" w:rsidRDefault="005C1F42">
            <w:pPr>
              <w:spacing w:before="60" w:line="240" w:lineRule="auto"/>
              <w:jc w:val="center"/>
              <w:rPr>
                <w:color w:val="auto"/>
              </w:rPr>
            </w:pPr>
            <w:r w:rsidRPr="00991330">
              <w:rPr>
                <w:color w:val="auto"/>
              </w:rPr>
              <w:t>No</w:t>
            </w:r>
          </w:p>
        </w:tc>
        <w:tc>
          <w:tcPr>
            <w:tcW w:w="2350" w:type="dxa"/>
            <w:vAlign w:val="center"/>
          </w:tcPr>
          <w:p w14:paraId="70A68B0C" w14:textId="77777777" w:rsidR="005C1F42" w:rsidRPr="00991330" w:rsidRDefault="005C1F42">
            <w:pPr>
              <w:spacing w:before="60" w:line="240" w:lineRule="auto"/>
              <w:jc w:val="center"/>
              <w:rPr>
                <w:color w:val="auto"/>
              </w:rPr>
            </w:pPr>
            <w:r>
              <w:rPr>
                <w:color w:val="auto"/>
              </w:rPr>
              <w:t>P</w:t>
            </w:r>
            <w:r w:rsidRPr="00991330">
              <w:rPr>
                <w:color w:val="auto"/>
              </w:rPr>
              <w:t>robably no</w:t>
            </w:r>
          </w:p>
        </w:tc>
        <w:tc>
          <w:tcPr>
            <w:tcW w:w="2350" w:type="dxa"/>
            <w:vAlign w:val="center"/>
          </w:tcPr>
          <w:p w14:paraId="4031336F" w14:textId="77777777" w:rsidR="005C1F42" w:rsidRPr="00991330" w:rsidRDefault="005C1F42">
            <w:pPr>
              <w:spacing w:before="60" w:line="240" w:lineRule="auto"/>
              <w:jc w:val="center"/>
              <w:rPr>
                <w:color w:val="auto"/>
              </w:rPr>
            </w:pPr>
            <w:r>
              <w:rPr>
                <w:color w:val="auto"/>
              </w:rPr>
              <w:t>P</w:t>
            </w:r>
            <w:r w:rsidRPr="00991330">
              <w:rPr>
                <w:color w:val="auto"/>
              </w:rPr>
              <w:t>robably yes</w:t>
            </w:r>
          </w:p>
        </w:tc>
        <w:tc>
          <w:tcPr>
            <w:tcW w:w="1998" w:type="dxa"/>
            <w:shd w:val="clear" w:color="auto" w:fill="C5E3DF" w:themeFill="accent3" w:themeFillTint="99"/>
          </w:tcPr>
          <w:p w14:paraId="3A8F0EB4" w14:textId="5DBBFBB9" w:rsidR="005C1F42" w:rsidRPr="00991330" w:rsidRDefault="005C1F42">
            <w:pPr>
              <w:spacing w:before="60" w:line="240" w:lineRule="auto"/>
              <w:jc w:val="center"/>
              <w:rPr>
                <w:color w:val="auto"/>
              </w:rPr>
            </w:pPr>
            <w:r>
              <w:rPr>
                <w:color w:val="auto"/>
              </w:rPr>
              <w:t>Yes</w:t>
            </w:r>
            <w:r w:rsidR="00512D0A">
              <w:rPr>
                <w:color w:val="auto"/>
              </w:rPr>
              <w:t xml:space="preserve"> </w:t>
            </w:r>
            <w:r w:rsidR="00512D0A" w:rsidRPr="00EE0CB7">
              <w:rPr>
                <w:rFonts w:eastAsia="SimHei" w:cs="Times New Roman"/>
                <w:b/>
                <w:bCs/>
                <w:lang w:eastAsia="en-AU"/>
              </w:rPr>
              <w:sym w:font="Wingdings" w:char="F0FC"/>
            </w:r>
          </w:p>
        </w:tc>
        <w:tc>
          <w:tcPr>
            <w:tcW w:w="2121" w:type="dxa"/>
            <w:shd w:val="clear" w:color="auto" w:fill="C5E3DF" w:themeFill="accent3" w:themeFillTint="99"/>
          </w:tcPr>
          <w:p w14:paraId="1D33E004" w14:textId="58D12DB9" w:rsidR="005C1F42" w:rsidRPr="00991330" w:rsidRDefault="005C1F42">
            <w:pPr>
              <w:spacing w:before="60" w:line="240" w:lineRule="auto"/>
              <w:jc w:val="center"/>
              <w:rPr>
                <w:color w:val="auto"/>
              </w:rPr>
            </w:pPr>
            <w:r w:rsidRPr="00991330">
              <w:rPr>
                <w:color w:val="auto"/>
              </w:rPr>
              <w:t>Varies</w:t>
            </w:r>
            <w:r w:rsidR="00512D0A">
              <w:rPr>
                <w:color w:val="auto"/>
              </w:rPr>
              <w:t xml:space="preserve"> </w:t>
            </w:r>
            <w:r w:rsidR="00512D0A" w:rsidRPr="00EE0CB7">
              <w:rPr>
                <w:rFonts w:eastAsia="SimHei" w:cs="Times New Roman"/>
                <w:b/>
                <w:bCs/>
                <w:lang w:eastAsia="en-AU"/>
              </w:rPr>
              <w:sym w:font="Wingdings" w:char="F0FC"/>
            </w:r>
          </w:p>
        </w:tc>
        <w:tc>
          <w:tcPr>
            <w:tcW w:w="2298" w:type="dxa"/>
            <w:vAlign w:val="center"/>
          </w:tcPr>
          <w:p w14:paraId="6A25BE03" w14:textId="77777777" w:rsidR="005C1F42" w:rsidRPr="00991330" w:rsidRDefault="005C1F42">
            <w:pPr>
              <w:spacing w:before="60" w:line="240" w:lineRule="auto"/>
              <w:jc w:val="center"/>
              <w:rPr>
                <w:color w:val="auto"/>
              </w:rPr>
            </w:pPr>
            <w:r>
              <w:rPr>
                <w:color w:val="auto"/>
              </w:rPr>
              <w:t>D</w:t>
            </w:r>
            <w:r w:rsidRPr="00991330">
              <w:rPr>
                <w:color w:val="auto"/>
              </w:rPr>
              <w:t>on’t know</w:t>
            </w:r>
          </w:p>
        </w:tc>
      </w:tr>
    </w:tbl>
    <w:p w14:paraId="64E76C15" w14:textId="694814E8" w:rsidR="009C501F" w:rsidRPr="001D5547" w:rsidRDefault="00520B3C" w:rsidP="00E652A2">
      <w:pPr>
        <w:spacing w:before="0" w:after="0"/>
        <w:rPr>
          <w:i/>
          <w:iCs/>
          <w:color w:val="auto"/>
          <w:sz w:val="18"/>
          <w:szCs w:val="16"/>
        </w:rPr>
      </w:pPr>
      <w:r>
        <w:rPr>
          <w:b/>
          <w:bCs/>
          <w:color w:val="auto"/>
          <w:sz w:val="18"/>
          <w:szCs w:val="16"/>
        </w:rPr>
        <w:t>D</w:t>
      </w:r>
      <w:r w:rsidR="009C501F">
        <w:t>ecision was made by consensus at a committee meeting with 10 of 12 members present.</w:t>
      </w:r>
    </w:p>
    <w:p w14:paraId="5C2A65A5" w14:textId="77777777" w:rsidR="00E652A2" w:rsidRDefault="00E652A2" w:rsidP="00E652A2">
      <w:pPr>
        <w:spacing w:before="0"/>
        <w:rPr>
          <w:rFonts w:eastAsia="SimHei"/>
          <w:color w:val="auto"/>
        </w:rPr>
      </w:pPr>
    </w:p>
    <w:p w14:paraId="220946CB" w14:textId="618A56B0" w:rsidR="00AD6D68" w:rsidRDefault="00B13E15" w:rsidP="0081165A">
      <w:pPr>
        <w:spacing w:before="0"/>
        <w:rPr>
          <w:rFonts w:eastAsia="SimHei"/>
          <w:color w:val="auto"/>
        </w:rPr>
      </w:pPr>
      <w:r w:rsidRPr="00E652A2">
        <w:rPr>
          <w:rFonts w:eastAsia="SimHei"/>
          <w:color w:val="auto"/>
        </w:rPr>
        <w:t>Overall</w:t>
      </w:r>
      <w:r w:rsidR="00E652A2">
        <w:rPr>
          <w:rFonts w:eastAsia="SimHei"/>
          <w:color w:val="auto"/>
        </w:rPr>
        <w:t>,</w:t>
      </w:r>
      <w:r w:rsidRPr="00E652A2">
        <w:rPr>
          <w:rFonts w:eastAsia="SimHei"/>
          <w:color w:val="auto"/>
        </w:rPr>
        <w:t xml:space="preserve"> the</w:t>
      </w:r>
      <w:r w:rsidR="00075E60" w:rsidRPr="00E652A2">
        <w:rPr>
          <w:rFonts w:eastAsia="SimHei"/>
          <w:color w:val="auto"/>
        </w:rPr>
        <w:t xml:space="preserve"> consensus </w:t>
      </w:r>
      <w:r w:rsidRPr="00E652A2">
        <w:rPr>
          <w:rFonts w:eastAsia="SimHei"/>
          <w:color w:val="auto"/>
        </w:rPr>
        <w:t xml:space="preserve">judgement </w:t>
      </w:r>
      <w:r w:rsidR="00706CBF" w:rsidRPr="00E652A2">
        <w:rPr>
          <w:rFonts w:eastAsia="SimHei"/>
          <w:color w:val="auto"/>
        </w:rPr>
        <w:t>wa</w:t>
      </w:r>
      <w:r w:rsidRPr="00E652A2">
        <w:rPr>
          <w:rFonts w:eastAsia="SimHei"/>
          <w:color w:val="auto"/>
        </w:rPr>
        <w:t xml:space="preserve">s </w:t>
      </w:r>
      <w:r w:rsidR="0027747B">
        <w:rPr>
          <w:rFonts w:eastAsia="SimHei"/>
          <w:color w:val="auto"/>
        </w:rPr>
        <w:t xml:space="preserve">that acceptability </w:t>
      </w:r>
      <w:r w:rsidR="00192DD9">
        <w:rPr>
          <w:rFonts w:eastAsia="SimHei"/>
          <w:color w:val="auto"/>
        </w:rPr>
        <w:t xml:space="preserve">of reducing UL for vitamin B6 </w:t>
      </w:r>
      <w:r w:rsidR="0027747B">
        <w:rPr>
          <w:rFonts w:eastAsia="SimHei"/>
          <w:color w:val="auto"/>
        </w:rPr>
        <w:t xml:space="preserve">will </w:t>
      </w:r>
      <w:r w:rsidRPr="00E652A2">
        <w:rPr>
          <w:rFonts w:eastAsia="SimHei"/>
          <w:color w:val="auto"/>
        </w:rPr>
        <w:t>v</w:t>
      </w:r>
      <w:r w:rsidR="0027747B">
        <w:rPr>
          <w:rFonts w:eastAsia="SimHei"/>
          <w:color w:val="auto"/>
        </w:rPr>
        <w:t>ary</w:t>
      </w:r>
      <w:r w:rsidR="0081165A">
        <w:rPr>
          <w:rFonts w:eastAsia="SimHei"/>
          <w:color w:val="auto"/>
        </w:rPr>
        <w:t xml:space="preserve">. </w:t>
      </w:r>
    </w:p>
    <w:p w14:paraId="47127BEF" w14:textId="132C7F6C" w:rsidR="00600AA1" w:rsidRDefault="00AD6D68" w:rsidP="00AD6D68">
      <w:pPr>
        <w:spacing w:before="0"/>
        <w:rPr>
          <w:rFonts w:eastAsia="SimHei"/>
          <w:color w:val="auto"/>
        </w:rPr>
      </w:pPr>
      <w:r>
        <w:rPr>
          <w:rFonts w:eastAsia="SimHei"/>
          <w:color w:val="auto"/>
        </w:rPr>
        <w:t xml:space="preserve">The general population is considered find </w:t>
      </w:r>
      <w:r w:rsidR="00600AA1">
        <w:rPr>
          <w:rFonts w:eastAsia="SimHei"/>
          <w:color w:val="auto"/>
        </w:rPr>
        <w:t xml:space="preserve">the reduced UL </w:t>
      </w:r>
      <w:r>
        <w:rPr>
          <w:rFonts w:eastAsia="SimHei"/>
          <w:color w:val="auto"/>
        </w:rPr>
        <w:t>acceptable</w:t>
      </w:r>
      <w:r w:rsidR="00E652A2">
        <w:rPr>
          <w:rFonts w:eastAsia="SimHei"/>
          <w:color w:val="auto"/>
        </w:rPr>
        <w:t>.</w:t>
      </w:r>
      <w:r>
        <w:rPr>
          <w:rFonts w:eastAsia="SimHei"/>
          <w:color w:val="auto"/>
        </w:rPr>
        <w:t xml:space="preserve"> </w:t>
      </w:r>
    </w:p>
    <w:p w14:paraId="3D316537" w14:textId="6E545718" w:rsidR="0007519B" w:rsidRPr="00E652A2" w:rsidRDefault="00B727B9" w:rsidP="00AD6D68">
      <w:pPr>
        <w:spacing w:before="0"/>
        <w:rPr>
          <w:i/>
          <w:iCs/>
          <w:color w:val="auto"/>
          <w:sz w:val="18"/>
          <w:szCs w:val="16"/>
        </w:rPr>
      </w:pPr>
      <w:r w:rsidRPr="00E652A2">
        <w:rPr>
          <w:rFonts w:eastAsia="SimHei"/>
          <w:color w:val="auto"/>
        </w:rPr>
        <w:t xml:space="preserve">The </w:t>
      </w:r>
      <w:r w:rsidR="00B13E15" w:rsidRPr="00E652A2">
        <w:rPr>
          <w:rFonts w:eastAsia="SimHei"/>
          <w:color w:val="auto"/>
        </w:rPr>
        <w:t xml:space="preserve">people </w:t>
      </w:r>
      <w:r w:rsidRPr="00E652A2">
        <w:rPr>
          <w:rFonts w:eastAsia="SimHei"/>
          <w:color w:val="auto"/>
        </w:rPr>
        <w:t>likely to find the reduced UL</w:t>
      </w:r>
      <w:r w:rsidR="001C5EFF">
        <w:rPr>
          <w:rFonts w:eastAsia="SimHei"/>
          <w:color w:val="auto"/>
        </w:rPr>
        <w:t xml:space="preserve"> </w:t>
      </w:r>
      <w:r w:rsidR="00600AA1">
        <w:rPr>
          <w:rFonts w:eastAsia="SimHei"/>
          <w:color w:val="auto"/>
        </w:rPr>
        <w:t>unacceptable</w:t>
      </w:r>
      <w:r w:rsidR="001C5EFF">
        <w:rPr>
          <w:rFonts w:eastAsia="SimHei"/>
          <w:color w:val="auto"/>
        </w:rPr>
        <w:t xml:space="preserve"> </w:t>
      </w:r>
      <w:r w:rsidRPr="00E652A2">
        <w:rPr>
          <w:rFonts w:eastAsia="SimHei"/>
          <w:color w:val="auto"/>
        </w:rPr>
        <w:t xml:space="preserve">are </w:t>
      </w:r>
      <w:r w:rsidR="00B13E15" w:rsidRPr="00E652A2">
        <w:rPr>
          <w:rFonts w:eastAsia="SimHei"/>
          <w:color w:val="auto"/>
        </w:rPr>
        <w:t xml:space="preserve">people taking high doses </w:t>
      </w:r>
      <w:r w:rsidRPr="00E652A2">
        <w:rPr>
          <w:rFonts w:eastAsia="SimHei"/>
          <w:color w:val="auto"/>
        </w:rPr>
        <w:t xml:space="preserve">of vitamin B6 </w:t>
      </w:r>
      <w:r w:rsidR="00B13E15" w:rsidRPr="00E652A2">
        <w:rPr>
          <w:rFonts w:eastAsia="SimHei"/>
          <w:color w:val="auto"/>
        </w:rPr>
        <w:t>who have not yet had any ill effects</w:t>
      </w:r>
      <w:r w:rsidR="00600AA1">
        <w:rPr>
          <w:rFonts w:eastAsia="SimHei"/>
          <w:color w:val="auto"/>
        </w:rPr>
        <w:t xml:space="preserve"> or those with commercial interests in vitamin B6</w:t>
      </w:r>
      <w:r w:rsidR="00152995">
        <w:rPr>
          <w:rFonts w:eastAsia="SimHei"/>
          <w:color w:val="auto"/>
        </w:rPr>
        <w:t xml:space="preserve"> </w:t>
      </w:r>
      <w:r w:rsidR="00AF7A1A">
        <w:rPr>
          <w:rFonts w:eastAsia="SimHei"/>
          <w:color w:val="auto"/>
        </w:rPr>
        <w:t xml:space="preserve">if changes to the UL </w:t>
      </w:r>
      <w:r w:rsidR="00152995">
        <w:rPr>
          <w:rFonts w:eastAsia="SimHei"/>
          <w:color w:val="auto"/>
        </w:rPr>
        <w:t>result in</w:t>
      </w:r>
      <w:r w:rsidR="00152995" w:rsidRPr="00152995">
        <w:rPr>
          <w:color w:val="auto"/>
        </w:rPr>
        <w:t xml:space="preserve"> </w:t>
      </w:r>
      <w:r w:rsidR="00152995">
        <w:rPr>
          <w:color w:val="auto"/>
        </w:rPr>
        <w:t xml:space="preserve">regulatory </w:t>
      </w:r>
      <w:r w:rsidR="00D24313">
        <w:rPr>
          <w:color w:val="auto"/>
        </w:rPr>
        <w:t xml:space="preserve">or business </w:t>
      </w:r>
      <w:r w:rsidR="00152995">
        <w:rPr>
          <w:color w:val="auto"/>
        </w:rPr>
        <w:t>costs</w:t>
      </w:r>
      <w:r w:rsidR="009C501F" w:rsidRPr="00E652A2">
        <w:rPr>
          <w:rFonts w:eastAsia="SimHei"/>
          <w:color w:val="auto"/>
        </w:rPr>
        <w:t>.</w:t>
      </w:r>
    </w:p>
    <w:p w14:paraId="3B7B9424" w14:textId="77777777" w:rsidR="009C501F" w:rsidRPr="00A61A81" w:rsidRDefault="009C501F" w:rsidP="00A61A81">
      <w:pPr>
        <w:pStyle w:val="ListParagraph"/>
        <w:numPr>
          <w:ilvl w:val="0"/>
          <w:numId w:val="0"/>
        </w:numPr>
        <w:spacing w:before="0" w:after="0"/>
        <w:ind w:left="720"/>
        <w:rPr>
          <w:i/>
          <w:iCs/>
          <w:color w:val="auto"/>
          <w:sz w:val="18"/>
          <w:szCs w:val="16"/>
        </w:rPr>
      </w:pPr>
    </w:p>
    <w:p w14:paraId="68459C4F" w14:textId="5AACFDB5" w:rsidR="001725E2" w:rsidRPr="00962F99" w:rsidRDefault="001725E2" w:rsidP="001725E2">
      <w:pPr>
        <w:pStyle w:val="Heading5"/>
        <w:shd w:val="clear" w:color="auto" w:fill="005F85" w:themeFill="accent2"/>
        <w:rPr>
          <w:color w:val="FFFFFF" w:themeColor="background1"/>
          <w:sz w:val="22"/>
          <w:szCs w:val="22"/>
        </w:rPr>
      </w:pPr>
      <w:r>
        <w:rPr>
          <w:color w:val="FFFFFF" w:themeColor="background1"/>
          <w:sz w:val="22"/>
          <w:szCs w:val="22"/>
        </w:rPr>
        <w:t xml:space="preserve">Feasibility (consumers, communities) </w:t>
      </w:r>
    </w:p>
    <w:p w14:paraId="32E0AEFF" w14:textId="67A9A618" w:rsidR="00FA149E" w:rsidRPr="00380FA7" w:rsidRDefault="00FA149E" w:rsidP="00866480">
      <w:pPr>
        <w:spacing w:after="160" w:line="276" w:lineRule="auto"/>
        <w:rPr>
          <w:rFonts w:eastAsia="Arial" w:cs="Calibri"/>
          <w:i/>
          <w:iCs/>
        </w:rPr>
      </w:pPr>
      <w:r w:rsidRPr="00380FA7">
        <w:rPr>
          <w:rFonts w:eastAsia="Arial" w:cs="Calibri"/>
        </w:rPr>
        <w:t>According to the most recent dietary</w:t>
      </w:r>
      <w:r w:rsidR="00BB7748" w:rsidRPr="00380FA7">
        <w:rPr>
          <w:rFonts w:eastAsia="Arial" w:cs="Calibri"/>
        </w:rPr>
        <w:t xml:space="preserve"> surveys, Vitamin B6</w:t>
      </w:r>
      <w:r w:rsidRPr="00380FA7">
        <w:rPr>
          <w:rFonts w:eastAsia="Arial" w:cs="Calibri"/>
        </w:rPr>
        <w:t xml:space="preserve"> intake data shows that Australia tends to have lower intakes than New Zealand</w:t>
      </w:r>
      <w:r w:rsidR="00963A1C" w:rsidRPr="00380FA7">
        <w:rPr>
          <w:rFonts w:eastAsia="Arial" w:cs="Calibri"/>
        </w:rPr>
        <w:t xml:space="preserve"> (see T</w:t>
      </w:r>
      <w:r w:rsidR="00BA0537">
        <w:rPr>
          <w:rFonts w:eastAsia="Arial" w:cs="Calibri"/>
        </w:rPr>
        <w:t>a</w:t>
      </w:r>
      <w:r w:rsidR="00963A1C" w:rsidRPr="00380FA7">
        <w:rPr>
          <w:rFonts w:eastAsia="Arial" w:cs="Calibri"/>
        </w:rPr>
        <w:t>bles 1 and 2)</w:t>
      </w:r>
      <w:r w:rsidRPr="00380FA7">
        <w:rPr>
          <w:rFonts w:eastAsia="Arial" w:cs="Calibri"/>
        </w:rPr>
        <w:t>.</w:t>
      </w:r>
      <w:r w:rsidR="00BB7748" w:rsidRPr="00380FA7">
        <w:rPr>
          <w:rFonts w:eastAsia="Arial" w:cs="Calibri"/>
        </w:rPr>
        <w:t xml:space="preserve"> It should be noted that </w:t>
      </w:r>
      <w:r w:rsidR="001617B7" w:rsidRPr="00380FA7">
        <w:rPr>
          <w:rFonts w:eastAsia="Arial" w:cs="Calibri"/>
        </w:rPr>
        <w:t xml:space="preserve">the data </w:t>
      </w:r>
      <w:r w:rsidR="00460EF6" w:rsidRPr="00380FA7">
        <w:rPr>
          <w:rFonts w:eastAsia="Arial" w:cs="Calibri"/>
        </w:rPr>
        <w:t xml:space="preserve">may not be directly comparable as the data </w:t>
      </w:r>
      <w:r w:rsidR="001617B7" w:rsidRPr="00380FA7">
        <w:rPr>
          <w:rFonts w:eastAsia="Arial" w:cs="Calibri"/>
        </w:rPr>
        <w:t>for Australia was collected in 2023, and the data for New Zeal</w:t>
      </w:r>
      <w:r w:rsidR="00963A1C" w:rsidRPr="00380FA7">
        <w:rPr>
          <w:rFonts w:eastAsia="Arial" w:cs="Calibri"/>
        </w:rPr>
        <w:t>a</w:t>
      </w:r>
      <w:r w:rsidR="001617B7" w:rsidRPr="00380FA7">
        <w:rPr>
          <w:rFonts w:eastAsia="Arial" w:cs="Calibri"/>
        </w:rPr>
        <w:t>n</w:t>
      </w:r>
      <w:r w:rsidR="00963A1C" w:rsidRPr="00380FA7">
        <w:rPr>
          <w:rFonts w:eastAsia="Arial" w:cs="Calibri"/>
        </w:rPr>
        <w:t>d</w:t>
      </w:r>
      <w:r w:rsidR="001617B7" w:rsidRPr="00380FA7">
        <w:rPr>
          <w:rFonts w:eastAsia="Arial" w:cs="Calibri"/>
        </w:rPr>
        <w:t xml:space="preserve"> collected in 2008/09</w:t>
      </w:r>
      <w:r w:rsidR="00EE4C63">
        <w:rPr>
          <w:rFonts w:eastAsia="Arial" w:cs="Calibri"/>
        </w:rPr>
        <w:t xml:space="preserve"> </w:t>
      </w:r>
      <w:proofErr w:type="gramStart"/>
      <w:r w:rsidR="00EE4C63">
        <w:rPr>
          <w:rFonts w:eastAsia="Arial" w:cs="Calibri"/>
        </w:rPr>
        <w:t>and also</w:t>
      </w:r>
      <w:proofErr w:type="gramEnd"/>
      <w:r w:rsidR="00EE4C63">
        <w:rPr>
          <w:rFonts w:eastAsia="Arial" w:cs="Calibri"/>
        </w:rPr>
        <w:t xml:space="preserve"> included dietary supplements</w:t>
      </w:r>
      <w:r w:rsidR="00610917">
        <w:rPr>
          <w:rFonts w:eastAsia="Arial" w:cs="Calibri"/>
        </w:rPr>
        <w:t>. C</w:t>
      </w:r>
      <w:r w:rsidR="00460EF6" w:rsidRPr="00380FA7">
        <w:rPr>
          <w:rFonts w:eastAsia="Arial" w:cs="Calibri"/>
        </w:rPr>
        <w:t xml:space="preserve">hanges in the </w:t>
      </w:r>
      <w:r w:rsidR="00A30FDB" w:rsidRPr="00380FA7">
        <w:rPr>
          <w:rFonts w:eastAsia="Arial" w:cs="Calibri"/>
        </w:rPr>
        <w:t xml:space="preserve">amount of Vitamin B6 in the </w:t>
      </w:r>
      <w:r w:rsidR="00460EF6" w:rsidRPr="00380FA7">
        <w:rPr>
          <w:rFonts w:eastAsia="Arial" w:cs="Calibri"/>
        </w:rPr>
        <w:t>food supply</w:t>
      </w:r>
      <w:r w:rsidR="00A30FDB" w:rsidRPr="00380FA7">
        <w:rPr>
          <w:rFonts w:eastAsia="Arial" w:cs="Calibri"/>
        </w:rPr>
        <w:t>, and dietary patterns may have changed during this time</w:t>
      </w:r>
      <w:r w:rsidR="00963A1C" w:rsidRPr="00380FA7">
        <w:rPr>
          <w:rFonts w:eastAsia="Arial" w:cs="Calibri"/>
        </w:rPr>
        <w:t xml:space="preserve">, which could </w:t>
      </w:r>
      <w:r w:rsidR="00610917">
        <w:rPr>
          <w:rFonts w:eastAsia="Arial" w:cs="Calibri"/>
        </w:rPr>
        <w:t xml:space="preserve">also </w:t>
      </w:r>
      <w:r w:rsidR="00963A1C" w:rsidRPr="00380FA7">
        <w:rPr>
          <w:rFonts w:eastAsia="Arial" w:cs="Calibri"/>
        </w:rPr>
        <w:t>account for some of the discrepancy.</w:t>
      </w:r>
      <w:r w:rsidR="00A30FDB" w:rsidRPr="00380FA7">
        <w:rPr>
          <w:rFonts w:eastAsia="Arial" w:cs="Calibri"/>
        </w:rPr>
        <w:t xml:space="preserve"> </w:t>
      </w:r>
    </w:p>
    <w:p w14:paraId="1EB14029" w14:textId="349E1B0C" w:rsidR="00866480" w:rsidRPr="007428F3" w:rsidRDefault="007A07F1" w:rsidP="00866480">
      <w:pPr>
        <w:spacing w:after="160" w:line="276" w:lineRule="auto"/>
        <w:rPr>
          <w:rFonts w:eastAsia="Arial" w:cs="Calibri"/>
        </w:rPr>
      </w:pPr>
      <w:r w:rsidRPr="007A07F1">
        <w:rPr>
          <w:rFonts w:eastAsia="Arial" w:cs="Calibri"/>
        </w:rPr>
        <w:t>The modelled intakes below are significantly lower than the current NHMRC UL (50 mg/day)</w:t>
      </w:r>
      <w:r w:rsidR="00610917">
        <w:rPr>
          <w:rFonts w:eastAsia="Arial" w:cs="Calibri"/>
        </w:rPr>
        <w:t xml:space="preserve"> and proposed</w:t>
      </w:r>
      <w:r w:rsidR="00B24650">
        <w:rPr>
          <w:rFonts w:eastAsia="Arial" w:cs="Calibri"/>
        </w:rPr>
        <w:t xml:space="preserve"> NHMRC</w:t>
      </w:r>
      <w:r w:rsidR="00610917">
        <w:rPr>
          <w:rFonts w:eastAsia="Arial" w:cs="Calibri"/>
        </w:rPr>
        <w:t xml:space="preserve"> </w:t>
      </w:r>
      <w:r w:rsidR="00B24650">
        <w:rPr>
          <w:rFonts w:eastAsia="Arial" w:cs="Calibri"/>
        </w:rPr>
        <w:t>UL (14mg/day)</w:t>
      </w:r>
      <w:r w:rsidRPr="007A07F1">
        <w:rPr>
          <w:rFonts w:eastAsia="Arial" w:cs="Calibri"/>
        </w:rPr>
        <w:t>, with B6 intake not exceeding 2.33 mg/day across the range of diets modelled.</w:t>
      </w:r>
      <w:r w:rsidR="00866480" w:rsidRPr="007428F3">
        <w:rPr>
          <w:rFonts w:eastAsia="Arial" w:cs="Calibri"/>
        </w:rPr>
        <w:t xml:space="preserve"> This pattern is consistent across pregnant and lactating populations, who use the same adult UL values (</w:t>
      </w:r>
      <w:r w:rsidR="007428F3" w:rsidRPr="007428F3">
        <w:rPr>
          <w:rFonts w:eastAsia="Arial" w:cs="Calibri"/>
        </w:rPr>
        <w:t xml:space="preserve">Table </w:t>
      </w:r>
      <w:r w:rsidR="004D5B82">
        <w:rPr>
          <w:rFonts w:eastAsia="Arial" w:cs="Calibri"/>
        </w:rPr>
        <w:t>5</w:t>
      </w:r>
      <w:r w:rsidR="00866480" w:rsidRPr="007428F3">
        <w:rPr>
          <w:rFonts w:eastAsia="Arial" w:cs="Calibri"/>
        </w:rPr>
        <w:t xml:space="preserve">). This suggests that a reduction in the UL would be safe and feasible. </w:t>
      </w:r>
    </w:p>
    <w:p w14:paraId="24DEB5BD" w14:textId="258B2558" w:rsidR="000F71EA" w:rsidRDefault="00662E75" w:rsidP="00866480">
      <w:pPr>
        <w:rPr>
          <w:rFonts w:eastAsia="Arial" w:cs="Calibri"/>
        </w:rPr>
      </w:pPr>
      <w:r w:rsidRPr="00B8452A">
        <w:rPr>
          <w:rFonts w:eastAsia="Arial" w:cs="Calibri"/>
        </w:rPr>
        <w:t xml:space="preserve">It should be noted that </w:t>
      </w:r>
      <w:r w:rsidR="00B8452A" w:rsidRPr="00B8452A">
        <w:rPr>
          <w:rFonts w:eastAsia="Arial" w:cs="Calibri"/>
        </w:rPr>
        <w:t>the food modelling data presented below</w:t>
      </w:r>
      <w:r w:rsidR="00866480" w:rsidRPr="00B8452A">
        <w:rPr>
          <w:rFonts w:eastAsia="Arial" w:cs="Calibri"/>
        </w:rPr>
        <w:t xml:space="preserve"> relied on incomplete data and interpolation</w:t>
      </w:r>
      <w:r w:rsidR="00B8452A">
        <w:rPr>
          <w:rFonts w:eastAsia="Arial" w:cs="Calibri"/>
        </w:rPr>
        <w:t xml:space="preserve">, however, </w:t>
      </w:r>
      <w:r w:rsidR="004260DB">
        <w:rPr>
          <w:rFonts w:eastAsia="Arial" w:cs="Calibri"/>
        </w:rPr>
        <w:t xml:space="preserve">intake patterns from empirical survey findings (Tables 1 and 2) are generally lower that </w:t>
      </w:r>
      <w:r w:rsidR="001B163A">
        <w:rPr>
          <w:rFonts w:eastAsia="Arial" w:cs="Calibri"/>
        </w:rPr>
        <w:t>the modelled intake</w:t>
      </w:r>
      <w:r w:rsidR="001B163A" w:rsidRPr="001B163A">
        <w:rPr>
          <w:rFonts w:eastAsia="Arial" w:cs="Calibri"/>
        </w:rPr>
        <w:t>s</w:t>
      </w:r>
      <w:r w:rsidR="00FF6CED">
        <w:rPr>
          <w:rFonts w:eastAsia="Arial" w:cs="Calibri"/>
        </w:rPr>
        <w:t>.</w:t>
      </w:r>
      <w:r w:rsidR="00866480" w:rsidRPr="001B163A">
        <w:rPr>
          <w:rFonts w:eastAsia="Arial" w:cs="Calibri"/>
        </w:rPr>
        <w:t xml:space="preserve"> Overall, both modelled and measured intakes support the feasibility of implementing a lower UL without requiring dietary changes.</w:t>
      </w:r>
    </w:p>
    <w:p w14:paraId="732FC749" w14:textId="635FD52C" w:rsidR="00675096" w:rsidRDefault="00866480" w:rsidP="00C11B84">
      <w:pPr>
        <w:rPr>
          <w:rFonts w:eastAsia="Arial" w:cs="Calibri"/>
        </w:rPr>
      </w:pPr>
      <w:r w:rsidRPr="001B163A">
        <w:rPr>
          <w:rFonts w:eastAsia="Arial" w:cs="Calibri"/>
        </w:rPr>
        <w:t xml:space="preserve"> </w:t>
      </w:r>
    </w:p>
    <w:p w14:paraId="65E1B978" w14:textId="2DE3C952" w:rsidR="00F315FD" w:rsidRPr="00902965" w:rsidRDefault="00F315FD" w:rsidP="00902965">
      <w:pPr>
        <w:pStyle w:val="TableTitle"/>
        <w:ind w:left="1134"/>
        <w:rPr>
          <w:sz w:val="18"/>
          <w:szCs w:val="16"/>
        </w:rPr>
      </w:pPr>
      <w:r w:rsidRPr="00902965">
        <w:rPr>
          <w:sz w:val="18"/>
          <w:szCs w:val="16"/>
        </w:rPr>
        <w:t>Food modelling data in adults</w:t>
      </w:r>
    </w:p>
    <w:tbl>
      <w:tblPr>
        <w:tblStyle w:val="TableGrid3"/>
        <w:tblW w:w="1347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1276"/>
        <w:gridCol w:w="1434"/>
        <w:gridCol w:w="1118"/>
        <w:gridCol w:w="1434"/>
        <w:gridCol w:w="1436"/>
        <w:gridCol w:w="1436"/>
        <w:gridCol w:w="1276"/>
        <w:gridCol w:w="1436"/>
        <w:gridCol w:w="1276"/>
      </w:tblGrid>
      <w:tr w:rsidR="00C07C6B" w:rsidRPr="00505285" w14:paraId="53783C46" w14:textId="77777777" w:rsidTr="002D03E0">
        <w:trPr>
          <w:trHeight w:val="676"/>
        </w:trPr>
        <w:tc>
          <w:tcPr>
            <w:tcW w:w="1351" w:type="dxa"/>
            <w:vMerge w:val="restart"/>
            <w:shd w:val="clear" w:color="auto" w:fill="E3F1F7" w:themeFill="accent1" w:themeFillTint="33"/>
            <w:vAlign w:val="bottom"/>
          </w:tcPr>
          <w:p w14:paraId="3A2E2D6B" w14:textId="77777777" w:rsidR="009545F3" w:rsidRPr="00505285" w:rsidRDefault="009545F3" w:rsidP="008D7316">
            <w:pPr>
              <w:spacing w:after="0" w:line="276" w:lineRule="auto"/>
              <w:ind w:right="206"/>
              <w:jc w:val="center"/>
              <w:rPr>
                <w:rFonts w:eastAsia="Times New Roman" w:cs="Arial"/>
                <w:b/>
                <w:bCs/>
                <w:color w:val="FFFFFF"/>
                <w:szCs w:val="20"/>
              </w:rPr>
            </w:pPr>
            <w:r w:rsidRPr="008D7316">
              <w:rPr>
                <w:rFonts w:eastAsia="Times New Roman" w:cs="Arial"/>
                <w:b/>
                <w:color w:val="auto"/>
                <w:szCs w:val="20"/>
              </w:rPr>
              <w:t>Age group (years)</w:t>
            </w:r>
          </w:p>
        </w:tc>
        <w:tc>
          <w:tcPr>
            <w:tcW w:w="1276" w:type="dxa"/>
            <w:shd w:val="clear" w:color="auto" w:fill="ADD6E8" w:themeFill="accent1" w:themeFillTint="99"/>
            <w:vAlign w:val="center"/>
          </w:tcPr>
          <w:p w14:paraId="18912D7A" w14:textId="1B61E267" w:rsidR="009545F3" w:rsidRPr="008D7316" w:rsidRDefault="009545F3" w:rsidP="002D03E0">
            <w:pPr>
              <w:spacing w:after="0" w:line="276" w:lineRule="auto"/>
              <w:jc w:val="center"/>
              <w:rPr>
                <w:rFonts w:eastAsia="Times New Roman" w:cs="Arial"/>
                <w:b/>
                <w:color w:val="auto"/>
                <w:szCs w:val="20"/>
              </w:rPr>
            </w:pPr>
            <w:r w:rsidRPr="008D7316">
              <w:rPr>
                <w:rFonts w:eastAsia="Times New Roman" w:cs="Arial"/>
                <w:b/>
                <w:color w:val="auto"/>
                <w:szCs w:val="20"/>
              </w:rPr>
              <w:t>Core food groups</w:t>
            </w:r>
          </w:p>
        </w:tc>
        <w:tc>
          <w:tcPr>
            <w:tcW w:w="2552" w:type="dxa"/>
            <w:gridSpan w:val="2"/>
            <w:shd w:val="clear" w:color="auto" w:fill="ADD6E8" w:themeFill="accent1" w:themeFillTint="99"/>
            <w:vAlign w:val="center"/>
          </w:tcPr>
          <w:p w14:paraId="148A5F5D" w14:textId="77777777" w:rsidR="009545F3" w:rsidRPr="008D7316" w:rsidRDefault="009545F3" w:rsidP="002D03E0">
            <w:pPr>
              <w:spacing w:after="0" w:line="276" w:lineRule="auto"/>
              <w:jc w:val="center"/>
              <w:rPr>
                <w:rFonts w:eastAsia="Times New Roman" w:cs="Arial"/>
                <w:b/>
                <w:color w:val="auto"/>
                <w:szCs w:val="20"/>
              </w:rPr>
            </w:pPr>
            <w:r w:rsidRPr="008D7316">
              <w:rPr>
                <w:rFonts w:eastAsia="Times New Roman" w:cs="Arial"/>
                <w:b/>
                <w:color w:val="auto"/>
                <w:szCs w:val="20"/>
              </w:rPr>
              <w:t>Foundation diets – overall</w:t>
            </w:r>
          </w:p>
        </w:tc>
        <w:tc>
          <w:tcPr>
            <w:tcW w:w="2870" w:type="dxa"/>
            <w:gridSpan w:val="2"/>
            <w:shd w:val="clear" w:color="auto" w:fill="ADD6E8" w:themeFill="accent1" w:themeFillTint="99"/>
            <w:vAlign w:val="center"/>
          </w:tcPr>
          <w:p w14:paraId="1B79358C" w14:textId="77777777" w:rsidR="009545F3" w:rsidRPr="008D7316" w:rsidRDefault="009545F3" w:rsidP="002D03E0">
            <w:pPr>
              <w:spacing w:after="0" w:line="276" w:lineRule="auto"/>
              <w:jc w:val="center"/>
              <w:rPr>
                <w:rFonts w:eastAsia="Times New Roman" w:cs="Arial"/>
                <w:b/>
                <w:color w:val="auto"/>
                <w:szCs w:val="20"/>
              </w:rPr>
            </w:pPr>
            <w:r w:rsidRPr="008D7316">
              <w:rPr>
                <w:rFonts w:eastAsia="Times New Roman" w:cs="Arial"/>
                <w:b/>
                <w:color w:val="auto"/>
                <w:szCs w:val="20"/>
              </w:rPr>
              <w:t>Rice-based</w:t>
            </w:r>
          </w:p>
        </w:tc>
        <w:tc>
          <w:tcPr>
            <w:tcW w:w="2712" w:type="dxa"/>
            <w:gridSpan w:val="2"/>
            <w:shd w:val="clear" w:color="auto" w:fill="ADD6E8" w:themeFill="accent1" w:themeFillTint="99"/>
            <w:vAlign w:val="center"/>
          </w:tcPr>
          <w:p w14:paraId="14080FA2" w14:textId="77777777" w:rsidR="009545F3" w:rsidRPr="008D7316" w:rsidRDefault="009545F3" w:rsidP="002D03E0">
            <w:pPr>
              <w:spacing w:after="0" w:line="276" w:lineRule="auto"/>
              <w:ind w:right="27"/>
              <w:jc w:val="center"/>
              <w:rPr>
                <w:rFonts w:eastAsia="Times New Roman" w:cs="Arial"/>
                <w:b/>
                <w:color w:val="auto"/>
                <w:szCs w:val="20"/>
              </w:rPr>
            </w:pPr>
            <w:r w:rsidRPr="008D7316">
              <w:rPr>
                <w:rFonts w:eastAsia="Times New Roman" w:cs="Arial"/>
                <w:b/>
                <w:color w:val="auto"/>
                <w:szCs w:val="20"/>
              </w:rPr>
              <w:t>Pasta-based</w:t>
            </w:r>
          </w:p>
        </w:tc>
        <w:tc>
          <w:tcPr>
            <w:tcW w:w="2712" w:type="dxa"/>
            <w:gridSpan w:val="2"/>
            <w:shd w:val="clear" w:color="auto" w:fill="ADD6E8" w:themeFill="accent1" w:themeFillTint="99"/>
            <w:vAlign w:val="center"/>
          </w:tcPr>
          <w:p w14:paraId="144C702D" w14:textId="77777777" w:rsidR="009545F3" w:rsidRPr="008D7316" w:rsidRDefault="009545F3" w:rsidP="002D03E0">
            <w:pPr>
              <w:spacing w:after="0" w:line="276" w:lineRule="auto"/>
              <w:ind w:right="34"/>
              <w:jc w:val="center"/>
              <w:rPr>
                <w:rFonts w:eastAsia="Times New Roman" w:cs="Arial"/>
                <w:b/>
                <w:color w:val="auto"/>
                <w:szCs w:val="20"/>
              </w:rPr>
            </w:pPr>
            <w:proofErr w:type="spellStart"/>
            <w:r w:rsidRPr="008D7316">
              <w:rPr>
                <w:rFonts w:eastAsia="Times New Roman" w:cs="Arial"/>
                <w:b/>
                <w:color w:val="auto"/>
                <w:szCs w:val="20"/>
              </w:rPr>
              <w:t>Lacto</w:t>
            </w:r>
            <w:proofErr w:type="spellEnd"/>
            <w:r w:rsidRPr="008D7316">
              <w:rPr>
                <w:rFonts w:eastAsia="Times New Roman" w:cs="Arial"/>
                <w:b/>
                <w:color w:val="auto"/>
                <w:szCs w:val="20"/>
              </w:rPr>
              <w:t>-ovo-vego</w:t>
            </w:r>
          </w:p>
        </w:tc>
      </w:tr>
      <w:tr w:rsidR="00C07C6B" w:rsidRPr="00505285" w14:paraId="473C7754" w14:textId="77777777" w:rsidTr="009545F3">
        <w:trPr>
          <w:trHeight w:val="408"/>
        </w:trPr>
        <w:tc>
          <w:tcPr>
            <w:tcW w:w="1351" w:type="dxa"/>
            <w:vMerge/>
            <w:shd w:val="clear" w:color="auto" w:fill="E3F1F7" w:themeFill="accent1" w:themeFillTint="33"/>
          </w:tcPr>
          <w:p w14:paraId="46AD1FAC" w14:textId="77777777" w:rsidR="009545F3" w:rsidRPr="00505285" w:rsidRDefault="009545F3" w:rsidP="008D7316">
            <w:pPr>
              <w:spacing w:after="0" w:line="276" w:lineRule="auto"/>
              <w:ind w:right="-1346"/>
              <w:rPr>
                <w:rFonts w:eastAsia="Times New Roman" w:cs="Arial"/>
                <w:b/>
                <w:bCs/>
                <w:color w:val="FFFFFF"/>
                <w:szCs w:val="20"/>
              </w:rPr>
            </w:pPr>
          </w:p>
        </w:tc>
        <w:tc>
          <w:tcPr>
            <w:tcW w:w="1276" w:type="dxa"/>
            <w:vMerge w:val="restart"/>
            <w:shd w:val="clear" w:color="auto" w:fill="E3F1F7" w:themeFill="accent1" w:themeFillTint="33"/>
          </w:tcPr>
          <w:p w14:paraId="7AA4E5F1" w14:textId="77777777"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Intake in persons</w:t>
            </w:r>
          </w:p>
          <w:p w14:paraId="2316544D" w14:textId="575D83F1"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w:t>
            </w:r>
            <w:r w:rsidR="00D72024">
              <w:rPr>
                <w:rFonts w:eastAsia="Times New Roman" w:cs="Arial"/>
                <w:b/>
                <w:color w:val="auto"/>
                <w:szCs w:val="20"/>
              </w:rPr>
              <w:t>m</w:t>
            </w:r>
            <w:r w:rsidRPr="008D7316">
              <w:rPr>
                <w:rFonts w:eastAsia="Times New Roman" w:cs="Arial"/>
                <w:b/>
                <w:color w:val="auto"/>
                <w:szCs w:val="20"/>
              </w:rPr>
              <w:t>g/day)</w:t>
            </w:r>
          </w:p>
        </w:tc>
        <w:tc>
          <w:tcPr>
            <w:tcW w:w="1434" w:type="dxa"/>
            <w:vMerge w:val="restart"/>
            <w:shd w:val="clear" w:color="auto" w:fill="E3F1F7" w:themeFill="accent1" w:themeFillTint="33"/>
          </w:tcPr>
          <w:p w14:paraId="2AACCA4B" w14:textId="77777777"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Intake in males</w:t>
            </w:r>
          </w:p>
          <w:p w14:paraId="41D95B30" w14:textId="20438D6F"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w:t>
            </w:r>
            <w:r w:rsidR="00D72024">
              <w:rPr>
                <w:rFonts w:eastAsia="Times New Roman" w:cs="Arial"/>
                <w:b/>
                <w:color w:val="auto"/>
                <w:szCs w:val="20"/>
              </w:rPr>
              <w:t>m</w:t>
            </w:r>
            <w:r w:rsidRPr="008D7316">
              <w:rPr>
                <w:rFonts w:eastAsia="Times New Roman" w:cs="Arial"/>
                <w:b/>
                <w:color w:val="auto"/>
                <w:szCs w:val="20"/>
              </w:rPr>
              <w:t>g/day)</w:t>
            </w:r>
          </w:p>
        </w:tc>
        <w:tc>
          <w:tcPr>
            <w:tcW w:w="1118" w:type="dxa"/>
            <w:vMerge w:val="restart"/>
            <w:shd w:val="clear" w:color="auto" w:fill="E3F1F7" w:themeFill="accent1" w:themeFillTint="33"/>
          </w:tcPr>
          <w:p w14:paraId="4A8C2644" w14:textId="77777777" w:rsidR="009545F3" w:rsidRPr="008D7316" w:rsidRDefault="009545F3" w:rsidP="008D7316">
            <w:pPr>
              <w:spacing w:after="0" w:line="276" w:lineRule="auto"/>
              <w:ind w:right="-112"/>
              <w:jc w:val="center"/>
              <w:rPr>
                <w:rFonts w:eastAsia="Times New Roman" w:cs="Arial"/>
                <w:b/>
                <w:color w:val="auto"/>
                <w:szCs w:val="20"/>
              </w:rPr>
            </w:pPr>
            <w:r w:rsidRPr="008D7316">
              <w:rPr>
                <w:rFonts w:eastAsia="Times New Roman" w:cs="Arial"/>
                <w:b/>
                <w:color w:val="auto"/>
                <w:szCs w:val="20"/>
              </w:rPr>
              <w:t>Intake in females</w:t>
            </w:r>
          </w:p>
          <w:p w14:paraId="7DA4D2C5" w14:textId="394BC0D9" w:rsidR="009545F3" w:rsidRPr="008D7316" w:rsidRDefault="009545F3" w:rsidP="008D7316">
            <w:pPr>
              <w:spacing w:after="0" w:line="276" w:lineRule="auto"/>
              <w:ind w:right="-112"/>
              <w:jc w:val="center"/>
              <w:rPr>
                <w:rFonts w:eastAsia="Times New Roman" w:cs="Arial"/>
                <w:b/>
                <w:color w:val="auto"/>
                <w:szCs w:val="20"/>
              </w:rPr>
            </w:pPr>
            <w:r w:rsidRPr="008D7316">
              <w:rPr>
                <w:rFonts w:eastAsia="Times New Roman" w:cs="Arial"/>
                <w:b/>
                <w:color w:val="auto"/>
                <w:szCs w:val="20"/>
              </w:rPr>
              <w:t>(</w:t>
            </w:r>
            <w:r w:rsidR="00D72024">
              <w:rPr>
                <w:rFonts w:eastAsia="Times New Roman" w:cs="Arial"/>
                <w:b/>
                <w:color w:val="auto"/>
                <w:szCs w:val="20"/>
              </w:rPr>
              <w:t>m</w:t>
            </w:r>
            <w:r w:rsidRPr="008D7316">
              <w:rPr>
                <w:rFonts w:eastAsia="Times New Roman" w:cs="Arial"/>
                <w:b/>
                <w:color w:val="auto"/>
                <w:szCs w:val="20"/>
              </w:rPr>
              <w:t>g/day)</w:t>
            </w:r>
          </w:p>
        </w:tc>
        <w:tc>
          <w:tcPr>
            <w:tcW w:w="1434" w:type="dxa"/>
            <w:vMerge w:val="restart"/>
            <w:shd w:val="clear" w:color="auto" w:fill="E3F1F7" w:themeFill="accent1" w:themeFillTint="33"/>
          </w:tcPr>
          <w:p w14:paraId="3736C820" w14:textId="77777777"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Intake in males</w:t>
            </w:r>
          </w:p>
          <w:p w14:paraId="4BA85781" w14:textId="5FC3FEAC"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w:t>
            </w:r>
            <w:r w:rsidR="00D72024">
              <w:rPr>
                <w:rFonts w:eastAsia="Times New Roman" w:cs="Arial"/>
                <w:b/>
                <w:color w:val="auto"/>
                <w:szCs w:val="20"/>
              </w:rPr>
              <w:t>m</w:t>
            </w:r>
            <w:r w:rsidRPr="008D7316">
              <w:rPr>
                <w:rFonts w:eastAsia="Times New Roman" w:cs="Arial"/>
                <w:b/>
                <w:color w:val="auto"/>
                <w:szCs w:val="20"/>
              </w:rPr>
              <w:t>g/day)</w:t>
            </w:r>
          </w:p>
        </w:tc>
        <w:tc>
          <w:tcPr>
            <w:tcW w:w="1436" w:type="dxa"/>
            <w:vMerge w:val="restart"/>
            <w:shd w:val="clear" w:color="auto" w:fill="E3F1F7" w:themeFill="accent1" w:themeFillTint="33"/>
          </w:tcPr>
          <w:p w14:paraId="1431CE93" w14:textId="77777777" w:rsidR="009545F3" w:rsidRPr="008D7316" w:rsidRDefault="009545F3" w:rsidP="008D7316">
            <w:pPr>
              <w:spacing w:after="0" w:line="276" w:lineRule="auto"/>
              <w:ind w:right="-112"/>
              <w:jc w:val="center"/>
              <w:rPr>
                <w:rFonts w:eastAsia="Times New Roman" w:cs="Arial"/>
                <w:b/>
                <w:color w:val="auto"/>
                <w:szCs w:val="20"/>
              </w:rPr>
            </w:pPr>
            <w:r w:rsidRPr="008D7316">
              <w:rPr>
                <w:rFonts w:eastAsia="Times New Roman" w:cs="Arial"/>
                <w:b/>
                <w:color w:val="auto"/>
                <w:szCs w:val="20"/>
              </w:rPr>
              <w:t>Intake in females</w:t>
            </w:r>
          </w:p>
          <w:p w14:paraId="55CEA7A8" w14:textId="1BB0F427" w:rsidR="009545F3" w:rsidRPr="008D7316" w:rsidRDefault="009545F3" w:rsidP="008D7316">
            <w:pPr>
              <w:spacing w:after="0" w:line="276" w:lineRule="auto"/>
              <w:ind w:right="-110"/>
              <w:jc w:val="center"/>
              <w:rPr>
                <w:rFonts w:eastAsia="Times New Roman" w:cs="Arial"/>
                <w:b/>
                <w:color w:val="auto"/>
                <w:szCs w:val="20"/>
              </w:rPr>
            </w:pPr>
            <w:r w:rsidRPr="008D7316">
              <w:rPr>
                <w:rFonts w:eastAsia="Times New Roman" w:cs="Arial"/>
                <w:b/>
                <w:color w:val="auto"/>
                <w:szCs w:val="20"/>
              </w:rPr>
              <w:t>(</w:t>
            </w:r>
            <w:r w:rsidR="00D72024">
              <w:rPr>
                <w:rFonts w:eastAsia="Times New Roman" w:cs="Arial"/>
                <w:b/>
                <w:color w:val="auto"/>
                <w:szCs w:val="20"/>
              </w:rPr>
              <w:t>m</w:t>
            </w:r>
            <w:r w:rsidRPr="008D7316">
              <w:rPr>
                <w:rFonts w:eastAsia="Times New Roman" w:cs="Arial"/>
                <w:b/>
                <w:color w:val="auto"/>
                <w:szCs w:val="20"/>
              </w:rPr>
              <w:t>g/day)</w:t>
            </w:r>
          </w:p>
        </w:tc>
        <w:tc>
          <w:tcPr>
            <w:tcW w:w="1436" w:type="dxa"/>
            <w:vMerge w:val="restart"/>
            <w:shd w:val="clear" w:color="auto" w:fill="E3F1F7" w:themeFill="accent1" w:themeFillTint="33"/>
          </w:tcPr>
          <w:p w14:paraId="7402B218" w14:textId="77777777"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Intake in males</w:t>
            </w:r>
          </w:p>
          <w:p w14:paraId="2677294C" w14:textId="1F979E9E"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w:t>
            </w:r>
            <w:r w:rsidR="00D72024">
              <w:rPr>
                <w:rFonts w:eastAsia="Times New Roman" w:cs="Arial"/>
                <w:b/>
                <w:color w:val="auto"/>
                <w:szCs w:val="20"/>
              </w:rPr>
              <w:t>m</w:t>
            </w:r>
            <w:r w:rsidRPr="008D7316">
              <w:rPr>
                <w:rFonts w:eastAsia="Times New Roman" w:cs="Arial"/>
                <w:b/>
                <w:color w:val="auto"/>
                <w:szCs w:val="20"/>
              </w:rPr>
              <w:t>g/day)</w:t>
            </w:r>
          </w:p>
        </w:tc>
        <w:tc>
          <w:tcPr>
            <w:tcW w:w="1276" w:type="dxa"/>
            <w:vMerge w:val="restart"/>
            <w:shd w:val="clear" w:color="auto" w:fill="E3F1F7" w:themeFill="accent1" w:themeFillTint="33"/>
          </w:tcPr>
          <w:p w14:paraId="447815B6" w14:textId="77777777" w:rsidR="009545F3" w:rsidRPr="008D7316" w:rsidRDefault="009545F3" w:rsidP="008D7316">
            <w:pPr>
              <w:spacing w:after="0" w:line="276" w:lineRule="auto"/>
              <w:ind w:right="-112"/>
              <w:jc w:val="center"/>
              <w:rPr>
                <w:rFonts w:eastAsia="Times New Roman" w:cs="Arial"/>
                <w:b/>
                <w:color w:val="auto"/>
                <w:szCs w:val="20"/>
              </w:rPr>
            </w:pPr>
            <w:r w:rsidRPr="008D7316">
              <w:rPr>
                <w:rFonts w:eastAsia="Times New Roman" w:cs="Arial"/>
                <w:b/>
                <w:color w:val="auto"/>
                <w:szCs w:val="20"/>
              </w:rPr>
              <w:t>Intake in females</w:t>
            </w:r>
          </w:p>
          <w:p w14:paraId="4DE5BD6F" w14:textId="7D4AD190" w:rsidR="009545F3" w:rsidRPr="008D7316" w:rsidRDefault="009545F3" w:rsidP="008D7316">
            <w:pPr>
              <w:spacing w:after="0" w:line="276" w:lineRule="auto"/>
              <w:ind w:right="-108"/>
              <w:jc w:val="center"/>
              <w:rPr>
                <w:rFonts w:eastAsia="Times New Roman" w:cs="Arial"/>
                <w:b/>
                <w:color w:val="auto"/>
                <w:szCs w:val="20"/>
              </w:rPr>
            </w:pPr>
            <w:r w:rsidRPr="008D7316">
              <w:rPr>
                <w:rFonts w:eastAsia="Times New Roman" w:cs="Arial"/>
                <w:b/>
                <w:color w:val="auto"/>
                <w:szCs w:val="20"/>
              </w:rPr>
              <w:t>(</w:t>
            </w:r>
            <w:r w:rsidR="00D72024">
              <w:rPr>
                <w:rFonts w:eastAsia="Times New Roman" w:cs="Arial"/>
                <w:b/>
                <w:color w:val="auto"/>
                <w:szCs w:val="20"/>
              </w:rPr>
              <w:t>m</w:t>
            </w:r>
            <w:r w:rsidRPr="008D7316">
              <w:rPr>
                <w:rFonts w:eastAsia="Times New Roman" w:cs="Arial"/>
                <w:b/>
                <w:color w:val="auto"/>
                <w:szCs w:val="20"/>
              </w:rPr>
              <w:t>g/day)</w:t>
            </w:r>
          </w:p>
        </w:tc>
        <w:tc>
          <w:tcPr>
            <w:tcW w:w="1436" w:type="dxa"/>
            <w:vMerge w:val="restart"/>
            <w:shd w:val="clear" w:color="auto" w:fill="E3F1F7" w:themeFill="accent1" w:themeFillTint="33"/>
          </w:tcPr>
          <w:p w14:paraId="01A12EC2" w14:textId="77777777"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Intake in males</w:t>
            </w:r>
          </w:p>
          <w:p w14:paraId="1F8B7D61" w14:textId="205ADD3E" w:rsidR="009545F3" w:rsidRPr="008D7316" w:rsidRDefault="009545F3" w:rsidP="008D7316">
            <w:pPr>
              <w:spacing w:after="0" w:line="276" w:lineRule="auto"/>
              <w:jc w:val="center"/>
              <w:rPr>
                <w:rFonts w:eastAsia="Times New Roman" w:cs="Arial"/>
                <w:b/>
                <w:color w:val="auto"/>
                <w:szCs w:val="20"/>
              </w:rPr>
            </w:pPr>
            <w:r w:rsidRPr="008D7316">
              <w:rPr>
                <w:rFonts w:eastAsia="Times New Roman" w:cs="Arial"/>
                <w:b/>
                <w:color w:val="auto"/>
                <w:szCs w:val="20"/>
              </w:rPr>
              <w:t>(</w:t>
            </w:r>
            <w:r w:rsidR="00D72024">
              <w:rPr>
                <w:rFonts w:eastAsia="Times New Roman" w:cs="Arial"/>
                <w:b/>
                <w:color w:val="auto"/>
                <w:szCs w:val="20"/>
              </w:rPr>
              <w:t>m</w:t>
            </w:r>
            <w:r w:rsidRPr="008D7316">
              <w:rPr>
                <w:rFonts w:eastAsia="Times New Roman" w:cs="Arial"/>
                <w:b/>
                <w:color w:val="auto"/>
                <w:szCs w:val="20"/>
              </w:rPr>
              <w:t>g/day)</w:t>
            </w:r>
          </w:p>
        </w:tc>
        <w:tc>
          <w:tcPr>
            <w:tcW w:w="1276" w:type="dxa"/>
            <w:vMerge w:val="restart"/>
            <w:shd w:val="clear" w:color="auto" w:fill="E3F1F7" w:themeFill="accent1" w:themeFillTint="33"/>
          </w:tcPr>
          <w:p w14:paraId="4555AEDB" w14:textId="77777777" w:rsidR="009545F3" w:rsidRPr="008D7316" w:rsidRDefault="009545F3" w:rsidP="008D7316">
            <w:pPr>
              <w:spacing w:after="0" w:line="276" w:lineRule="auto"/>
              <w:ind w:right="-112"/>
              <w:jc w:val="center"/>
              <w:rPr>
                <w:rFonts w:eastAsia="Times New Roman" w:cs="Arial"/>
                <w:b/>
                <w:color w:val="auto"/>
                <w:szCs w:val="20"/>
              </w:rPr>
            </w:pPr>
            <w:r w:rsidRPr="008D7316">
              <w:rPr>
                <w:rFonts w:eastAsia="Times New Roman" w:cs="Arial"/>
                <w:b/>
                <w:color w:val="auto"/>
                <w:szCs w:val="20"/>
              </w:rPr>
              <w:t>Intake in females</w:t>
            </w:r>
          </w:p>
          <w:p w14:paraId="0321EAE1" w14:textId="1649F0A6" w:rsidR="009545F3" w:rsidRPr="008D7316" w:rsidRDefault="009545F3" w:rsidP="008D7316">
            <w:pPr>
              <w:spacing w:after="0" w:line="276" w:lineRule="auto"/>
              <w:ind w:right="-104"/>
              <w:jc w:val="center"/>
              <w:rPr>
                <w:rFonts w:eastAsia="Times New Roman" w:cs="Arial"/>
                <w:b/>
                <w:color w:val="auto"/>
                <w:szCs w:val="20"/>
              </w:rPr>
            </w:pPr>
            <w:r w:rsidRPr="008D7316">
              <w:rPr>
                <w:rFonts w:eastAsia="Times New Roman" w:cs="Arial"/>
                <w:b/>
                <w:color w:val="auto"/>
                <w:szCs w:val="20"/>
              </w:rPr>
              <w:t>(</w:t>
            </w:r>
            <w:r w:rsidR="00D72024">
              <w:rPr>
                <w:rFonts w:eastAsia="Times New Roman" w:cs="Arial"/>
                <w:b/>
                <w:color w:val="auto"/>
                <w:szCs w:val="20"/>
              </w:rPr>
              <w:t>m</w:t>
            </w:r>
            <w:r w:rsidRPr="008D7316">
              <w:rPr>
                <w:rFonts w:eastAsia="Times New Roman" w:cs="Arial"/>
                <w:b/>
                <w:color w:val="auto"/>
                <w:szCs w:val="20"/>
              </w:rPr>
              <w:t>g/day)</w:t>
            </w:r>
          </w:p>
        </w:tc>
      </w:tr>
      <w:tr w:rsidR="009545F3" w:rsidRPr="00505285" w14:paraId="6C86FEE1" w14:textId="77777777" w:rsidTr="00AF50D9">
        <w:trPr>
          <w:trHeight w:val="408"/>
        </w:trPr>
        <w:tc>
          <w:tcPr>
            <w:tcW w:w="1351" w:type="dxa"/>
            <w:vMerge/>
            <w:tcBorders>
              <w:bottom w:val="single" w:sz="4" w:space="0" w:color="auto"/>
            </w:tcBorders>
            <w:shd w:val="clear" w:color="auto" w:fill="E3F1F7" w:themeFill="accent1" w:themeFillTint="33"/>
          </w:tcPr>
          <w:p w14:paraId="75BAB731" w14:textId="77777777" w:rsidR="009545F3" w:rsidRPr="00505285" w:rsidRDefault="009545F3" w:rsidP="008D7316">
            <w:pPr>
              <w:spacing w:after="0" w:line="276" w:lineRule="auto"/>
              <w:ind w:right="-1346"/>
              <w:rPr>
                <w:rFonts w:eastAsia="Times New Roman" w:cs="Arial"/>
                <w:b/>
                <w:bCs/>
                <w:color w:val="FFFFFF"/>
                <w:szCs w:val="20"/>
              </w:rPr>
            </w:pPr>
          </w:p>
        </w:tc>
        <w:tc>
          <w:tcPr>
            <w:tcW w:w="1276" w:type="dxa"/>
            <w:vMerge/>
            <w:tcBorders>
              <w:bottom w:val="single" w:sz="4" w:space="0" w:color="auto"/>
            </w:tcBorders>
            <w:shd w:val="clear" w:color="auto" w:fill="E3F1F7" w:themeFill="accent1" w:themeFillTint="33"/>
          </w:tcPr>
          <w:p w14:paraId="1712D64E" w14:textId="77777777" w:rsidR="009545F3" w:rsidRPr="00505285" w:rsidRDefault="009545F3" w:rsidP="008D7316">
            <w:pPr>
              <w:spacing w:after="0" w:line="276" w:lineRule="auto"/>
              <w:jc w:val="center"/>
              <w:rPr>
                <w:rFonts w:eastAsia="Times New Roman" w:cs="Arial"/>
                <w:b/>
                <w:bCs/>
                <w:color w:val="FFFFFF"/>
                <w:szCs w:val="20"/>
              </w:rPr>
            </w:pPr>
          </w:p>
        </w:tc>
        <w:tc>
          <w:tcPr>
            <w:tcW w:w="1434" w:type="dxa"/>
            <w:vMerge/>
            <w:tcBorders>
              <w:bottom w:val="single" w:sz="4" w:space="0" w:color="auto"/>
            </w:tcBorders>
            <w:shd w:val="clear" w:color="auto" w:fill="E3F1F7" w:themeFill="accent1" w:themeFillTint="33"/>
          </w:tcPr>
          <w:p w14:paraId="48B4196B" w14:textId="77777777" w:rsidR="009545F3" w:rsidRPr="00505285" w:rsidRDefault="009545F3" w:rsidP="008D7316">
            <w:pPr>
              <w:spacing w:after="0" w:line="276" w:lineRule="auto"/>
              <w:rPr>
                <w:rFonts w:eastAsia="Times New Roman" w:cs="Arial"/>
                <w:b/>
                <w:bCs/>
                <w:color w:val="FFFFFF"/>
                <w:szCs w:val="20"/>
              </w:rPr>
            </w:pPr>
          </w:p>
        </w:tc>
        <w:tc>
          <w:tcPr>
            <w:tcW w:w="1118" w:type="dxa"/>
            <w:vMerge/>
            <w:tcBorders>
              <w:bottom w:val="single" w:sz="4" w:space="0" w:color="auto"/>
            </w:tcBorders>
            <w:shd w:val="clear" w:color="auto" w:fill="E3F1F7" w:themeFill="accent1" w:themeFillTint="33"/>
          </w:tcPr>
          <w:p w14:paraId="404008B8" w14:textId="77777777" w:rsidR="009545F3" w:rsidRPr="00505285" w:rsidRDefault="009545F3" w:rsidP="008D7316">
            <w:pPr>
              <w:spacing w:after="0" w:line="276" w:lineRule="auto"/>
              <w:rPr>
                <w:rFonts w:eastAsia="Times New Roman" w:cs="Arial"/>
                <w:b/>
                <w:bCs/>
                <w:color w:val="FFFFFF"/>
                <w:szCs w:val="20"/>
              </w:rPr>
            </w:pPr>
          </w:p>
        </w:tc>
        <w:tc>
          <w:tcPr>
            <w:tcW w:w="1434" w:type="dxa"/>
            <w:vMerge/>
            <w:tcBorders>
              <w:bottom w:val="single" w:sz="4" w:space="0" w:color="auto"/>
            </w:tcBorders>
            <w:shd w:val="clear" w:color="auto" w:fill="E3F1F7" w:themeFill="accent1" w:themeFillTint="33"/>
          </w:tcPr>
          <w:p w14:paraId="739B556E" w14:textId="77777777" w:rsidR="009545F3" w:rsidRPr="00505285" w:rsidRDefault="009545F3" w:rsidP="008D7316">
            <w:pPr>
              <w:spacing w:after="0" w:line="276" w:lineRule="auto"/>
              <w:rPr>
                <w:rFonts w:eastAsia="Times New Roman" w:cs="Arial"/>
                <w:b/>
                <w:bCs/>
                <w:color w:val="FFFFFF"/>
                <w:szCs w:val="20"/>
              </w:rPr>
            </w:pPr>
          </w:p>
        </w:tc>
        <w:tc>
          <w:tcPr>
            <w:tcW w:w="1436" w:type="dxa"/>
            <w:vMerge/>
            <w:tcBorders>
              <w:bottom w:val="single" w:sz="4" w:space="0" w:color="auto"/>
            </w:tcBorders>
            <w:shd w:val="clear" w:color="auto" w:fill="E3F1F7" w:themeFill="accent1" w:themeFillTint="33"/>
          </w:tcPr>
          <w:p w14:paraId="29294DF4" w14:textId="77777777" w:rsidR="009545F3" w:rsidRPr="00505285" w:rsidRDefault="009545F3" w:rsidP="008D7316">
            <w:pPr>
              <w:spacing w:after="0" w:line="276" w:lineRule="auto"/>
              <w:rPr>
                <w:rFonts w:eastAsia="Times New Roman" w:cs="Arial"/>
                <w:b/>
                <w:bCs/>
                <w:color w:val="FFFFFF"/>
                <w:szCs w:val="20"/>
              </w:rPr>
            </w:pPr>
          </w:p>
        </w:tc>
        <w:tc>
          <w:tcPr>
            <w:tcW w:w="1436" w:type="dxa"/>
            <w:vMerge/>
            <w:tcBorders>
              <w:bottom w:val="single" w:sz="4" w:space="0" w:color="auto"/>
            </w:tcBorders>
            <w:shd w:val="clear" w:color="auto" w:fill="E3F1F7" w:themeFill="accent1" w:themeFillTint="33"/>
          </w:tcPr>
          <w:p w14:paraId="30A0602F" w14:textId="77777777" w:rsidR="009545F3" w:rsidRPr="00505285" w:rsidRDefault="009545F3" w:rsidP="008D7316">
            <w:pPr>
              <w:spacing w:after="0" w:line="276" w:lineRule="auto"/>
              <w:rPr>
                <w:rFonts w:eastAsia="Times New Roman" w:cs="Arial"/>
                <w:b/>
                <w:bCs/>
                <w:color w:val="FFFFFF"/>
                <w:szCs w:val="20"/>
              </w:rPr>
            </w:pPr>
          </w:p>
        </w:tc>
        <w:tc>
          <w:tcPr>
            <w:tcW w:w="1276" w:type="dxa"/>
            <w:vMerge/>
            <w:tcBorders>
              <w:bottom w:val="single" w:sz="4" w:space="0" w:color="auto"/>
            </w:tcBorders>
            <w:shd w:val="clear" w:color="auto" w:fill="E3F1F7" w:themeFill="accent1" w:themeFillTint="33"/>
          </w:tcPr>
          <w:p w14:paraId="1396BD0C" w14:textId="77777777" w:rsidR="009545F3" w:rsidRPr="00505285" w:rsidRDefault="009545F3" w:rsidP="008D7316">
            <w:pPr>
              <w:spacing w:after="0" w:line="276" w:lineRule="auto"/>
              <w:rPr>
                <w:rFonts w:eastAsia="Times New Roman" w:cs="Arial"/>
                <w:b/>
                <w:bCs/>
                <w:color w:val="FFFFFF"/>
                <w:szCs w:val="20"/>
              </w:rPr>
            </w:pPr>
          </w:p>
        </w:tc>
        <w:tc>
          <w:tcPr>
            <w:tcW w:w="1436" w:type="dxa"/>
            <w:vMerge/>
            <w:tcBorders>
              <w:bottom w:val="single" w:sz="4" w:space="0" w:color="auto"/>
            </w:tcBorders>
            <w:shd w:val="clear" w:color="auto" w:fill="E3F1F7" w:themeFill="accent1" w:themeFillTint="33"/>
          </w:tcPr>
          <w:p w14:paraId="18DF4443" w14:textId="77777777" w:rsidR="009545F3" w:rsidRPr="00505285" w:rsidRDefault="009545F3" w:rsidP="008D7316">
            <w:pPr>
              <w:spacing w:after="0" w:line="276" w:lineRule="auto"/>
              <w:rPr>
                <w:rFonts w:eastAsia="Times New Roman" w:cs="Arial"/>
                <w:b/>
                <w:bCs/>
                <w:color w:val="FFFFFF"/>
                <w:szCs w:val="20"/>
              </w:rPr>
            </w:pPr>
          </w:p>
        </w:tc>
        <w:tc>
          <w:tcPr>
            <w:tcW w:w="1276" w:type="dxa"/>
            <w:vMerge/>
            <w:tcBorders>
              <w:bottom w:val="single" w:sz="4" w:space="0" w:color="auto"/>
            </w:tcBorders>
            <w:shd w:val="clear" w:color="auto" w:fill="E3F1F7" w:themeFill="accent1" w:themeFillTint="33"/>
          </w:tcPr>
          <w:p w14:paraId="484A7C15" w14:textId="77777777" w:rsidR="009545F3" w:rsidRPr="00505285" w:rsidRDefault="009545F3" w:rsidP="008D7316">
            <w:pPr>
              <w:spacing w:after="0" w:line="276" w:lineRule="auto"/>
              <w:rPr>
                <w:rFonts w:eastAsia="Times New Roman" w:cs="Arial"/>
                <w:b/>
                <w:bCs/>
                <w:color w:val="FFFFFF"/>
                <w:szCs w:val="20"/>
              </w:rPr>
            </w:pPr>
          </w:p>
        </w:tc>
      </w:tr>
      <w:tr w:rsidR="009545F3" w:rsidRPr="00505285" w14:paraId="63E21F58" w14:textId="77777777" w:rsidTr="00AF50D9">
        <w:trPr>
          <w:trHeight w:val="395"/>
        </w:trPr>
        <w:tc>
          <w:tcPr>
            <w:tcW w:w="1351" w:type="dxa"/>
            <w:tcBorders>
              <w:bottom w:val="nil"/>
            </w:tcBorders>
            <w:vAlign w:val="center"/>
          </w:tcPr>
          <w:p w14:paraId="11ECE1FF" w14:textId="77777777" w:rsidR="009545F3" w:rsidRPr="00505285" w:rsidRDefault="009545F3" w:rsidP="008D7316">
            <w:pPr>
              <w:spacing w:after="0" w:line="276" w:lineRule="auto"/>
              <w:ind w:right="-1346"/>
              <w:rPr>
                <w:rFonts w:eastAsia="Times New Roman" w:cs="Arial"/>
                <w:szCs w:val="20"/>
              </w:rPr>
            </w:pPr>
            <w:r w:rsidRPr="00505285">
              <w:rPr>
                <w:rFonts w:eastAsia="Times New Roman" w:cs="Arial"/>
                <w:szCs w:val="20"/>
              </w:rPr>
              <w:t>19-30 yr</w:t>
            </w:r>
          </w:p>
        </w:tc>
        <w:tc>
          <w:tcPr>
            <w:tcW w:w="1276" w:type="dxa"/>
            <w:tcBorders>
              <w:bottom w:val="nil"/>
            </w:tcBorders>
            <w:vAlign w:val="center"/>
          </w:tcPr>
          <w:p w14:paraId="47A6A89C" w14:textId="11666AF4" w:rsidR="009545F3" w:rsidRPr="00505285" w:rsidRDefault="00253E70" w:rsidP="008D7316">
            <w:pPr>
              <w:spacing w:after="0" w:line="276" w:lineRule="auto"/>
              <w:ind w:right="38"/>
              <w:jc w:val="center"/>
              <w:rPr>
                <w:rFonts w:eastAsia="Times New Roman" w:cs="Arial"/>
                <w:szCs w:val="20"/>
              </w:rPr>
            </w:pPr>
            <w:r>
              <w:rPr>
                <w:rFonts w:eastAsia="Times New Roman" w:cs="Arial"/>
                <w:szCs w:val="20"/>
              </w:rPr>
              <w:t>-</w:t>
            </w:r>
          </w:p>
        </w:tc>
        <w:tc>
          <w:tcPr>
            <w:tcW w:w="1434" w:type="dxa"/>
            <w:tcBorders>
              <w:bottom w:val="nil"/>
            </w:tcBorders>
          </w:tcPr>
          <w:p w14:paraId="5F9F529E" w14:textId="2E41CE42" w:rsidR="009545F3" w:rsidRPr="00505285" w:rsidRDefault="0010561D" w:rsidP="008D7316">
            <w:pPr>
              <w:spacing w:after="0" w:line="276" w:lineRule="auto"/>
              <w:ind w:right="-115"/>
              <w:jc w:val="center"/>
              <w:rPr>
                <w:rFonts w:eastAsia="Times New Roman" w:cs="Arial"/>
                <w:szCs w:val="20"/>
              </w:rPr>
            </w:pPr>
            <w:r>
              <w:rPr>
                <w:rFonts w:eastAsia="Times New Roman" w:cs="Arial"/>
                <w:szCs w:val="20"/>
              </w:rPr>
              <w:t>2.09</w:t>
            </w:r>
          </w:p>
        </w:tc>
        <w:tc>
          <w:tcPr>
            <w:tcW w:w="1118" w:type="dxa"/>
            <w:tcBorders>
              <w:bottom w:val="nil"/>
            </w:tcBorders>
          </w:tcPr>
          <w:p w14:paraId="7E317174" w14:textId="3247E390" w:rsidR="009545F3" w:rsidRPr="00505285" w:rsidRDefault="00D8361B" w:rsidP="008D7316">
            <w:pPr>
              <w:spacing w:after="0" w:line="276" w:lineRule="auto"/>
              <w:ind w:right="-115"/>
              <w:jc w:val="center"/>
              <w:rPr>
                <w:rFonts w:eastAsia="Times New Roman" w:cs="Arial"/>
                <w:szCs w:val="20"/>
              </w:rPr>
            </w:pPr>
            <w:r>
              <w:rPr>
                <w:rFonts w:eastAsia="Times New Roman" w:cs="Arial"/>
                <w:szCs w:val="20"/>
              </w:rPr>
              <w:t>1.74</w:t>
            </w:r>
          </w:p>
        </w:tc>
        <w:tc>
          <w:tcPr>
            <w:tcW w:w="1434" w:type="dxa"/>
            <w:tcBorders>
              <w:bottom w:val="nil"/>
            </w:tcBorders>
          </w:tcPr>
          <w:p w14:paraId="49DA6B39" w14:textId="6BAD2E72" w:rsidR="009545F3" w:rsidRPr="00505285" w:rsidRDefault="00263E35" w:rsidP="008D7316">
            <w:pPr>
              <w:spacing w:after="0" w:line="276" w:lineRule="auto"/>
              <w:ind w:right="36"/>
              <w:jc w:val="center"/>
              <w:rPr>
                <w:rFonts w:eastAsia="Times New Roman" w:cs="Arial"/>
                <w:szCs w:val="20"/>
              </w:rPr>
            </w:pPr>
            <w:r>
              <w:rPr>
                <w:rFonts w:eastAsia="Times New Roman" w:cs="Arial"/>
                <w:szCs w:val="20"/>
              </w:rPr>
              <w:t>2.17</w:t>
            </w:r>
          </w:p>
        </w:tc>
        <w:tc>
          <w:tcPr>
            <w:tcW w:w="1436" w:type="dxa"/>
            <w:tcBorders>
              <w:bottom w:val="nil"/>
            </w:tcBorders>
          </w:tcPr>
          <w:p w14:paraId="5B503BC1" w14:textId="652BA341" w:rsidR="009545F3" w:rsidRPr="00505285" w:rsidRDefault="00263E35" w:rsidP="008D7316">
            <w:pPr>
              <w:spacing w:after="0" w:line="276" w:lineRule="auto"/>
              <w:ind w:right="-115"/>
              <w:jc w:val="center"/>
              <w:rPr>
                <w:rFonts w:eastAsia="Times New Roman" w:cs="Arial"/>
                <w:szCs w:val="20"/>
              </w:rPr>
            </w:pPr>
            <w:r>
              <w:rPr>
                <w:rFonts w:eastAsia="Times New Roman" w:cs="Arial"/>
                <w:szCs w:val="20"/>
              </w:rPr>
              <w:t>1.83</w:t>
            </w:r>
          </w:p>
        </w:tc>
        <w:tc>
          <w:tcPr>
            <w:tcW w:w="1436" w:type="dxa"/>
            <w:tcBorders>
              <w:bottom w:val="nil"/>
            </w:tcBorders>
          </w:tcPr>
          <w:p w14:paraId="301130FB" w14:textId="277FD19C" w:rsidR="009545F3" w:rsidRPr="00505285" w:rsidRDefault="004745CA" w:rsidP="008D7316">
            <w:pPr>
              <w:spacing w:after="0" w:line="276" w:lineRule="auto"/>
              <w:ind w:right="27"/>
              <w:jc w:val="center"/>
              <w:rPr>
                <w:rFonts w:eastAsia="Times New Roman" w:cs="Arial"/>
                <w:szCs w:val="20"/>
              </w:rPr>
            </w:pPr>
            <w:r>
              <w:rPr>
                <w:rFonts w:eastAsia="Times New Roman" w:cs="Arial"/>
                <w:szCs w:val="20"/>
              </w:rPr>
              <w:t>2.21</w:t>
            </w:r>
          </w:p>
        </w:tc>
        <w:tc>
          <w:tcPr>
            <w:tcW w:w="1276" w:type="dxa"/>
            <w:tcBorders>
              <w:bottom w:val="nil"/>
            </w:tcBorders>
          </w:tcPr>
          <w:p w14:paraId="1E90ED2B" w14:textId="1AA63CA9" w:rsidR="009545F3" w:rsidRPr="00505285" w:rsidRDefault="004745CA" w:rsidP="008D7316">
            <w:pPr>
              <w:spacing w:after="0" w:line="276" w:lineRule="auto"/>
              <w:ind w:right="27"/>
              <w:jc w:val="center"/>
              <w:rPr>
                <w:rFonts w:eastAsia="Times New Roman" w:cs="Arial"/>
                <w:szCs w:val="20"/>
              </w:rPr>
            </w:pPr>
            <w:r>
              <w:rPr>
                <w:rFonts w:eastAsia="Times New Roman" w:cs="Arial"/>
                <w:szCs w:val="20"/>
              </w:rPr>
              <w:t>2.03</w:t>
            </w:r>
          </w:p>
        </w:tc>
        <w:tc>
          <w:tcPr>
            <w:tcW w:w="1436" w:type="dxa"/>
            <w:tcBorders>
              <w:bottom w:val="nil"/>
            </w:tcBorders>
          </w:tcPr>
          <w:p w14:paraId="38E7583F" w14:textId="72B9805E" w:rsidR="009545F3" w:rsidRPr="00505285" w:rsidRDefault="00855E57" w:rsidP="008D7316">
            <w:pPr>
              <w:spacing w:after="0" w:line="276" w:lineRule="auto"/>
              <w:ind w:right="34"/>
              <w:jc w:val="center"/>
              <w:rPr>
                <w:rFonts w:eastAsia="Times New Roman" w:cs="Arial"/>
                <w:szCs w:val="20"/>
              </w:rPr>
            </w:pPr>
            <w:r>
              <w:rPr>
                <w:rFonts w:eastAsia="Times New Roman" w:cs="Arial"/>
                <w:szCs w:val="20"/>
              </w:rPr>
              <w:t>2.33</w:t>
            </w:r>
          </w:p>
        </w:tc>
        <w:tc>
          <w:tcPr>
            <w:tcW w:w="1276" w:type="dxa"/>
            <w:tcBorders>
              <w:bottom w:val="nil"/>
            </w:tcBorders>
          </w:tcPr>
          <w:p w14:paraId="1E31499F" w14:textId="2ECB6E4D" w:rsidR="009545F3" w:rsidRPr="00505285" w:rsidRDefault="00630ACA" w:rsidP="008D7316">
            <w:pPr>
              <w:spacing w:after="0" w:line="276" w:lineRule="auto"/>
              <w:ind w:right="34"/>
              <w:jc w:val="center"/>
              <w:rPr>
                <w:rFonts w:eastAsia="Times New Roman" w:cs="Arial"/>
                <w:szCs w:val="20"/>
              </w:rPr>
            </w:pPr>
            <w:r>
              <w:rPr>
                <w:rFonts w:eastAsia="Times New Roman" w:cs="Arial"/>
                <w:szCs w:val="20"/>
              </w:rPr>
              <w:t>1.65</w:t>
            </w:r>
          </w:p>
        </w:tc>
      </w:tr>
      <w:tr w:rsidR="009545F3" w:rsidRPr="00505285" w14:paraId="42F5E2DA" w14:textId="77777777" w:rsidTr="00AF50D9">
        <w:trPr>
          <w:trHeight w:val="395"/>
        </w:trPr>
        <w:tc>
          <w:tcPr>
            <w:tcW w:w="1351" w:type="dxa"/>
            <w:tcBorders>
              <w:top w:val="nil"/>
              <w:bottom w:val="nil"/>
            </w:tcBorders>
            <w:vAlign w:val="center"/>
          </w:tcPr>
          <w:p w14:paraId="74D950DA" w14:textId="77777777" w:rsidR="009545F3" w:rsidRPr="00505285" w:rsidRDefault="009545F3" w:rsidP="007B32E8">
            <w:pPr>
              <w:spacing w:after="0" w:line="276" w:lineRule="auto"/>
              <w:ind w:right="-1346"/>
              <w:rPr>
                <w:rFonts w:eastAsia="Times New Roman" w:cs="Arial"/>
                <w:szCs w:val="20"/>
              </w:rPr>
            </w:pPr>
            <w:r w:rsidRPr="00505285">
              <w:rPr>
                <w:rFonts w:eastAsia="Times New Roman" w:cs="Arial"/>
                <w:szCs w:val="20"/>
              </w:rPr>
              <w:t>31-50 yr</w:t>
            </w:r>
          </w:p>
        </w:tc>
        <w:tc>
          <w:tcPr>
            <w:tcW w:w="1276" w:type="dxa"/>
            <w:tcBorders>
              <w:top w:val="nil"/>
              <w:bottom w:val="nil"/>
            </w:tcBorders>
          </w:tcPr>
          <w:p w14:paraId="4FFFABE3" w14:textId="370A7FB5" w:rsidR="009545F3" w:rsidRPr="00505285" w:rsidRDefault="00F670E5" w:rsidP="007B32E8">
            <w:pPr>
              <w:spacing w:after="0" w:line="276" w:lineRule="auto"/>
              <w:ind w:right="38"/>
              <w:jc w:val="center"/>
              <w:rPr>
                <w:rFonts w:eastAsia="Times New Roman" w:cs="Arial"/>
                <w:szCs w:val="20"/>
              </w:rPr>
            </w:pPr>
            <w:r>
              <w:rPr>
                <w:rFonts w:eastAsia="Times New Roman" w:cs="Arial"/>
                <w:szCs w:val="20"/>
              </w:rPr>
              <w:t>1.2</w:t>
            </w:r>
          </w:p>
        </w:tc>
        <w:tc>
          <w:tcPr>
            <w:tcW w:w="1434" w:type="dxa"/>
            <w:tcBorders>
              <w:top w:val="nil"/>
              <w:bottom w:val="nil"/>
            </w:tcBorders>
          </w:tcPr>
          <w:p w14:paraId="1E720480" w14:textId="35F17A5A" w:rsidR="009545F3" w:rsidRPr="00505285" w:rsidRDefault="005365B4" w:rsidP="007B32E8">
            <w:pPr>
              <w:spacing w:after="0" w:line="276" w:lineRule="auto"/>
              <w:ind w:right="-115"/>
              <w:jc w:val="center"/>
              <w:rPr>
                <w:rFonts w:eastAsia="Times New Roman" w:cs="Arial"/>
                <w:szCs w:val="20"/>
              </w:rPr>
            </w:pPr>
            <w:r>
              <w:rPr>
                <w:rFonts w:eastAsia="Times New Roman" w:cs="Arial"/>
                <w:szCs w:val="20"/>
              </w:rPr>
              <w:t>1.99</w:t>
            </w:r>
          </w:p>
        </w:tc>
        <w:tc>
          <w:tcPr>
            <w:tcW w:w="1118" w:type="dxa"/>
            <w:tcBorders>
              <w:top w:val="nil"/>
              <w:bottom w:val="nil"/>
            </w:tcBorders>
          </w:tcPr>
          <w:p w14:paraId="17235E98" w14:textId="3CDF0BC8" w:rsidR="009545F3" w:rsidRPr="00505285" w:rsidRDefault="00814EB6" w:rsidP="007B32E8">
            <w:pPr>
              <w:spacing w:after="0" w:line="276" w:lineRule="auto"/>
              <w:ind w:right="-115"/>
              <w:jc w:val="center"/>
              <w:rPr>
                <w:rFonts w:eastAsia="Times New Roman" w:cs="Arial"/>
                <w:szCs w:val="20"/>
              </w:rPr>
            </w:pPr>
            <w:r>
              <w:rPr>
                <w:rFonts w:eastAsia="Times New Roman" w:cs="Arial"/>
                <w:szCs w:val="20"/>
              </w:rPr>
              <w:t>1.74</w:t>
            </w:r>
          </w:p>
        </w:tc>
        <w:tc>
          <w:tcPr>
            <w:tcW w:w="1434" w:type="dxa"/>
            <w:tcBorders>
              <w:top w:val="nil"/>
              <w:bottom w:val="nil"/>
            </w:tcBorders>
          </w:tcPr>
          <w:p w14:paraId="42F0BA9F" w14:textId="38BE2674" w:rsidR="009545F3" w:rsidRPr="00505285" w:rsidRDefault="00263E35" w:rsidP="007B32E8">
            <w:pPr>
              <w:spacing w:after="0" w:line="276" w:lineRule="auto"/>
              <w:ind w:right="36"/>
              <w:jc w:val="center"/>
              <w:rPr>
                <w:rFonts w:eastAsia="Times New Roman" w:cs="Arial"/>
                <w:szCs w:val="20"/>
              </w:rPr>
            </w:pPr>
            <w:r>
              <w:rPr>
                <w:rFonts w:eastAsia="Times New Roman" w:cs="Arial"/>
                <w:szCs w:val="20"/>
              </w:rPr>
              <w:t>2.07</w:t>
            </w:r>
          </w:p>
        </w:tc>
        <w:tc>
          <w:tcPr>
            <w:tcW w:w="1436" w:type="dxa"/>
            <w:tcBorders>
              <w:top w:val="nil"/>
              <w:bottom w:val="nil"/>
            </w:tcBorders>
          </w:tcPr>
          <w:p w14:paraId="28343197" w14:textId="52AD497D" w:rsidR="009545F3" w:rsidRPr="00505285" w:rsidRDefault="00592021" w:rsidP="007B32E8">
            <w:pPr>
              <w:spacing w:after="0" w:line="276" w:lineRule="auto"/>
              <w:ind w:right="-115"/>
              <w:jc w:val="center"/>
              <w:rPr>
                <w:rFonts w:eastAsia="Times New Roman" w:cs="Arial"/>
                <w:szCs w:val="20"/>
              </w:rPr>
            </w:pPr>
            <w:r>
              <w:rPr>
                <w:rFonts w:eastAsia="Times New Roman" w:cs="Arial"/>
                <w:szCs w:val="20"/>
              </w:rPr>
              <w:t>1.82</w:t>
            </w:r>
          </w:p>
        </w:tc>
        <w:tc>
          <w:tcPr>
            <w:tcW w:w="1436" w:type="dxa"/>
            <w:tcBorders>
              <w:top w:val="nil"/>
              <w:bottom w:val="nil"/>
            </w:tcBorders>
          </w:tcPr>
          <w:p w14:paraId="755F40CC" w14:textId="65DFB243" w:rsidR="009545F3" w:rsidRPr="00505285" w:rsidRDefault="004745CA" w:rsidP="007B32E8">
            <w:pPr>
              <w:spacing w:after="0" w:line="276" w:lineRule="auto"/>
              <w:ind w:right="27"/>
              <w:jc w:val="center"/>
              <w:rPr>
                <w:rFonts w:eastAsia="Times New Roman" w:cs="Arial"/>
                <w:szCs w:val="20"/>
              </w:rPr>
            </w:pPr>
            <w:r>
              <w:rPr>
                <w:rFonts w:eastAsia="Times New Roman" w:cs="Arial"/>
                <w:szCs w:val="20"/>
              </w:rPr>
              <w:t>2.11</w:t>
            </w:r>
          </w:p>
        </w:tc>
        <w:tc>
          <w:tcPr>
            <w:tcW w:w="1276" w:type="dxa"/>
            <w:tcBorders>
              <w:top w:val="nil"/>
              <w:bottom w:val="nil"/>
            </w:tcBorders>
          </w:tcPr>
          <w:p w14:paraId="6245D53B" w14:textId="2B299658" w:rsidR="009545F3" w:rsidRPr="00505285" w:rsidRDefault="004745CA" w:rsidP="007B32E8">
            <w:pPr>
              <w:spacing w:after="0" w:line="276" w:lineRule="auto"/>
              <w:ind w:right="27"/>
              <w:jc w:val="center"/>
              <w:rPr>
                <w:rFonts w:eastAsia="Times New Roman" w:cs="Arial"/>
                <w:szCs w:val="20"/>
              </w:rPr>
            </w:pPr>
            <w:r>
              <w:rPr>
                <w:rFonts w:eastAsia="Times New Roman" w:cs="Arial"/>
                <w:szCs w:val="20"/>
              </w:rPr>
              <w:t>1.93</w:t>
            </w:r>
          </w:p>
        </w:tc>
        <w:tc>
          <w:tcPr>
            <w:tcW w:w="1436" w:type="dxa"/>
            <w:tcBorders>
              <w:top w:val="nil"/>
              <w:bottom w:val="nil"/>
            </w:tcBorders>
          </w:tcPr>
          <w:p w14:paraId="2C1233D8" w14:textId="59F68594" w:rsidR="009545F3" w:rsidRPr="00505285" w:rsidRDefault="00855E57" w:rsidP="007B32E8">
            <w:pPr>
              <w:spacing w:after="0" w:line="276" w:lineRule="auto"/>
              <w:ind w:right="-115"/>
              <w:jc w:val="center"/>
              <w:rPr>
                <w:rFonts w:eastAsia="Times New Roman" w:cs="Arial"/>
                <w:szCs w:val="20"/>
              </w:rPr>
            </w:pPr>
            <w:r>
              <w:rPr>
                <w:rFonts w:eastAsia="Times New Roman" w:cs="Arial"/>
                <w:szCs w:val="20"/>
              </w:rPr>
              <w:t>2.18</w:t>
            </w:r>
          </w:p>
        </w:tc>
        <w:tc>
          <w:tcPr>
            <w:tcW w:w="1276" w:type="dxa"/>
            <w:tcBorders>
              <w:top w:val="nil"/>
              <w:bottom w:val="nil"/>
            </w:tcBorders>
          </w:tcPr>
          <w:p w14:paraId="515B9F2A" w14:textId="4EDCB6E9" w:rsidR="009545F3" w:rsidRPr="00505285" w:rsidRDefault="00630ACA" w:rsidP="007B32E8">
            <w:pPr>
              <w:spacing w:after="0" w:line="276" w:lineRule="auto"/>
              <w:ind w:right="34"/>
              <w:jc w:val="center"/>
              <w:rPr>
                <w:rFonts w:eastAsia="Times New Roman" w:cs="Arial"/>
                <w:szCs w:val="20"/>
              </w:rPr>
            </w:pPr>
            <w:r>
              <w:rPr>
                <w:rFonts w:eastAsia="Times New Roman" w:cs="Arial"/>
                <w:szCs w:val="20"/>
              </w:rPr>
              <w:t>1.66</w:t>
            </w:r>
          </w:p>
        </w:tc>
      </w:tr>
      <w:tr w:rsidR="009545F3" w:rsidRPr="00505285" w14:paraId="64F6808D" w14:textId="77777777" w:rsidTr="00AF50D9">
        <w:trPr>
          <w:trHeight w:val="408"/>
        </w:trPr>
        <w:tc>
          <w:tcPr>
            <w:tcW w:w="1351" w:type="dxa"/>
            <w:tcBorders>
              <w:top w:val="nil"/>
              <w:bottom w:val="nil"/>
            </w:tcBorders>
            <w:vAlign w:val="center"/>
          </w:tcPr>
          <w:p w14:paraId="6E0CA1CE" w14:textId="77777777" w:rsidR="009545F3" w:rsidRPr="00505285" w:rsidRDefault="009545F3" w:rsidP="007B32E8">
            <w:pPr>
              <w:spacing w:after="0" w:line="276" w:lineRule="auto"/>
              <w:ind w:right="-1346"/>
              <w:rPr>
                <w:rFonts w:eastAsia="Times New Roman" w:cs="Arial"/>
                <w:szCs w:val="20"/>
              </w:rPr>
            </w:pPr>
            <w:r w:rsidRPr="00505285">
              <w:rPr>
                <w:rFonts w:eastAsia="Times New Roman" w:cs="Arial"/>
                <w:szCs w:val="20"/>
              </w:rPr>
              <w:t>51-70 yr</w:t>
            </w:r>
          </w:p>
        </w:tc>
        <w:tc>
          <w:tcPr>
            <w:tcW w:w="1276" w:type="dxa"/>
            <w:tcBorders>
              <w:top w:val="nil"/>
              <w:bottom w:val="nil"/>
            </w:tcBorders>
          </w:tcPr>
          <w:p w14:paraId="75A84927" w14:textId="2121DC86" w:rsidR="009545F3" w:rsidRPr="00505285" w:rsidRDefault="00253E70" w:rsidP="007B32E8">
            <w:pPr>
              <w:spacing w:after="0" w:line="276" w:lineRule="auto"/>
              <w:ind w:right="38"/>
              <w:jc w:val="center"/>
              <w:rPr>
                <w:rFonts w:eastAsia="Times New Roman" w:cs="Arial"/>
                <w:szCs w:val="20"/>
              </w:rPr>
            </w:pPr>
            <w:r>
              <w:rPr>
                <w:rFonts w:eastAsia="Times New Roman" w:cs="Arial"/>
                <w:szCs w:val="20"/>
              </w:rPr>
              <w:t>-</w:t>
            </w:r>
          </w:p>
        </w:tc>
        <w:tc>
          <w:tcPr>
            <w:tcW w:w="1434" w:type="dxa"/>
            <w:tcBorders>
              <w:top w:val="nil"/>
              <w:bottom w:val="nil"/>
            </w:tcBorders>
          </w:tcPr>
          <w:p w14:paraId="540B5DF8" w14:textId="0EA7AD10" w:rsidR="009545F3" w:rsidRPr="00505285" w:rsidRDefault="005365B4" w:rsidP="007B32E8">
            <w:pPr>
              <w:spacing w:after="0" w:line="276" w:lineRule="auto"/>
              <w:ind w:right="-115"/>
              <w:jc w:val="center"/>
              <w:rPr>
                <w:rFonts w:eastAsia="Times New Roman" w:cs="Arial"/>
                <w:szCs w:val="20"/>
              </w:rPr>
            </w:pPr>
            <w:r>
              <w:rPr>
                <w:rFonts w:eastAsia="Times New Roman" w:cs="Arial"/>
                <w:szCs w:val="20"/>
              </w:rPr>
              <w:t>1.81</w:t>
            </w:r>
          </w:p>
        </w:tc>
        <w:tc>
          <w:tcPr>
            <w:tcW w:w="1118" w:type="dxa"/>
            <w:tcBorders>
              <w:top w:val="nil"/>
              <w:bottom w:val="nil"/>
            </w:tcBorders>
          </w:tcPr>
          <w:p w14:paraId="5320D639" w14:textId="46ECAEC5" w:rsidR="009545F3" w:rsidRPr="00505285" w:rsidRDefault="00814EB6" w:rsidP="007B32E8">
            <w:pPr>
              <w:spacing w:after="0" w:line="276" w:lineRule="auto"/>
              <w:ind w:right="-115"/>
              <w:jc w:val="center"/>
              <w:rPr>
                <w:rFonts w:eastAsia="Times New Roman" w:cs="Arial"/>
                <w:szCs w:val="20"/>
              </w:rPr>
            </w:pPr>
            <w:r>
              <w:rPr>
                <w:rFonts w:eastAsia="Times New Roman" w:cs="Arial"/>
                <w:szCs w:val="20"/>
              </w:rPr>
              <w:t>1.79</w:t>
            </w:r>
          </w:p>
        </w:tc>
        <w:tc>
          <w:tcPr>
            <w:tcW w:w="1434" w:type="dxa"/>
            <w:tcBorders>
              <w:top w:val="nil"/>
              <w:bottom w:val="nil"/>
            </w:tcBorders>
          </w:tcPr>
          <w:p w14:paraId="2DC72E76" w14:textId="033D7A1D" w:rsidR="009545F3" w:rsidRPr="00505285" w:rsidRDefault="00263E35" w:rsidP="007B32E8">
            <w:pPr>
              <w:spacing w:after="0" w:line="276" w:lineRule="auto"/>
              <w:ind w:right="36"/>
              <w:jc w:val="center"/>
              <w:rPr>
                <w:rFonts w:eastAsia="Times New Roman" w:cs="Arial"/>
                <w:szCs w:val="20"/>
              </w:rPr>
            </w:pPr>
            <w:r>
              <w:rPr>
                <w:rFonts w:eastAsia="Times New Roman" w:cs="Arial"/>
                <w:szCs w:val="20"/>
              </w:rPr>
              <w:t>2.00</w:t>
            </w:r>
          </w:p>
        </w:tc>
        <w:tc>
          <w:tcPr>
            <w:tcW w:w="1436" w:type="dxa"/>
            <w:tcBorders>
              <w:top w:val="nil"/>
              <w:bottom w:val="nil"/>
            </w:tcBorders>
          </w:tcPr>
          <w:p w14:paraId="4D4E31F8" w14:textId="3F7E33A5" w:rsidR="009545F3" w:rsidRPr="00505285" w:rsidRDefault="00592021" w:rsidP="007B32E8">
            <w:pPr>
              <w:spacing w:after="0" w:line="276" w:lineRule="auto"/>
              <w:ind w:right="-115"/>
              <w:jc w:val="center"/>
              <w:rPr>
                <w:rFonts w:eastAsia="Times New Roman" w:cs="Arial"/>
                <w:szCs w:val="20"/>
              </w:rPr>
            </w:pPr>
            <w:r>
              <w:rPr>
                <w:rFonts w:eastAsia="Times New Roman" w:cs="Arial"/>
                <w:szCs w:val="20"/>
              </w:rPr>
              <w:t>1.53</w:t>
            </w:r>
          </w:p>
        </w:tc>
        <w:tc>
          <w:tcPr>
            <w:tcW w:w="1436" w:type="dxa"/>
            <w:tcBorders>
              <w:top w:val="nil"/>
              <w:bottom w:val="nil"/>
            </w:tcBorders>
          </w:tcPr>
          <w:p w14:paraId="4BDFCD69" w14:textId="5F1CE0C4" w:rsidR="009545F3" w:rsidRPr="00505285" w:rsidRDefault="004745CA" w:rsidP="007B32E8">
            <w:pPr>
              <w:spacing w:after="0" w:line="276" w:lineRule="auto"/>
              <w:ind w:right="27"/>
              <w:jc w:val="center"/>
              <w:rPr>
                <w:rFonts w:eastAsia="Times New Roman" w:cs="Arial"/>
                <w:szCs w:val="20"/>
              </w:rPr>
            </w:pPr>
            <w:r>
              <w:rPr>
                <w:rFonts w:eastAsia="Times New Roman" w:cs="Arial"/>
                <w:szCs w:val="20"/>
              </w:rPr>
              <w:t>2.04</w:t>
            </w:r>
          </w:p>
        </w:tc>
        <w:tc>
          <w:tcPr>
            <w:tcW w:w="1276" w:type="dxa"/>
            <w:tcBorders>
              <w:top w:val="nil"/>
              <w:bottom w:val="nil"/>
            </w:tcBorders>
          </w:tcPr>
          <w:p w14:paraId="63D81893" w14:textId="1121406F" w:rsidR="009545F3" w:rsidRPr="00505285" w:rsidRDefault="004745CA" w:rsidP="007B32E8">
            <w:pPr>
              <w:spacing w:after="0" w:line="276" w:lineRule="auto"/>
              <w:ind w:right="27"/>
              <w:jc w:val="center"/>
              <w:rPr>
                <w:rFonts w:eastAsia="Times New Roman" w:cs="Arial"/>
                <w:szCs w:val="20"/>
              </w:rPr>
            </w:pPr>
            <w:r>
              <w:rPr>
                <w:rFonts w:eastAsia="Times New Roman" w:cs="Arial"/>
                <w:szCs w:val="20"/>
              </w:rPr>
              <w:t>1.80</w:t>
            </w:r>
          </w:p>
        </w:tc>
        <w:tc>
          <w:tcPr>
            <w:tcW w:w="1436" w:type="dxa"/>
            <w:tcBorders>
              <w:top w:val="nil"/>
              <w:bottom w:val="nil"/>
            </w:tcBorders>
          </w:tcPr>
          <w:p w14:paraId="74339AAA" w14:textId="1DDF3F4B" w:rsidR="009545F3" w:rsidRPr="00505285" w:rsidRDefault="00855E57" w:rsidP="007B32E8">
            <w:pPr>
              <w:spacing w:after="0" w:line="276" w:lineRule="auto"/>
              <w:ind w:right="-115"/>
              <w:jc w:val="center"/>
              <w:rPr>
                <w:rFonts w:eastAsia="Times New Roman" w:cs="Arial"/>
                <w:szCs w:val="20"/>
              </w:rPr>
            </w:pPr>
            <w:r>
              <w:rPr>
                <w:rFonts w:eastAsia="Times New Roman" w:cs="Arial"/>
                <w:szCs w:val="20"/>
              </w:rPr>
              <w:t>1.98</w:t>
            </w:r>
          </w:p>
        </w:tc>
        <w:tc>
          <w:tcPr>
            <w:tcW w:w="1276" w:type="dxa"/>
            <w:tcBorders>
              <w:top w:val="nil"/>
              <w:bottom w:val="nil"/>
            </w:tcBorders>
          </w:tcPr>
          <w:p w14:paraId="7AC14EBC" w14:textId="456D5DEC" w:rsidR="009545F3" w:rsidRPr="00505285" w:rsidRDefault="00630ACA" w:rsidP="007B32E8">
            <w:pPr>
              <w:spacing w:after="0" w:line="276" w:lineRule="auto"/>
              <w:ind w:right="34"/>
              <w:jc w:val="center"/>
              <w:rPr>
                <w:rFonts w:eastAsia="Times New Roman" w:cs="Arial"/>
                <w:szCs w:val="20"/>
              </w:rPr>
            </w:pPr>
            <w:r>
              <w:rPr>
                <w:rFonts w:eastAsia="Times New Roman" w:cs="Arial"/>
                <w:szCs w:val="20"/>
              </w:rPr>
              <w:t>1.57</w:t>
            </w:r>
          </w:p>
        </w:tc>
      </w:tr>
      <w:tr w:rsidR="009545F3" w:rsidRPr="00505285" w14:paraId="7055C69B" w14:textId="77777777" w:rsidTr="00AF50D9">
        <w:trPr>
          <w:trHeight w:val="395"/>
        </w:trPr>
        <w:tc>
          <w:tcPr>
            <w:tcW w:w="1351" w:type="dxa"/>
            <w:tcBorders>
              <w:top w:val="nil"/>
            </w:tcBorders>
            <w:vAlign w:val="center"/>
          </w:tcPr>
          <w:p w14:paraId="5FAE7D9C" w14:textId="77777777" w:rsidR="009545F3" w:rsidRPr="00505285" w:rsidRDefault="009545F3" w:rsidP="007B32E8">
            <w:pPr>
              <w:spacing w:after="0" w:line="276" w:lineRule="auto"/>
              <w:ind w:right="-1346"/>
              <w:rPr>
                <w:rFonts w:eastAsia="Times New Roman" w:cs="Arial"/>
                <w:szCs w:val="20"/>
              </w:rPr>
            </w:pPr>
            <w:r w:rsidRPr="00505285">
              <w:rPr>
                <w:rFonts w:eastAsia="Times New Roman" w:cs="Arial"/>
                <w:szCs w:val="20"/>
              </w:rPr>
              <w:t>70+ yr</w:t>
            </w:r>
          </w:p>
        </w:tc>
        <w:tc>
          <w:tcPr>
            <w:tcW w:w="1276" w:type="dxa"/>
            <w:tcBorders>
              <w:top w:val="nil"/>
            </w:tcBorders>
          </w:tcPr>
          <w:p w14:paraId="4415A216" w14:textId="2B15B7E7" w:rsidR="009545F3" w:rsidRPr="00505285" w:rsidRDefault="00253E70" w:rsidP="007B32E8">
            <w:pPr>
              <w:spacing w:after="0" w:line="276" w:lineRule="auto"/>
              <w:ind w:right="38"/>
              <w:jc w:val="center"/>
              <w:rPr>
                <w:rFonts w:eastAsia="Times New Roman" w:cs="Arial"/>
                <w:szCs w:val="20"/>
              </w:rPr>
            </w:pPr>
            <w:r>
              <w:rPr>
                <w:rFonts w:eastAsia="Times New Roman" w:cs="Arial"/>
                <w:szCs w:val="20"/>
              </w:rPr>
              <w:t>-</w:t>
            </w:r>
          </w:p>
        </w:tc>
        <w:tc>
          <w:tcPr>
            <w:tcW w:w="1434" w:type="dxa"/>
            <w:tcBorders>
              <w:top w:val="nil"/>
            </w:tcBorders>
          </w:tcPr>
          <w:p w14:paraId="0CF80CB9" w14:textId="4355DA83" w:rsidR="009545F3" w:rsidRPr="00505285" w:rsidRDefault="005365B4" w:rsidP="007B32E8">
            <w:pPr>
              <w:spacing w:after="0" w:line="276" w:lineRule="auto"/>
              <w:ind w:right="-115"/>
              <w:jc w:val="center"/>
              <w:rPr>
                <w:rFonts w:eastAsia="Times New Roman" w:cs="Arial"/>
                <w:szCs w:val="20"/>
              </w:rPr>
            </w:pPr>
            <w:r>
              <w:rPr>
                <w:rFonts w:eastAsia="Times New Roman" w:cs="Arial"/>
                <w:szCs w:val="20"/>
              </w:rPr>
              <w:t>1.76</w:t>
            </w:r>
          </w:p>
        </w:tc>
        <w:tc>
          <w:tcPr>
            <w:tcW w:w="1118" w:type="dxa"/>
            <w:tcBorders>
              <w:top w:val="nil"/>
            </w:tcBorders>
          </w:tcPr>
          <w:p w14:paraId="230CC9CF" w14:textId="66F5DC01" w:rsidR="009545F3" w:rsidRPr="00505285" w:rsidRDefault="00814EB6" w:rsidP="007B32E8">
            <w:pPr>
              <w:spacing w:after="0" w:line="276" w:lineRule="auto"/>
              <w:ind w:right="-115"/>
              <w:jc w:val="center"/>
              <w:rPr>
                <w:rFonts w:eastAsia="Times New Roman" w:cs="Arial"/>
                <w:szCs w:val="20"/>
              </w:rPr>
            </w:pPr>
            <w:r>
              <w:rPr>
                <w:rFonts w:eastAsia="Times New Roman" w:cs="Arial"/>
                <w:szCs w:val="20"/>
              </w:rPr>
              <w:t>1.67</w:t>
            </w:r>
          </w:p>
        </w:tc>
        <w:tc>
          <w:tcPr>
            <w:tcW w:w="1434" w:type="dxa"/>
            <w:tcBorders>
              <w:top w:val="nil"/>
            </w:tcBorders>
          </w:tcPr>
          <w:p w14:paraId="3CA6D14F" w14:textId="326B5EE6" w:rsidR="009545F3" w:rsidRPr="00505285" w:rsidRDefault="00263E35" w:rsidP="007B32E8">
            <w:pPr>
              <w:spacing w:after="0" w:line="276" w:lineRule="auto"/>
              <w:ind w:right="-115"/>
              <w:jc w:val="center"/>
              <w:rPr>
                <w:rFonts w:eastAsia="Times New Roman" w:cs="Arial"/>
                <w:szCs w:val="20"/>
              </w:rPr>
            </w:pPr>
            <w:r>
              <w:rPr>
                <w:rFonts w:eastAsia="Times New Roman" w:cs="Arial"/>
                <w:szCs w:val="20"/>
              </w:rPr>
              <w:t>1.52</w:t>
            </w:r>
          </w:p>
        </w:tc>
        <w:tc>
          <w:tcPr>
            <w:tcW w:w="1436" w:type="dxa"/>
            <w:tcBorders>
              <w:top w:val="nil"/>
            </w:tcBorders>
          </w:tcPr>
          <w:p w14:paraId="66B885A2" w14:textId="0AB58C09" w:rsidR="009545F3" w:rsidRPr="00505285" w:rsidRDefault="00592021" w:rsidP="007B32E8">
            <w:pPr>
              <w:spacing w:after="0" w:line="276" w:lineRule="auto"/>
              <w:ind w:right="-115"/>
              <w:jc w:val="center"/>
              <w:rPr>
                <w:rFonts w:eastAsia="Times New Roman" w:cs="Arial"/>
                <w:szCs w:val="20"/>
              </w:rPr>
            </w:pPr>
            <w:r>
              <w:rPr>
                <w:rFonts w:eastAsia="Times New Roman" w:cs="Arial"/>
                <w:szCs w:val="20"/>
              </w:rPr>
              <w:t>1.45</w:t>
            </w:r>
          </w:p>
        </w:tc>
        <w:tc>
          <w:tcPr>
            <w:tcW w:w="1436" w:type="dxa"/>
            <w:tcBorders>
              <w:top w:val="nil"/>
            </w:tcBorders>
          </w:tcPr>
          <w:p w14:paraId="4FEB920F" w14:textId="7DD68FF7" w:rsidR="009545F3" w:rsidRPr="00505285" w:rsidRDefault="00232A71" w:rsidP="007B32E8">
            <w:pPr>
              <w:spacing w:after="0" w:line="276" w:lineRule="auto"/>
              <w:ind w:right="27"/>
              <w:jc w:val="center"/>
              <w:rPr>
                <w:rFonts w:eastAsia="Times New Roman" w:cs="Arial"/>
                <w:szCs w:val="20"/>
              </w:rPr>
            </w:pPr>
            <w:r>
              <w:rPr>
                <w:rFonts w:eastAsia="Times New Roman" w:cs="Arial"/>
                <w:szCs w:val="20"/>
              </w:rPr>
              <w:t>1.52</w:t>
            </w:r>
          </w:p>
        </w:tc>
        <w:tc>
          <w:tcPr>
            <w:tcW w:w="1276" w:type="dxa"/>
            <w:tcBorders>
              <w:top w:val="nil"/>
            </w:tcBorders>
          </w:tcPr>
          <w:p w14:paraId="1B4F2D1B" w14:textId="1547420B" w:rsidR="009545F3" w:rsidRPr="00505285" w:rsidRDefault="004745CA" w:rsidP="007B32E8">
            <w:pPr>
              <w:spacing w:after="0" w:line="276" w:lineRule="auto"/>
              <w:ind w:right="-115"/>
              <w:jc w:val="center"/>
              <w:rPr>
                <w:rFonts w:eastAsia="Times New Roman" w:cs="Arial"/>
                <w:szCs w:val="20"/>
              </w:rPr>
            </w:pPr>
            <w:r>
              <w:rPr>
                <w:rFonts w:eastAsia="Times New Roman" w:cs="Arial"/>
                <w:szCs w:val="20"/>
              </w:rPr>
              <w:t>1.50</w:t>
            </w:r>
          </w:p>
        </w:tc>
        <w:tc>
          <w:tcPr>
            <w:tcW w:w="1436" w:type="dxa"/>
            <w:tcBorders>
              <w:top w:val="nil"/>
            </w:tcBorders>
          </w:tcPr>
          <w:p w14:paraId="47822E9D" w14:textId="339C64AB" w:rsidR="009545F3" w:rsidRPr="00505285" w:rsidRDefault="00855E57" w:rsidP="007B32E8">
            <w:pPr>
              <w:spacing w:after="0" w:line="276" w:lineRule="auto"/>
              <w:ind w:right="-115"/>
              <w:jc w:val="center"/>
              <w:rPr>
                <w:rFonts w:eastAsia="Times New Roman" w:cs="Arial"/>
                <w:szCs w:val="20"/>
              </w:rPr>
            </w:pPr>
            <w:r>
              <w:rPr>
                <w:rFonts w:eastAsia="Times New Roman" w:cs="Arial"/>
                <w:szCs w:val="20"/>
              </w:rPr>
              <w:t>1.59</w:t>
            </w:r>
          </w:p>
        </w:tc>
        <w:tc>
          <w:tcPr>
            <w:tcW w:w="1276" w:type="dxa"/>
            <w:tcBorders>
              <w:top w:val="nil"/>
            </w:tcBorders>
          </w:tcPr>
          <w:p w14:paraId="684313A6" w14:textId="2F78F946" w:rsidR="009545F3" w:rsidRPr="00505285" w:rsidRDefault="00630ACA" w:rsidP="007B32E8">
            <w:pPr>
              <w:spacing w:after="0" w:line="276" w:lineRule="auto"/>
              <w:ind w:right="-115"/>
              <w:jc w:val="center"/>
              <w:rPr>
                <w:rFonts w:eastAsia="Times New Roman" w:cs="Arial"/>
                <w:szCs w:val="20"/>
              </w:rPr>
            </w:pPr>
            <w:r>
              <w:rPr>
                <w:rFonts w:eastAsia="Times New Roman" w:cs="Arial"/>
                <w:szCs w:val="20"/>
              </w:rPr>
              <w:t>1.50</w:t>
            </w:r>
          </w:p>
        </w:tc>
      </w:tr>
    </w:tbl>
    <w:p w14:paraId="584E5698" w14:textId="7E399977" w:rsidR="00A40D20" w:rsidRDefault="0098373E" w:rsidP="00A40D20">
      <w:pPr>
        <w:spacing w:before="0"/>
        <w:rPr>
          <w:rFonts w:eastAsia="Times New Roman" w:cs="Arial"/>
          <w:i/>
          <w:color w:val="C00000"/>
          <w:sz w:val="18"/>
        </w:rPr>
      </w:pPr>
      <w:r w:rsidRPr="00A40D20">
        <w:rPr>
          <w:rFonts w:eastAsia="Times New Roman"/>
          <w:i/>
          <w:color w:val="auto"/>
          <w:sz w:val="18"/>
        </w:rPr>
        <w:t>N</w:t>
      </w:r>
      <w:r w:rsidR="00A40D20" w:rsidRPr="00A40D20">
        <w:rPr>
          <w:rFonts w:eastAsia="Times New Roman"/>
          <w:i/>
          <w:color w:val="auto"/>
          <w:sz w:val="18"/>
        </w:rPr>
        <w:t>ote</w:t>
      </w:r>
      <w:r>
        <w:rPr>
          <w:rFonts w:eastAsia="Times New Roman"/>
          <w:i/>
          <w:color w:val="auto"/>
          <w:sz w:val="18"/>
        </w:rPr>
        <w:t>:</w:t>
      </w:r>
      <w:r w:rsidR="00A40D20" w:rsidRPr="00A40D20">
        <w:rPr>
          <w:rFonts w:eastAsia="Times New Roman"/>
          <w:i/>
          <w:color w:val="auto"/>
          <w:sz w:val="18"/>
        </w:rPr>
        <w:t xml:space="preserve"> food modelling based on incomplete dataset from AUSNUT07, and should be treated with caution</w:t>
      </w:r>
      <w:r w:rsidR="00A40D20" w:rsidRPr="00A40D20">
        <w:rPr>
          <w:rFonts w:eastAsia="Times New Roman" w:cs="Arial"/>
          <w:i/>
          <w:color w:val="C00000"/>
          <w:sz w:val="18"/>
        </w:rPr>
        <w:t xml:space="preserve"> </w:t>
      </w:r>
    </w:p>
    <w:p w14:paraId="43A0F8D6" w14:textId="6336EB20" w:rsidR="001F1B08" w:rsidRDefault="001F1B08" w:rsidP="001F1B08">
      <w:pPr>
        <w:spacing w:before="0" w:after="0" w:line="276" w:lineRule="auto"/>
        <w:rPr>
          <w:sz w:val="16"/>
          <w:szCs w:val="16"/>
        </w:rPr>
      </w:pPr>
      <w:r w:rsidRPr="00B34BE7">
        <w:rPr>
          <w:rFonts w:ascii="Calibri" w:eastAsia="Arial" w:hAnsi="Calibri" w:cs="Calibri"/>
          <w:b/>
          <w:bCs/>
          <w:sz w:val="16"/>
          <w:szCs w:val="16"/>
        </w:rPr>
        <w:t>Source:</w:t>
      </w:r>
      <w:r w:rsidRPr="00D633FF">
        <w:rPr>
          <w:rFonts w:ascii="Calibri" w:eastAsia="Arial" w:hAnsi="Calibri" w:cs="Calibri"/>
          <w:sz w:val="16"/>
          <w:szCs w:val="16"/>
        </w:rPr>
        <w:t xml:space="preserve"> </w:t>
      </w:r>
      <w:hyperlink r:id="rId41" w:history="1">
        <w:r>
          <w:rPr>
            <w:rFonts w:ascii="Calibri" w:eastAsia="Arial" w:hAnsi="Calibri" w:cs="Calibri"/>
            <w:color w:val="0062B1"/>
            <w:sz w:val="16"/>
            <w:szCs w:val="16"/>
            <w:u w:val="single"/>
          </w:rPr>
          <w:t>A modelling system to inform the revision of the Australian Guide to Healthy Eating</w:t>
        </w:r>
      </w:hyperlink>
      <w:r w:rsidRPr="00BE2904">
        <w:rPr>
          <w:sz w:val="16"/>
          <w:szCs w:val="16"/>
        </w:rPr>
        <w:t xml:space="preserve"> </w:t>
      </w:r>
      <w:r w:rsidR="0045011E">
        <w:rPr>
          <w:noProof/>
          <w:sz w:val="16"/>
          <w:szCs w:val="16"/>
        </w:rPr>
        <w:t>(Baghurst et al., 2011)</w:t>
      </w:r>
    </w:p>
    <w:p w14:paraId="6A2364B6" w14:textId="6D7E471E" w:rsidR="00C54A31" w:rsidRDefault="001F1B08" w:rsidP="001F1B08">
      <w:pPr>
        <w:spacing w:before="0" w:after="160" w:line="276" w:lineRule="auto"/>
        <w:rPr>
          <w:sz w:val="16"/>
          <w:szCs w:val="16"/>
        </w:rPr>
      </w:pPr>
      <w:r w:rsidRPr="00B804E8">
        <w:rPr>
          <w:b/>
          <w:bCs/>
          <w:sz w:val="16"/>
          <w:szCs w:val="16"/>
        </w:rPr>
        <w:t>Abbreviation:</w:t>
      </w:r>
      <w:r>
        <w:rPr>
          <w:sz w:val="16"/>
          <w:szCs w:val="16"/>
        </w:rPr>
        <w:t xml:space="preserve"> veg, vegetarian.</w:t>
      </w:r>
    </w:p>
    <w:p w14:paraId="0D57E6A1" w14:textId="77777777" w:rsidR="00156FCE" w:rsidRDefault="00156FCE" w:rsidP="00A11A6E">
      <w:pPr>
        <w:rPr>
          <w:i/>
          <w:iCs/>
        </w:rPr>
        <w:sectPr w:rsidR="00156FCE" w:rsidSect="00D75D51">
          <w:pgSz w:w="16838" w:h="11906" w:orient="landscape" w:code="9"/>
          <w:pgMar w:top="907" w:right="1814" w:bottom="1134" w:left="1565" w:header="510" w:footer="454" w:gutter="0"/>
          <w:cols w:space="708"/>
          <w:titlePg/>
          <w:docGrid w:linePitch="360"/>
        </w:sectPr>
      </w:pPr>
    </w:p>
    <w:p w14:paraId="4360C1FF" w14:textId="3B1F7DD5" w:rsidR="00C54A31" w:rsidRPr="00902965" w:rsidRDefault="00C54A31" w:rsidP="00902965">
      <w:pPr>
        <w:pStyle w:val="TableTitle"/>
        <w:ind w:left="1134"/>
        <w:rPr>
          <w:sz w:val="18"/>
          <w:szCs w:val="16"/>
        </w:rPr>
      </w:pPr>
      <w:r w:rsidRPr="00902965">
        <w:rPr>
          <w:sz w:val="18"/>
          <w:szCs w:val="16"/>
        </w:rPr>
        <w:lastRenderedPageBreak/>
        <w:t>Food modelling data for pregnancy and lactation</w:t>
      </w:r>
    </w:p>
    <w:tbl>
      <w:tblPr>
        <w:tblStyle w:val="TableGrid3"/>
        <w:tblW w:w="58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2061"/>
        <w:gridCol w:w="1984"/>
      </w:tblGrid>
      <w:tr w:rsidR="007C67AF" w:rsidRPr="00505285" w14:paraId="399D03F0" w14:textId="77777777" w:rsidTr="00C54A31">
        <w:trPr>
          <w:trHeight w:val="395"/>
        </w:trPr>
        <w:tc>
          <w:tcPr>
            <w:tcW w:w="1762" w:type="dxa"/>
            <w:tcBorders>
              <w:top w:val="single" w:sz="4" w:space="0" w:color="auto"/>
              <w:bottom w:val="nil"/>
            </w:tcBorders>
            <w:shd w:val="clear" w:color="auto" w:fill="E3F1F7" w:themeFill="accent1" w:themeFillTint="33"/>
            <w:vAlign w:val="center"/>
          </w:tcPr>
          <w:p w14:paraId="0E0813BE" w14:textId="77777777" w:rsidR="007C67AF" w:rsidRPr="008D7316" w:rsidRDefault="007C67AF">
            <w:pPr>
              <w:spacing w:after="0" w:line="276" w:lineRule="auto"/>
              <w:ind w:right="-1346"/>
              <w:rPr>
                <w:rFonts w:eastAsia="Times New Roman" w:cs="Arial"/>
                <w:b/>
                <w:color w:val="auto"/>
                <w:szCs w:val="20"/>
              </w:rPr>
            </w:pPr>
          </w:p>
        </w:tc>
        <w:tc>
          <w:tcPr>
            <w:tcW w:w="4045" w:type="dxa"/>
            <w:gridSpan w:val="2"/>
            <w:tcBorders>
              <w:top w:val="single" w:sz="4" w:space="0" w:color="auto"/>
              <w:bottom w:val="single" w:sz="4" w:space="0" w:color="auto"/>
            </w:tcBorders>
            <w:shd w:val="clear" w:color="auto" w:fill="A6D1E2" w:themeFill="background2" w:themeFillShade="E6"/>
          </w:tcPr>
          <w:p w14:paraId="3D0666A8" w14:textId="77AD9AA2" w:rsidR="007C67AF" w:rsidRDefault="007C67AF" w:rsidP="00F16685">
            <w:pPr>
              <w:spacing w:after="0" w:line="276" w:lineRule="auto"/>
              <w:ind w:right="-115"/>
              <w:jc w:val="center"/>
              <w:rPr>
                <w:rFonts w:eastAsia="Times New Roman" w:cs="Arial"/>
                <w:b/>
                <w:color w:val="auto"/>
                <w:szCs w:val="20"/>
              </w:rPr>
            </w:pPr>
            <w:r w:rsidRPr="008D7316">
              <w:rPr>
                <w:rFonts w:eastAsia="Times New Roman" w:cs="Arial"/>
                <w:b/>
                <w:color w:val="auto"/>
                <w:szCs w:val="20"/>
              </w:rPr>
              <w:t>Foundation diet</w:t>
            </w:r>
          </w:p>
        </w:tc>
      </w:tr>
      <w:tr w:rsidR="007C67AF" w:rsidRPr="00505285" w14:paraId="00EBDE96" w14:textId="77777777" w:rsidTr="00C54A31">
        <w:trPr>
          <w:trHeight w:val="395"/>
        </w:trPr>
        <w:tc>
          <w:tcPr>
            <w:tcW w:w="1762" w:type="dxa"/>
            <w:tcBorders>
              <w:top w:val="nil"/>
              <w:bottom w:val="single" w:sz="4" w:space="0" w:color="auto"/>
            </w:tcBorders>
            <w:shd w:val="clear" w:color="auto" w:fill="E3F1F7" w:themeFill="accent1" w:themeFillTint="33"/>
            <w:vAlign w:val="center"/>
          </w:tcPr>
          <w:p w14:paraId="7EF0CBDA" w14:textId="2EE4B098" w:rsidR="007C67AF" w:rsidRDefault="007C67AF">
            <w:pPr>
              <w:spacing w:after="0" w:line="276" w:lineRule="auto"/>
              <w:ind w:right="-1346"/>
              <w:rPr>
                <w:rFonts w:eastAsia="Times New Roman" w:cs="Arial"/>
                <w:szCs w:val="20"/>
              </w:rPr>
            </w:pPr>
            <w:r w:rsidRPr="008D7316">
              <w:rPr>
                <w:rFonts w:eastAsia="Times New Roman" w:cs="Arial"/>
                <w:b/>
                <w:color w:val="auto"/>
                <w:szCs w:val="20"/>
              </w:rPr>
              <w:t>Age group</w:t>
            </w:r>
          </w:p>
        </w:tc>
        <w:tc>
          <w:tcPr>
            <w:tcW w:w="2061" w:type="dxa"/>
            <w:tcBorders>
              <w:top w:val="single" w:sz="4" w:space="0" w:color="auto"/>
              <w:bottom w:val="single" w:sz="4" w:space="0" w:color="auto"/>
            </w:tcBorders>
            <w:shd w:val="clear" w:color="auto" w:fill="E3F1F7" w:themeFill="accent1" w:themeFillTint="33"/>
          </w:tcPr>
          <w:p w14:paraId="76C95351" w14:textId="73CAC798" w:rsidR="007C67AF" w:rsidRDefault="007C67AF">
            <w:pPr>
              <w:spacing w:after="0" w:line="276" w:lineRule="auto"/>
              <w:ind w:right="-115"/>
              <w:jc w:val="center"/>
              <w:rPr>
                <w:rFonts w:eastAsia="Times New Roman" w:cs="Arial"/>
                <w:szCs w:val="20"/>
              </w:rPr>
            </w:pPr>
            <w:r>
              <w:rPr>
                <w:rFonts w:eastAsia="Times New Roman" w:cs="Arial"/>
                <w:b/>
                <w:color w:val="auto"/>
                <w:szCs w:val="20"/>
              </w:rPr>
              <w:t>Pregnancy</w:t>
            </w:r>
          </w:p>
        </w:tc>
        <w:tc>
          <w:tcPr>
            <w:tcW w:w="1984" w:type="dxa"/>
            <w:tcBorders>
              <w:top w:val="single" w:sz="4" w:space="0" w:color="auto"/>
              <w:bottom w:val="single" w:sz="4" w:space="0" w:color="auto"/>
            </w:tcBorders>
            <w:shd w:val="clear" w:color="auto" w:fill="E3F1F7" w:themeFill="accent1" w:themeFillTint="33"/>
          </w:tcPr>
          <w:p w14:paraId="248E44A3" w14:textId="54BE9A62" w:rsidR="007C67AF" w:rsidRDefault="007C67AF">
            <w:pPr>
              <w:spacing w:after="0" w:line="276" w:lineRule="auto"/>
              <w:ind w:right="-115"/>
              <w:jc w:val="center"/>
              <w:rPr>
                <w:rFonts w:eastAsia="Times New Roman" w:cs="Arial"/>
                <w:szCs w:val="20"/>
              </w:rPr>
            </w:pPr>
            <w:r>
              <w:rPr>
                <w:rFonts w:eastAsia="Times New Roman" w:cs="Arial"/>
                <w:b/>
                <w:color w:val="auto"/>
                <w:szCs w:val="20"/>
              </w:rPr>
              <w:t>Lactation</w:t>
            </w:r>
          </w:p>
        </w:tc>
      </w:tr>
      <w:tr w:rsidR="00B64C48" w:rsidRPr="00505285" w14:paraId="1E8A1F8C" w14:textId="77777777" w:rsidTr="00C54A31">
        <w:trPr>
          <w:trHeight w:val="395"/>
        </w:trPr>
        <w:tc>
          <w:tcPr>
            <w:tcW w:w="1762" w:type="dxa"/>
            <w:tcBorders>
              <w:top w:val="single" w:sz="4" w:space="0" w:color="auto"/>
              <w:bottom w:val="nil"/>
            </w:tcBorders>
            <w:vAlign w:val="center"/>
          </w:tcPr>
          <w:p w14:paraId="0DC27696" w14:textId="5BA1EEC9" w:rsidR="00B64C48" w:rsidRPr="00505285" w:rsidRDefault="00B64C48">
            <w:pPr>
              <w:spacing w:after="0" w:line="276" w:lineRule="auto"/>
              <w:ind w:right="-1346"/>
              <w:rPr>
                <w:rFonts w:eastAsia="Times New Roman" w:cs="Arial"/>
                <w:szCs w:val="20"/>
              </w:rPr>
            </w:pPr>
            <w:r>
              <w:rPr>
                <w:rFonts w:eastAsia="Times New Roman" w:cs="Arial"/>
                <w:szCs w:val="20"/>
              </w:rPr>
              <w:t>19-30</w:t>
            </w:r>
            <w:r w:rsidRPr="00505285">
              <w:rPr>
                <w:rFonts w:eastAsia="Times New Roman" w:cs="Arial"/>
                <w:szCs w:val="20"/>
              </w:rPr>
              <w:t xml:space="preserve"> yr</w:t>
            </w:r>
          </w:p>
        </w:tc>
        <w:tc>
          <w:tcPr>
            <w:tcW w:w="2061" w:type="dxa"/>
            <w:tcBorders>
              <w:top w:val="single" w:sz="4" w:space="0" w:color="auto"/>
              <w:bottom w:val="nil"/>
            </w:tcBorders>
          </w:tcPr>
          <w:p w14:paraId="172689C5" w14:textId="1C064751" w:rsidR="00B64C48" w:rsidRPr="00505285" w:rsidRDefault="007C67AF">
            <w:pPr>
              <w:spacing w:after="0" w:line="276" w:lineRule="auto"/>
              <w:ind w:right="-115"/>
              <w:jc w:val="center"/>
              <w:rPr>
                <w:rFonts w:eastAsia="Times New Roman" w:cs="Arial"/>
                <w:szCs w:val="20"/>
              </w:rPr>
            </w:pPr>
            <w:r>
              <w:rPr>
                <w:rFonts w:eastAsia="Times New Roman" w:cs="Arial"/>
                <w:szCs w:val="20"/>
              </w:rPr>
              <w:t>2.12</w:t>
            </w:r>
          </w:p>
        </w:tc>
        <w:tc>
          <w:tcPr>
            <w:tcW w:w="1984" w:type="dxa"/>
            <w:tcBorders>
              <w:top w:val="single" w:sz="4" w:space="0" w:color="auto"/>
              <w:bottom w:val="nil"/>
            </w:tcBorders>
          </w:tcPr>
          <w:p w14:paraId="3C800F6D" w14:textId="28A836CD" w:rsidR="00B64C48" w:rsidRPr="00505285" w:rsidRDefault="007C67AF">
            <w:pPr>
              <w:spacing w:after="0" w:line="276" w:lineRule="auto"/>
              <w:ind w:right="-115"/>
              <w:jc w:val="center"/>
              <w:rPr>
                <w:rFonts w:eastAsia="Times New Roman" w:cs="Arial"/>
                <w:szCs w:val="20"/>
              </w:rPr>
            </w:pPr>
            <w:r>
              <w:rPr>
                <w:rFonts w:eastAsia="Times New Roman" w:cs="Arial"/>
                <w:szCs w:val="20"/>
              </w:rPr>
              <w:t>1.99</w:t>
            </w:r>
          </w:p>
        </w:tc>
      </w:tr>
      <w:tr w:rsidR="00B64C48" w:rsidRPr="00505285" w14:paraId="0D8F4590" w14:textId="77777777" w:rsidTr="00C54A31">
        <w:trPr>
          <w:trHeight w:val="408"/>
        </w:trPr>
        <w:tc>
          <w:tcPr>
            <w:tcW w:w="1762" w:type="dxa"/>
            <w:tcBorders>
              <w:top w:val="nil"/>
              <w:bottom w:val="single" w:sz="4" w:space="0" w:color="auto"/>
            </w:tcBorders>
            <w:vAlign w:val="center"/>
          </w:tcPr>
          <w:p w14:paraId="33E8F24F" w14:textId="387B7730" w:rsidR="00B64C48" w:rsidRPr="00505285" w:rsidRDefault="00B64C48">
            <w:pPr>
              <w:spacing w:after="0" w:line="276" w:lineRule="auto"/>
              <w:ind w:right="-1346"/>
              <w:rPr>
                <w:rFonts w:eastAsia="Times New Roman" w:cs="Arial"/>
                <w:szCs w:val="20"/>
              </w:rPr>
            </w:pPr>
            <w:r>
              <w:rPr>
                <w:rFonts w:eastAsia="Times New Roman" w:cs="Arial"/>
                <w:szCs w:val="20"/>
              </w:rPr>
              <w:t>3</w:t>
            </w:r>
            <w:r w:rsidRPr="00505285">
              <w:rPr>
                <w:rFonts w:eastAsia="Times New Roman" w:cs="Arial"/>
                <w:szCs w:val="20"/>
              </w:rPr>
              <w:t>1-</w:t>
            </w:r>
            <w:r>
              <w:rPr>
                <w:rFonts w:eastAsia="Times New Roman" w:cs="Arial"/>
                <w:szCs w:val="20"/>
              </w:rPr>
              <w:t>5</w:t>
            </w:r>
            <w:r w:rsidRPr="00505285">
              <w:rPr>
                <w:rFonts w:eastAsia="Times New Roman" w:cs="Arial"/>
                <w:szCs w:val="20"/>
              </w:rPr>
              <w:t>0 yr</w:t>
            </w:r>
          </w:p>
        </w:tc>
        <w:tc>
          <w:tcPr>
            <w:tcW w:w="2061" w:type="dxa"/>
            <w:tcBorders>
              <w:top w:val="nil"/>
              <w:bottom w:val="single" w:sz="4" w:space="0" w:color="auto"/>
            </w:tcBorders>
          </w:tcPr>
          <w:p w14:paraId="68A3E7F9" w14:textId="1ADC897A" w:rsidR="00B64C48" w:rsidRPr="00505285" w:rsidRDefault="007C67AF">
            <w:pPr>
              <w:spacing w:after="0" w:line="276" w:lineRule="auto"/>
              <w:ind w:right="-115"/>
              <w:jc w:val="center"/>
              <w:rPr>
                <w:rFonts w:eastAsia="Times New Roman" w:cs="Arial"/>
                <w:szCs w:val="20"/>
              </w:rPr>
            </w:pPr>
            <w:r>
              <w:rPr>
                <w:rFonts w:eastAsia="Times New Roman" w:cs="Arial"/>
                <w:szCs w:val="20"/>
              </w:rPr>
              <w:t>2.11</w:t>
            </w:r>
          </w:p>
        </w:tc>
        <w:tc>
          <w:tcPr>
            <w:tcW w:w="1984" w:type="dxa"/>
            <w:tcBorders>
              <w:top w:val="nil"/>
              <w:bottom w:val="single" w:sz="4" w:space="0" w:color="auto"/>
            </w:tcBorders>
          </w:tcPr>
          <w:p w14:paraId="730734EA" w14:textId="293CF181" w:rsidR="00B64C48" w:rsidRPr="00505285" w:rsidRDefault="007C67AF">
            <w:pPr>
              <w:spacing w:after="0" w:line="276" w:lineRule="auto"/>
              <w:ind w:right="-115"/>
              <w:jc w:val="center"/>
              <w:rPr>
                <w:rFonts w:eastAsia="Times New Roman" w:cs="Arial"/>
                <w:szCs w:val="20"/>
              </w:rPr>
            </w:pPr>
            <w:r>
              <w:rPr>
                <w:rFonts w:eastAsia="Times New Roman" w:cs="Arial"/>
                <w:szCs w:val="20"/>
              </w:rPr>
              <w:t>1.98</w:t>
            </w:r>
          </w:p>
        </w:tc>
      </w:tr>
    </w:tbl>
    <w:p w14:paraId="332EC81B" w14:textId="77777777" w:rsidR="00F16685" w:rsidRDefault="00F16685" w:rsidP="00F16685">
      <w:pPr>
        <w:spacing w:before="0"/>
        <w:rPr>
          <w:rFonts w:eastAsia="Times New Roman" w:cs="Arial"/>
          <w:i/>
          <w:color w:val="C00000"/>
          <w:sz w:val="18"/>
        </w:rPr>
      </w:pPr>
      <w:r w:rsidRPr="00A40D20">
        <w:rPr>
          <w:rFonts w:eastAsia="Times New Roman"/>
          <w:i/>
          <w:color w:val="auto"/>
          <w:sz w:val="18"/>
        </w:rPr>
        <w:t>note food modelling based on incomplete dataset from AUSNUT07, and should be treated with caution</w:t>
      </w:r>
      <w:r w:rsidRPr="00A40D20">
        <w:rPr>
          <w:rFonts w:eastAsia="Times New Roman" w:cs="Arial"/>
          <w:i/>
          <w:color w:val="C00000"/>
          <w:sz w:val="18"/>
        </w:rPr>
        <w:t xml:space="preserve"> </w:t>
      </w:r>
    </w:p>
    <w:p w14:paraId="24BF72FA" w14:textId="4CA7CBB7" w:rsidR="00F16685" w:rsidRDefault="00F16685" w:rsidP="00F16685">
      <w:pPr>
        <w:spacing w:before="0" w:after="0" w:line="276" w:lineRule="auto"/>
        <w:rPr>
          <w:sz w:val="16"/>
          <w:szCs w:val="16"/>
        </w:rPr>
      </w:pPr>
      <w:r w:rsidRPr="00B34BE7">
        <w:rPr>
          <w:rFonts w:ascii="Calibri" w:eastAsia="Arial" w:hAnsi="Calibri" w:cs="Calibri"/>
          <w:b/>
          <w:bCs/>
          <w:sz w:val="16"/>
          <w:szCs w:val="16"/>
        </w:rPr>
        <w:t>Source:</w:t>
      </w:r>
      <w:r w:rsidRPr="00D633FF">
        <w:rPr>
          <w:rFonts w:ascii="Calibri" w:eastAsia="Arial" w:hAnsi="Calibri" w:cs="Calibri"/>
          <w:sz w:val="16"/>
          <w:szCs w:val="16"/>
        </w:rPr>
        <w:t xml:space="preserve"> </w:t>
      </w:r>
      <w:hyperlink r:id="rId42" w:history="1">
        <w:r>
          <w:rPr>
            <w:rFonts w:ascii="Calibri" w:eastAsia="Arial" w:hAnsi="Calibri" w:cs="Calibri"/>
            <w:color w:val="0062B1"/>
            <w:sz w:val="16"/>
            <w:szCs w:val="16"/>
            <w:u w:val="single"/>
          </w:rPr>
          <w:t>A modelling system to inform the revision of the Australian Guide to Healthy Eating</w:t>
        </w:r>
      </w:hyperlink>
      <w:r w:rsidRPr="00BE2904">
        <w:rPr>
          <w:sz w:val="16"/>
          <w:szCs w:val="16"/>
        </w:rPr>
        <w:t xml:space="preserve"> </w:t>
      </w:r>
      <w:r w:rsidR="0045011E">
        <w:rPr>
          <w:noProof/>
          <w:sz w:val="16"/>
          <w:szCs w:val="16"/>
        </w:rPr>
        <w:t>(Baghurst et al., 2011)</w:t>
      </w:r>
    </w:p>
    <w:p w14:paraId="605BFA5F" w14:textId="77777777" w:rsidR="001F1B08" w:rsidRPr="00A40D20" w:rsidRDefault="001F1B08" w:rsidP="00A40D20">
      <w:pPr>
        <w:spacing w:before="0"/>
        <w:rPr>
          <w:rFonts w:eastAsia="Times New Roman" w:cs="Arial"/>
          <w:i/>
          <w:color w:val="C00000"/>
          <w:sz w:val="18"/>
        </w:rPr>
      </w:pPr>
    </w:p>
    <w:p w14:paraId="67ABD70C" w14:textId="77777777" w:rsidR="00156FCE" w:rsidRPr="00F65CBE" w:rsidRDefault="00156FCE" w:rsidP="00156FCE">
      <w:pPr>
        <w:shd w:val="clear" w:color="auto" w:fill="DEDDEC" w:themeFill="accent4" w:themeFillTint="33"/>
        <w:rPr>
          <w:color w:val="auto"/>
        </w:rPr>
      </w:pPr>
      <w:r w:rsidRPr="00F65CBE">
        <w:rPr>
          <w:b/>
          <w:bCs/>
          <w:color w:val="005F85" w:themeColor="accent2"/>
        </w:rPr>
        <w:t xml:space="preserve">Additional considerations </w:t>
      </w:r>
      <w:r w:rsidRPr="00F65CBE">
        <w:rPr>
          <w:i/>
          <w:iCs/>
          <w:color w:val="auto"/>
        </w:rPr>
        <w:t>(committee input not captured in the research evidence</w:t>
      </w:r>
      <w:r>
        <w:rPr>
          <w:i/>
          <w:iCs/>
          <w:color w:val="auto"/>
        </w:rPr>
        <w:t>)</w:t>
      </w:r>
    </w:p>
    <w:p w14:paraId="4665E790" w14:textId="77777777" w:rsidR="00156FCE" w:rsidRDefault="00156FCE">
      <w:pPr>
        <w:pStyle w:val="ListParagraph"/>
        <w:numPr>
          <w:ilvl w:val="0"/>
          <w:numId w:val="40"/>
        </w:numPr>
        <w:rPr>
          <w:color w:val="auto"/>
        </w:rPr>
      </w:pPr>
      <w:r>
        <w:rPr>
          <w:color w:val="auto"/>
        </w:rPr>
        <w:t>Lowering the UL would lead to greater international inconsistency with jurisdictions that have reviewed their ULs more recently, based on similar evidence.</w:t>
      </w:r>
    </w:p>
    <w:p w14:paraId="4E7150FC" w14:textId="77777777" w:rsidR="00156FCE" w:rsidRDefault="00156FCE">
      <w:pPr>
        <w:pStyle w:val="ListParagraph"/>
        <w:numPr>
          <w:ilvl w:val="0"/>
          <w:numId w:val="40"/>
        </w:numPr>
        <w:rPr>
          <w:color w:val="auto"/>
        </w:rPr>
      </w:pPr>
      <w:r w:rsidRPr="00F65CBE">
        <w:rPr>
          <w:color w:val="auto"/>
        </w:rPr>
        <w:t>There may be a subsection of the integrative/alternative medicine community who recommend higher levels for particular conditions that</w:t>
      </w:r>
      <w:r>
        <w:rPr>
          <w:color w:val="auto"/>
        </w:rPr>
        <w:t xml:space="preserve"> </w:t>
      </w:r>
      <w:r w:rsidRPr="00F65CBE">
        <w:rPr>
          <w:color w:val="auto"/>
        </w:rPr>
        <w:t>may object to these changes in terms of their clinical experience of prescribing these medications, however, changes to the UL and any subsequent regulatory changes to supplement scheduling will not deny access to products, rather it will only allow access via prescription of with medical advice from a pharmacist.</w:t>
      </w:r>
    </w:p>
    <w:p w14:paraId="45D597B8" w14:textId="1ED26A78" w:rsidR="009F4413" w:rsidRPr="00253E70" w:rsidRDefault="009F4413" w:rsidP="009F4413">
      <w:pPr>
        <w:shd w:val="clear" w:color="auto" w:fill="D8ECEA" w:themeFill="accent3" w:themeFillTint="66"/>
        <w:rPr>
          <w:b/>
          <w:bCs/>
          <w:color w:val="auto"/>
        </w:rPr>
      </w:pPr>
      <w:r w:rsidRPr="009F4413">
        <w:rPr>
          <w:b/>
          <w:bCs/>
          <w:color w:val="00596A" w:themeColor="accent6" w:themeTint="E6"/>
          <w:shd w:val="clear" w:color="auto" w:fill="D8ECEA" w:themeFill="accent3" w:themeFillTint="66"/>
        </w:rPr>
        <w:t xml:space="preserve">Judgement - </w:t>
      </w:r>
      <w:r w:rsidRPr="00253E70">
        <w:rPr>
          <w:b/>
          <w:bCs/>
          <w:color w:val="auto"/>
          <w:shd w:val="clear" w:color="auto" w:fill="D8ECEA" w:themeFill="accent3" w:themeFillTint="66"/>
        </w:rPr>
        <w:t>Feasibility</w:t>
      </w:r>
      <w:r w:rsidRPr="00253E70">
        <w:rPr>
          <w:b/>
          <w:bCs/>
          <w:color w:val="auto"/>
        </w:rPr>
        <w:t>: Is the option feasible to implement?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242"/>
        <w:gridCol w:w="2241"/>
        <w:gridCol w:w="2241"/>
        <w:gridCol w:w="2241"/>
        <w:gridCol w:w="2242"/>
      </w:tblGrid>
      <w:tr w:rsidR="00556386" w14:paraId="1F0B5A5F" w14:textId="77777777" w:rsidTr="00556386">
        <w:tc>
          <w:tcPr>
            <w:tcW w:w="2242" w:type="dxa"/>
            <w:vAlign w:val="center"/>
          </w:tcPr>
          <w:p w14:paraId="7B706EC4" w14:textId="7C494FBE" w:rsidR="00556386" w:rsidRDefault="00556386" w:rsidP="00556386">
            <w:pPr>
              <w:spacing w:before="0"/>
              <w:jc w:val="center"/>
              <w:rPr>
                <w:b/>
                <w:bCs/>
              </w:rPr>
            </w:pPr>
            <w:r w:rsidRPr="00991330">
              <w:rPr>
                <w:color w:val="auto"/>
              </w:rPr>
              <w:t>No</w:t>
            </w:r>
          </w:p>
        </w:tc>
        <w:tc>
          <w:tcPr>
            <w:tcW w:w="2242" w:type="dxa"/>
            <w:vAlign w:val="center"/>
          </w:tcPr>
          <w:p w14:paraId="2356600C" w14:textId="238538E4" w:rsidR="00556386" w:rsidRDefault="00556386" w:rsidP="00556386">
            <w:pPr>
              <w:spacing w:before="0"/>
              <w:jc w:val="center"/>
              <w:rPr>
                <w:b/>
                <w:bCs/>
              </w:rPr>
            </w:pPr>
            <w:r>
              <w:rPr>
                <w:color w:val="auto"/>
              </w:rPr>
              <w:t>P</w:t>
            </w:r>
            <w:r w:rsidRPr="00991330">
              <w:rPr>
                <w:color w:val="auto"/>
              </w:rPr>
              <w:t>robably no</w:t>
            </w:r>
          </w:p>
        </w:tc>
        <w:tc>
          <w:tcPr>
            <w:tcW w:w="2241" w:type="dxa"/>
            <w:shd w:val="clear" w:color="auto" w:fill="C5E3DF" w:themeFill="accent3" w:themeFillTint="99"/>
            <w:vAlign w:val="center"/>
          </w:tcPr>
          <w:p w14:paraId="43AF762A" w14:textId="48E448E3" w:rsidR="00556386" w:rsidRDefault="00556386" w:rsidP="00556386">
            <w:pPr>
              <w:spacing w:before="0"/>
              <w:jc w:val="center"/>
              <w:rPr>
                <w:b/>
                <w:bCs/>
              </w:rPr>
            </w:pPr>
            <w:r>
              <w:rPr>
                <w:color w:val="auto"/>
              </w:rPr>
              <w:t>P</w:t>
            </w:r>
            <w:r w:rsidRPr="00991330">
              <w:rPr>
                <w:color w:val="auto"/>
              </w:rPr>
              <w:t>robably yes</w:t>
            </w:r>
            <w:r>
              <w:rPr>
                <w:color w:val="auto"/>
              </w:rPr>
              <w:t xml:space="preserve"> </w:t>
            </w:r>
            <w:r w:rsidRPr="00253E70">
              <w:rPr>
                <w:rFonts w:eastAsia="SimHei" w:cs="Times New Roman"/>
                <w:b/>
                <w:bCs/>
                <w:lang w:eastAsia="en-AU"/>
              </w:rPr>
              <w:sym w:font="Wingdings" w:char="F0FC"/>
            </w:r>
          </w:p>
        </w:tc>
        <w:tc>
          <w:tcPr>
            <w:tcW w:w="2241" w:type="dxa"/>
          </w:tcPr>
          <w:p w14:paraId="3D54FFE0" w14:textId="78CCFFEF" w:rsidR="00556386" w:rsidRDefault="00556386" w:rsidP="00556386">
            <w:pPr>
              <w:spacing w:before="0"/>
              <w:jc w:val="center"/>
              <w:rPr>
                <w:b/>
                <w:bCs/>
              </w:rPr>
            </w:pPr>
            <w:r>
              <w:rPr>
                <w:color w:val="auto"/>
              </w:rPr>
              <w:t>Yes</w:t>
            </w:r>
          </w:p>
        </w:tc>
        <w:tc>
          <w:tcPr>
            <w:tcW w:w="2241" w:type="dxa"/>
          </w:tcPr>
          <w:p w14:paraId="00E90D52" w14:textId="6B835B00" w:rsidR="00556386" w:rsidRDefault="00556386" w:rsidP="00556386">
            <w:pPr>
              <w:spacing w:before="0"/>
              <w:jc w:val="center"/>
              <w:rPr>
                <w:b/>
                <w:bCs/>
              </w:rPr>
            </w:pPr>
            <w:r w:rsidRPr="00991330">
              <w:rPr>
                <w:color w:val="auto"/>
              </w:rPr>
              <w:t>Varies</w:t>
            </w:r>
          </w:p>
        </w:tc>
        <w:tc>
          <w:tcPr>
            <w:tcW w:w="2242" w:type="dxa"/>
            <w:vAlign w:val="center"/>
          </w:tcPr>
          <w:p w14:paraId="07B0A735" w14:textId="2946ED7C" w:rsidR="00556386" w:rsidRDefault="00556386" w:rsidP="00556386">
            <w:pPr>
              <w:spacing w:before="0"/>
              <w:jc w:val="center"/>
              <w:rPr>
                <w:b/>
                <w:bCs/>
              </w:rPr>
            </w:pPr>
            <w:r>
              <w:rPr>
                <w:color w:val="auto"/>
              </w:rPr>
              <w:t>D</w:t>
            </w:r>
            <w:r w:rsidRPr="00991330">
              <w:rPr>
                <w:color w:val="auto"/>
              </w:rPr>
              <w:t>on’t know</w:t>
            </w:r>
          </w:p>
        </w:tc>
      </w:tr>
    </w:tbl>
    <w:p w14:paraId="04B260B3" w14:textId="77777777" w:rsidR="00556386" w:rsidRDefault="00556386" w:rsidP="001C6825">
      <w:pPr>
        <w:spacing w:before="0"/>
        <w:rPr>
          <w:b/>
          <w:bCs/>
        </w:rPr>
      </w:pPr>
    </w:p>
    <w:p w14:paraId="786FE38C" w14:textId="5553A373" w:rsidR="00193316" w:rsidRDefault="001808B4" w:rsidP="001C6825">
      <w:pPr>
        <w:spacing w:before="0"/>
      </w:pPr>
      <w:r>
        <w:rPr>
          <w:b/>
          <w:bCs/>
        </w:rPr>
        <w:t>T</w:t>
      </w:r>
      <w:r w:rsidR="00193316">
        <w:t>his decision was made by</w:t>
      </w:r>
      <w:r w:rsidR="00B507E9">
        <w:t xml:space="preserve"> vote (</w:t>
      </w:r>
      <w:r w:rsidR="00482BFB">
        <w:t>4</w:t>
      </w:r>
      <w:r w:rsidR="00070F12">
        <w:t xml:space="preserve"> members </w:t>
      </w:r>
      <w:r w:rsidR="001B2E2A">
        <w:t xml:space="preserve">voted </w:t>
      </w:r>
      <w:r w:rsidR="00070F12">
        <w:t xml:space="preserve">‘probably </w:t>
      </w:r>
      <w:proofErr w:type="spellStart"/>
      <w:r w:rsidR="00070F12">
        <w:t>yes’</w:t>
      </w:r>
      <w:proofErr w:type="spellEnd"/>
      <w:r w:rsidR="00124BAD">
        <w:t xml:space="preserve"> or </w:t>
      </w:r>
      <w:r w:rsidR="009766D5">
        <w:t>‘</w:t>
      </w:r>
      <w:r w:rsidR="00124BAD">
        <w:t>yes</w:t>
      </w:r>
      <w:r w:rsidR="009766D5">
        <w:t>’</w:t>
      </w:r>
      <w:r w:rsidR="00623545">
        <w:t>;</w:t>
      </w:r>
      <w:r w:rsidR="00070F12">
        <w:t xml:space="preserve"> 1 member </w:t>
      </w:r>
      <w:r w:rsidR="00623545">
        <w:t xml:space="preserve">voted </w:t>
      </w:r>
      <w:r w:rsidR="00070F12">
        <w:t>‘varies’</w:t>
      </w:r>
      <w:r w:rsidR="00915196">
        <w:t>)</w:t>
      </w:r>
      <w:r w:rsidR="00193316">
        <w:t>.</w:t>
      </w:r>
      <w:r w:rsidR="00A41417">
        <w:t xml:space="preserve"> T</w:t>
      </w:r>
      <w:r w:rsidR="00A41417" w:rsidRPr="00A41417">
        <w:t>his d</w:t>
      </w:r>
      <w:r w:rsidR="00F91DDA">
        <w:t>id not</w:t>
      </w:r>
      <w:r w:rsidR="00A41417" w:rsidRPr="00A41417">
        <w:t xml:space="preserve"> meet </w:t>
      </w:r>
      <w:r w:rsidR="00EE78EF" w:rsidRPr="00A41417">
        <w:t>quorum;</w:t>
      </w:r>
      <w:r w:rsidR="00A41417" w:rsidRPr="00A41417">
        <w:t xml:space="preserve"> </w:t>
      </w:r>
      <w:r w:rsidR="0052051B">
        <w:t>however,</w:t>
      </w:r>
      <w:r w:rsidR="00A41417" w:rsidRPr="00A41417">
        <w:t xml:space="preserve"> a follow-up email was sent to all members whose response indicated that this was </w:t>
      </w:r>
      <w:r w:rsidR="00E0614F">
        <w:t>considered</w:t>
      </w:r>
      <w:r w:rsidR="00A41417" w:rsidRPr="00A41417">
        <w:t xml:space="preserve"> feasible</w:t>
      </w:r>
      <w:r w:rsidR="00670FFC">
        <w:t>.</w:t>
      </w:r>
    </w:p>
    <w:p w14:paraId="6381D4EB" w14:textId="0F5EDAFD" w:rsidR="00193316" w:rsidRDefault="00345EEB" w:rsidP="00990D6B">
      <w:r>
        <w:t xml:space="preserve">The </w:t>
      </w:r>
      <w:r w:rsidR="00E13BFD">
        <w:t xml:space="preserve">feasibility for different interest holders will </w:t>
      </w:r>
      <w:r w:rsidR="00EE78EF">
        <w:t>vary but</w:t>
      </w:r>
      <w:r w:rsidR="00E13BFD">
        <w:t xml:space="preserve"> </w:t>
      </w:r>
      <w:r w:rsidR="00990D6B">
        <w:t>overall is</w:t>
      </w:r>
      <w:r w:rsidR="00E13BFD">
        <w:t xml:space="preserve"> probably </w:t>
      </w:r>
      <w:r w:rsidR="00990D6B">
        <w:t>feasible</w:t>
      </w:r>
      <w:r w:rsidR="009766D5">
        <w:t>. C</w:t>
      </w:r>
      <w:r w:rsidR="009766D5" w:rsidRPr="009766D5">
        <w:t>hange</w:t>
      </w:r>
      <w:r w:rsidR="00C7689A">
        <w:t>s</w:t>
      </w:r>
      <w:r w:rsidR="009766D5" w:rsidRPr="009766D5">
        <w:t xml:space="preserve"> to the UL </w:t>
      </w:r>
      <w:r w:rsidR="009766D5">
        <w:t xml:space="preserve">are unlikely to have </w:t>
      </w:r>
      <w:r w:rsidR="009766D5" w:rsidRPr="009766D5">
        <w:t xml:space="preserve">tangible impact for </w:t>
      </w:r>
      <w:r w:rsidR="009766D5">
        <w:t xml:space="preserve">most </w:t>
      </w:r>
      <w:r w:rsidR="009766D5" w:rsidRPr="009766D5">
        <w:t xml:space="preserve">people/users of </w:t>
      </w:r>
      <w:r w:rsidR="009766D5">
        <w:t>v</w:t>
      </w:r>
      <w:r w:rsidR="009766D5" w:rsidRPr="009766D5">
        <w:t>itamin B6. Most foods are fortified at levels that would be unlikely to result in consumption close to the UL. Formulated caffeinated beverages are the exception. Changes to the regulatory maximum levels could have cost implications for manufacturers in the food and supplement industries if reformulation or relabelling are required. NHMRC set ULs based on population health considerations. FSANZ is responsible for setting food standards and TGA is responsible for regulating listed and registered medicines.</w:t>
      </w:r>
      <w:r w:rsidR="00990D6B">
        <w:t xml:space="preserve"> </w:t>
      </w:r>
      <w:r w:rsidR="00E13BFD">
        <w:t xml:space="preserve"> </w:t>
      </w:r>
    </w:p>
    <w:p w14:paraId="0CAC78E7" w14:textId="3C75795A" w:rsidR="00143F30" w:rsidRPr="00962F99" w:rsidRDefault="00143F30" w:rsidP="00BD6DB5">
      <w:pPr>
        <w:pStyle w:val="Heading5"/>
        <w:shd w:val="clear" w:color="auto" w:fill="005F85" w:themeFill="accent2"/>
        <w:rPr>
          <w:color w:val="FFFFFF" w:themeColor="background1"/>
          <w:sz w:val="22"/>
          <w:szCs w:val="22"/>
        </w:rPr>
      </w:pPr>
      <w:r>
        <w:rPr>
          <w:color w:val="FFFFFF" w:themeColor="background1"/>
          <w:sz w:val="22"/>
          <w:szCs w:val="22"/>
        </w:rPr>
        <w:lastRenderedPageBreak/>
        <w:t>Resource impacts</w:t>
      </w:r>
      <w:r w:rsidR="009766D5">
        <w:rPr>
          <w:color w:val="FFFFFF" w:themeColor="background1"/>
          <w:sz w:val="22"/>
          <w:szCs w:val="22"/>
        </w:rPr>
        <w:t xml:space="preserve"> </w:t>
      </w:r>
      <w:r w:rsidR="00046C56">
        <w:rPr>
          <w:color w:val="FFFFFF" w:themeColor="background1"/>
          <w:sz w:val="22"/>
          <w:szCs w:val="22"/>
        </w:rPr>
        <w:t>for public health</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6724"/>
        <w:gridCol w:w="6725"/>
      </w:tblGrid>
      <w:tr w:rsidR="0047342D" w14:paraId="3DAEA6FA" w14:textId="77777777" w:rsidTr="0083677D">
        <w:tc>
          <w:tcPr>
            <w:tcW w:w="6724" w:type="dxa"/>
            <w:shd w:val="clear" w:color="auto" w:fill="C8E4EF" w:themeFill="accent1" w:themeFillTint="66"/>
          </w:tcPr>
          <w:p w14:paraId="7FABAF91" w14:textId="77777777" w:rsidR="0047342D" w:rsidRPr="008439D8" w:rsidRDefault="0047342D" w:rsidP="0047342D">
            <w:pPr>
              <w:spacing w:line="276" w:lineRule="auto"/>
              <w:rPr>
                <w:rFonts w:eastAsia="Times New Roman" w:cs="Arial"/>
                <w:b/>
                <w:color w:val="005F85" w:themeColor="accent2"/>
                <w:szCs w:val="20"/>
              </w:rPr>
            </w:pPr>
            <w:r w:rsidRPr="008439D8">
              <w:rPr>
                <w:rFonts w:eastAsia="Times New Roman" w:cs="Arial"/>
                <w:b/>
                <w:color w:val="005F85" w:themeColor="accent2"/>
                <w:szCs w:val="20"/>
                <w:u w:val="single"/>
              </w:rPr>
              <w:t>OPTION 1</w:t>
            </w:r>
            <w:r w:rsidRPr="008439D8">
              <w:rPr>
                <w:rFonts w:eastAsia="Times New Roman" w:cs="Arial"/>
                <w:b/>
                <w:color w:val="005F85" w:themeColor="accent2"/>
                <w:szCs w:val="20"/>
              </w:rPr>
              <w:t>:</w:t>
            </w:r>
          </w:p>
          <w:p w14:paraId="787B3885" w14:textId="77777777" w:rsidR="0047342D" w:rsidRPr="008439D8" w:rsidRDefault="0047342D" w:rsidP="0047342D">
            <w:pPr>
              <w:spacing w:line="276" w:lineRule="auto"/>
              <w:contextualSpacing/>
              <w:rPr>
                <w:rFonts w:eastAsia="Times New Roman" w:cs="Arial"/>
                <w:b/>
                <w:color w:val="005F85" w:themeColor="accent2"/>
                <w:szCs w:val="20"/>
              </w:rPr>
            </w:pPr>
            <w:r w:rsidRPr="008439D8">
              <w:rPr>
                <w:rFonts w:eastAsia="Times New Roman" w:cs="Arial"/>
                <w:b/>
                <w:color w:val="005F85" w:themeColor="accent2"/>
                <w:szCs w:val="20"/>
              </w:rPr>
              <w:t>Maintain current UL recommendations</w:t>
            </w:r>
          </w:p>
          <w:p w14:paraId="5FF4526F" w14:textId="380A56AB" w:rsidR="0047342D" w:rsidRDefault="0047342D" w:rsidP="0047342D"/>
        </w:tc>
        <w:tc>
          <w:tcPr>
            <w:tcW w:w="6725" w:type="dxa"/>
            <w:shd w:val="clear" w:color="auto" w:fill="C8E4EF" w:themeFill="accent1" w:themeFillTint="66"/>
          </w:tcPr>
          <w:p w14:paraId="3B0B5AFE" w14:textId="32A4AC83" w:rsidR="0047342D" w:rsidRDefault="0047342D" w:rsidP="0047342D">
            <w:r w:rsidRPr="008439D8">
              <w:rPr>
                <w:rFonts w:eastAsia="Times New Roman" w:cs="Arial"/>
                <w:b/>
                <w:color w:val="005F85" w:themeColor="accent2"/>
                <w:szCs w:val="20"/>
                <w:u w:val="single"/>
              </w:rPr>
              <w:t>OPTION 2</w:t>
            </w:r>
            <w:r w:rsidRPr="008439D8">
              <w:rPr>
                <w:rFonts w:eastAsia="Times New Roman" w:cs="Arial"/>
                <w:b/>
                <w:color w:val="005F85" w:themeColor="accent2"/>
                <w:szCs w:val="20"/>
              </w:rPr>
              <w:t>:</w:t>
            </w:r>
            <w:r w:rsidRPr="008439D8">
              <w:rPr>
                <w:rFonts w:eastAsia="Times New Roman" w:cs="Arial"/>
                <w:b/>
                <w:color w:val="005F85" w:themeColor="accent2"/>
                <w:szCs w:val="20"/>
              </w:rPr>
              <w:br/>
            </w:r>
            <w:r>
              <w:rPr>
                <w:rFonts w:eastAsia="Times New Roman" w:cs="Arial"/>
                <w:b/>
                <w:color w:val="005F85" w:themeColor="accent2"/>
                <w:szCs w:val="20"/>
              </w:rPr>
              <w:t xml:space="preserve">Decrease the UL </w:t>
            </w:r>
          </w:p>
        </w:tc>
      </w:tr>
      <w:tr w:rsidR="00252C0E" w14:paraId="3FC7AC45" w14:textId="77777777" w:rsidTr="0083677D">
        <w:tc>
          <w:tcPr>
            <w:tcW w:w="6724" w:type="dxa"/>
          </w:tcPr>
          <w:p w14:paraId="6B0194A6" w14:textId="77777777" w:rsidR="0076474B" w:rsidRPr="000C7A0E" w:rsidRDefault="0076474B" w:rsidP="0076474B">
            <w:pPr>
              <w:spacing w:line="276" w:lineRule="auto"/>
              <w:rPr>
                <w:color w:val="auto"/>
              </w:rPr>
            </w:pPr>
            <w:r>
              <w:rPr>
                <w:color w:val="auto"/>
              </w:rPr>
              <w:t>There is potential for increased medical costs associated with vitamin B6 associated peripheral neuropathy at levels of intake lower than the current UL.</w:t>
            </w:r>
          </w:p>
          <w:p w14:paraId="09D68112" w14:textId="00BC40EF" w:rsidR="00F6462F" w:rsidRPr="007A6473" w:rsidRDefault="00F6462F" w:rsidP="00046C56">
            <w:pPr>
              <w:spacing w:line="276" w:lineRule="auto"/>
              <w:rPr>
                <w:color w:val="C00000"/>
              </w:rPr>
            </w:pPr>
          </w:p>
        </w:tc>
        <w:tc>
          <w:tcPr>
            <w:tcW w:w="6725" w:type="dxa"/>
          </w:tcPr>
          <w:p w14:paraId="15D3F9E2" w14:textId="7729AA7F" w:rsidR="00F013D0" w:rsidRDefault="00F013D0" w:rsidP="004721A2">
            <w:pPr>
              <w:ind w:left="-26"/>
              <w:rPr>
                <w:rFonts w:eastAsia="Times New Roman" w:cs="Arial"/>
                <w:color w:val="auto"/>
                <w:szCs w:val="20"/>
              </w:rPr>
            </w:pPr>
            <w:r w:rsidRPr="00F013D0">
              <w:rPr>
                <w:rFonts w:eastAsia="Times New Roman" w:cs="Arial"/>
                <w:color w:val="auto"/>
                <w:szCs w:val="20"/>
              </w:rPr>
              <w:t xml:space="preserve">Changes to the regulatory maximum levels </w:t>
            </w:r>
            <w:r w:rsidR="0076474B">
              <w:rPr>
                <w:rFonts w:eastAsia="Times New Roman" w:cs="Arial"/>
                <w:color w:val="auto"/>
                <w:szCs w:val="20"/>
              </w:rPr>
              <w:t xml:space="preserve">by FSANZ or TGA </w:t>
            </w:r>
            <w:r w:rsidRPr="00F013D0">
              <w:rPr>
                <w:rFonts w:eastAsia="Times New Roman" w:cs="Arial"/>
                <w:color w:val="auto"/>
                <w:szCs w:val="20"/>
              </w:rPr>
              <w:t>could have cost implications for manufacturers in the food and supplement industries if reformulation or relabelling are required</w:t>
            </w:r>
            <w:r>
              <w:rPr>
                <w:rFonts w:eastAsia="Times New Roman" w:cs="Arial"/>
                <w:color w:val="auto"/>
                <w:szCs w:val="20"/>
              </w:rPr>
              <w:t>,</w:t>
            </w:r>
            <w:r w:rsidRPr="00F013D0">
              <w:rPr>
                <w:rFonts w:eastAsia="Times New Roman" w:cs="Arial"/>
                <w:color w:val="auto"/>
                <w:szCs w:val="20"/>
              </w:rPr>
              <w:t xml:space="preserve"> which may be passed on the consumer</w:t>
            </w:r>
            <w:r>
              <w:rPr>
                <w:rFonts w:eastAsia="Times New Roman" w:cs="Arial"/>
                <w:color w:val="auto"/>
                <w:szCs w:val="20"/>
              </w:rPr>
              <w:t>.</w:t>
            </w:r>
          </w:p>
          <w:p w14:paraId="59EED524" w14:textId="354D66C3" w:rsidR="003F63A6" w:rsidRPr="007A6473" w:rsidRDefault="00046C56" w:rsidP="00252C0E">
            <w:pPr>
              <w:rPr>
                <w:color w:val="C00000"/>
              </w:rPr>
            </w:pPr>
            <w:r>
              <w:rPr>
                <w:color w:val="auto"/>
              </w:rPr>
              <w:t>D</w:t>
            </w:r>
            <w:r w:rsidRPr="00046C56">
              <w:rPr>
                <w:color w:val="auto"/>
              </w:rPr>
              <w:t>ecreasing the UL might incur some costs to individu</w:t>
            </w:r>
            <w:r>
              <w:rPr>
                <w:color w:val="auto"/>
              </w:rPr>
              <w:t>als</w:t>
            </w:r>
            <w:r w:rsidR="00877F16">
              <w:rPr>
                <w:color w:val="auto"/>
              </w:rPr>
              <w:t xml:space="preserve"> who wish to continue to take high dose vitamin B6</w:t>
            </w:r>
          </w:p>
        </w:tc>
      </w:tr>
    </w:tbl>
    <w:p w14:paraId="2FEEFC70" w14:textId="77777777" w:rsidR="00C71B8D" w:rsidRDefault="00C71B8D" w:rsidP="00C71B8D">
      <w:pPr>
        <w:shd w:val="clear" w:color="auto" w:fill="DEDDEC" w:themeFill="accent4" w:themeFillTint="33"/>
        <w:ind w:left="37"/>
        <w:rPr>
          <w:i/>
          <w:iCs/>
          <w:color w:val="auto"/>
        </w:rPr>
      </w:pPr>
      <w:r w:rsidRPr="002029E1">
        <w:rPr>
          <w:b/>
          <w:bCs/>
          <w:color w:val="005F85" w:themeColor="accent2"/>
        </w:rPr>
        <w:t xml:space="preserve">Additional considerations </w:t>
      </w:r>
      <w:r w:rsidRPr="002029E1">
        <w:rPr>
          <w:i/>
          <w:iCs/>
          <w:color w:val="auto"/>
        </w:rPr>
        <w:t>(committee input not captured in the research evidence)</w:t>
      </w:r>
    </w:p>
    <w:p w14:paraId="7E572B9A" w14:textId="77777777" w:rsidR="00C71B8D" w:rsidRPr="00F14773" w:rsidRDefault="00C71B8D" w:rsidP="003105DC">
      <w:pPr>
        <w:spacing w:line="240" w:lineRule="atLeast"/>
        <w:rPr>
          <w:rFonts w:eastAsia="Times New Roman" w:cs="Calibri"/>
          <w:i/>
          <w:iCs/>
          <w:szCs w:val="20"/>
        </w:rPr>
      </w:pPr>
      <w:r w:rsidRPr="00F14773">
        <w:rPr>
          <w:rFonts w:eastAsia="Times New Roman" w:cs="Calibri"/>
          <w:szCs w:val="20"/>
        </w:rPr>
        <w:t xml:space="preserve">No literature search specific to resource </w:t>
      </w:r>
      <w:r>
        <w:rPr>
          <w:rFonts w:eastAsia="Times New Roman" w:cs="Calibri"/>
          <w:szCs w:val="20"/>
        </w:rPr>
        <w:t>impacts</w:t>
      </w:r>
      <w:r w:rsidRPr="00F14773">
        <w:rPr>
          <w:rFonts w:eastAsia="Times New Roman" w:cs="Calibri"/>
          <w:szCs w:val="20"/>
        </w:rPr>
        <w:t xml:space="preserve"> was undertaken. </w:t>
      </w:r>
    </w:p>
    <w:p w14:paraId="7130A7C1" w14:textId="77777777" w:rsidR="00C71B8D" w:rsidRPr="001056A8" w:rsidRDefault="00C71B8D" w:rsidP="00AB2851">
      <w:pPr>
        <w:rPr>
          <w:color w:val="auto"/>
        </w:rPr>
      </w:pPr>
      <w:r>
        <w:rPr>
          <w:color w:val="auto"/>
        </w:rPr>
        <w:t>While there are potential cost implications for manufacturers in the food and supplement industries, regulatory ULs for these industries are the remit of TGA and FSANZ. Cost implications to industry should not be a deciding factor in public health decision making.</w:t>
      </w:r>
    </w:p>
    <w:p w14:paraId="72A09E35" w14:textId="77777777" w:rsidR="00C71B8D" w:rsidRDefault="00C71B8D" w:rsidP="00877F16">
      <w:pPr>
        <w:rPr>
          <w:color w:val="auto"/>
        </w:rPr>
      </w:pPr>
      <w:r w:rsidRPr="00A61A81">
        <w:rPr>
          <w:color w:val="auto"/>
        </w:rPr>
        <w:t>Potential costs to industry can be mitigated by providing advance notice of proposed regulatory changes and a transition period for reformulation/relabelling</w:t>
      </w:r>
    </w:p>
    <w:p w14:paraId="5DDC61E6" w14:textId="21F4DB2B" w:rsidR="00E37634" w:rsidRDefault="00E37634" w:rsidP="00C47279">
      <w:pPr>
        <w:shd w:val="clear" w:color="auto" w:fill="D8ECEA" w:themeFill="accent3" w:themeFillTint="66"/>
        <w:rPr>
          <w:color w:val="auto"/>
        </w:rPr>
      </w:pPr>
      <w:r w:rsidRPr="00C47279">
        <w:rPr>
          <w:b/>
          <w:bCs/>
          <w:color w:val="00596A" w:themeColor="accent6" w:themeTint="E6"/>
          <w:shd w:val="clear" w:color="auto" w:fill="D8ECEA" w:themeFill="accent3" w:themeFillTint="66"/>
        </w:rPr>
        <w:t xml:space="preserve">Judgement – </w:t>
      </w:r>
      <w:r w:rsidRPr="00253E70">
        <w:rPr>
          <w:b/>
          <w:bCs/>
          <w:color w:val="auto"/>
          <w:shd w:val="clear" w:color="auto" w:fill="D8ECEA" w:themeFill="accent3" w:themeFillTint="66"/>
        </w:rPr>
        <w:t>Resource impacts</w:t>
      </w:r>
      <w:r w:rsidRPr="00253E70">
        <w:rPr>
          <w:b/>
          <w:bCs/>
          <w:color w:val="auto"/>
        </w:rPr>
        <w:t xml:space="preserve">: </w:t>
      </w:r>
      <w:r w:rsidR="00114C7C" w:rsidRPr="00253E70">
        <w:rPr>
          <w:b/>
          <w:bCs/>
          <w:color w:val="auto"/>
        </w:rPr>
        <w:t xml:space="preserve">the resource impacts </w:t>
      </w:r>
      <w:proofErr w:type="gramStart"/>
      <w:r w:rsidR="00114C7C" w:rsidRPr="00253E70">
        <w:rPr>
          <w:b/>
          <w:bCs/>
          <w:color w:val="auto"/>
        </w:rPr>
        <w:t>are considered to be</w:t>
      </w:r>
      <w:proofErr w:type="gramEnd"/>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984"/>
        <w:gridCol w:w="1655"/>
        <w:gridCol w:w="2314"/>
        <w:gridCol w:w="1985"/>
        <w:gridCol w:w="1275"/>
        <w:gridCol w:w="2114"/>
      </w:tblGrid>
      <w:tr w:rsidR="00E92481" w14:paraId="1F6A4D64" w14:textId="77777777" w:rsidTr="00E92481">
        <w:tc>
          <w:tcPr>
            <w:tcW w:w="2122" w:type="dxa"/>
            <w:vAlign w:val="center"/>
          </w:tcPr>
          <w:p w14:paraId="555F5FBD" w14:textId="4D6F6FEA" w:rsidR="00E92481" w:rsidRDefault="00E92481" w:rsidP="00E92481">
            <w:pPr>
              <w:spacing w:before="0"/>
              <w:jc w:val="center"/>
            </w:pPr>
            <w:r w:rsidRPr="005279F9">
              <w:rPr>
                <w:color w:val="auto"/>
              </w:rPr>
              <w:t>Large costs</w:t>
            </w:r>
          </w:p>
        </w:tc>
        <w:tc>
          <w:tcPr>
            <w:tcW w:w="1984" w:type="dxa"/>
            <w:vAlign w:val="center"/>
          </w:tcPr>
          <w:p w14:paraId="46E8BFE9" w14:textId="47253861" w:rsidR="00E92481" w:rsidRDefault="00E92481" w:rsidP="00E92481">
            <w:pPr>
              <w:spacing w:before="0"/>
              <w:jc w:val="center"/>
            </w:pPr>
            <w:r w:rsidRPr="005279F9">
              <w:rPr>
                <w:color w:val="auto"/>
              </w:rPr>
              <w:t>Moderate costs</w:t>
            </w:r>
          </w:p>
        </w:tc>
        <w:tc>
          <w:tcPr>
            <w:tcW w:w="1655" w:type="dxa"/>
            <w:vAlign w:val="center"/>
          </w:tcPr>
          <w:p w14:paraId="6A1716D9" w14:textId="79F0A8F1" w:rsidR="00E92481" w:rsidRDefault="00E92481" w:rsidP="00E92481">
            <w:pPr>
              <w:spacing w:before="0"/>
              <w:jc w:val="center"/>
            </w:pPr>
            <w:r w:rsidRPr="005279F9">
              <w:rPr>
                <w:rFonts w:cs="Cambria Math"/>
                <w:color w:val="auto"/>
              </w:rPr>
              <w:t>Negligible</w:t>
            </w:r>
          </w:p>
        </w:tc>
        <w:tc>
          <w:tcPr>
            <w:tcW w:w="2314" w:type="dxa"/>
          </w:tcPr>
          <w:p w14:paraId="12D46E6F" w14:textId="208E1F3D" w:rsidR="00E92481" w:rsidRDefault="00E92481" w:rsidP="00E92481">
            <w:pPr>
              <w:spacing w:before="0"/>
              <w:jc w:val="center"/>
            </w:pPr>
            <w:r w:rsidRPr="005279F9">
              <w:rPr>
                <w:rFonts w:cs="Cambria Math"/>
                <w:color w:val="auto"/>
              </w:rPr>
              <w:t>Moderate savings</w:t>
            </w:r>
          </w:p>
        </w:tc>
        <w:tc>
          <w:tcPr>
            <w:tcW w:w="1985" w:type="dxa"/>
          </w:tcPr>
          <w:p w14:paraId="7A9D4581" w14:textId="07511A0A" w:rsidR="00E92481" w:rsidRDefault="00E92481" w:rsidP="00E92481">
            <w:pPr>
              <w:spacing w:before="0"/>
              <w:jc w:val="center"/>
            </w:pPr>
            <w:r w:rsidRPr="005279F9">
              <w:rPr>
                <w:rFonts w:cs="Cambria Math"/>
                <w:color w:val="auto"/>
              </w:rPr>
              <w:t>Large savings</w:t>
            </w:r>
          </w:p>
        </w:tc>
        <w:tc>
          <w:tcPr>
            <w:tcW w:w="1275" w:type="dxa"/>
            <w:shd w:val="clear" w:color="auto" w:fill="C5E3DF" w:themeFill="accent3" w:themeFillTint="99"/>
            <w:vAlign w:val="center"/>
          </w:tcPr>
          <w:p w14:paraId="7E805401" w14:textId="4D60B1EC" w:rsidR="00E92481" w:rsidRDefault="00E92481" w:rsidP="00E92481">
            <w:pPr>
              <w:spacing w:before="0"/>
              <w:jc w:val="center"/>
            </w:pPr>
            <w:r>
              <w:rPr>
                <w:color w:val="auto"/>
              </w:rPr>
              <w:t xml:space="preserve">Varies </w:t>
            </w:r>
            <w:r w:rsidRPr="00253E70">
              <w:rPr>
                <w:rFonts w:eastAsia="SimHei" w:cs="Times New Roman"/>
                <w:b/>
                <w:bCs/>
                <w:lang w:eastAsia="en-AU"/>
              </w:rPr>
              <w:sym w:font="Wingdings" w:char="F0FC"/>
            </w:r>
          </w:p>
        </w:tc>
        <w:tc>
          <w:tcPr>
            <w:tcW w:w="2114" w:type="dxa"/>
            <w:vAlign w:val="center"/>
          </w:tcPr>
          <w:p w14:paraId="1C23AB2B" w14:textId="11967EBB" w:rsidR="00E92481" w:rsidRDefault="00E92481" w:rsidP="00E92481">
            <w:pPr>
              <w:spacing w:before="0"/>
              <w:jc w:val="center"/>
            </w:pPr>
            <w:r>
              <w:rPr>
                <w:color w:val="auto"/>
              </w:rPr>
              <w:t>D</w:t>
            </w:r>
            <w:r w:rsidRPr="00991330">
              <w:rPr>
                <w:color w:val="auto"/>
              </w:rPr>
              <w:t>on’t know</w:t>
            </w:r>
          </w:p>
        </w:tc>
      </w:tr>
    </w:tbl>
    <w:p w14:paraId="117335E7" w14:textId="77777777" w:rsidR="00E92481" w:rsidRDefault="00E92481" w:rsidP="006C577B">
      <w:pPr>
        <w:spacing w:before="0"/>
      </w:pPr>
    </w:p>
    <w:p w14:paraId="2348CB39" w14:textId="150F927B" w:rsidR="006C577B" w:rsidRDefault="001618E4" w:rsidP="006C577B">
      <w:pPr>
        <w:spacing w:before="0"/>
      </w:pPr>
      <w:r>
        <w:t>9</w:t>
      </w:r>
      <w:r w:rsidR="006C577B">
        <w:t xml:space="preserve"> members of a 12 member committee voted. </w:t>
      </w:r>
      <w:r w:rsidR="00E550A8">
        <w:t>Overall</w:t>
      </w:r>
      <w:r w:rsidR="00C57538">
        <w:t>,</w:t>
      </w:r>
      <w:r w:rsidR="00E550A8">
        <w:t xml:space="preserve"> the costs will vary</w:t>
      </w:r>
      <w:r w:rsidR="004A0410">
        <w:t>, v</w:t>
      </w:r>
      <w:r w:rsidR="006C577B">
        <w:t xml:space="preserve">otes were split by which interest-holder the resource impacts were anticipated to affect. Potential moderate to large costs were considered from the perspective of industry, with the potential for some of these costs being passed on to the consumer. Potential large savings were considered from the </w:t>
      </w:r>
      <w:r w:rsidR="006C577B" w:rsidRPr="00BC4DCC">
        <w:t xml:space="preserve">reduction in </w:t>
      </w:r>
      <w:r w:rsidR="006C577B">
        <w:t xml:space="preserve">cost to both the individual, health system and society from reduced </w:t>
      </w:r>
      <w:r w:rsidR="006C577B" w:rsidRPr="00BC4DCC">
        <w:t>medical costs</w:t>
      </w:r>
      <w:r w:rsidR="006C577B">
        <w:t>, peripheral neuropathy associated disability,</w:t>
      </w:r>
      <w:r w:rsidR="006C577B" w:rsidRPr="00BC4DCC">
        <w:t xml:space="preserve"> </w:t>
      </w:r>
      <w:r w:rsidR="006C577B">
        <w:t xml:space="preserve">and increased productivity </w:t>
      </w:r>
      <w:r w:rsidR="006C577B" w:rsidRPr="00BC4DCC">
        <w:t>associated with a reduction in neuropathy</w:t>
      </w:r>
      <w:r w:rsidR="006C577B">
        <w:t>. These savings have the potential to</w:t>
      </w:r>
      <w:r w:rsidR="006C577B" w:rsidRPr="00BC4DCC">
        <w:t xml:space="preserve"> far exceed the costs to the supplement industry</w:t>
      </w:r>
      <w:r w:rsidR="006C577B">
        <w:t xml:space="preserve">. Votes for ‘don’t know’ reflected the lack of economic analysis data to inform this judgement. </w:t>
      </w:r>
    </w:p>
    <w:p w14:paraId="4090BE06" w14:textId="77777777" w:rsidR="00EF3C71" w:rsidRDefault="00EF3C71" w:rsidP="00A61A81"/>
    <w:p w14:paraId="1B677E99" w14:textId="77777777" w:rsidR="00C47279" w:rsidRDefault="00C47279" w:rsidP="00D46992">
      <w:pPr>
        <w:pStyle w:val="Heading5"/>
        <w:shd w:val="clear" w:color="auto" w:fill="005F85" w:themeFill="accent2"/>
        <w:rPr>
          <w:color w:val="FFFFFF" w:themeColor="background1"/>
          <w:sz w:val="22"/>
          <w:szCs w:val="22"/>
        </w:rPr>
        <w:sectPr w:rsidR="00C47279" w:rsidSect="00D75D51">
          <w:pgSz w:w="16838" w:h="11906" w:orient="landscape" w:code="9"/>
          <w:pgMar w:top="907" w:right="1814" w:bottom="1134" w:left="1565" w:header="510" w:footer="454" w:gutter="0"/>
          <w:cols w:space="708"/>
          <w:titlePg/>
          <w:docGrid w:linePitch="360"/>
        </w:sectPr>
      </w:pPr>
    </w:p>
    <w:p w14:paraId="2B02930A" w14:textId="754A5AF7" w:rsidR="00252C0E" w:rsidRPr="00962F99" w:rsidRDefault="00252C0E" w:rsidP="00D46992">
      <w:pPr>
        <w:pStyle w:val="Heading5"/>
        <w:shd w:val="clear" w:color="auto" w:fill="005F85" w:themeFill="accent2"/>
        <w:rPr>
          <w:color w:val="FFFFFF" w:themeColor="background1"/>
          <w:sz w:val="22"/>
          <w:szCs w:val="22"/>
        </w:rPr>
      </w:pPr>
      <w:r>
        <w:rPr>
          <w:color w:val="FFFFFF" w:themeColor="background1"/>
          <w:sz w:val="22"/>
          <w:szCs w:val="22"/>
        </w:rPr>
        <w:lastRenderedPageBreak/>
        <w:t>Other factors (health equity impacts)</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4253"/>
        <w:gridCol w:w="9196"/>
      </w:tblGrid>
      <w:tr w:rsidR="00C24AA6" w14:paraId="57519E66" w14:textId="77777777" w:rsidTr="00C47279">
        <w:tc>
          <w:tcPr>
            <w:tcW w:w="4253" w:type="dxa"/>
            <w:shd w:val="clear" w:color="auto" w:fill="C8E4EF" w:themeFill="accent1" w:themeFillTint="66"/>
          </w:tcPr>
          <w:p w14:paraId="7F7E72E4" w14:textId="77777777" w:rsidR="00C24AA6" w:rsidRPr="008439D8" w:rsidRDefault="00C24AA6" w:rsidP="0047342D">
            <w:pPr>
              <w:spacing w:line="276" w:lineRule="auto"/>
              <w:rPr>
                <w:rFonts w:eastAsia="Times New Roman" w:cs="Arial"/>
                <w:b/>
                <w:color w:val="005F85" w:themeColor="accent2"/>
                <w:szCs w:val="20"/>
              </w:rPr>
            </w:pPr>
            <w:r w:rsidRPr="008439D8">
              <w:rPr>
                <w:rFonts w:eastAsia="Times New Roman" w:cs="Arial"/>
                <w:b/>
                <w:color w:val="005F85" w:themeColor="accent2"/>
                <w:szCs w:val="20"/>
                <w:u w:val="single"/>
              </w:rPr>
              <w:t>OPTION 1</w:t>
            </w:r>
            <w:r w:rsidRPr="008439D8">
              <w:rPr>
                <w:rFonts w:eastAsia="Times New Roman" w:cs="Arial"/>
                <w:b/>
                <w:color w:val="005F85" w:themeColor="accent2"/>
                <w:szCs w:val="20"/>
              </w:rPr>
              <w:t>:</w:t>
            </w:r>
          </w:p>
          <w:p w14:paraId="7CC513EE" w14:textId="6184D7E5" w:rsidR="00C24AA6" w:rsidRPr="00C47279" w:rsidRDefault="00C24AA6" w:rsidP="00C47279">
            <w:pPr>
              <w:spacing w:line="276" w:lineRule="auto"/>
              <w:contextualSpacing/>
              <w:rPr>
                <w:rFonts w:eastAsia="Times New Roman" w:cs="Arial"/>
                <w:b/>
                <w:color w:val="005F85" w:themeColor="accent2"/>
                <w:szCs w:val="20"/>
              </w:rPr>
            </w:pPr>
            <w:r w:rsidRPr="008439D8">
              <w:rPr>
                <w:rFonts w:eastAsia="Times New Roman" w:cs="Arial"/>
                <w:b/>
                <w:color w:val="005F85" w:themeColor="accent2"/>
                <w:szCs w:val="20"/>
              </w:rPr>
              <w:t>Maintain current UL recommendations</w:t>
            </w:r>
          </w:p>
        </w:tc>
        <w:tc>
          <w:tcPr>
            <w:tcW w:w="9196" w:type="dxa"/>
            <w:shd w:val="clear" w:color="auto" w:fill="C8E4EF" w:themeFill="accent1" w:themeFillTint="66"/>
          </w:tcPr>
          <w:p w14:paraId="2F9A8E4B" w14:textId="77777777" w:rsidR="00C24AA6" w:rsidRDefault="00C24AA6" w:rsidP="0047342D">
            <w:r w:rsidRPr="008439D8">
              <w:rPr>
                <w:rFonts w:eastAsia="Times New Roman" w:cs="Arial"/>
                <w:b/>
                <w:color w:val="005F85" w:themeColor="accent2"/>
                <w:szCs w:val="20"/>
                <w:u w:val="single"/>
              </w:rPr>
              <w:t>OPTION 2</w:t>
            </w:r>
            <w:r w:rsidRPr="008439D8">
              <w:rPr>
                <w:rFonts w:eastAsia="Times New Roman" w:cs="Arial"/>
                <w:b/>
                <w:color w:val="005F85" w:themeColor="accent2"/>
                <w:szCs w:val="20"/>
              </w:rPr>
              <w:t>:</w:t>
            </w:r>
            <w:r w:rsidRPr="008439D8">
              <w:rPr>
                <w:rFonts w:eastAsia="Times New Roman" w:cs="Arial"/>
                <w:b/>
                <w:color w:val="005F85" w:themeColor="accent2"/>
                <w:szCs w:val="20"/>
              </w:rPr>
              <w:br/>
            </w:r>
            <w:r>
              <w:rPr>
                <w:rFonts w:eastAsia="Times New Roman" w:cs="Arial"/>
                <w:b/>
                <w:color w:val="005F85" w:themeColor="accent2"/>
                <w:szCs w:val="20"/>
              </w:rPr>
              <w:t xml:space="preserve">Decrease the UL </w:t>
            </w:r>
          </w:p>
        </w:tc>
      </w:tr>
      <w:tr w:rsidR="00C24AA6" w14:paraId="78529F69" w14:textId="77777777" w:rsidTr="00C47279">
        <w:trPr>
          <w:trHeight w:val="144"/>
        </w:trPr>
        <w:tc>
          <w:tcPr>
            <w:tcW w:w="4253" w:type="dxa"/>
          </w:tcPr>
          <w:p w14:paraId="71369002" w14:textId="77777777" w:rsidR="00C24AA6" w:rsidRPr="000F6012" w:rsidRDefault="00C24AA6" w:rsidP="0021456B">
            <w:pPr>
              <w:ind w:left="-100"/>
            </w:pPr>
            <w:r>
              <w:t>Education/awareness raising and clearer public health messaging are needed, even if the current UL remains</w:t>
            </w:r>
          </w:p>
        </w:tc>
        <w:tc>
          <w:tcPr>
            <w:tcW w:w="9196" w:type="dxa"/>
          </w:tcPr>
          <w:p w14:paraId="10B0B4EE" w14:textId="432B0232" w:rsidR="00BD23AE" w:rsidRDefault="00BD23AE" w:rsidP="00BD23AE">
            <w:pPr>
              <w:spacing w:line="276" w:lineRule="auto"/>
              <w:ind w:right="31"/>
              <w:rPr>
                <w:color w:val="000000"/>
                <w:kern w:val="2"/>
                <w:szCs w:val="20"/>
                <w14:ligatures w14:val="standardContextual"/>
              </w:rPr>
            </w:pPr>
            <w:r>
              <w:t>Lowering the UL is likely to provide greater protection for people at higher risk of excess vitamin B</w:t>
            </w:r>
            <w:r w:rsidR="00E53800">
              <w:t>6</w:t>
            </w:r>
            <w:r>
              <w:t xml:space="preserve"> intake, particularly consumers who take multiple supplements or long-term high-dose products. It may also provide a wider margin of safety for people who may be more sensitive to adverse effects, such as people with pre-existing neuropathy, renal impairment, altered vitamin B</w:t>
            </w:r>
            <w:r w:rsidR="00E53800">
              <w:t>6</w:t>
            </w:r>
            <w:r>
              <w:t xml:space="preserve"> metabolism, lower body weight, or conditions requiring complex supplement use. However, there is currently insufficient evidence to set separate ULs for these groups.</w:t>
            </w:r>
          </w:p>
          <w:p w14:paraId="6619C0D0" w14:textId="5ED66589" w:rsidR="00BD23AE" w:rsidRDefault="00BD23AE" w:rsidP="00BD23AE">
            <w:pPr>
              <w:spacing w:line="276" w:lineRule="auto"/>
              <w:ind w:right="31"/>
              <w:rPr>
                <w:color w:val="000000"/>
                <w:kern w:val="2"/>
                <w:szCs w:val="20"/>
                <w14:ligatures w14:val="standardContextual"/>
              </w:rPr>
            </w:pPr>
            <w:r>
              <w:t>Health equity considerations include the need for clear, accessible information about cumulative vitamin B</w:t>
            </w:r>
            <w:r w:rsidR="00E53800">
              <w:t>6</w:t>
            </w:r>
            <w:r>
              <w:t xml:space="preserve"> exposure across supplements. People with lower health literacy, limited access to health information or different language needs may be less likely to identify vitamin B</w:t>
            </w:r>
            <w:r w:rsidR="00E53800">
              <w:t>6</w:t>
            </w:r>
            <w:r>
              <w:t xml:space="preserve"> in combination products or understand the risk of long-term use. Education and labelling should therefore be designed for diverse consumers, not only for people who already understand NRVs, supplement labels or nutrition terminology.</w:t>
            </w:r>
          </w:p>
          <w:p w14:paraId="0506C7CE" w14:textId="4383F6AB" w:rsidR="00BD23AE" w:rsidRDefault="00BD23AE" w:rsidP="00BD23AE">
            <w:pPr>
              <w:spacing w:line="276" w:lineRule="auto"/>
              <w:ind w:right="31"/>
              <w:rPr>
                <w:color w:val="000000"/>
                <w:kern w:val="2"/>
                <w:szCs w:val="20"/>
                <w14:ligatures w14:val="standardContextual"/>
              </w:rPr>
            </w:pPr>
            <w:r>
              <w:t>Lowering the UL would not remove the need for consumer and health professional education. Consumers may have existing supplies of higher-dose products, may not read labels, or may continue to use products for perceived benefits such as energy, stress, sleep, premenstrual symptoms</w:t>
            </w:r>
            <w:r w:rsidR="004C62BA">
              <w:t>, immunity</w:t>
            </w:r>
            <w:r>
              <w:t xml:space="preserve"> or general wellbeing. Health professionals may also need support to explain the difference between recommended intakes and upper levels, and to advise on appropriate supplement use.</w:t>
            </w:r>
          </w:p>
          <w:p w14:paraId="28E39201" w14:textId="5B88D23F" w:rsidR="00C24AA6" w:rsidRDefault="00BD23AE" w:rsidP="00BD23AE">
            <w:pPr>
              <w:spacing w:line="276" w:lineRule="auto"/>
              <w:ind w:right="31"/>
              <w:rPr>
                <w:i/>
                <w:iCs/>
                <w:color w:val="C00000"/>
              </w:rPr>
            </w:pPr>
            <w:r>
              <w:t>Overall, a lower UL may better support public health protection where excess intake is mainly driven by supplements and where consumers may not recognise cumulative exposure. Implementation should be supported by clear public messaging, health professional guidance and consideration of groups who may be more likely to use supplements or have difficulty interpreting risk information</w:t>
            </w:r>
          </w:p>
          <w:p w14:paraId="29BDFAFE" w14:textId="5D15D043" w:rsidR="00C24AA6" w:rsidRPr="00036351" w:rsidRDefault="00C24AA6" w:rsidP="00BD23AE">
            <w:pPr>
              <w:spacing w:line="276" w:lineRule="auto"/>
              <w:ind w:right="31"/>
              <w:rPr>
                <w:rFonts w:eastAsia="Times New Roman" w:cs="Arial"/>
                <w:i/>
                <w:iCs/>
                <w:szCs w:val="20"/>
              </w:rPr>
            </w:pPr>
            <w:r w:rsidRPr="00C617A8">
              <w:rPr>
                <w:rFonts w:eastAsia="Times New Roman" w:cs="Arial"/>
                <w:i/>
                <w:iCs/>
                <w:szCs w:val="20"/>
              </w:rPr>
              <w:t xml:space="preserve">Note: NHMRC </w:t>
            </w:r>
            <w:r>
              <w:rPr>
                <w:rFonts w:eastAsia="Times New Roman" w:cs="Arial"/>
                <w:i/>
                <w:iCs/>
                <w:szCs w:val="20"/>
              </w:rPr>
              <w:t>generally</w:t>
            </w:r>
            <w:r w:rsidRPr="00C617A8">
              <w:rPr>
                <w:rFonts w:eastAsia="Times New Roman" w:cs="Arial"/>
                <w:i/>
                <w:iCs/>
                <w:szCs w:val="20"/>
              </w:rPr>
              <w:t xml:space="preserve"> set</w:t>
            </w:r>
            <w:r>
              <w:rPr>
                <w:rFonts w:eastAsia="Times New Roman" w:cs="Arial"/>
                <w:i/>
                <w:iCs/>
                <w:szCs w:val="20"/>
              </w:rPr>
              <w:t>s</w:t>
            </w:r>
            <w:r w:rsidRPr="00C617A8">
              <w:rPr>
                <w:rFonts w:eastAsia="Times New Roman" w:cs="Arial"/>
                <w:i/>
                <w:iCs/>
                <w:szCs w:val="20"/>
              </w:rPr>
              <w:t xml:space="preserve"> the UL </w:t>
            </w:r>
            <w:r>
              <w:rPr>
                <w:rFonts w:eastAsia="Times New Roman" w:cs="Arial"/>
                <w:i/>
                <w:iCs/>
                <w:szCs w:val="20"/>
              </w:rPr>
              <w:t xml:space="preserve">for combined diet and supplements </w:t>
            </w:r>
            <w:r w:rsidRPr="00C617A8">
              <w:rPr>
                <w:rFonts w:eastAsia="Times New Roman" w:cs="Arial"/>
                <w:i/>
                <w:iCs/>
                <w:szCs w:val="20"/>
              </w:rPr>
              <w:t xml:space="preserve">for </w:t>
            </w:r>
            <w:r>
              <w:rPr>
                <w:rFonts w:eastAsia="Times New Roman" w:cs="Arial"/>
                <w:i/>
                <w:iCs/>
                <w:szCs w:val="20"/>
              </w:rPr>
              <w:t xml:space="preserve">the general </w:t>
            </w:r>
            <w:r w:rsidRPr="00C617A8">
              <w:rPr>
                <w:rFonts w:eastAsia="Times New Roman" w:cs="Arial"/>
                <w:i/>
                <w:iCs/>
                <w:szCs w:val="20"/>
              </w:rPr>
              <w:t xml:space="preserve">population. </w:t>
            </w:r>
            <w:r>
              <w:rPr>
                <w:rFonts w:eastAsia="Times New Roman" w:cs="Arial"/>
                <w:i/>
                <w:iCs/>
                <w:szCs w:val="20"/>
              </w:rPr>
              <w:t>R</w:t>
            </w:r>
            <w:r w:rsidRPr="00C617A8">
              <w:rPr>
                <w:rFonts w:eastAsia="Times New Roman" w:cs="Arial"/>
                <w:i/>
                <w:iCs/>
                <w:szCs w:val="20"/>
              </w:rPr>
              <w:t>egulatory UL</w:t>
            </w:r>
            <w:r>
              <w:rPr>
                <w:rFonts w:eastAsia="Times New Roman" w:cs="Arial"/>
                <w:i/>
                <w:iCs/>
                <w:szCs w:val="20"/>
              </w:rPr>
              <w:t>s</w:t>
            </w:r>
            <w:r w:rsidRPr="00C617A8">
              <w:rPr>
                <w:rFonts w:eastAsia="Times New Roman" w:cs="Arial"/>
                <w:i/>
                <w:iCs/>
                <w:szCs w:val="20"/>
              </w:rPr>
              <w:t xml:space="preserve"> for supplements and food products</w:t>
            </w:r>
            <w:r>
              <w:rPr>
                <w:rFonts w:eastAsia="Times New Roman" w:cs="Arial"/>
                <w:i/>
                <w:iCs/>
                <w:szCs w:val="20"/>
              </w:rPr>
              <w:t xml:space="preserve"> are informed by the NHMRC UL but are set by TGA and FSANZ, who are also</w:t>
            </w:r>
            <w:r w:rsidRPr="00C617A8">
              <w:rPr>
                <w:rFonts w:eastAsia="Times New Roman" w:cs="Arial"/>
                <w:i/>
                <w:iCs/>
                <w:szCs w:val="20"/>
              </w:rPr>
              <w:t xml:space="preserve"> responsible for </w:t>
            </w:r>
            <w:r>
              <w:rPr>
                <w:rFonts w:eastAsia="Times New Roman" w:cs="Arial"/>
                <w:i/>
                <w:iCs/>
                <w:szCs w:val="20"/>
              </w:rPr>
              <w:t xml:space="preserve">labelling and </w:t>
            </w:r>
            <w:r w:rsidRPr="00C617A8">
              <w:rPr>
                <w:rFonts w:eastAsia="Times New Roman" w:cs="Arial"/>
                <w:i/>
                <w:iCs/>
                <w:szCs w:val="20"/>
              </w:rPr>
              <w:t>monitoring</w:t>
            </w:r>
            <w:r>
              <w:rPr>
                <w:rFonts w:eastAsia="Times New Roman" w:cs="Arial"/>
                <w:i/>
                <w:iCs/>
                <w:szCs w:val="20"/>
              </w:rPr>
              <w:t>.</w:t>
            </w:r>
          </w:p>
        </w:tc>
      </w:tr>
    </w:tbl>
    <w:p w14:paraId="7D076B11" w14:textId="77777777" w:rsidR="00C47279" w:rsidRPr="00662646" w:rsidRDefault="00C47279" w:rsidP="00C47279">
      <w:pPr>
        <w:shd w:val="clear" w:color="auto" w:fill="DEDDEC" w:themeFill="accent4" w:themeFillTint="33"/>
        <w:ind w:left="37"/>
        <w:rPr>
          <w:i/>
          <w:iCs/>
          <w:color w:val="auto"/>
        </w:rPr>
      </w:pPr>
      <w:r w:rsidRPr="00662646">
        <w:rPr>
          <w:b/>
          <w:bCs/>
          <w:color w:val="005F85" w:themeColor="accent2"/>
        </w:rPr>
        <w:lastRenderedPageBreak/>
        <w:t xml:space="preserve">Additional considerations </w:t>
      </w:r>
      <w:r w:rsidRPr="00662646">
        <w:rPr>
          <w:i/>
          <w:iCs/>
          <w:color w:val="auto"/>
        </w:rPr>
        <w:t>(committee input not captured in the research evidence)</w:t>
      </w:r>
    </w:p>
    <w:p w14:paraId="20A358F3" w14:textId="77777777" w:rsidR="00C47279" w:rsidRPr="00662646" w:rsidRDefault="00C47279" w:rsidP="00AB32D9">
      <w:pPr>
        <w:rPr>
          <w:i/>
          <w:iCs/>
          <w:color w:val="auto"/>
        </w:rPr>
      </w:pPr>
      <w:r w:rsidRPr="00662646">
        <w:rPr>
          <w:color w:val="auto"/>
        </w:rPr>
        <w:t>Option</w:t>
      </w:r>
      <w:r w:rsidRPr="00662646">
        <w:rPr>
          <w:i/>
          <w:iCs/>
          <w:color w:val="auto"/>
        </w:rPr>
        <w:t xml:space="preserve"> </w:t>
      </w:r>
      <w:r w:rsidRPr="00662646">
        <w:rPr>
          <w:color w:val="auto"/>
        </w:rPr>
        <w:t xml:space="preserve">2 is the most equitable approach, as </w:t>
      </w:r>
      <w:r>
        <w:rPr>
          <w:color w:val="auto"/>
        </w:rPr>
        <w:t xml:space="preserve">the general population would be better protected. Those </w:t>
      </w:r>
      <w:r w:rsidRPr="00556093">
        <w:rPr>
          <w:color w:val="auto"/>
        </w:rPr>
        <w:t>with conditions requiring medicinal doses above a revised UL would still have access via health professionals (pharmacists and doctors) ensuring equity for those with a medical indication or those with an established benefit over risk ratio</w:t>
      </w:r>
      <w:r>
        <w:rPr>
          <w:color w:val="auto"/>
        </w:rPr>
        <w:t>.</w:t>
      </w:r>
    </w:p>
    <w:p w14:paraId="0B3DF431" w14:textId="3099E5F3" w:rsidR="00C47279" w:rsidRPr="00253E70" w:rsidRDefault="008F6F7D" w:rsidP="008F6F7D">
      <w:pPr>
        <w:shd w:val="clear" w:color="auto" w:fill="D8ECEA" w:themeFill="accent3" w:themeFillTint="66"/>
        <w:rPr>
          <w:b/>
          <w:bCs/>
          <w:color w:val="auto"/>
        </w:rPr>
      </w:pPr>
      <w:r w:rsidRPr="008F6F7D">
        <w:rPr>
          <w:b/>
          <w:bCs/>
          <w:color w:val="00596A" w:themeColor="accent6" w:themeTint="E6"/>
          <w:shd w:val="clear" w:color="auto" w:fill="D8ECEA" w:themeFill="accent3" w:themeFillTint="66"/>
        </w:rPr>
        <w:t xml:space="preserve">Judgement </w:t>
      </w:r>
      <w:r w:rsidRPr="008F6F7D">
        <w:rPr>
          <w:color w:val="00596A" w:themeColor="accent6" w:themeTint="E6"/>
          <w:shd w:val="clear" w:color="auto" w:fill="D8ECEA" w:themeFill="accent3" w:themeFillTint="66"/>
        </w:rPr>
        <w:t xml:space="preserve">- </w:t>
      </w:r>
      <w:r w:rsidRPr="00253E70">
        <w:rPr>
          <w:b/>
          <w:bCs/>
          <w:color w:val="auto"/>
          <w:shd w:val="clear" w:color="auto" w:fill="D8ECEA" w:themeFill="accent3" w:themeFillTint="66"/>
        </w:rPr>
        <w:t>Health equity</w:t>
      </w:r>
      <w:r w:rsidRPr="00253E70">
        <w:rPr>
          <w:b/>
          <w:bCs/>
          <w:color w:val="auto"/>
        </w:rPr>
        <w:t xml:space="preserve"> </w:t>
      </w:r>
      <w:proofErr w:type="gramStart"/>
      <w:r w:rsidRPr="00253E70">
        <w:rPr>
          <w:b/>
          <w:bCs/>
          <w:color w:val="auto"/>
        </w:rPr>
        <w:t>is considered to be</w:t>
      </w:r>
      <w:proofErr w:type="gramEnd"/>
      <w:r w:rsidRPr="00253E70">
        <w:rPr>
          <w:b/>
          <w:bCs/>
          <w:color w:val="auto"/>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85"/>
        <w:gridCol w:w="2392"/>
        <w:gridCol w:w="2410"/>
        <w:gridCol w:w="1701"/>
        <w:gridCol w:w="1276"/>
        <w:gridCol w:w="1830"/>
      </w:tblGrid>
      <w:tr w:rsidR="003463AF" w14:paraId="0D682975" w14:textId="77777777" w:rsidTr="003463AF">
        <w:tc>
          <w:tcPr>
            <w:tcW w:w="1555" w:type="dxa"/>
            <w:vAlign w:val="center"/>
          </w:tcPr>
          <w:p w14:paraId="0808E88F" w14:textId="6E872FF1" w:rsidR="003463AF" w:rsidRDefault="003463AF" w:rsidP="003463AF">
            <w:pPr>
              <w:spacing w:before="0"/>
              <w:jc w:val="center"/>
            </w:pPr>
            <w:r>
              <w:rPr>
                <w:color w:val="auto"/>
              </w:rPr>
              <w:t>Reduced</w:t>
            </w:r>
          </w:p>
        </w:tc>
        <w:tc>
          <w:tcPr>
            <w:tcW w:w="2285" w:type="dxa"/>
            <w:vAlign w:val="center"/>
          </w:tcPr>
          <w:p w14:paraId="58CE67A0" w14:textId="5347353F" w:rsidR="003463AF" w:rsidRDefault="003463AF" w:rsidP="003463AF">
            <w:pPr>
              <w:spacing w:before="0"/>
              <w:jc w:val="center"/>
            </w:pPr>
            <w:r>
              <w:rPr>
                <w:color w:val="auto"/>
              </w:rPr>
              <w:t>Probably reduced</w:t>
            </w:r>
          </w:p>
        </w:tc>
        <w:tc>
          <w:tcPr>
            <w:tcW w:w="2392" w:type="dxa"/>
            <w:vAlign w:val="center"/>
          </w:tcPr>
          <w:p w14:paraId="016A4F61" w14:textId="6DD2A619" w:rsidR="003463AF" w:rsidRDefault="003463AF" w:rsidP="003463AF">
            <w:pPr>
              <w:spacing w:before="0"/>
              <w:jc w:val="center"/>
            </w:pPr>
            <w:r>
              <w:rPr>
                <w:rFonts w:cs="Cambria Math"/>
                <w:color w:val="auto"/>
              </w:rPr>
              <w:t>Probably no impact</w:t>
            </w:r>
          </w:p>
        </w:tc>
        <w:tc>
          <w:tcPr>
            <w:tcW w:w="2410" w:type="dxa"/>
            <w:shd w:val="clear" w:color="auto" w:fill="C5E3DF" w:themeFill="accent3" w:themeFillTint="99"/>
            <w:vAlign w:val="center"/>
          </w:tcPr>
          <w:p w14:paraId="6673DF14" w14:textId="453B02B8" w:rsidR="003463AF" w:rsidRDefault="003463AF" w:rsidP="003463AF">
            <w:pPr>
              <w:spacing w:before="0"/>
              <w:jc w:val="center"/>
            </w:pPr>
            <w:r>
              <w:rPr>
                <w:rFonts w:cs="Cambria Math"/>
                <w:color w:val="auto"/>
              </w:rPr>
              <w:t xml:space="preserve">Probably increased </w:t>
            </w:r>
            <w:r w:rsidRPr="00253E70">
              <w:rPr>
                <w:rFonts w:eastAsia="SimHei" w:cs="Times New Roman"/>
                <w:b/>
                <w:bCs/>
                <w:lang w:eastAsia="en-AU"/>
              </w:rPr>
              <w:sym w:font="Wingdings" w:char="F0FC"/>
            </w:r>
          </w:p>
        </w:tc>
        <w:tc>
          <w:tcPr>
            <w:tcW w:w="1701" w:type="dxa"/>
            <w:shd w:val="clear" w:color="auto" w:fill="C5E3DF" w:themeFill="accent3" w:themeFillTint="99"/>
            <w:vAlign w:val="center"/>
          </w:tcPr>
          <w:p w14:paraId="0641EDDE" w14:textId="03E42D95" w:rsidR="003463AF" w:rsidRDefault="003463AF" w:rsidP="003463AF">
            <w:pPr>
              <w:spacing w:before="0"/>
              <w:jc w:val="center"/>
            </w:pPr>
            <w:r>
              <w:rPr>
                <w:rFonts w:cs="Cambria Math"/>
                <w:color w:val="auto"/>
              </w:rPr>
              <w:t xml:space="preserve">Increased </w:t>
            </w:r>
            <w:r w:rsidRPr="00253E70">
              <w:rPr>
                <w:rFonts w:eastAsia="SimHei" w:cs="Times New Roman"/>
                <w:b/>
                <w:bCs/>
                <w:lang w:eastAsia="en-AU"/>
              </w:rPr>
              <w:sym w:font="Wingdings" w:char="F0FC"/>
            </w:r>
          </w:p>
        </w:tc>
        <w:tc>
          <w:tcPr>
            <w:tcW w:w="1276" w:type="dxa"/>
            <w:vAlign w:val="center"/>
          </w:tcPr>
          <w:p w14:paraId="2A4F164C" w14:textId="63B54D59" w:rsidR="003463AF" w:rsidRDefault="003463AF" w:rsidP="003463AF">
            <w:pPr>
              <w:spacing w:before="0"/>
              <w:jc w:val="center"/>
            </w:pPr>
            <w:r>
              <w:rPr>
                <w:color w:val="auto"/>
              </w:rPr>
              <w:t>Varies</w:t>
            </w:r>
          </w:p>
        </w:tc>
        <w:tc>
          <w:tcPr>
            <w:tcW w:w="1830" w:type="dxa"/>
            <w:vAlign w:val="center"/>
          </w:tcPr>
          <w:p w14:paraId="37172160" w14:textId="3D652D38" w:rsidR="003463AF" w:rsidRDefault="003463AF" w:rsidP="003463AF">
            <w:pPr>
              <w:spacing w:before="0"/>
              <w:jc w:val="center"/>
            </w:pPr>
            <w:r>
              <w:rPr>
                <w:color w:val="auto"/>
              </w:rPr>
              <w:t>Don’t know</w:t>
            </w:r>
          </w:p>
        </w:tc>
      </w:tr>
    </w:tbl>
    <w:p w14:paraId="68680510" w14:textId="77777777" w:rsidR="00E92481" w:rsidRDefault="00E92481" w:rsidP="00346F9F">
      <w:pPr>
        <w:spacing w:before="0"/>
      </w:pPr>
    </w:p>
    <w:p w14:paraId="71EA99ED" w14:textId="58A260CA" w:rsidR="00346F9F" w:rsidRDefault="007143A2" w:rsidP="00346F9F">
      <w:pPr>
        <w:spacing w:before="0"/>
      </w:pPr>
      <w:r w:rsidRPr="007032A7">
        <w:t>D</w:t>
      </w:r>
      <w:r w:rsidR="00346F9F">
        <w:t>ecision was made by vote (</w:t>
      </w:r>
      <w:r w:rsidR="001618E4">
        <w:t>9</w:t>
      </w:r>
      <w:r w:rsidR="00346F9F">
        <w:t xml:space="preserve"> members of a 12 member committee voted). The m</w:t>
      </w:r>
      <w:r w:rsidR="00F00E8C">
        <w:t>ajority</w:t>
      </w:r>
      <w:r w:rsidR="00633ABF">
        <w:t xml:space="preserve"> considered </w:t>
      </w:r>
      <w:r w:rsidR="00901823">
        <w:t>decreasing the UL to increase health equity.</w:t>
      </w:r>
    </w:p>
    <w:p w14:paraId="5B46BAAE" w14:textId="617CDE89" w:rsidR="00C851E3" w:rsidRPr="00962F99" w:rsidRDefault="00C851E3" w:rsidP="00C851E3">
      <w:pPr>
        <w:pStyle w:val="Heading5"/>
        <w:shd w:val="clear" w:color="auto" w:fill="005F85" w:themeFill="accent2"/>
        <w:rPr>
          <w:color w:val="FFFFFF" w:themeColor="background1"/>
          <w:sz w:val="22"/>
          <w:szCs w:val="22"/>
        </w:rPr>
      </w:pPr>
      <w:r>
        <w:rPr>
          <w:color w:val="FFFFFF" w:themeColor="background1"/>
          <w:sz w:val="22"/>
          <w:szCs w:val="22"/>
        </w:rPr>
        <w:t>Other factors (sustainability)</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6521"/>
        <w:gridCol w:w="6928"/>
      </w:tblGrid>
      <w:tr w:rsidR="00C851E3" w14:paraId="25BEF6C8" w14:textId="77777777">
        <w:tc>
          <w:tcPr>
            <w:tcW w:w="6521" w:type="dxa"/>
            <w:shd w:val="clear" w:color="auto" w:fill="C8E4EF" w:themeFill="accent1" w:themeFillTint="66"/>
          </w:tcPr>
          <w:p w14:paraId="43748BF0" w14:textId="77777777" w:rsidR="00C851E3" w:rsidRPr="008439D8" w:rsidRDefault="00C851E3">
            <w:pPr>
              <w:spacing w:line="276" w:lineRule="auto"/>
              <w:rPr>
                <w:rFonts w:eastAsia="Times New Roman" w:cs="Arial"/>
                <w:b/>
                <w:color w:val="005F85" w:themeColor="accent2"/>
                <w:szCs w:val="20"/>
              </w:rPr>
            </w:pPr>
            <w:r w:rsidRPr="008439D8">
              <w:rPr>
                <w:rFonts w:eastAsia="Times New Roman" w:cs="Arial"/>
                <w:b/>
                <w:color w:val="005F85" w:themeColor="accent2"/>
                <w:szCs w:val="20"/>
                <w:u w:val="single"/>
              </w:rPr>
              <w:t>OPTION 1</w:t>
            </w:r>
            <w:r w:rsidRPr="008439D8">
              <w:rPr>
                <w:rFonts w:eastAsia="Times New Roman" w:cs="Arial"/>
                <w:b/>
                <w:color w:val="005F85" w:themeColor="accent2"/>
                <w:szCs w:val="20"/>
              </w:rPr>
              <w:t>:</w:t>
            </w:r>
          </w:p>
          <w:p w14:paraId="69295126" w14:textId="77777777" w:rsidR="00C851E3" w:rsidRPr="008439D8" w:rsidRDefault="00C851E3">
            <w:pPr>
              <w:spacing w:line="276" w:lineRule="auto"/>
              <w:contextualSpacing/>
              <w:rPr>
                <w:rFonts w:eastAsia="Times New Roman" w:cs="Arial"/>
                <w:b/>
                <w:color w:val="005F85" w:themeColor="accent2"/>
                <w:szCs w:val="20"/>
              </w:rPr>
            </w:pPr>
            <w:r w:rsidRPr="008439D8">
              <w:rPr>
                <w:rFonts w:eastAsia="Times New Roman" w:cs="Arial"/>
                <w:b/>
                <w:color w:val="005F85" w:themeColor="accent2"/>
                <w:szCs w:val="20"/>
              </w:rPr>
              <w:t>Maintain current UL recommendations</w:t>
            </w:r>
          </w:p>
          <w:p w14:paraId="711B0C46" w14:textId="77777777" w:rsidR="00C851E3" w:rsidRDefault="00C851E3"/>
        </w:tc>
        <w:tc>
          <w:tcPr>
            <w:tcW w:w="6928" w:type="dxa"/>
            <w:shd w:val="clear" w:color="auto" w:fill="C8E4EF" w:themeFill="accent1" w:themeFillTint="66"/>
          </w:tcPr>
          <w:p w14:paraId="35B2C1BB" w14:textId="77777777" w:rsidR="00C851E3" w:rsidRDefault="00C851E3">
            <w:r w:rsidRPr="008439D8">
              <w:rPr>
                <w:rFonts w:eastAsia="Times New Roman" w:cs="Arial"/>
                <w:b/>
                <w:color w:val="005F85" w:themeColor="accent2"/>
                <w:szCs w:val="20"/>
                <w:u w:val="single"/>
              </w:rPr>
              <w:t>OPTION 2</w:t>
            </w:r>
            <w:r w:rsidRPr="008439D8">
              <w:rPr>
                <w:rFonts w:eastAsia="Times New Roman" w:cs="Arial"/>
                <w:b/>
                <w:color w:val="005F85" w:themeColor="accent2"/>
                <w:szCs w:val="20"/>
              </w:rPr>
              <w:t>:</w:t>
            </w:r>
            <w:r w:rsidRPr="008439D8">
              <w:rPr>
                <w:rFonts w:eastAsia="Times New Roman" w:cs="Arial"/>
                <w:b/>
                <w:color w:val="005F85" w:themeColor="accent2"/>
                <w:szCs w:val="20"/>
              </w:rPr>
              <w:br/>
            </w:r>
            <w:r>
              <w:rPr>
                <w:rFonts w:eastAsia="Times New Roman" w:cs="Arial"/>
                <w:b/>
                <w:color w:val="005F85" w:themeColor="accent2"/>
                <w:szCs w:val="20"/>
              </w:rPr>
              <w:t xml:space="preserve">Decrease the UL </w:t>
            </w:r>
          </w:p>
        </w:tc>
      </w:tr>
      <w:tr w:rsidR="00C851E3" w14:paraId="0E3CFD20" w14:textId="77777777">
        <w:trPr>
          <w:trHeight w:val="2230"/>
        </w:trPr>
        <w:tc>
          <w:tcPr>
            <w:tcW w:w="6521" w:type="dxa"/>
          </w:tcPr>
          <w:p w14:paraId="2A0E13F3" w14:textId="36F63149" w:rsidR="00C851E3" w:rsidRPr="000F6012" w:rsidRDefault="00C851E3">
            <w:pPr>
              <w:ind w:left="-100"/>
            </w:pPr>
          </w:p>
        </w:tc>
        <w:tc>
          <w:tcPr>
            <w:tcW w:w="6928" w:type="dxa"/>
          </w:tcPr>
          <w:p w14:paraId="06B5F9CE" w14:textId="21B2FAA2" w:rsidR="00C851E3" w:rsidRPr="00C543D4" w:rsidRDefault="00C851E3">
            <w:pPr>
              <w:spacing w:line="276" w:lineRule="auto"/>
              <w:ind w:right="31"/>
              <w:rPr>
                <w:color w:val="000000"/>
                <w:kern w:val="2"/>
                <w:szCs w:val="20"/>
                <w14:ligatures w14:val="standardContextual"/>
              </w:rPr>
            </w:pPr>
            <w:r>
              <w:t>Sustainability impacts are likely to be limited. A lower UL may lead to reformulation or relabelling of some supplement products if regulators change product requirements. This could create short-term costs for industry and some waste from discontinued labels or stock, although transition periods could reduce these impacts. Any costs passed on to consumers are likely to depend on regulatory implementation and market responses rather than the UL itself.</w:t>
            </w:r>
          </w:p>
        </w:tc>
      </w:tr>
    </w:tbl>
    <w:p w14:paraId="39A3BB93" w14:textId="77777777" w:rsidR="00DC0304" w:rsidRPr="00A11186" w:rsidRDefault="00DC0304" w:rsidP="00DC0304">
      <w:pPr>
        <w:shd w:val="clear" w:color="auto" w:fill="DEDDEC" w:themeFill="accent4" w:themeFillTint="33"/>
        <w:ind w:left="37"/>
        <w:rPr>
          <w:i/>
          <w:iCs/>
          <w:color w:val="auto"/>
        </w:rPr>
      </w:pPr>
      <w:r w:rsidRPr="00901823">
        <w:rPr>
          <w:b/>
          <w:bCs/>
          <w:color w:val="005F85" w:themeColor="accent2"/>
        </w:rPr>
        <w:t xml:space="preserve">Additional considerations </w:t>
      </w:r>
      <w:r w:rsidRPr="00A11186">
        <w:rPr>
          <w:i/>
          <w:iCs/>
          <w:color w:val="auto"/>
        </w:rPr>
        <w:t>(committee input not captured in the research evidence)</w:t>
      </w:r>
    </w:p>
    <w:p w14:paraId="595FD9E8" w14:textId="77777777" w:rsidR="00DC0304" w:rsidRPr="00A11186" w:rsidRDefault="00DC0304">
      <w:pPr>
        <w:pStyle w:val="ListParagraph"/>
        <w:numPr>
          <w:ilvl w:val="0"/>
          <w:numId w:val="40"/>
        </w:numPr>
        <w:rPr>
          <w:i/>
          <w:iCs/>
          <w:color w:val="auto"/>
        </w:rPr>
      </w:pPr>
      <w:r>
        <w:rPr>
          <w:color w:val="auto"/>
        </w:rPr>
        <w:t>If there is a regulatory change by FSANZ or TGA a suitable t</w:t>
      </w:r>
      <w:r w:rsidRPr="00A11186">
        <w:rPr>
          <w:color w:val="auto"/>
        </w:rPr>
        <w:t>ransition period would mitigate costs incurred by industry</w:t>
      </w:r>
    </w:p>
    <w:p w14:paraId="4D377B83" w14:textId="77777777" w:rsidR="00DC0304" w:rsidRDefault="00DC0304" w:rsidP="00A11186">
      <w:pPr>
        <w:pStyle w:val="ListParagraph"/>
        <w:numPr>
          <w:ilvl w:val="0"/>
          <w:numId w:val="40"/>
        </w:numPr>
        <w:rPr>
          <w:color w:val="auto"/>
        </w:rPr>
      </w:pPr>
      <w:r>
        <w:rPr>
          <w:color w:val="auto"/>
        </w:rPr>
        <w:t>I</w:t>
      </w:r>
      <w:r w:rsidRPr="00A11186">
        <w:rPr>
          <w:color w:val="auto"/>
        </w:rPr>
        <w:t>n general</w:t>
      </w:r>
      <w:r>
        <w:rPr>
          <w:color w:val="auto"/>
        </w:rPr>
        <w:t>,</w:t>
      </w:r>
      <w:r w:rsidRPr="00A11186">
        <w:rPr>
          <w:color w:val="auto"/>
        </w:rPr>
        <w:t xml:space="preserve"> supplement manufacturing consumes electricity, water, and processing materials. Higher-dose products typically require greater quantities of ingredients to be extracted, purified, transported, and formulated and from a sustainability perspective, producing nutrients that are not biologically needed represents avoidable resource use. Further Bioactive compounds from some supplement ingredients can enter wastewater through excretion or disposal. Environmental concerns are best documented for pharmaceuticals, but the broader principle is that excess bioactive chemicals can contribute to environmental contamination.</w:t>
      </w:r>
    </w:p>
    <w:p w14:paraId="7C5604FE" w14:textId="1711EB0A" w:rsidR="00DC0304" w:rsidRPr="00253E70" w:rsidRDefault="00DA1E35" w:rsidP="00DA1E35">
      <w:pPr>
        <w:shd w:val="clear" w:color="auto" w:fill="D8ECEA" w:themeFill="accent3" w:themeFillTint="66"/>
        <w:rPr>
          <w:b/>
          <w:bCs/>
          <w:color w:val="auto"/>
        </w:rPr>
      </w:pPr>
      <w:r w:rsidRPr="00DA1E35">
        <w:rPr>
          <w:b/>
          <w:bCs/>
          <w:color w:val="00596A" w:themeColor="accent6" w:themeTint="E6"/>
          <w:shd w:val="clear" w:color="auto" w:fill="D8ECEA" w:themeFill="accent3" w:themeFillTint="66"/>
        </w:rPr>
        <w:lastRenderedPageBreak/>
        <w:t xml:space="preserve">Judgement </w:t>
      </w:r>
      <w:r w:rsidRPr="00DA1E35">
        <w:rPr>
          <w:color w:val="00596A" w:themeColor="accent6" w:themeTint="E6"/>
          <w:shd w:val="clear" w:color="auto" w:fill="D8ECEA" w:themeFill="accent3" w:themeFillTint="66"/>
        </w:rPr>
        <w:t xml:space="preserve">- </w:t>
      </w:r>
      <w:r w:rsidRPr="00253E70">
        <w:rPr>
          <w:b/>
          <w:bCs/>
          <w:color w:val="auto"/>
          <w:shd w:val="clear" w:color="auto" w:fill="D8ECEA" w:themeFill="accent3" w:themeFillTint="66"/>
        </w:rPr>
        <w:t>Sustainability</w:t>
      </w:r>
      <w:r w:rsidRPr="00253E70">
        <w:rPr>
          <w:b/>
          <w:bCs/>
          <w:color w:val="auto"/>
        </w:rPr>
        <w:t xml:space="preserve"> </w:t>
      </w:r>
      <w:proofErr w:type="gramStart"/>
      <w:r w:rsidRPr="00253E70">
        <w:rPr>
          <w:b/>
          <w:bCs/>
          <w:color w:val="auto"/>
        </w:rPr>
        <w:t>is considered to be</w:t>
      </w:r>
      <w:proofErr w:type="gramEnd"/>
      <w:r w:rsidRPr="00253E70">
        <w:rPr>
          <w:b/>
          <w:bCs/>
          <w:color w:val="auto"/>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85"/>
        <w:gridCol w:w="2392"/>
        <w:gridCol w:w="2410"/>
        <w:gridCol w:w="1701"/>
        <w:gridCol w:w="1276"/>
        <w:gridCol w:w="1830"/>
      </w:tblGrid>
      <w:tr w:rsidR="003463AF" w14:paraId="49D8B0BC" w14:textId="77777777" w:rsidTr="003463AF">
        <w:tc>
          <w:tcPr>
            <w:tcW w:w="1555" w:type="dxa"/>
            <w:vAlign w:val="center"/>
          </w:tcPr>
          <w:p w14:paraId="16B8A051" w14:textId="557CC308" w:rsidR="003463AF" w:rsidRDefault="003463AF" w:rsidP="003463AF">
            <w:pPr>
              <w:spacing w:before="0"/>
              <w:jc w:val="center"/>
            </w:pPr>
            <w:r>
              <w:rPr>
                <w:color w:val="auto"/>
              </w:rPr>
              <w:t>Reduced</w:t>
            </w:r>
          </w:p>
        </w:tc>
        <w:tc>
          <w:tcPr>
            <w:tcW w:w="2285" w:type="dxa"/>
            <w:vAlign w:val="center"/>
          </w:tcPr>
          <w:p w14:paraId="43EB0F1A" w14:textId="2E52DAE8" w:rsidR="003463AF" w:rsidRDefault="003463AF" w:rsidP="003463AF">
            <w:pPr>
              <w:spacing w:before="0"/>
              <w:jc w:val="center"/>
            </w:pPr>
            <w:r>
              <w:rPr>
                <w:color w:val="auto"/>
              </w:rPr>
              <w:t>Probably reduced</w:t>
            </w:r>
          </w:p>
        </w:tc>
        <w:tc>
          <w:tcPr>
            <w:tcW w:w="2392" w:type="dxa"/>
            <w:vAlign w:val="center"/>
          </w:tcPr>
          <w:p w14:paraId="2BAF43D2" w14:textId="3BA4B752" w:rsidR="003463AF" w:rsidRDefault="003463AF" w:rsidP="003463AF">
            <w:pPr>
              <w:spacing w:before="0"/>
              <w:jc w:val="center"/>
            </w:pPr>
            <w:r>
              <w:rPr>
                <w:rFonts w:cs="Cambria Math"/>
                <w:color w:val="auto"/>
              </w:rPr>
              <w:t>Probably no impact</w:t>
            </w:r>
          </w:p>
        </w:tc>
        <w:tc>
          <w:tcPr>
            <w:tcW w:w="2410" w:type="dxa"/>
            <w:shd w:val="clear" w:color="auto" w:fill="C5E3DF" w:themeFill="accent3" w:themeFillTint="99"/>
            <w:vAlign w:val="center"/>
          </w:tcPr>
          <w:p w14:paraId="7DC98DED" w14:textId="391991BE" w:rsidR="003463AF" w:rsidRDefault="003463AF" w:rsidP="003463AF">
            <w:pPr>
              <w:spacing w:before="0"/>
              <w:jc w:val="center"/>
            </w:pPr>
            <w:r>
              <w:rPr>
                <w:rFonts w:cs="Cambria Math"/>
                <w:color w:val="auto"/>
              </w:rPr>
              <w:t xml:space="preserve">Probably increased </w:t>
            </w:r>
            <w:r w:rsidRPr="00253E70">
              <w:rPr>
                <w:rFonts w:eastAsia="SimHei" w:cs="Times New Roman"/>
                <w:b/>
                <w:bCs/>
                <w:lang w:eastAsia="en-AU"/>
              </w:rPr>
              <w:sym w:font="Wingdings" w:char="F0FC"/>
            </w:r>
          </w:p>
        </w:tc>
        <w:tc>
          <w:tcPr>
            <w:tcW w:w="1701" w:type="dxa"/>
            <w:vAlign w:val="center"/>
          </w:tcPr>
          <w:p w14:paraId="3856B79B" w14:textId="24F8EE68" w:rsidR="003463AF" w:rsidRDefault="003463AF" w:rsidP="003463AF">
            <w:pPr>
              <w:spacing w:before="0"/>
              <w:jc w:val="center"/>
            </w:pPr>
            <w:r>
              <w:rPr>
                <w:rFonts w:cs="Cambria Math"/>
                <w:color w:val="auto"/>
              </w:rPr>
              <w:t>Increased</w:t>
            </w:r>
          </w:p>
        </w:tc>
        <w:tc>
          <w:tcPr>
            <w:tcW w:w="1276" w:type="dxa"/>
            <w:vAlign w:val="center"/>
          </w:tcPr>
          <w:p w14:paraId="71CE8E8C" w14:textId="7CDED116" w:rsidR="003463AF" w:rsidRDefault="003463AF" w:rsidP="003463AF">
            <w:pPr>
              <w:spacing w:before="0"/>
              <w:jc w:val="center"/>
            </w:pPr>
            <w:r>
              <w:rPr>
                <w:color w:val="auto"/>
              </w:rPr>
              <w:t>Varies</w:t>
            </w:r>
          </w:p>
        </w:tc>
        <w:tc>
          <w:tcPr>
            <w:tcW w:w="1830" w:type="dxa"/>
            <w:vAlign w:val="center"/>
          </w:tcPr>
          <w:p w14:paraId="1C3F7783" w14:textId="0B0839DF" w:rsidR="003463AF" w:rsidRDefault="003463AF" w:rsidP="003463AF">
            <w:pPr>
              <w:spacing w:before="0"/>
              <w:jc w:val="center"/>
            </w:pPr>
            <w:r>
              <w:rPr>
                <w:color w:val="auto"/>
              </w:rPr>
              <w:t>Don’t know</w:t>
            </w:r>
          </w:p>
        </w:tc>
      </w:tr>
    </w:tbl>
    <w:p w14:paraId="596DC528" w14:textId="42F3DDF2" w:rsidR="001029F1" w:rsidRDefault="003463AF" w:rsidP="001029F1">
      <w:pPr>
        <w:spacing w:before="0"/>
      </w:pPr>
      <w:r>
        <w:t>9 members of a 12 member committee voted. The results were mixed on sustainability. Overall members voted that reducing the UL for vitamin B6 would probably increase sustainability.</w:t>
      </w:r>
    </w:p>
    <w:p w14:paraId="127DDEB7" w14:textId="7F61790C" w:rsidR="00581346" w:rsidRPr="00962F99" w:rsidRDefault="00860DCC" w:rsidP="00D46992">
      <w:pPr>
        <w:pStyle w:val="Heading5"/>
        <w:shd w:val="clear" w:color="auto" w:fill="005F85" w:themeFill="accent2"/>
        <w:rPr>
          <w:color w:val="FFFFFF" w:themeColor="background1"/>
          <w:sz w:val="22"/>
          <w:szCs w:val="22"/>
        </w:rPr>
      </w:pPr>
      <w:r>
        <w:rPr>
          <w:color w:val="FFFFFF" w:themeColor="background1"/>
          <w:sz w:val="22"/>
          <w:szCs w:val="22"/>
        </w:rPr>
        <w:t>DECISION</w:t>
      </w:r>
    </w:p>
    <w:p w14:paraId="5F222A19" w14:textId="7A1764E5" w:rsidR="00F314D5" w:rsidRDefault="00720E76" w:rsidP="002941EA">
      <w:pPr>
        <w:spacing w:after="0" w:line="276" w:lineRule="auto"/>
        <w:ind w:right="172"/>
      </w:pPr>
      <w:r w:rsidRPr="00505285">
        <w:rPr>
          <w:rFonts w:eastAsia="Times New Roman" w:cs="Arial"/>
          <w:b/>
          <w:bCs/>
          <w:szCs w:val="20"/>
        </w:rPr>
        <w:t xml:space="preserve">Option </w:t>
      </w:r>
      <w:r w:rsidR="007F4ADD">
        <w:rPr>
          <w:rFonts w:eastAsia="Times New Roman" w:cs="Arial"/>
          <w:b/>
          <w:bCs/>
          <w:szCs w:val="20"/>
        </w:rPr>
        <w:t>2</w:t>
      </w:r>
      <w:r w:rsidR="007F4ADD" w:rsidRPr="00505285">
        <w:rPr>
          <w:rFonts w:eastAsia="Times New Roman" w:cs="Arial"/>
          <w:b/>
          <w:bCs/>
          <w:szCs w:val="20"/>
        </w:rPr>
        <w:t xml:space="preserve"> </w:t>
      </w:r>
      <w:r w:rsidRPr="00860DCC">
        <w:rPr>
          <w:rFonts w:eastAsia="Times New Roman" w:cs="Arial"/>
          <w:szCs w:val="20"/>
        </w:rPr>
        <w:t>was selected</w:t>
      </w:r>
      <w:r w:rsidR="00F45969">
        <w:rPr>
          <w:rFonts w:eastAsia="Times New Roman" w:cs="Arial"/>
          <w:szCs w:val="20"/>
        </w:rPr>
        <w:t xml:space="preserve">: </w:t>
      </w:r>
      <w:r w:rsidR="007F3711">
        <w:rPr>
          <w:rFonts w:eastAsia="Times New Roman" w:cs="Arial"/>
          <w:szCs w:val="20"/>
        </w:rPr>
        <w:t xml:space="preserve">a strong recommendation to </w:t>
      </w:r>
      <w:r w:rsidR="00F45969">
        <w:rPr>
          <w:rFonts w:eastAsia="Times New Roman" w:cs="Arial"/>
          <w:szCs w:val="20"/>
        </w:rPr>
        <w:t>decrease the UL to 14</w:t>
      </w:r>
      <w:r w:rsidR="00F067B5">
        <w:rPr>
          <w:rFonts w:eastAsia="Times New Roman" w:cs="Arial"/>
          <w:szCs w:val="20"/>
        </w:rPr>
        <w:t xml:space="preserve"> mg/day</w:t>
      </w:r>
      <w:r w:rsidRPr="00860DCC">
        <w:rPr>
          <w:rFonts w:eastAsia="Times New Roman" w:cs="Arial"/>
          <w:szCs w:val="20"/>
        </w:rPr>
        <w:t xml:space="preserve"> </w:t>
      </w:r>
    </w:p>
    <w:p w14:paraId="27C3C6AC" w14:textId="713FD9C2" w:rsidR="007F3711" w:rsidRPr="006C357B" w:rsidRDefault="007F3711" w:rsidP="00E11D14">
      <w:pPr>
        <w:rPr>
          <w:b/>
          <w:color w:val="auto"/>
        </w:rPr>
      </w:pPr>
      <w:r w:rsidRPr="006C357B">
        <w:rPr>
          <w:b/>
          <w:color w:val="auto"/>
        </w:rPr>
        <w:t>Justification</w:t>
      </w:r>
    </w:p>
    <w:p w14:paraId="6AB04FE8" w14:textId="44DFDCF6" w:rsidR="00F81C69" w:rsidRPr="00015DCE" w:rsidRDefault="00015DCE" w:rsidP="00E11D14">
      <w:pPr>
        <w:rPr>
          <w:color w:val="auto"/>
        </w:rPr>
      </w:pPr>
      <w:r w:rsidRPr="00015DCE">
        <w:rPr>
          <w:color w:val="auto"/>
        </w:rPr>
        <w:t xml:space="preserve">The certainty of evidence regarding the </w:t>
      </w:r>
      <w:r w:rsidR="00C04415">
        <w:rPr>
          <w:color w:val="auto"/>
        </w:rPr>
        <w:t xml:space="preserve">health </w:t>
      </w:r>
      <w:r w:rsidRPr="00015DCE">
        <w:rPr>
          <w:color w:val="auto"/>
        </w:rPr>
        <w:t xml:space="preserve">benefits and harms was low from human data, and very low from animal data. The Working Group made a strong recommendation due to the asymmetry of consequences.  The Working </w:t>
      </w:r>
      <w:r w:rsidR="009404E7">
        <w:rPr>
          <w:color w:val="auto"/>
        </w:rPr>
        <w:t>G</w:t>
      </w:r>
      <w:r w:rsidRPr="00015DCE">
        <w:rPr>
          <w:color w:val="auto"/>
        </w:rPr>
        <w:t xml:space="preserve">roup favoured a lower UL maintaining that the current UL carried a plausible risk of harm with no </w:t>
      </w:r>
      <w:r w:rsidR="009404E7">
        <w:rPr>
          <w:color w:val="auto"/>
        </w:rPr>
        <w:t xml:space="preserve">evidence of </w:t>
      </w:r>
      <w:r w:rsidRPr="00015DCE">
        <w:rPr>
          <w:color w:val="auto"/>
        </w:rPr>
        <w:t>offsetting benefit</w:t>
      </w:r>
      <w:r w:rsidR="006C357B">
        <w:rPr>
          <w:color w:val="auto"/>
        </w:rPr>
        <w:t xml:space="preserve">. </w:t>
      </w:r>
      <w:r w:rsidR="00F75A2A">
        <w:rPr>
          <w:color w:val="auto"/>
        </w:rPr>
        <w:t>T</w:t>
      </w:r>
      <w:r w:rsidRPr="00015DCE">
        <w:rPr>
          <w:color w:val="auto"/>
        </w:rPr>
        <w:t xml:space="preserve">he downside of lowering </w:t>
      </w:r>
      <w:r w:rsidR="00F75A2A">
        <w:rPr>
          <w:color w:val="auto"/>
        </w:rPr>
        <w:t>the UL for public health</w:t>
      </w:r>
      <w:r w:rsidRPr="00015DCE">
        <w:rPr>
          <w:color w:val="auto"/>
        </w:rPr>
        <w:t xml:space="preserve"> is negligible, as 14mg/day remains well above requirements, so it does not meaningfully increase the risk of inadequacy. The working group advised that a precautionary approach was appropriate to protect public health. This reflects a situation in which a strong recommendation may be warranted despite low-certainty evidence.</w:t>
      </w:r>
    </w:p>
    <w:p w14:paraId="1B12CA05" w14:textId="5B2CA83A" w:rsidR="00CA0221" w:rsidRPr="00421150" w:rsidRDefault="00CA0221" w:rsidP="00CA0221">
      <w:pPr>
        <w:rPr>
          <w:b/>
          <w:bCs/>
          <w:color w:val="auto"/>
        </w:rPr>
      </w:pPr>
      <w:r w:rsidRPr="00421150">
        <w:rPr>
          <w:b/>
          <w:bCs/>
          <w:color w:val="auto"/>
        </w:rPr>
        <w:t>Implementation considerations</w:t>
      </w:r>
    </w:p>
    <w:p w14:paraId="3B554604" w14:textId="77777777" w:rsidR="00E70741" w:rsidRDefault="00EB105C" w:rsidP="00EB105C">
      <w:r>
        <w:t>R</w:t>
      </w:r>
      <w:r w:rsidR="00E70741">
        <w:t>educing the</w:t>
      </w:r>
      <w:r>
        <w:t xml:space="preserve"> UL would likely reduce the risk of Vitamin B6 toxicity in the community</w:t>
      </w:r>
      <w:r w:rsidR="00E70741">
        <w:t xml:space="preserve">. The </w:t>
      </w:r>
      <w:r>
        <w:tab/>
        <w:t xml:space="preserve">likelihood of harm </w:t>
      </w:r>
      <w:r w:rsidR="00E70741">
        <w:t xml:space="preserve">is </w:t>
      </w:r>
      <w:r>
        <w:t>very low as the UL in an order of magnitude 10x higher than requirements</w:t>
      </w:r>
      <w:r w:rsidR="00E70741">
        <w:t>.</w:t>
      </w:r>
    </w:p>
    <w:p w14:paraId="46FB1354" w14:textId="1B753F37" w:rsidR="00662646" w:rsidRPr="000B5CD7" w:rsidRDefault="00662646" w:rsidP="00EB105C">
      <w:pPr>
        <w:rPr>
          <w:color w:val="00B050"/>
        </w:rPr>
      </w:pPr>
      <w:r>
        <w:t>Implementation should be supported by clear public messaging, health professional guidance and consideration of groups who may be more likely to use supplements or have difficulty interpreting risk information</w:t>
      </w:r>
      <w:r w:rsidR="002412F3">
        <w:t>.</w:t>
      </w:r>
    </w:p>
    <w:p w14:paraId="47B56FF9" w14:textId="4876CD34" w:rsidR="00CA0221" w:rsidRPr="00421150" w:rsidRDefault="00CA0221" w:rsidP="00CA0221">
      <w:pPr>
        <w:rPr>
          <w:b/>
          <w:bCs/>
          <w:color w:val="auto"/>
        </w:rPr>
      </w:pPr>
      <w:r w:rsidRPr="00421150">
        <w:rPr>
          <w:b/>
          <w:bCs/>
          <w:color w:val="auto"/>
        </w:rPr>
        <w:t>Research priorities</w:t>
      </w:r>
    </w:p>
    <w:p w14:paraId="39C5B1DE" w14:textId="73EF5515" w:rsidR="00D706EC" w:rsidRPr="00E11D14" w:rsidRDefault="00CC2366" w:rsidP="00E11D14">
      <w:pPr>
        <w:sectPr w:rsidR="00D706EC" w:rsidRPr="00E11D14" w:rsidSect="00D75D51">
          <w:pgSz w:w="16838" w:h="11906" w:orient="landscape" w:code="9"/>
          <w:pgMar w:top="907" w:right="1814" w:bottom="1134" w:left="1565" w:header="510" w:footer="454" w:gutter="0"/>
          <w:cols w:space="708"/>
          <w:titlePg/>
          <w:docGrid w:linePitch="360"/>
        </w:sectPr>
      </w:pPr>
      <w:r>
        <w:t xml:space="preserve">There are significant </w:t>
      </w:r>
      <w:r w:rsidRPr="00CC2366">
        <w:t xml:space="preserve">data gaps, </w:t>
      </w:r>
      <w:r w:rsidR="00021D6E">
        <w:t>the quality and recency of evidence is limited</w:t>
      </w:r>
      <w:r w:rsidR="002F0640">
        <w:t>, there is</w:t>
      </w:r>
      <w:r w:rsidRPr="00CC2366">
        <w:t xml:space="preserve"> no paediatric toxicity </w:t>
      </w:r>
      <w:r w:rsidR="00572307" w:rsidRPr="00CC2366">
        <w:t>data,</w:t>
      </w:r>
      <w:r w:rsidRPr="00CC2366">
        <w:t xml:space="preserve"> and exposure characterisation </w:t>
      </w:r>
      <w:r w:rsidR="002F0640">
        <w:t>does not</w:t>
      </w:r>
      <w:r w:rsidRPr="00CC2366">
        <w:t xml:space="preserve"> support dose-response modelling</w:t>
      </w:r>
      <w:r>
        <w:t>.</w:t>
      </w:r>
    </w:p>
    <w:p w14:paraId="5AD25C7C" w14:textId="3B32AF5F" w:rsidR="003216EF" w:rsidRDefault="00F20AF8" w:rsidP="00860DCC">
      <w:pPr>
        <w:pStyle w:val="Heading4"/>
        <w:pBdr>
          <w:top w:val="single" w:sz="4" w:space="1" w:color="auto"/>
          <w:left w:val="single" w:sz="4" w:space="4" w:color="auto"/>
          <w:bottom w:val="single" w:sz="4" w:space="1" w:color="auto"/>
          <w:right w:val="single" w:sz="4" w:space="4" w:color="auto"/>
        </w:pBdr>
        <w:spacing w:after="0"/>
        <w:rPr>
          <w:sz w:val="28"/>
          <w:szCs w:val="28"/>
        </w:rPr>
      </w:pPr>
      <w:r w:rsidRPr="00F20AF8">
        <w:rPr>
          <w:sz w:val="28"/>
          <w:szCs w:val="28"/>
        </w:rPr>
        <w:lastRenderedPageBreak/>
        <w:t>CHILDREN AND ADOLESCENTS</w:t>
      </w:r>
    </w:p>
    <w:p w14:paraId="2FEA9D31" w14:textId="77777777" w:rsidR="00860DCC" w:rsidRPr="00860DCC" w:rsidRDefault="00860DCC" w:rsidP="00860DCC">
      <w:pPr>
        <w:spacing w:before="0" w:after="0"/>
      </w:pPr>
    </w:p>
    <w:p w14:paraId="2446D47A" w14:textId="0ABCA0ED" w:rsidR="00C53E69" w:rsidRPr="00267AA0" w:rsidRDefault="00C53E69" w:rsidP="00860DCC">
      <w:pPr>
        <w:pStyle w:val="Heading5"/>
        <w:pBdr>
          <w:top w:val="single" w:sz="4" w:space="1" w:color="auto"/>
          <w:left w:val="single" w:sz="4" w:space="4" w:color="auto"/>
          <w:bottom w:val="single" w:sz="4" w:space="1" w:color="auto"/>
          <w:right w:val="single" w:sz="4" w:space="4" w:color="auto"/>
        </w:pBdr>
        <w:shd w:val="clear" w:color="auto" w:fill="005F85" w:themeFill="accent2"/>
        <w:spacing w:before="0"/>
        <w:rPr>
          <w:color w:val="FFFFFF" w:themeColor="background1"/>
          <w:sz w:val="22"/>
          <w:szCs w:val="22"/>
        </w:rPr>
      </w:pPr>
      <w:r>
        <w:rPr>
          <w:color w:val="FFFFFF" w:themeColor="background1"/>
          <w:sz w:val="22"/>
          <w:szCs w:val="22"/>
        </w:rPr>
        <w:t>Example recommendation</w:t>
      </w:r>
    </w:p>
    <w:p w14:paraId="1ACF784D" w14:textId="77777777" w:rsidR="00C53E69" w:rsidRPr="002D69B2" w:rsidRDefault="00C53E69" w:rsidP="001C4FE0"/>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2869"/>
        <w:gridCol w:w="3402"/>
        <w:gridCol w:w="1843"/>
        <w:gridCol w:w="1972"/>
      </w:tblGrid>
      <w:tr w:rsidR="000935D5" w:rsidRPr="00472BE6" w14:paraId="42C2E2D0" w14:textId="77777777" w:rsidTr="008B3CDA">
        <w:tc>
          <w:tcPr>
            <w:tcW w:w="6232" w:type="dxa"/>
            <w:gridSpan w:val="2"/>
            <w:tcBorders>
              <w:bottom w:val="single" w:sz="4" w:space="0" w:color="auto"/>
            </w:tcBorders>
            <w:shd w:val="clear" w:color="auto" w:fill="C8E4EF" w:themeFill="accent1" w:themeFillTint="66"/>
          </w:tcPr>
          <w:p w14:paraId="144F1EBF" w14:textId="77777777" w:rsidR="000935D5" w:rsidRPr="00472BE6" w:rsidRDefault="000935D5" w:rsidP="001C4FE0">
            <w:pPr>
              <w:spacing w:line="276" w:lineRule="auto"/>
              <w:rPr>
                <w:rFonts w:eastAsia="Times New Roman" w:cs="Arial"/>
                <w:b/>
                <w:color w:val="004663" w:themeColor="accent2" w:themeShade="BF"/>
                <w:szCs w:val="20"/>
              </w:rPr>
            </w:pPr>
            <w:r w:rsidRPr="00472BE6">
              <w:rPr>
                <w:rFonts w:eastAsia="Times New Roman" w:cs="Arial"/>
                <w:b/>
                <w:color w:val="004663" w:themeColor="accent2" w:themeShade="BF"/>
                <w:szCs w:val="20"/>
                <w:u w:val="single"/>
              </w:rPr>
              <w:t>OPTION 1</w:t>
            </w:r>
            <w:r w:rsidRPr="00472BE6">
              <w:rPr>
                <w:rFonts w:eastAsia="Times New Roman" w:cs="Arial"/>
                <w:b/>
                <w:color w:val="004663" w:themeColor="accent2" w:themeShade="BF"/>
                <w:szCs w:val="20"/>
              </w:rPr>
              <w:t>:</w:t>
            </w:r>
          </w:p>
          <w:p w14:paraId="3A5B321F" w14:textId="77777777" w:rsidR="000935D5" w:rsidRPr="00472BE6" w:rsidRDefault="000935D5" w:rsidP="001C4FE0">
            <w:pPr>
              <w:spacing w:line="276" w:lineRule="auto"/>
              <w:contextualSpacing/>
              <w:rPr>
                <w:rFonts w:eastAsia="Times New Roman" w:cs="Arial"/>
                <w:b/>
                <w:color w:val="004663" w:themeColor="accent2" w:themeShade="BF"/>
                <w:szCs w:val="20"/>
              </w:rPr>
            </w:pPr>
            <w:r w:rsidRPr="00472BE6">
              <w:rPr>
                <w:rFonts w:eastAsia="Times New Roman" w:cs="Arial"/>
                <w:b/>
                <w:color w:val="004663" w:themeColor="accent2" w:themeShade="BF"/>
                <w:szCs w:val="20"/>
              </w:rPr>
              <w:t xml:space="preserve">Maintain current UL recommendations </w:t>
            </w:r>
          </w:p>
          <w:p w14:paraId="2FA22E6F" w14:textId="579E9398" w:rsidR="000935D5" w:rsidRPr="00472BE6" w:rsidRDefault="000935D5" w:rsidP="000935D5">
            <w:pPr>
              <w:rPr>
                <w:b/>
                <w:color w:val="004663" w:themeColor="accent2" w:themeShade="BF"/>
              </w:rPr>
            </w:pPr>
            <w:r w:rsidRPr="00472BE6">
              <w:rPr>
                <w:rFonts w:eastAsia="Times New Roman" w:cs="Arial"/>
                <w:b/>
                <w:color w:val="004663" w:themeColor="accent2" w:themeShade="BF"/>
                <w:szCs w:val="20"/>
              </w:rPr>
              <w:t>Adapt current UL to additional new age groupings</w:t>
            </w:r>
          </w:p>
        </w:tc>
        <w:tc>
          <w:tcPr>
            <w:tcW w:w="7217" w:type="dxa"/>
            <w:gridSpan w:val="3"/>
            <w:tcBorders>
              <w:bottom w:val="single" w:sz="4" w:space="0" w:color="auto"/>
            </w:tcBorders>
            <w:shd w:val="clear" w:color="auto" w:fill="C8E4EF" w:themeFill="accent1" w:themeFillTint="66"/>
          </w:tcPr>
          <w:p w14:paraId="48C82F14" w14:textId="731B6DA2" w:rsidR="000935D5" w:rsidRPr="00472BE6" w:rsidRDefault="000935D5" w:rsidP="001C4FE0">
            <w:pPr>
              <w:spacing w:line="276" w:lineRule="auto"/>
              <w:rPr>
                <w:rFonts w:eastAsia="Times New Roman" w:cs="Arial"/>
                <w:b/>
                <w:color w:val="004663" w:themeColor="accent2" w:themeShade="BF"/>
                <w:szCs w:val="20"/>
              </w:rPr>
            </w:pPr>
            <w:r w:rsidRPr="00472BE6">
              <w:rPr>
                <w:rFonts w:eastAsia="Times New Roman" w:cs="Arial"/>
                <w:b/>
                <w:color w:val="004663" w:themeColor="accent2" w:themeShade="BF"/>
                <w:szCs w:val="20"/>
                <w:u w:val="single"/>
              </w:rPr>
              <w:t>OPTION 2</w:t>
            </w:r>
            <w:r w:rsidRPr="00472BE6">
              <w:rPr>
                <w:rFonts w:eastAsia="Times New Roman" w:cs="Arial"/>
                <w:b/>
                <w:color w:val="004663" w:themeColor="accent2" w:themeShade="BF"/>
                <w:szCs w:val="20"/>
              </w:rPr>
              <w:t>:</w:t>
            </w:r>
            <w:r w:rsidRPr="00472BE6">
              <w:rPr>
                <w:rFonts w:eastAsia="Times New Roman" w:cs="Arial"/>
                <w:b/>
                <w:color w:val="004663" w:themeColor="accent2" w:themeShade="BF"/>
                <w:szCs w:val="20"/>
              </w:rPr>
              <w:br/>
            </w:r>
            <w:r w:rsidR="0006382F" w:rsidRPr="00472BE6">
              <w:rPr>
                <w:rFonts w:eastAsia="Times New Roman" w:cs="Arial"/>
                <w:b/>
                <w:color w:val="004663" w:themeColor="accent2" w:themeShade="BF"/>
                <w:szCs w:val="20"/>
              </w:rPr>
              <w:t>Decrease the</w:t>
            </w:r>
            <w:r w:rsidRPr="00472BE6">
              <w:rPr>
                <w:rFonts w:eastAsia="Times New Roman" w:cs="Arial"/>
                <w:b/>
                <w:color w:val="004663" w:themeColor="accent2" w:themeShade="BF"/>
                <w:szCs w:val="20"/>
              </w:rPr>
              <w:t xml:space="preserve"> UL</w:t>
            </w:r>
          </w:p>
        </w:tc>
      </w:tr>
      <w:tr w:rsidR="003F751B" w14:paraId="16546E2B" w14:textId="77777777" w:rsidTr="008B3CDA">
        <w:tc>
          <w:tcPr>
            <w:tcW w:w="3363" w:type="dxa"/>
            <w:tcBorders>
              <w:bottom w:val="nil"/>
              <w:right w:val="nil"/>
            </w:tcBorders>
            <w:shd w:val="clear" w:color="auto" w:fill="E3F1F7" w:themeFill="accent1" w:themeFillTint="33"/>
          </w:tcPr>
          <w:p w14:paraId="3E6B1881" w14:textId="625D80FA" w:rsidR="003F751B" w:rsidRPr="001C4FE0" w:rsidRDefault="003F751B" w:rsidP="00795CA2">
            <w:pPr>
              <w:rPr>
                <w:rFonts w:eastAsia="Arial" w:cs="Arial"/>
                <w:b/>
                <w:szCs w:val="20"/>
                <w:u w:val="single"/>
              </w:rPr>
            </w:pPr>
            <w:r w:rsidRPr="00505285">
              <w:rPr>
                <w:rFonts w:eastAsia="Times New Roman" w:cs="Arial"/>
                <w:b/>
                <w:bCs/>
                <w:szCs w:val="20"/>
              </w:rPr>
              <w:t>All (males &amp; females)</w:t>
            </w:r>
          </w:p>
        </w:tc>
        <w:tc>
          <w:tcPr>
            <w:tcW w:w="2869" w:type="dxa"/>
            <w:tcBorders>
              <w:left w:val="nil"/>
              <w:bottom w:val="nil"/>
              <w:right w:val="nil"/>
            </w:tcBorders>
            <w:shd w:val="clear" w:color="auto" w:fill="E3F1F7" w:themeFill="accent1" w:themeFillTint="33"/>
            <w:vAlign w:val="bottom"/>
          </w:tcPr>
          <w:p w14:paraId="2D97F2EB" w14:textId="0E495059" w:rsidR="003F751B" w:rsidRPr="002D69B2" w:rsidRDefault="003F751B" w:rsidP="0057685C">
            <w:pPr>
              <w:spacing w:before="60" w:line="276" w:lineRule="auto"/>
              <w:jc w:val="center"/>
              <w:rPr>
                <w:rFonts w:eastAsia="Times New Roman" w:cs="Arial"/>
                <w:b/>
                <w:szCs w:val="20"/>
              </w:rPr>
            </w:pPr>
            <w:r w:rsidRPr="002D69B2">
              <w:rPr>
                <w:rFonts w:eastAsia="Times New Roman" w:cs="Arial"/>
                <w:b/>
                <w:szCs w:val="20"/>
              </w:rPr>
              <w:t>UL</w:t>
            </w:r>
          </w:p>
        </w:tc>
        <w:tc>
          <w:tcPr>
            <w:tcW w:w="3402" w:type="dxa"/>
            <w:tcBorders>
              <w:left w:val="nil"/>
              <w:bottom w:val="nil"/>
              <w:right w:val="nil"/>
            </w:tcBorders>
            <w:shd w:val="clear" w:color="auto" w:fill="E3F1F7" w:themeFill="accent1" w:themeFillTint="33"/>
          </w:tcPr>
          <w:p w14:paraId="394EE3FC" w14:textId="0AB865CD" w:rsidR="003F751B" w:rsidRPr="001C4FE0" w:rsidRDefault="003F751B" w:rsidP="00795CA2">
            <w:pPr>
              <w:rPr>
                <w:rFonts w:eastAsia="Arial" w:cs="Arial"/>
                <w:b/>
                <w:szCs w:val="20"/>
                <w:u w:val="single"/>
              </w:rPr>
            </w:pPr>
          </w:p>
        </w:tc>
        <w:tc>
          <w:tcPr>
            <w:tcW w:w="1843" w:type="dxa"/>
            <w:tcBorders>
              <w:left w:val="nil"/>
              <w:bottom w:val="nil"/>
              <w:right w:val="nil"/>
            </w:tcBorders>
            <w:shd w:val="clear" w:color="auto" w:fill="E3F1F7" w:themeFill="accent1" w:themeFillTint="33"/>
            <w:vAlign w:val="bottom"/>
          </w:tcPr>
          <w:p w14:paraId="240522D3" w14:textId="20D4742E" w:rsidR="003F751B" w:rsidRPr="00993BAD" w:rsidRDefault="003F751B" w:rsidP="00B0506C">
            <w:pPr>
              <w:jc w:val="center"/>
              <w:rPr>
                <w:i/>
                <w:color w:val="005F85" w:themeColor="accent2"/>
                <w:highlight w:val="yellow"/>
              </w:rPr>
            </w:pPr>
            <w:r w:rsidRPr="002D69B2">
              <w:rPr>
                <w:rFonts w:eastAsia="Times New Roman" w:cs="Arial"/>
                <w:b/>
                <w:szCs w:val="20"/>
              </w:rPr>
              <w:t>UL</w:t>
            </w:r>
            <w:r w:rsidR="0013066B">
              <w:rPr>
                <w:rFonts w:eastAsia="Times New Roman" w:cs="Arial"/>
                <w:b/>
                <w:szCs w:val="20"/>
              </w:rPr>
              <w:t xml:space="preserve"> (Males)</w:t>
            </w:r>
          </w:p>
        </w:tc>
        <w:tc>
          <w:tcPr>
            <w:tcW w:w="1972" w:type="dxa"/>
            <w:tcBorders>
              <w:left w:val="nil"/>
              <w:bottom w:val="nil"/>
            </w:tcBorders>
            <w:shd w:val="clear" w:color="auto" w:fill="E3F1F7" w:themeFill="accent1" w:themeFillTint="33"/>
            <w:vAlign w:val="bottom"/>
          </w:tcPr>
          <w:p w14:paraId="228D0062" w14:textId="6E90AC8D" w:rsidR="003F751B" w:rsidRPr="002D69B2" w:rsidRDefault="0013066B" w:rsidP="0006382F">
            <w:pPr>
              <w:jc w:val="center"/>
              <w:rPr>
                <w:rFonts w:eastAsia="Times New Roman" w:cs="Arial"/>
                <w:b/>
                <w:szCs w:val="20"/>
              </w:rPr>
            </w:pPr>
            <w:r w:rsidRPr="002D69B2">
              <w:rPr>
                <w:rFonts w:eastAsia="Times New Roman" w:cs="Arial"/>
                <w:b/>
                <w:szCs w:val="20"/>
              </w:rPr>
              <w:t>UL</w:t>
            </w:r>
            <w:r>
              <w:rPr>
                <w:rFonts w:eastAsia="Times New Roman" w:cs="Arial"/>
                <w:b/>
                <w:szCs w:val="20"/>
              </w:rPr>
              <w:t xml:space="preserve"> (Females)</w:t>
            </w:r>
          </w:p>
        </w:tc>
      </w:tr>
      <w:tr w:rsidR="003F751B" w14:paraId="1505F59B" w14:textId="77777777" w:rsidTr="008B3CDA">
        <w:tc>
          <w:tcPr>
            <w:tcW w:w="3363" w:type="dxa"/>
            <w:tcBorders>
              <w:top w:val="nil"/>
              <w:bottom w:val="nil"/>
              <w:right w:val="nil"/>
            </w:tcBorders>
            <w:shd w:val="clear" w:color="auto" w:fill="E3F1F7" w:themeFill="accent1" w:themeFillTint="33"/>
          </w:tcPr>
          <w:p w14:paraId="49842984" w14:textId="425C267F" w:rsidR="003F751B" w:rsidRPr="00F03D33" w:rsidRDefault="003F751B" w:rsidP="00795CA2">
            <w:pPr>
              <w:rPr>
                <w:rFonts w:eastAsia="Arial" w:cs="Arial"/>
                <w:b/>
                <w:szCs w:val="20"/>
                <w:u w:val="single"/>
              </w:rPr>
            </w:pPr>
            <w:r w:rsidRPr="001C4FE0">
              <w:rPr>
                <w:rFonts w:eastAsia="Arial" w:cs="Arial"/>
                <w:b/>
                <w:szCs w:val="20"/>
                <w:u w:val="single"/>
              </w:rPr>
              <w:t>NRV age groupings:</w:t>
            </w:r>
          </w:p>
        </w:tc>
        <w:tc>
          <w:tcPr>
            <w:tcW w:w="2869" w:type="dxa"/>
            <w:tcBorders>
              <w:top w:val="nil"/>
              <w:left w:val="nil"/>
              <w:bottom w:val="nil"/>
              <w:right w:val="nil"/>
            </w:tcBorders>
            <w:shd w:val="clear" w:color="auto" w:fill="E3F1F7" w:themeFill="accent1" w:themeFillTint="33"/>
            <w:vAlign w:val="bottom"/>
          </w:tcPr>
          <w:p w14:paraId="6E3992A1" w14:textId="175AB7C9" w:rsidR="003F751B" w:rsidRPr="0078127E" w:rsidRDefault="003F751B" w:rsidP="0057685C">
            <w:pPr>
              <w:spacing w:before="60" w:line="276" w:lineRule="auto"/>
              <w:jc w:val="center"/>
              <w:rPr>
                <w:rFonts w:eastAsia="Times New Roman" w:cs="Arial"/>
                <w:b/>
                <w:szCs w:val="20"/>
              </w:rPr>
            </w:pPr>
          </w:p>
        </w:tc>
        <w:tc>
          <w:tcPr>
            <w:tcW w:w="3402" w:type="dxa"/>
            <w:tcBorders>
              <w:top w:val="nil"/>
              <w:left w:val="nil"/>
              <w:bottom w:val="nil"/>
              <w:right w:val="nil"/>
            </w:tcBorders>
            <w:shd w:val="clear" w:color="auto" w:fill="E3F1F7" w:themeFill="accent1" w:themeFillTint="33"/>
          </w:tcPr>
          <w:p w14:paraId="31BB16FC" w14:textId="1B1AB952" w:rsidR="003F751B" w:rsidRPr="00F03D33" w:rsidRDefault="003F751B" w:rsidP="00795CA2">
            <w:pPr>
              <w:rPr>
                <w:rFonts w:eastAsia="Arial" w:cs="Arial"/>
                <w:b/>
                <w:szCs w:val="20"/>
                <w:u w:val="single"/>
              </w:rPr>
            </w:pPr>
            <w:r w:rsidRPr="001C4FE0">
              <w:rPr>
                <w:rFonts w:eastAsia="Arial" w:cs="Arial"/>
                <w:b/>
                <w:szCs w:val="20"/>
                <w:u w:val="single"/>
              </w:rPr>
              <w:t>NRV age groupings:</w:t>
            </w:r>
          </w:p>
        </w:tc>
        <w:tc>
          <w:tcPr>
            <w:tcW w:w="1843" w:type="dxa"/>
            <w:tcBorders>
              <w:top w:val="nil"/>
              <w:left w:val="nil"/>
              <w:bottom w:val="nil"/>
              <w:right w:val="nil"/>
            </w:tcBorders>
            <w:shd w:val="clear" w:color="auto" w:fill="E3F1F7" w:themeFill="accent1" w:themeFillTint="33"/>
            <w:vAlign w:val="bottom"/>
          </w:tcPr>
          <w:p w14:paraId="694E6C51" w14:textId="77777777" w:rsidR="003F751B" w:rsidRPr="0078127E" w:rsidRDefault="003F751B" w:rsidP="0006382F">
            <w:pPr>
              <w:jc w:val="center"/>
              <w:rPr>
                <w:rFonts w:eastAsia="Times New Roman" w:cs="Arial"/>
                <w:b/>
                <w:szCs w:val="20"/>
              </w:rPr>
            </w:pPr>
          </w:p>
        </w:tc>
        <w:tc>
          <w:tcPr>
            <w:tcW w:w="1972" w:type="dxa"/>
            <w:tcBorders>
              <w:top w:val="nil"/>
              <w:left w:val="nil"/>
              <w:bottom w:val="nil"/>
            </w:tcBorders>
            <w:shd w:val="clear" w:color="auto" w:fill="E3F1F7" w:themeFill="accent1" w:themeFillTint="33"/>
            <w:vAlign w:val="bottom"/>
          </w:tcPr>
          <w:p w14:paraId="716D9BFC" w14:textId="6888F5E6" w:rsidR="003F751B" w:rsidRPr="0078127E" w:rsidRDefault="003F751B" w:rsidP="0006382F">
            <w:pPr>
              <w:jc w:val="center"/>
              <w:rPr>
                <w:rFonts w:eastAsia="Times New Roman" w:cs="Arial"/>
                <w:b/>
                <w:szCs w:val="20"/>
              </w:rPr>
            </w:pPr>
          </w:p>
        </w:tc>
      </w:tr>
      <w:tr w:rsidR="003F751B" w14:paraId="53B6352C" w14:textId="77777777" w:rsidTr="008B3CDA">
        <w:tc>
          <w:tcPr>
            <w:tcW w:w="3363" w:type="dxa"/>
            <w:tcBorders>
              <w:top w:val="nil"/>
              <w:bottom w:val="nil"/>
              <w:right w:val="nil"/>
            </w:tcBorders>
            <w:shd w:val="clear" w:color="auto" w:fill="E3F1F7" w:themeFill="accent1" w:themeFillTint="33"/>
          </w:tcPr>
          <w:p w14:paraId="5EF1D09D" w14:textId="1CB02D4B" w:rsidR="003F751B" w:rsidRDefault="003F751B" w:rsidP="00795CA2">
            <w:r w:rsidRPr="00505285">
              <w:rPr>
                <w:rFonts w:eastAsia="Times New Roman" w:cs="Arial"/>
                <w:b/>
                <w:bCs/>
                <w:szCs w:val="20"/>
              </w:rPr>
              <w:t xml:space="preserve">1 to under 4 years </w:t>
            </w:r>
          </w:p>
        </w:tc>
        <w:tc>
          <w:tcPr>
            <w:tcW w:w="2869" w:type="dxa"/>
            <w:tcBorders>
              <w:top w:val="nil"/>
              <w:left w:val="nil"/>
              <w:bottom w:val="nil"/>
              <w:right w:val="nil"/>
            </w:tcBorders>
          </w:tcPr>
          <w:p w14:paraId="7DDD0494" w14:textId="47388BD0" w:rsidR="003F751B" w:rsidRPr="008B3CDA" w:rsidRDefault="003F751B" w:rsidP="001C4FE0">
            <w:pPr>
              <w:jc w:val="center"/>
              <w:rPr>
                <w:rFonts w:ascii="Aptos" w:hAnsi="Aptos"/>
                <w:sz w:val="22"/>
                <w:szCs w:val="22"/>
              </w:rPr>
            </w:pPr>
            <w:r w:rsidRPr="008B3CDA">
              <w:rPr>
                <w:rFonts w:ascii="Aptos" w:eastAsia="Times New Roman" w:hAnsi="Aptos" w:cs="Arial"/>
                <w:sz w:val="22"/>
                <w:szCs w:val="22"/>
              </w:rPr>
              <w:t>15 mg/day</w:t>
            </w:r>
          </w:p>
        </w:tc>
        <w:tc>
          <w:tcPr>
            <w:tcW w:w="3402" w:type="dxa"/>
            <w:tcBorders>
              <w:top w:val="nil"/>
              <w:left w:val="nil"/>
              <w:bottom w:val="nil"/>
              <w:right w:val="nil"/>
            </w:tcBorders>
            <w:shd w:val="clear" w:color="auto" w:fill="E3F1F7" w:themeFill="accent1" w:themeFillTint="33"/>
          </w:tcPr>
          <w:p w14:paraId="23059109" w14:textId="36E52B84" w:rsidR="003F751B" w:rsidRDefault="003F751B" w:rsidP="00795CA2">
            <w:r w:rsidRPr="00505285">
              <w:rPr>
                <w:rFonts w:eastAsia="Times New Roman" w:cs="Arial"/>
                <w:b/>
                <w:bCs/>
                <w:szCs w:val="20"/>
              </w:rPr>
              <w:t>1 to under 4 years</w:t>
            </w:r>
          </w:p>
        </w:tc>
        <w:tc>
          <w:tcPr>
            <w:tcW w:w="1843" w:type="dxa"/>
            <w:tcBorders>
              <w:top w:val="nil"/>
              <w:left w:val="nil"/>
              <w:bottom w:val="nil"/>
              <w:right w:val="nil"/>
            </w:tcBorders>
          </w:tcPr>
          <w:p w14:paraId="3A1AF71E" w14:textId="385945CF" w:rsidR="003F751B" w:rsidRPr="008B3CDA" w:rsidRDefault="000B6F39" w:rsidP="0006382F">
            <w:pPr>
              <w:jc w:val="center"/>
              <w:rPr>
                <w:i/>
                <w:color w:val="005F85" w:themeColor="accent2"/>
                <w:sz w:val="22"/>
                <w:szCs w:val="22"/>
                <w:highlight w:val="yellow"/>
              </w:rPr>
            </w:pPr>
            <w:r w:rsidRPr="008B3CDA">
              <w:rPr>
                <w:rFonts w:ascii="Aptos" w:eastAsia="Arial" w:hAnsi="Aptos" w:cs="Arial"/>
                <w:iCs/>
                <w:sz w:val="22"/>
                <w:szCs w:val="22"/>
              </w:rPr>
              <w:t>4.5</w:t>
            </w:r>
            <w:r w:rsidRPr="008B3CDA">
              <w:rPr>
                <w:rFonts w:ascii="Aptos" w:hAnsi="Aptos"/>
                <w:color w:val="000034"/>
                <w:sz w:val="22"/>
                <w:szCs w:val="22"/>
              </w:rPr>
              <w:t xml:space="preserve"> mg/day</w:t>
            </w:r>
          </w:p>
        </w:tc>
        <w:tc>
          <w:tcPr>
            <w:tcW w:w="1972" w:type="dxa"/>
            <w:tcBorders>
              <w:top w:val="nil"/>
              <w:left w:val="nil"/>
              <w:bottom w:val="nil"/>
            </w:tcBorders>
          </w:tcPr>
          <w:p w14:paraId="2799D612" w14:textId="7A1F66FC" w:rsidR="003F751B" w:rsidRPr="008B3CDA" w:rsidRDefault="00BA4BAA" w:rsidP="0006382F">
            <w:pPr>
              <w:jc w:val="center"/>
              <w:rPr>
                <w:i/>
                <w:color w:val="005F85" w:themeColor="accent2"/>
                <w:sz w:val="22"/>
                <w:szCs w:val="22"/>
                <w:highlight w:val="yellow"/>
              </w:rPr>
            </w:pPr>
            <w:r w:rsidRPr="008B3CDA">
              <w:rPr>
                <w:rFonts w:ascii="Aptos" w:eastAsia="Arial" w:hAnsi="Aptos" w:cs="Arial"/>
                <w:iCs/>
                <w:sz w:val="22"/>
                <w:szCs w:val="22"/>
              </w:rPr>
              <w:t>4.0</w:t>
            </w:r>
            <w:r w:rsidRPr="008B3CDA">
              <w:rPr>
                <w:rFonts w:ascii="Aptos" w:hAnsi="Aptos"/>
                <w:color w:val="000034"/>
                <w:sz w:val="22"/>
                <w:szCs w:val="22"/>
              </w:rPr>
              <w:t xml:space="preserve"> mg/day</w:t>
            </w:r>
          </w:p>
        </w:tc>
      </w:tr>
      <w:tr w:rsidR="003F751B" w14:paraId="61A01648" w14:textId="77777777" w:rsidTr="008B3CDA">
        <w:tc>
          <w:tcPr>
            <w:tcW w:w="3363" w:type="dxa"/>
            <w:tcBorders>
              <w:top w:val="nil"/>
              <w:bottom w:val="nil"/>
              <w:right w:val="nil"/>
            </w:tcBorders>
            <w:shd w:val="clear" w:color="auto" w:fill="E3F1F7" w:themeFill="accent1" w:themeFillTint="33"/>
          </w:tcPr>
          <w:p w14:paraId="1022C183" w14:textId="2AFE7045" w:rsidR="003F751B" w:rsidRDefault="003F751B" w:rsidP="00B0506C">
            <w:r w:rsidRPr="00505285">
              <w:rPr>
                <w:rFonts w:eastAsia="Times New Roman" w:cs="Arial"/>
                <w:b/>
                <w:bCs/>
                <w:szCs w:val="20"/>
              </w:rPr>
              <w:t>4 to under 9 years</w:t>
            </w:r>
          </w:p>
        </w:tc>
        <w:tc>
          <w:tcPr>
            <w:tcW w:w="2869" w:type="dxa"/>
            <w:tcBorders>
              <w:top w:val="nil"/>
              <w:left w:val="nil"/>
              <w:bottom w:val="nil"/>
              <w:right w:val="nil"/>
            </w:tcBorders>
          </w:tcPr>
          <w:p w14:paraId="206680FB" w14:textId="08316338" w:rsidR="003F751B" w:rsidRPr="008B3CDA" w:rsidRDefault="003F751B" w:rsidP="00B0506C">
            <w:pPr>
              <w:jc w:val="center"/>
              <w:rPr>
                <w:rFonts w:ascii="Aptos" w:hAnsi="Aptos"/>
                <w:sz w:val="22"/>
                <w:szCs w:val="22"/>
              </w:rPr>
            </w:pPr>
            <w:r w:rsidRPr="008B3CDA">
              <w:rPr>
                <w:rFonts w:ascii="Aptos" w:eastAsia="Times New Roman" w:hAnsi="Aptos" w:cs="Arial"/>
                <w:sz w:val="22"/>
                <w:szCs w:val="22"/>
              </w:rPr>
              <w:t>20 mg/day</w:t>
            </w:r>
          </w:p>
        </w:tc>
        <w:tc>
          <w:tcPr>
            <w:tcW w:w="3402" w:type="dxa"/>
            <w:tcBorders>
              <w:top w:val="nil"/>
              <w:left w:val="nil"/>
              <w:bottom w:val="nil"/>
              <w:right w:val="nil"/>
            </w:tcBorders>
            <w:shd w:val="clear" w:color="auto" w:fill="E3F1F7" w:themeFill="accent1" w:themeFillTint="33"/>
          </w:tcPr>
          <w:p w14:paraId="176ECE1D" w14:textId="2B5D7728" w:rsidR="003F751B" w:rsidRDefault="003F751B" w:rsidP="00B0506C">
            <w:r w:rsidRPr="00505285">
              <w:rPr>
                <w:rFonts w:eastAsia="Times New Roman" w:cs="Arial"/>
                <w:b/>
                <w:bCs/>
                <w:szCs w:val="20"/>
              </w:rPr>
              <w:t>4 to under 9 years</w:t>
            </w:r>
          </w:p>
        </w:tc>
        <w:tc>
          <w:tcPr>
            <w:tcW w:w="1843" w:type="dxa"/>
            <w:tcBorders>
              <w:top w:val="nil"/>
              <w:left w:val="nil"/>
              <w:bottom w:val="nil"/>
              <w:right w:val="nil"/>
            </w:tcBorders>
          </w:tcPr>
          <w:p w14:paraId="5774F42A" w14:textId="421C5AC8" w:rsidR="003F751B" w:rsidRPr="008B3CDA" w:rsidRDefault="00C34091" w:rsidP="0006382F">
            <w:pPr>
              <w:jc w:val="center"/>
              <w:rPr>
                <w:i/>
                <w:color w:val="005F85" w:themeColor="accent2"/>
                <w:sz w:val="22"/>
                <w:szCs w:val="22"/>
                <w:highlight w:val="yellow"/>
              </w:rPr>
            </w:pPr>
            <w:r w:rsidRPr="008B3CDA">
              <w:rPr>
                <w:rFonts w:ascii="Aptos" w:eastAsia="Arial" w:hAnsi="Aptos" w:cs="Arial"/>
                <w:iCs/>
                <w:sz w:val="22"/>
                <w:szCs w:val="22"/>
              </w:rPr>
              <w:t>6.5</w:t>
            </w:r>
            <w:r w:rsidRPr="008B3CDA">
              <w:rPr>
                <w:rFonts w:ascii="Aptos" w:hAnsi="Aptos"/>
                <w:color w:val="000034"/>
                <w:sz w:val="22"/>
                <w:szCs w:val="22"/>
              </w:rPr>
              <w:t xml:space="preserve"> mg/day</w:t>
            </w:r>
          </w:p>
        </w:tc>
        <w:tc>
          <w:tcPr>
            <w:tcW w:w="1972" w:type="dxa"/>
            <w:tcBorders>
              <w:top w:val="nil"/>
              <w:left w:val="nil"/>
              <w:bottom w:val="nil"/>
            </w:tcBorders>
          </w:tcPr>
          <w:p w14:paraId="10E5F977" w14:textId="4622DA9F" w:rsidR="003F751B" w:rsidRPr="008B3CDA" w:rsidRDefault="00CB0F11" w:rsidP="0006382F">
            <w:pPr>
              <w:jc w:val="center"/>
              <w:rPr>
                <w:i/>
                <w:color w:val="005F85" w:themeColor="accent2"/>
                <w:sz w:val="22"/>
                <w:szCs w:val="22"/>
                <w:highlight w:val="yellow"/>
              </w:rPr>
            </w:pPr>
            <w:r w:rsidRPr="008B3CDA">
              <w:rPr>
                <w:rFonts w:ascii="Aptos" w:eastAsia="Arial" w:hAnsi="Aptos" w:cs="Arial"/>
                <w:iCs/>
                <w:sz w:val="22"/>
                <w:szCs w:val="22"/>
              </w:rPr>
              <w:t>6.5</w:t>
            </w:r>
            <w:r w:rsidRPr="008B3CDA">
              <w:rPr>
                <w:rFonts w:ascii="Aptos" w:hAnsi="Aptos"/>
                <w:color w:val="000034"/>
                <w:sz w:val="22"/>
                <w:szCs w:val="22"/>
              </w:rPr>
              <w:t xml:space="preserve"> mg/day</w:t>
            </w:r>
          </w:p>
        </w:tc>
      </w:tr>
      <w:tr w:rsidR="003F751B" w14:paraId="65D67AE2" w14:textId="77777777" w:rsidTr="008B3CDA">
        <w:tc>
          <w:tcPr>
            <w:tcW w:w="3363" w:type="dxa"/>
            <w:tcBorders>
              <w:top w:val="nil"/>
              <w:bottom w:val="nil"/>
              <w:right w:val="nil"/>
            </w:tcBorders>
            <w:shd w:val="clear" w:color="auto" w:fill="E3F1F7" w:themeFill="accent1" w:themeFillTint="33"/>
          </w:tcPr>
          <w:p w14:paraId="5583B002" w14:textId="0A3B439C" w:rsidR="003F751B" w:rsidRDefault="003F751B" w:rsidP="00B0506C">
            <w:r w:rsidRPr="00505285">
              <w:rPr>
                <w:rFonts w:eastAsia="Times New Roman" w:cs="Arial"/>
                <w:b/>
                <w:bCs/>
                <w:szCs w:val="20"/>
              </w:rPr>
              <w:t>9 to under 14 years</w:t>
            </w:r>
          </w:p>
        </w:tc>
        <w:tc>
          <w:tcPr>
            <w:tcW w:w="2869" w:type="dxa"/>
            <w:tcBorders>
              <w:top w:val="nil"/>
              <w:left w:val="nil"/>
              <w:bottom w:val="nil"/>
              <w:right w:val="nil"/>
            </w:tcBorders>
          </w:tcPr>
          <w:p w14:paraId="38040D20" w14:textId="4963D92E" w:rsidR="003F751B" w:rsidRPr="008B3CDA" w:rsidRDefault="003F751B" w:rsidP="00B0506C">
            <w:pPr>
              <w:jc w:val="center"/>
              <w:rPr>
                <w:rFonts w:ascii="Aptos" w:hAnsi="Aptos"/>
                <w:sz w:val="22"/>
                <w:szCs w:val="22"/>
              </w:rPr>
            </w:pPr>
            <w:r w:rsidRPr="008B3CDA">
              <w:rPr>
                <w:rFonts w:ascii="Aptos" w:eastAsia="Times New Roman" w:hAnsi="Aptos" w:cs="Arial"/>
                <w:sz w:val="22"/>
                <w:szCs w:val="22"/>
              </w:rPr>
              <w:t>30 mg/day</w:t>
            </w:r>
          </w:p>
        </w:tc>
        <w:tc>
          <w:tcPr>
            <w:tcW w:w="3402" w:type="dxa"/>
            <w:tcBorders>
              <w:top w:val="nil"/>
              <w:left w:val="nil"/>
              <w:bottom w:val="nil"/>
              <w:right w:val="nil"/>
            </w:tcBorders>
            <w:shd w:val="clear" w:color="auto" w:fill="E3F1F7" w:themeFill="accent1" w:themeFillTint="33"/>
          </w:tcPr>
          <w:p w14:paraId="0E785AA5" w14:textId="0F9ABF38" w:rsidR="003F751B" w:rsidRDefault="003F751B" w:rsidP="00B0506C">
            <w:r w:rsidRPr="00505285">
              <w:rPr>
                <w:rFonts w:eastAsia="Times New Roman" w:cs="Arial"/>
                <w:b/>
                <w:bCs/>
                <w:szCs w:val="20"/>
              </w:rPr>
              <w:t>9 to under 14 years</w:t>
            </w:r>
          </w:p>
        </w:tc>
        <w:tc>
          <w:tcPr>
            <w:tcW w:w="1843" w:type="dxa"/>
            <w:tcBorders>
              <w:top w:val="nil"/>
              <w:left w:val="nil"/>
              <w:bottom w:val="nil"/>
              <w:right w:val="nil"/>
            </w:tcBorders>
          </w:tcPr>
          <w:p w14:paraId="69D4EB13" w14:textId="45516A40" w:rsidR="003F751B" w:rsidRPr="008B3CDA" w:rsidRDefault="002D649A" w:rsidP="0006382F">
            <w:pPr>
              <w:jc w:val="center"/>
              <w:rPr>
                <w:i/>
                <w:color w:val="005F85" w:themeColor="accent2"/>
                <w:sz w:val="22"/>
                <w:szCs w:val="22"/>
                <w:highlight w:val="yellow"/>
              </w:rPr>
            </w:pPr>
            <w:r w:rsidRPr="008B3CDA">
              <w:rPr>
                <w:rFonts w:ascii="Aptos" w:eastAsia="Arial" w:hAnsi="Aptos" w:cs="Arial"/>
                <w:iCs/>
                <w:sz w:val="22"/>
                <w:szCs w:val="22"/>
              </w:rPr>
              <w:t>10.0</w:t>
            </w:r>
            <w:r w:rsidRPr="008B3CDA">
              <w:rPr>
                <w:rFonts w:ascii="Aptos" w:hAnsi="Aptos"/>
                <w:color w:val="000034"/>
                <w:sz w:val="22"/>
                <w:szCs w:val="22"/>
              </w:rPr>
              <w:t xml:space="preserve"> mg/day</w:t>
            </w:r>
          </w:p>
        </w:tc>
        <w:tc>
          <w:tcPr>
            <w:tcW w:w="1972" w:type="dxa"/>
            <w:tcBorders>
              <w:top w:val="nil"/>
              <w:left w:val="nil"/>
              <w:bottom w:val="nil"/>
            </w:tcBorders>
          </w:tcPr>
          <w:p w14:paraId="3A3A3380" w14:textId="3A91A1F8" w:rsidR="003F751B" w:rsidRPr="008B3CDA" w:rsidRDefault="000A0CC0" w:rsidP="0006382F">
            <w:pPr>
              <w:jc w:val="center"/>
              <w:rPr>
                <w:i/>
                <w:color w:val="005F85" w:themeColor="accent2"/>
                <w:sz w:val="22"/>
                <w:szCs w:val="22"/>
                <w:highlight w:val="yellow"/>
              </w:rPr>
            </w:pPr>
            <w:r w:rsidRPr="008B3CDA">
              <w:rPr>
                <w:rFonts w:ascii="Aptos" w:eastAsia="Arial" w:hAnsi="Aptos" w:cs="Arial"/>
                <w:iCs/>
                <w:sz w:val="22"/>
                <w:szCs w:val="22"/>
              </w:rPr>
              <w:t>10.0</w:t>
            </w:r>
            <w:r w:rsidRPr="008B3CDA">
              <w:rPr>
                <w:rFonts w:ascii="Aptos" w:hAnsi="Aptos"/>
                <w:color w:val="000034"/>
                <w:sz w:val="22"/>
                <w:szCs w:val="22"/>
              </w:rPr>
              <w:t xml:space="preserve"> mg/day</w:t>
            </w:r>
          </w:p>
        </w:tc>
      </w:tr>
      <w:tr w:rsidR="003F751B" w14:paraId="7C199CF6" w14:textId="77777777" w:rsidTr="008B3CDA">
        <w:tc>
          <w:tcPr>
            <w:tcW w:w="3363" w:type="dxa"/>
            <w:tcBorders>
              <w:top w:val="nil"/>
              <w:bottom w:val="nil"/>
              <w:right w:val="nil"/>
            </w:tcBorders>
            <w:shd w:val="clear" w:color="auto" w:fill="E3F1F7" w:themeFill="accent1" w:themeFillTint="33"/>
          </w:tcPr>
          <w:p w14:paraId="4FC63FFC" w14:textId="17A0286E" w:rsidR="003F751B" w:rsidRDefault="003F751B" w:rsidP="00B0506C">
            <w:r w:rsidRPr="00505285">
              <w:rPr>
                <w:rFonts w:eastAsia="Times New Roman" w:cs="Arial"/>
                <w:b/>
                <w:bCs/>
                <w:szCs w:val="20"/>
              </w:rPr>
              <w:t>14 to under 18 years</w:t>
            </w:r>
          </w:p>
        </w:tc>
        <w:tc>
          <w:tcPr>
            <w:tcW w:w="2869" w:type="dxa"/>
            <w:tcBorders>
              <w:top w:val="nil"/>
              <w:left w:val="nil"/>
              <w:bottom w:val="nil"/>
              <w:right w:val="nil"/>
            </w:tcBorders>
          </w:tcPr>
          <w:p w14:paraId="03917D2B" w14:textId="1F2E7FA3" w:rsidR="003F751B" w:rsidRPr="008B3CDA" w:rsidRDefault="003F751B" w:rsidP="00B0506C">
            <w:pPr>
              <w:jc w:val="center"/>
              <w:rPr>
                <w:rFonts w:ascii="Aptos" w:hAnsi="Aptos"/>
                <w:sz w:val="22"/>
                <w:szCs w:val="22"/>
              </w:rPr>
            </w:pPr>
            <w:r w:rsidRPr="008B3CDA">
              <w:rPr>
                <w:rFonts w:ascii="Aptos" w:eastAsia="Times New Roman" w:hAnsi="Aptos" w:cs="Arial"/>
                <w:sz w:val="22"/>
                <w:szCs w:val="22"/>
              </w:rPr>
              <w:t>40 mg/day</w:t>
            </w:r>
          </w:p>
        </w:tc>
        <w:tc>
          <w:tcPr>
            <w:tcW w:w="3402" w:type="dxa"/>
            <w:tcBorders>
              <w:top w:val="nil"/>
              <w:left w:val="nil"/>
              <w:bottom w:val="nil"/>
              <w:right w:val="nil"/>
            </w:tcBorders>
            <w:shd w:val="clear" w:color="auto" w:fill="E3F1F7" w:themeFill="accent1" w:themeFillTint="33"/>
          </w:tcPr>
          <w:p w14:paraId="7F7B8D32" w14:textId="1330028F" w:rsidR="003F751B" w:rsidRDefault="003F751B" w:rsidP="00B0506C">
            <w:r w:rsidRPr="00505285">
              <w:rPr>
                <w:rFonts w:eastAsia="Times New Roman" w:cs="Arial"/>
                <w:b/>
                <w:bCs/>
                <w:szCs w:val="20"/>
              </w:rPr>
              <w:t>14 to under 18 years</w:t>
            </w:r>
          </w:p>
        </w:tc>
        <w:tc>
          <w:tcPr>
            <w:tcW w:w="1843" w:type="dxa"/>
            <w:tcBorders>
              <w:top w:val="nil"/>
              <w:left w:val="nil"/>
              <w:bottom w:val="nil"/>
              <w:right w:val="nil"/>
            </w:tcBorders>
          </w:tcPr>
          <w:p w14:paraId="678D88A2" w14:textId="76DC4EC4" w:rsidR="003F751B" w:rsidRPr="008B3CDA" w:rsidRDefault="00F32A00" w:rsidP="0006382F">
            <w:pPr>
              <w:jc w:val="center"/>
              <w:rPr>
                <w:i/>
                <w:color w:val="005F85" w:themeColor="accent2"/>
                <w:sz w:val="22"/>
                <w:szCs w:val="22"/>
                <w:highlight w:val="yellow"/>
              </w:rPr>
            </w:pPr>
            <w:r w:rsidRPr="008B3CDA">
              <w:rPr>
                <w:rFonts w:ascii="Aptos" w:eastAsia="Arial" w:hAnsi="Aptos" w:cs="Arial"/>
                <w:iCs/>
                <w:sz w:val="22"/>
                <w:szCs w:val="22"/>
              </w:rPr>
              <w:t>14.0</w:t>
            </w:r>
            <w:r w:rsidRPr="008B3CDA">
              <w:rPr>
                <w:rFonts w:ascii="Aptos" w:hAnsi="Aptos"/>
                <w:color w:val="000034"/>
                <w:sz w:val="22"/>
                <w:szCs w:val="22"/>
              </w:rPr>
              <w:t xml:space="preserve"> mg/day</w:t>
            </w:r>
          </w:p>
        </w:tc>
        <w:tc>
          <w:tcPr>
            <w:tcW w:w="1972" w:type="dxa"/>
            <w:tcBorders>
              <w:top w:val="nil"/>
              <w:left w:val="nil"/>
              <w:bottom w:val="nil"/>
            </w:tcBorders>
          </w:tcPr>
          <w:p w14:paraId="41E4A84E" w14:textId="6AD142BA" w:rsidR="003F751B" w:rsidRPr="008B3CDA" w:rsidRDefault="007F43E5" w:rsidP="0006382F">
            <w:pPr>
              <w:jc w:val="center"/>
              <w:rPr>
                <w:i/>
                <w:color w:val="005F85" w:themeColor="accent2"/>
                <w:sz w:val="22"/>
                <w:szCs w:val="22"/>
                <w:highlight w:val="yellow"/>
              </w:rPr>
            </w:pPr>
            <w:r w:rsidRPr="008B3CDA">
              <w:rPr>
                <w:rFonts w:ascii="Aptos" w:eastAsia="Arial" w:hAnsi="Aptos" w:cs="Arial"/>
                <w:iCs/>
                <w:sz w:val="22"/>
                <w:szCs w:val="22"/>
              </w:rPr>
              <w:t>12.5</w:t>
            </w:r>
            <w:r w:rsidRPr="008B3CDA">
              <w:rPr>
                <w:rFonts w:ascii="Aptos" w:hAnsi="Aptos"/>
                <w:color w:val="000034"/>
                <w:sz w:val="22"/>
                <w:szCs w:val="22"/>
              </w:rPr>
              <w:t xml:space="preserve"> mg/day</w:t>
            </w:r>
          </w:p>
        </w:tc>
      </w:tr>
      <w:tr w:rsidR="003F751B" w14:paraId="7F7D9B75" w14:textId="77777777" w:rsidTr="008B3CDA">
        <w:tc>
          <w:tcPr>
            <w:tcW w:w="3363" w:type="dxa"/>
            <w:tcBorders>
              <w:top w:val="nil"/>
              <w:bottom w:val="nil"/>
              <w:right w:val="nil"/>
            </w:tcBorders>
            <w:shd w:val="clear" w:color="auto" w:fill="E3F1F7" w:themeFill="accent1" w:themeFillTint="33"/>
          </w:tcPr>
          <w:p w14:paraId="76B9CC5F" w14:textId="5976F375" w:rsidR="003F751B" w:rsidRPr="001C4FE0" w:rsidRDefault="003F751B" w:rsidP="00795CA2">
            <w:pPr>
              <w:rPr>
                <w:b/>
                <w:u w:val="single"/>
              </w:rPr>
            </w:pPr>
            <w:r w:rsidRPr="001C4FE0">
              <w:rPr>
                <w:b/>
                <w:u w:val="single"/>
              </w:rPr>
              <w:t>Age groupings by school-age:</w:t>
            </w:r>
          </w:p>
        </w:tc>
        <w:tc>
          <w:tcPr>
            <w:tcW w:w="2869" w:type="dxa"/>
            <w:tcBorders>
              <w:top w:val="nil"/>
              <w:left w:val="nil"/>
              <w:bottom w:val="nil"/>
              <w:right w:val="nil"/>
            </w:tcBorders>
            <w:shd w:val="clear" w:color="auto" w:fill="E3F1F7" w:themeFill="accent1" w:themeFillTint="33"/>
            <w:vAlign w:val="bottom"/>
          </w:tcPr>
          <w:p w14:paraId="50E24DC6" w14:textId="6B7BFD6A" w:rsidR="003F751B" w:rsidRPr="008B3CDA" w:rsidRDefault="003F751B" w:rsidP="0057685C">
            <w:pPr>
              <w:jc w:val="center"/>
              <w:rPr>
                <w:rFonts w:ascii="Aptos" w:hAnsi="Aptos"/>
                <w:sz w:val="22"/>
                <w:szCs w:val="22"/>
              </w:rPr>
            </w:pPr>
          </w:p>
        </w:tc>
        <w:tc>
          <w:tcPr>
            <w:tcW w:w="3402" w:type="dxa"/>
            <w:tcBorders>
              <w:top w:val="nil"/>
              <w:left w:val="nil"/>
              <w:bottom w:val="nil"/>
              <w:right w:val="nil"/>
            </w:tcBorders>
            <w:shd w:val="clear" w:color="auto" w:fill="E3F1F7" w:themeFill="accent1" w:themeFillTint="33"/>
          </w:tcPr>
          <w:p w14:paraId="14CE891D" w14:textId="7EB7E449" w:rsidR="003F751B" w:rsidRPr="00F03D33" w:rsidRDefault="003F751B" w:rsidP="00795CA2">
            <w:pPr>
              <w:rPr>
                <w:b/>
                <w:u w:val="single"/>
              </w:rPr>
            </w:pPr>
            <w:r w:rsidRPr="001C4FE0">
              <w:rPr>
                <w:b/>
                <w:u w:val="single"/>
              </w:rPr>
              <w:t>Age groupings by school-age:</w:t>
            </w:r>
          </w:p>
        </w:tc>
        <w:tc>
          <w:tcPr>
            <w:tcW w:w="1843" w:type="dxa"/>
            <w:tcBorders>
              <w:top w:val="nil"/>
              <w:left w:val="nil"/>
              <w:bottom w:val="nil"/>
              <w:right w:val="nil"/>
            </w:tcBorders>
            <w:shd w:val="clear" w:color="auto" w:fill="E3F1F7" w:themeFill="accent1" w:themeFillTint="33"/>
            <w:vAlign w:val="bottom"/>
          </w:tcPr>
          <w:p w14:paraId="37895386" w14:textId="77777777" w:rsidR="003F751B" w:rsidRPr="008B3CDA" w:rsidRDefault="003F751B" w:rsidP="0006382F">
            <w:pPr>
              <w:jc w:val="center"/>
              <w:rPr>
                <w:sz w:val="22"/>
                <w:szCs w:val="22"/>
              </w:rPr>
            </w:pPr>
          </w:p>
        </w:tc>
        <w:tc>
          <w:tcPr>
            <w:tcW w:w="1972" w:type="dxa"/>
            <w:tcBorders>
              <w:top w:val="nil"/>
              <w:left w:val="nil"/>
              <w:bottom w:val="nil"/>
            </w:tcBorders>
            <w:shd w:val="clear" w:color="auto" w:fill="E3F1F7" w:themeFill="accent1" w:themeFillTint="33"/>
            <w:vAlign w:val="bottom"/>
          </w:tcPr>
          <w:p w14:paraId="526ECB64" w14:textId="70A9A76F" w:rsidR="003F751B" w:rsidRPr="008B3CDA" w:rsidRDefault="003F751B" w:rsidP="0006382F">
            <w:pPr>
              <w:jc w:val="center"/>
              <w:rPr>
                <w:sz w:val="22"/>
                <w:szCs w:val="22"/>
              </w:rPr>
            </w:pPr>
          </w:p>
        </w:tc>
      </w:tr>
      <w:tr w:rsidR="003F751B" w14:paraId="0C2491C3" w14:textId="77777777" w:rsidTr="008B3CDA">
        <w:tc>
          <w:tcPr>
            <w:tcW w:w="3363" w:type="dxa"/>
            <w:tcBorders>
              <w:top w:val="nil"/>
              <w:bottom w:val="nil"/>
              <w:right w:val="nil"/>
            </w:tcBorders>
            <w:shd w:val="clear" w:color="auto" w:fill="E3F1F7" w:themeFill="accent1" w:themeFillTint="33"/>
          </w:tcPr>
          <w:p w14:paraId="05081F09" w14:textId="2C53B159" w:rsidR="003F751B" w:rsidRDefault="003F751B" w:rsidP="0006382F">
            <w:r w:rsidRPr="00505285">
              <w:rPr>
                <w:rFonts w:eastAsia="Times New Roman" w:cs="Arial"/>
                <w:b/>
                <w:bCs/>
                <w:szCs w:val="20"/>
              </w:rPr>
              <w:t xml:space="preserve">12 to under 24 months </w:t>
            </w:r>
          </w:p>
        </w:tc>
        <w:tc>
          <w:tcPr>
            <w:tcW w:w="2869" w:type="dxa"/>
            <w:tcBorders>
              <w:top w:val="nil"/>
              <w:left w:val="nil"/>
              <w:bottom w:val="nil"/>
              <w:right w:val="nil"/>
            </w:tcBorders>
          </w:tcPr>
          <w:p w14:paraId="239B5B5C" w14:textId="7F676379" w:rsidR="003F751B" w:rsidRPr="008B3CDA" w:rsidRDefault="003F751B" w:rsidP="0006382F">
            <w:pPr>
              <w:jc w:val="center"/>
              <w:rPr>
                <w:rFonts w:ascii="Aptos" w:hAnsi="Aptos"/>
                <w:sz w:val="22"/>
                <w:szCs w:val="22"/>
              </w:rPr>
            </w:pPr>
            <w:r w:rsidRPr="008B3CDA">
              <w:rPr>
                <w:rFonts w:ascii="Aptos" w:eastAsia="Times New Roman" w:hAnsi="Aptos" w:cs="Arial"/>
                <w:sz w:val="22"/>
                <w:szCs w:val="22"/>
              </w:rPr>
              <w:t xml:space="preserve">15 mg/day </w:t>
            </w:r>
          </w:p>
        </w:tc>
        <w:tc>
          <w:tcPr>
            <w:tcW w:w="3402" w:type="dxa"/>
            <w:tcBorders>
              <w:top w:val="nil"/>
              <w:left w:val="nil"/>
              <w:bottom w:val="nil"/>
              <w:right w:val="nil"/>
            </w:tcBorders>
            <w:shd w:val="clear" w:color="auto" w:fill="E3F1F7" w:themeFill="accent1" w:themeFillTint="33"/>
          </w:tcPr>
          <w:p w14:paraId="1A0CB004" w14:textId="6C05E78F" w:rsidR="003F751B" w:rsidRDefault="003F751B" w:rsidP="0006382F">
            <w:r w:rsidRPr="00505285">
              <w:rPr>
                <w:rFonts w:eastAsia="Times New Roman" w:cs="Arial"/>
                <w:b/>
                <w:bCs/>
                <w:szCs w:val="20"/>
              </w:rPr>
              <w:t xml:space="preserve">12 to under 24 months </w:t>
            </w:r>
          </w:p>
        </w:tc>
        <w:tc>
          <w:tcPr>
            <w:tcW w:w="1843" w:type="dxa"/>
            <w:tcBorders>
              <w:top w:val="nil"/>
              <w:left w:val="nil"/>
              <w:bottom w:val="nil"/>
              <w:right w:val="nil"/>
            </w:tcBorders>
          </w:tcPr>
          <w:p w14:paraId="18E47E7F" w14:textId="6558B58E" w:rsidR="003F751B" w:rsidRPr="008B3CDA" w:rsidRDefault="00663C67" w:rsidP="0006382F">
            <w:pPr>
              <w:jc w:val="center"/>
              <w:rPr>
                <w:i/>
                <w:color w:val="005F85" w:themeColor="accent2"/>
                <w:sz w:val="22"/>
                <w:szCs w:val="22"/>
                <w:highlight w:val="yellow"/>
              </w:rPr>
            </w:pPr>
            <w:r w:rsidRPr="008B3CDA">
              <w:rPr>
                <w:rFonts w:ascii="Aptos" w:hAnsi="Aptos"/>
                <w:iCs/>
                <w:sz w:val="22"/>
                <w:szCs w:val="22"/>
              </w:rPr>
              <w:t>4.0</w:t>
            </w:r>
            <w:r w:rsidRPr="008B3CDA">
              <w:rPr>
                <w:rFonts w:ascii="Aptos" w:hAnsi="Aptos"/>
                <w:color w:val="000034"/>
                <w:sz w:val="22"/>
                <w:szCs w:val="22"/>
              </w:rPr>
              <w:t xml:space="preserve"> mg/day</w:t>
            </w:r>
          </w:p>
        </w:tc>
        <w:tc>
          <w:tcPr>
            <w:tcW w:w="1972" w:type="dxa"/>
            <w:tcBorders>
              <w:top w:val="nil"/>
              <w:left w:val="nil"/>
              <w:bottom w:val="nil"/>
            </w:tcBorders>
          </w:tcPr>
          <w:p w14:paraId="73C949E3" w14:textId="209440A3" w:rsidR="003F751B" w:rsidRPr="008B3CDA" w:rsidRDefault="009905AA" w:rsidP="0006382F">
            <w:pPr>
              <w:jc w:val="center"/>
              <w:rPr>
                <w:i/>
                <w:color w:val="005F85" w:themeColor="accent2"/>
                <w:sz w:val="22"/>
                <w:szCs w:val="22"/>
                <w:highlight w:val="yellow"/>
              </w:rPr>
            </w:pPr>
            <w:r w:rsidRPr="007B0B74">
              <w:rPr>
                <w:rFonts w:ascii="Aptos" w:eastAsia="Arial" w:hAnsi="Aptos" w:cs="Arial"/>
                <w:iCs/>
                <w:sz w:val="22"/>
                <w:szCs w:val="22"/>
              </w:rPr>
              <w:t>3.5</w:t>
            </w:r>
            <w:r w:rsidRPr="008B3CDA">
              <w:rPr>
                <w:rFonts w:ascii="Aptos" w:hAnsi="Aptos"/>
                <w:color w:val="000034"/>
                <w:sz w:val="22"/>
                <w:szCs w:val="22"/>
              </w:rPr>
              <w:t xml:space="preserve"> mg/day</w:t>
            </w:r>
          </w:p>
        </w:tc>
      </w:tr>
      <w:tr w:rsidR="003F751B" w14:paraId="0996B8D9" w14:textId="77777777" w:rsidTr="008B3CDA">
        <w:tc>
          <w:tcPr>
            <w:tcW w:w="3363" w:type="dxa"/>
            <w:tcBorders>
              <w:top w:val="nil"/>
              <w:bottom w:val="nil"/>
              <w:right w:val="nil"/>
            </w:tcBorders>
            <w:shd w:val="clear" w:color="auto" w:fill="E3F1F7" w:themeFill="accent1" w:themeFillTint="33"/>
          </w:tcPr>
          <w:p w14:paraId="5BD7C14E" w14:textId="79F7D6BC" w:rsidR="003F751B" w:rsidRDefault="003F751B" w:rsidP="0006382F">
            <w:r w:rsidRPr="00505285">
              <w:rPr>
                <w:rFonts w:eastAsia="Times New Roman" w:cs="Arial"/>
                <w:b/>
                <w:bCs/>
                <w:szCs w:val="20"/>
              </w:rPr>
              <w:t>2 to under 5 years</w:t>
            </w:r>
          </w:p>
        </w:tc>
        <w:tc>
          <w:tcPr>
            <w:tcW w:w="2869" w:type="dxa"/>
            <w:tcBorders>
              <w:top w:val="nil"/>
              <w:left w:val="nil"/>
              <w:bottom w:val="nil"/>
              <w:right w:val="nil"/>
            </w:tcBorders>
          </w:tcPr>
          <w:p w14:paraId="7F1FA7B2" w14:textId="6E5F1681" w:rsidR="003F751B" w:rsidRPr="008B3CDA" w:rsidRDefault="003F751B" w:rsidP="0006382F">
            <w:pPr>
              <w:jc w:val="center"/>
              <w:rPr>
                <w:rFonts w:ascii="Aptos" w:hAnsi="Aptos"/>
                <w:sz w:val="22"/>
                <w:szCs w:val="22"/>
              </w:rPr>
            </w:pPr>
            <w:r w:rsidRPr="008B3CDA">
              <w:rPr>
                <w:rFonts w:ascii="Aptos" w:eastAsia="Times New Roman" w:hAnsi="Aptos" w:cs="Arial"/>
                <w:sz w:val="22"/>
                <w:szCs w:val="22"/>
              </w:rPr>
              <w:t>15 mg/day</w:t>
            </w:r>
          </w:p>
        </w:tc>
        <w:tc>
          <w:tcPr>
            <w:tcW w:w="3402" w:type="dxa"/>
            <w:tcBorders>
              <w:top w:val="nil"/>
              <w:left w:val="nil"/>
              <w:bottom w:val="nil"/>
              <w:right w:val="nil"/>
            </w:tcBorders>
            <w:shd w:val="clear" w:color="auto" w:fill="E3F1F7" w:themeFill="accent1" w:themeFillTint="33"/>
          </w:tcPr>
          <w:p w14:paraId="7C715A1C" w14:textId="156F9D70" w:rsidR="003F751B" w:rsidRDefault="003F751B" w:rsidP="0006382F">
            <w:r w:rsidRPr="00505285">
              <w:rPr>
                <w:rFonts w:eastAsia="Times New Roman" w:cs="Arial"/>
                <w:b/>
                <w:bCs/>
                <w:szCs w:val="20"/>
              </w:rPr>
              <w:t>2 to under 5 years</w:t>
            </w:r>
          </w:p>
        </w:tc>
        <w:tc>
          <w:tcPr>
            <w:tcW w:w="1843" w:type="dxa"/>
            <w:tcBorders>
              <w:top w:val="nil"/>
              <w:left w:val="nil"/>
              <w:bottom w:val="nil"/>
              <w:right w:val="nil"/>
            </w:tcBorders>
          </w:tcPr>
          <w:p w14:paraId="4EE343E7" w14:textId="1C22E5C7" w:rsidR="003F751B" w:rsidRPr="008B3CDA" w:rsidRDefault="003922B1" w:rsidP="0006382F">
            <w:pPr>
              <w:jc w:val="center"/>
              <w:rPr>
                <w:i/>
                <w:color w:val="005F85" w:themeColor="accent2"/>
                <w:sz w:val="22"/>
                <w:szCs w:val="22"/>
                <w:highlight w:val="yellow"/>
              </w:rPr>
            </w:pPr>
            <w:r w:rsidRPr="007B0B74">
              <w:rPr>
                <w:rFonts w:ascii="Aptos" w:eastAsia="Arial" w:hAnsi="Aptos" w:cs="Arial"/>
                <w:iCs/>
                <w:sz w:val="22"/>
                <w:szCs w:val="22"/>
              </w:rPr>
              <w:t>5.0</w:t>
            </w:r>
            <w:r w:rsidRPr="008B3CDA">
              <w:rPr>
                <w:rFonts w:ascii="Aptos" w:hAnsi="Aptos"/>
                <w:color w:val="000034"/>
                <w:sz w:val="22"/>
                <w:szCs w:val="22"/>
              </w:rPr>
              <w:t xml:space="preserve"> mg/day</w:t>
            </w:r>
          </w:p>
        </w:tc>
        <w:tc>
          <w:tcPr>
            <w:tcW w:w="1972" w:type="dxa"/>
            <w:tcBorders>
              <w:top w:val="nil"/>
              <w:left w:val="nil"/>
              <w:bottom w:val="nil"/>
            </w:tcBorders>
          </w:tcPr>
          <w:p w14:paraId="239AED84" w14:textId="577E7F73" w:rsidR="003F751B" w:rsidRPr="008B3CDA" w:rsidRDefault="00C35760" w:rsidP="0006382F">
            <w:pPr>
              <w:jc w:val="center"/>
              <w:rPr>
                <w:i/>
                <w:color w:val="005F85" w:themeColor="accent2"/>
                <w:sz w:val="22"/>
                <w:szCs w:val="22"/>
                <w:highlight w:val="yellow"/>
              </w:rPr>
            </w:pPr>
            <w:r w:rsidRPr="007B0B74">
              <w:rPr>
                <w:rFonts w:ascii="Aptos" w:eastAsia="Arial" w:hAnsi="Aptos" w:cs="Arial"/>
                <w:iCs/>
                <w:sz w:val="22"/>
                <w:szCs w:val="22"/>
              </w:rPr>
              <w:t>5.0</w:t>
            </w:r>
            <w:r w:rsidRPr="008B3CDA">
              <w:rPr>
                <w:rFonts w:ascii="Aptos" w:hAnsi="Aptos"/>
                <w:color w:val="000034"/>
                <w:sz w:val="22"/>
                <w:szCs w:val="22"/>
              </w:rPr>
              <w:t xml:space="preserve"> mg/day</w:t>
            </w:r>
          </w:p>
        </w:tc>
      </w:tr>
      <w:tr w:rsidR="003F751B" w14:paraId="09A2B76C" w14:textId="77777777" w:rsidTr="008B3CDA">
        <w:tc>
          <w:tcPr>
            <w:tcW w:w="3363" w:type="dxa"/>
            <w:tcBorders>
              <w:top w:val="nil"/>
              <w:bottom w:val="nil"/>
              <w:right w:val="nil"/>
            </w:tcBorders>
            <w:shd w:val="clear" w:color="auto" w:fill="E3F1F7" w:themeFill="accent1" w:themeFillTint="33"/>
          </w:tcPr>
          <w:p w14:paraId="53084035" w14:textId="7BF5A509" w:rsidR="003F751B" w:rsidRDefault="003F751B" w:rsidP="0006382F">
            <w:r w:rsidRPr="00505285">
              <w:rPr>
                <w:rFonts w:eastAsia="Times New Roman" w:cs="Arial"/>
                <w:b/>
                <w:bCs/>
                <w:szCs w:val="20"/>
              </w:rPr>
              <w:t>5 to under 12 years</w:t>
            </w:r>
          </w:p>
        </w:tc>
        <w:tc>
          <w:tcPr>
            <w:tcW w:w="2869" w:type="dxa"/>
            <w:tcBorders>
              <w:top w:val="nil"/>
              <w:left w:val="nil"/>
              <w:bottom w:val="nil"/>
              <w:right w:val="nil"/>
            </w:tcBorders>
          </w:tcPr>
          <w:p w14:paraId="7E9412A8" w14:textId="6A6604D3" w:rsidR="003F751B" w:rsidRPr="008B3CDA" w:rsidRDefault="003F751B" w:rsidP="0006382F">
            <w:pPr>
              <w:jc w:val="center"/>
              <w:rPr>
                <w:rFonts w:ascii="Aptos" w:hAnsi="Aptos"/>
                <w:sz w:val="22"/>
                <w:szCs w:val="22"/>
              </w:rPr>
            </w:pPr>
            <w:r w:rsidRPr="008B3CDA">
              <w:rPr>
                <w:rFonts w:ascii="Aptos" w:eastAsia="Times New Roman" w:hAnsi="Aptos" w:cs="Arial"/>
                <w:sz w:val="22"/>
                <w:szCs w:val="22"/>
              </w:rPr>
              <w:t>25 mg/day</w:t>
            </w:r>
          </w:p>
        </w:tc>
        <w:tc>
          <w:tcPr>
            <w:tcW w:w="3402" w:type="dxa"/>
            <w:tcBorders>
              <w:top w:val="nil"/>
              <w:left w:val="nil"/>
              <w:bottom w:val="nil"/>
              <w:right w:val="nil"/>
            </w:tcBorders>
            <w:shd w:val="clear" w:color="auto" w:fill="E3F1F7" w:themeFill="accent1" w:themeFillTint="33"/>
          </w:tcPr>
          <w:p w14:paraId="119CBC55" w14:textId="36BBEB67" w:rsidR="003F751B" w:rsidRDefault="003F751B" w:rsidP="0006382F">
            <w:r w:rsidRPr="00505285">
              <w:rPr>
                <w:rFonts w:eastAsia="Times New Roman" w:cs="Arial"/>
                <w:b/>
                <w:bCs/>
                <w:szCs w:val="20"/>
              </w:rPr>
              <w:t>5 to under 12 years</w:t>
            </w:r>
          </w:p>
        </w:tc>
        <w:tc>
          <w:tcPr>
            <w:tcW w:w="1843" w:type="dxa"/>
            <w:tcBorders>
              <w:top w:val="nil"/>
              <w:left w:val="nil"/>
              <w:bottom w:val="nil"/>
              <w:right w:val="nil"/>
            </w:tcBorders>
          </w:tcPr>
          <w:p w14:paraId="17D36824" w14:textId="00F4C9DF" w:rsidR="003F751B" w:rsidRPr="008B3CDA" w:rsidRDefault="00A31F50" w:rsidP="0006382F">
            <w:pPr>
              <w:jc w:val="center"/>
              <w:rPr>
                <w:i/>
                <w:color w:val="005F85" w:themeColor="accent2"/>
                <w:sz w:val="22"/>
                <w:szCs w:val="22"/>
                <w:highlight w:val="yellow"/>
              </w:rPr>
            </w:pPr>
            <w:r w:rsidRPr="007B0B74">
              <w:rPr>
                <w:rFonts w:ascii="Aptos" w:eastAsia="Arial" w:hAnsi="Aptos" w:cs="Arial"/>
                <w:iCs/>
                <w:sz w:val="22"/>
                <w:szCs w:val="22"/>
              </w:rPr>
              <w:t>8.0</w:t>
            </w:r>
            <w:r w:rsidRPr="008B3CDA">
              <w:rPr>
                <w:rFonts w:ascii="Aptos" w:hAnsi="Aptos"/>
                <w:color w:val="000034"/>
                <w:sz w:val="22"/>
                <w:szCs w:val="22"/>
              </w:rPr>
              <w:t xml:space="preserve"> mg/day</w:t>
            </w:r>
          </w:p>
        </w:tc>
        <w:tc>
          <w:tcPr>
            <w:tcW w:w="1972" w:type="dxa"/>
            <w:tcBorders>
              <w:top w:val="nil"/>
              <w:left w:val="nil"/>
              <w:bottom w:val="nil"/>
            </w:tcBorders>
          </w:tcPr>
          <w:p w14:paraId="44F1C1C0" w14:textId="49424B6F" w:rsidR="003F751B" w:rsidRPr="008B3CDA" w:rsidRDefault="009001F2" w:rsidP="0006382F">
            <w:pPr>
              <w:jc w:val="center"/>
              <w:rPr>
                <w:i/>
                <w:color w:val="005F85" w:themeColor="accent2"/>
                <w:sz w:val="22"/>
                <w:szCs w:val="22"/>
                <w:highlight w:val="yellow"/>
              </w:rPr>
            </w:pPr>
            <w:r w:rsidRPr="007B0B74">
              <w:rPr>
                <w:rFonts w:ascii="Aptos" w:eastAsia="Arial" w:hAnsi="Aptos" w:cs="Arial"/>
                <w:iCs/>
                <w:sz w:val="22"/>
                <w:szCs w:val="22"/>
              </w:rPr>
              <w:t>8.0</w:t>
            </w:r>
            <w:r w:rsidRPr="008B3CDA">
              <w:rPr>
                <w:rFonts w:ascii="Aptos" w:hAnsi="Aptos"/>
                <w:color w:val="000034"/>
                <w:sz w:val="22"/>
                <w:szCs w:val="22"/>
              </w:rPr>
              <w:t xml:space="preserve"> mg/day</w:t>
            </w:r>
          </w:p>
        </w:tc>
      </w:tr>
      <w:tr w:rsidR="003F751B" w14:paraId="5A8B5C35" w14:textId="77777777" w:rsidTr="008B3CDA">
        <w:tc>
          <w:tcPr>
            <w:tcW w:w="3363" w:type="dxa"/>
            <w:tcBorders>
              <w:top w:val="nil"/>
              <w:right w:val="nil"/>
            </w:tcBorders>
            <w:shd w:val="clear" w:color="auto" w:fill="E3F1F7" w:themeFill="accent1" w:themeFillTint="33"/>
          </w:tcPr>
          <w:p w14:paraId="1F0EF34E" w14:textId="57F90FC6" w:rsidR="003F751B" w:rsidRDefault="003F751B" w:rsidP="0006382F">
            <w:r w:rsidRPr="00505285">
              <w:rPr>
                <w:rFonts w:eastAsia="Times New Roman" w:cs="Arial"/>
                <w:b/>
                <w:bCs/>
                <w:szCs w:val="20"/>
              </w:rPr>
              <w:t>12 to under 18 years</w:t>
            </w:r>
          </w:p>
        </w:tc>
        <w:tc>
          <w:tcPr>
            <w:tcW w:w="2869" w:type="dxa"/>
            <w:tcBorders>
              <w:top w:val="nil"/>
              <w:left w:val="nil"/>
              <w:right w:val="nil"/>
            </w:tcBorders>
          </w:tcPr>
          <w:p w14:paraId="1B98AEB6" w14:textId="76D1FCE3" w:rsidR="003F751B" w:rsidRPr="008B3CDA" w:rsidRDefault="003F751B" w:rsidP="0006382F">
            <w:pPr>
              <w:jc w:val="center"/>
              <w:rPr>
                <w:rFonts w:ascii="Aptos" w:hAnsi="Aptos"/>
                <w:sz w:val="22"/>
                <w:szCs w:val="22"/>
              </w:rPr>
            </w:pPr>
            <w:r w:rsidRPr="008B3CDA">
              <w:rPr>
                <w:rFonts w:ascii="Aptos" w:eastAsia="Times New Roman" w:hAnsi="Aptos" w:cs="Arial"/>
                <w:sz w:val="22"/>
                <w:szCs w:val="22"/>
              </w:rPr>
              <w:t>35 mg/day</w:t>
            </w:r>
          </w:p>
        </w:tc>
        <w:tc>
          <w:tcPr>
            <w:tcW w:w="3402" w:type="dxa"/>
            <w:tcBorders>
              <w:top w:val="nil"/>
              <w:left w:val="nil"/>
              <w:right w:val="nil"/>
            </w:tcBorders>
            <w:shd w:val="clear" w:color="auto" w:fill="E3F1F7" w:themeFill="accent1" w:themeFillTint="33"/>
          </w:tcPr>
          <w:p w14:paraId="4B733882" w14:textId="2E442B6E" w:rsidR="003F751B" w:rsidRDefault="003F751B" w:rsidP="0006382F">
            <w:r w:rsidRPr="00505285">
              <w:rPr>
                <w:rFonts w:eastAsia="Times New Roman" w:cs="Arial"/>
                <w:b/>
                <w:bCs/>
                <w:szCs w:val="20"/>
              </w:rPr>
              <w:t>12 to under 18 years</w:t>
            </w:r>
          </w:p>
        </w:tc>
        <w:tc>
          <w:tcPr>
            <w:tcW w:w="1843" w:type="dxa"/>
            <w:tcBorders>
              <w:top w:val="nil"/>
              <w:left w:val="nil"/>
              <w:right w:val="nil"/>
            </w:tcBorders>
          </w:tcPr>
          <w:p w14:paraId="164B98E6" w14:textId="345F4E14" w:rsidR="003F751B" w:rsidRPr="008B3CDA" w:rsidRDefault="00CD3613" w:rsidP="0006382F">
            <w:pPr>
              <w:jc w:val="center"/>
              <w:rPr>
                <w:i/>
                <w:color w:val="005F85" w:themeColor="accent2"/>
                <w:sz w:val="22"/>
                <w:szCs w:val="22"/>
                <w:highlight w:val="yellow"/>
              </w:rPr>
            </w:pPr>
            <w:r w:rsidRPr="007B0B74">
              <w:rPr>
                <w:rFonts w:ascii="Aptos" w:eastAsia="Arial" w:hAnsi="Aptos" w:cs="Arial"/>
                <w:iCs/>
                <w:sz w:val="22"/>
                <w:szCs w:val="22"/>
              </w:rPr>
              <w:t>13.0</w:t>
            </w:r>
            <w:r w:rsidRPr="008B3CDA">
              <w:rPr>
                <w:rFonts w:ascii="Aptos" w:hAnsi="Aptos"/>
                <w:color w:val="000034"/>
                <w:sz w:val="22"/>
                <w:szCs w:val="22"/>
              </w:rPr>
              <w:t xml:space="preserve"> mg/day</w:t>
            </w:r>
          </w:p>
        </w:tc>
        <w:tc>
          <w:tcPr>
            <w:tcW w:w="1972" w:type="dxa"/>
            <w:tcBorders>
              <w:top w:val="nil"/>
              <w:left w:val="nil"/>
            </w:tcBorders>
          </w:tcPr>
          <w:p w14:paraId="1E4BBC81" w14:textId="3A9EDD22" w:rsidR="003F751B" w:rsidRPr="008B3CDA" w:rsidRDefault="00A557B0" w:rsidP="0006382F">
            <w:pPr>
              <w:jc w:val="center"/>
              <w:rPr>
                <w:i/>
                <w:color w:val="005F85" w:themeColor="accent2"/>
                <w:sz w:val="22"/>
                <w:szCs w:val="22"/>
                <w:highlight w:val="yellow"/>
              </w:rPr>
            </w:pPr>
            <w:r w:rsidRPr="007B0B74">
              <w:rPr>
                <w:rFonts w:ascii="Aptos" w:eastAsia="Arial" w:hAnsi="Aptos" w:cs="Arial"/>
                <w:iCs/>
                <w:sz w:val="22"/>
                <w:szCs w:val="22"/>
              </w:rPr>
              <w:t>12.0</w:t>
            </w:r>
            <w:r w:rsidRPr="008B3CDA">
              <w:rPr>
                <w:rFonts w:ascii="Aptos" w:hAnsi="Aptos"/>
                <w:color w:val="000034"/>
                <w:sz w:val="22"/>
                <w:szCs w:val="22"/>
              </w:rPr>
              <w:t xml:space="preserve"> mg/day</w:t>
            </w:r>
          </w:p>
        </w:tc>
      </w:tr>
    </w:tbl>
    <w:p w14:paraId="1E1E06B7" w14:textId="77777777" w:rsidR="0046733C" w:rsidRDefault="0046733C" w:rsidP="0046733C">
      <w:pPr>
        <w:pStyle w:val="BodyText"/>
        <w:sectPr w:rsidR="0046733C" w:rsidSect="00D75D51">
          <w:pgSz w:w="16838" w:h="11906" w:orient="landscape" w:code="9"/>
          <w:pgMar w:top="907" w:right="1814" w:bottom="1134" w:left="1565" w:header="510" w:footer="454" w:gutter="0"/>
          <w:cols w:space="708"/>
          <w:titlePg/>
          <w:docGrid w:linePitch="360"/>
        </w:sectPr>
      </w:pPr>
    </w:p>
    <w:p w14:paraId="7D4EA894" w14:textId="0A0EFEA5" w:rsidR="00C53E69" w:rsidRPr="00267AA0" w:rsidRDefault="00C53E69" w:rsidP="00C53E69">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pPr>
      <w:r>
        <w:rPr>
          <w:color w:val="FFFFFF" w:themeColor="background1"/>
          <w:sz w:val="22"/>
          <w:szCs w:val="22"/>
        </w:rPr>
        <w:lastRenderedPageBreak/>
        <w:t>Health evidence profile and supporting information</w:t>
      </w:r>
    </w:p>
    <w:p w14:paraId="6293496F" w14:textId="77777777" w:rsidR="003216EF" w:rsidRDefault="003216EF" w:rsidP="003216EF">
      <w:pPr>
        <w:tabs>
          <w:tab w:val="left" w:pos="1275"/>
        </w:tabs>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4"/>
        <w:gridCol w:w="6725"/>
      </w:tblGrid>
      <w:tr w:rsidR="00A771E6" w14:paraId="2AAF2FEA" w14:textId="77777777">
        <w:tc>
          <w:tcPr>
            <w:tcW w:w="6724" w:type="dxa"/>
            <w:shd w:val="clear" w:color="auto" w:fill="C8E4EF" w:themeFill="accent1" w:themeFillTint="66"/>
          </w:tcPr>
          <w:p w14:paraId="56090A96" w14:textId="77777777" w:rsidR="00A771E6" w:rsidRPr="0006382F" w:rsidRDefault="00A771E6" w:rsidP="00A771E6">
            <w:pPr>
              <w:spacing w:line="276" w:lineRule="auto"/>
              <w:rPr>
                <w:rFonts w:eastAsia="Times New Roman" w:cs="Arial"/>
                <w:b/>
                <w:color w:val="005F85" w:themeColor="accent2"/>
                <w:szCs w:val="20"/>
              </w:rPr>
            </w:pPr>
            <w:r w:rsidRPr="0006382F">
              <w:rPr>
                <w:rFonts w:eastAsia="Times New Roman" w:cs="Arial"/>
                <w:b/>
                <w:color w:val="005F85" w:themeColor="accent2"/>
                <w:szCs w:val="20"/>
                <w:u w:val="single"/>
              </w:rPr>
              <w:t>OPTION 1</w:t>
            </w:r>
            <w:r w:rsidRPr="0006382F">
              <w:rPr>
                <w:rFonts w:eastAsia="Times New Roman" w:cs="Arial"/>
                <w:b/>
                <w:color w:val="005F85" w:themeColor="accent2"/>
                <w:szCs w:val="20"/>
              </w:rPr>
              <w:t>:</w:t>
            </w:r>
          </w:p>
          <w:p w14:paraId="33E7F37C" w14:textId="77777777" w:rsidR="00A771E6" w:rsidRPr="0006382F" w:rsidRDefault="00A771E6" w:rsidP="00A771E6">
            <w:pPr>
              <w:spacing w:line="276" w:lineRule="auto"/>
              <w:contextualSpacing/>
              <w:rPr>
                <w:rFonts w:eastAsia="Times New Roman" w:cs="Arial"/>
                <w:b/>
                <w:color w:val="005F85" w:themeColor="accent2"/>
                <w:szCs w:val="20"/>
              </w:rPr>
            </w:pPr>
            <w:r w:rsidRPr="0006382F">
              <w:rPr>
                <w:rFonts w:eastAsia="Times New Roman" w:cs="Arial"/>
                <w:b/>
                <w:color w:val="005F85" w:themeColor="accent2"/>
                <w:szCs w:val="20"/>
              </w:rPr>
              <w:t xml:space="preserve">Maintain current UL recommendations </w:t>
            </w:r>
          </w:p>
          <w:p w14:paraId="170BD531" w14:textId="6474B177" w:rsidR="00A771E6" w:rsidRDefault="00A771E6" w:rsidP="00A771E6">
            <w:r w:rsidRPr="0006382F">
              <w:rPr>
                <w:rFonts w:eastAsia="Times New Roman" w:cs="Arial"/>
                <w:b/>
                <w:color w:val="005F85" w:themeColor="accent2"/>
                <w:szCs w:val="20"/>
              </w:rPr>
              <w:t>Adapt current UL to additional new age groupings</w:t>
            </w:r>
          </w:p>
        </w:tc>
        <w:tc>
          <w:tcPr>
            <w:tcW w:w="6725" w:type="dxa"/>
            <w:shd w:val="clear" w:color="auto" w:fill="C8E4EF" w:themeFill="accent1" w:themeFillTint="66"/>
          </w:tcPr>
          <w:p w14:paraId="3BFE6D2D" w14:textId="18E28B8F" w:rsidR="00A771E6" w:rsidRDefault="00A771E6" w:rsidP="00A771E6">
            <w:r w:rsidRPr="0006382F">
              <w:rPr>
                <w:rFonts w:eastAsia="Times New Roman" w:cs="Arial"/>
                <w:b/>
                <w:color w:val="005F85" w:themeColor="accent2"/>
                <w:szCs w:val="20"/>
                <w:u w:val="single"/>
              </w:rPr>
              <w:t>OPTION 2</w:t>
            </w:r>
            <w:r w:rsidRPr="0006382F">
              <w:rPr>
                <w:rFonts w:eastAsia="Times New Roman" w:cs="Arial"/>
                <w:b/>
                <w:color w:val="005F85" w:themeColor="accent2"/>
                <w:szCs w:val="20"/>
              </w:rPr>
              <w:t>:</w:t>
            </w:r>
            <w:r w:rsidRPr="0006382F">
              <w:rPr>
                <w:rFonts w:eastAsia="Times New Roman" w:cs="Arial"/>
                <w:b/>
                <w:color w:val="005F85" w:themeColor="accent2"/>
                <w:szCs w:val="20"/>
              </w:rPr>
              <w:br/>
            </w:r>
            <w:r>
              <w:rPr>
                <w:rFonts w:eastAsia="Times New Roman" w:cs="Arial"/>
                <w:b/>
                <w:color w:val="005F85" w:themeColor="accent2"/>
                <w:szCs w:val="20"/>
              </w:rPr>
              <w:t>Decrease the</w:t>
            </w:r>
            <w:r w:rsidRPr="0006382F">
              <w:rPr>
                <w:rFonts w:eastAsia="Times New Roman" w:cs="Arial"/>
                <w:b/>
                <w:color w:val="005F85" w:themeColor="accent2"/>
                <w:szCs w:val="20"/>
              </w:rPr>
              <w:t xml:space="preserve"> UL</w:t>
            </w:r>
          </w:p>
        </w:tc>
      </w:tr>
      <w:tr w:rsidR="00C53E69" w14:paraId="1C855E18" w14:textId="77777777">
        <w:trPr>
          <w:trHeight w:val="1650"/>
        </w:trPr>
        <w:tc>
          <w:tcPr>
            <w:tcW w:w="6724" w:type="dxa"/>
          </w:tcPr>
          <w:p w14:paraId="6201C500" w14:textId="77777777" w:rsidR="00C010EC" w:rsidRPr="00505285" w:rsidRDefault="00C010EC" w:rsidP="005755FD">
            <w:pPr>
              <w:spacing w:line="276" w:lineRule="auto"/>
              <w:rPr>
                <w:rFonts w:eastAsia="Times New Roman" w:cs="Arial"/>
                <w:szCs w:val="20"/>
              </w:rPr>
            </w:pPr>
            <w:r w:rsidRPr="00505285">
              <w:rPr>
                <w:rFonts w:eastAsia="Times New Roman" w:cs="Arial"/>
                <w:szCs w:val="20"/>
              </w:rPr>
              <w:t xml:space="preserve">In the absence of evidence in children and adolescents, current recommendations have been extrapolated from the adult UL, based on metabolic body weight. </w:t>
            </w:r>
          </w:p>
          <w:p w14:paraId="1DCDF24F" w14:textId="78EF8656" w:rsidR="00C53E69" w:rsidRDefault="00C010EC" w:rsidP="00C010EC">
            <w:pPr>
              <w:spacing w:line="276" w:lineRule="auto"/>
            </w:pPr>
            <w:r w:rsidRPr="00505285">
              <w:rPr>
                <w:rFonts w:eastAsia="Times New Roman" w:cs="Arial"/>
                <w:szCs w:val="20"/>
              </w:rPr>
              <w:t>There remains insufficient evidence to inform derivation of ULs for children and adolescents.</w:t>
            </w:r>
          </w:p>
        </w:tc>
        <w:tc>
          <w:tcPr>
            <w:tcW w:w="6725" w:type="dxa"/>
          </w:tcPr>
          <w:p w14:paraId="005EF488" w14:textId="0A57892A" w:rsidR="007C712A" w:rsidRPr="00505285" w:rsidRDefault="00E4231C" w:rsidP="005755FD">
            <w:pPr>
              <w:spacing w:line="276" w:lineRule="auto"/>
              <w:rPr>
                <w:rFonts w:eastAsia="Times New Roman" w:cs="Arial"/>
                <w:szCs w:val="20"/>
              </w:rPr>
            </w:pPr>
            <w:r w:rsidRPr="00E4231C">
              <w:rPr>
                <w:rFonts w:eastAsia="Times New Roman" w:cs="Arial"/>
                <w:szCs w:val="20"/>
              </w:rPr>
              <w:t xml:space="preserve">As there was no data to support the derivation ULs for children, and there is no evidence to indicate that children may be more susceptible to </w:t>
            </w:r>
            <w:r w:rsidR="009404E7">
              <w:rPr>
                <w:rFonts w:eastAsia="Times New Roman" w:cs="Arial"/>
                <w:szCs w:val="20"/>
              </w:rPr>
              <w:t>v</w:t>
            </w:r>
            <w:r>
              <w:rPr>
                <w:rFonts w:eastAsia="Times New Roman" w:cs="Arial"/>
                <w:szCs w:val="20"/>
              </w:rPr>
              <w:t>itamin B6</w:t>
            </w:r>
            <w:r w:rsidRPr="00E4231C">
              <w:rPr>
                <w:rFonts w:eastAsia="Times New Roman" w:cs="Arial"/>
                <w:szCs w:val="20"/>
              </w:rPr>
              <w:t xml:space="preserve"> toxicity than adults, the ULs for adults were extrapolated to children</w:t>
            </w:r>
            <w:r w:rsidR="007C712A" w:rsidRPr="00505285">
              <w:rPr>
                <w:rFonts w:eastAsia="Times New Roman" w:cs="Arial"/>
                <w:szCs w:val="20"/>
              </w:rPr>
              <w:t xml:space="preserve"> based on metabolic body weight using the following formula:</w:t>
            </w:r>
          </w:p>
          <w:p w14:paraId="55D7BE5A" w14:textId="36B8E17B" w:rsidR="007C712A" w:rsidRPr="00C41F96" w:rsidRDefault="007C712A" w:rsidP="005755FD">
            <w:pPr>
              <w:spacing w:line="276" w:lineRule="auto"/>
              <w:rPr>
                <w:rFonts w:eastAsia="Times New Roman" w:cs="Arial"/>
                <w:szCs w:val="20"/>
              </w:rPr>
            </w:pPr>
            <w:proofErr w:type="spellStart"/>
            <w:r w:rsidRPr="00505285">
              <w:rPr>
                <w:rFonts w:eastAsia="Times New Roman" w:cs="Arial"/>
                <w:szCs w:val="20"/>
              </w:rPr>
              <w:t>UL</w:t>
            </w:r>
            <w:r w:rsidRPr="00505285">
              <w:rPr>
                <w:rFonts w:eastAsia="Times New Roman" w:cs="Arial"/>
                <w:szCs w:val="20"/>
                <w:vertAlign w:val="subscript"/>
              </w:rPr>
              <w:t>adult</w:t>
            </w:r>
            <w:proofErr w:type="spellEnd"/>
            <w:r w:rsidRPr="00505285">
              <w:rPr>
                <w:rFonts w:eastAsia="Times New Roman" w:cs="Arial"/>
                <w:szCs w:val="20"/>
              </w:rPr>
              <w:t xml:space="preserve"> x (</w:t>
            </w:r>
            <w:proofErr w:type="spellStart"/>
            <w:r w:rsidRPr="00505285">
              <w:rPr>
                <w:rFonts w:eastAsia="Times New Roman" w:cs="Arial"/>
                <w:szCs w:val="20"/>
              </w:rPr>
              <w:t>Weight</w:t>
            </w:r>
            <w:r w:rsidRPr="00505285">
              <w:rPr>
                <w:rFonts w:eastAsia="Times New Roman" w:cs="Arial"/>
                <w:szCs w:val="20"/>
                <w:vertAlign w:val="subscript"/>
              </w:rPr>
              <w:t>child</w:t>
            </w:r>
            <w:proofErr w:type="spellEnd"/>
            <w:r w:rsidRPr="00505285">
              <w:rPr>
                <w:rFonts w:eastAsia="Times New Roman" w:cs="Arial"/>
                <w:szCs w:val="20"/>
              </w:rPr>
              <w:t xml:space="preserve">/Weight </w:t>
            </w:r>
            <w:r w:rsidRPr="00505285">
              <w:rPr>
                <w:rFonts w:eastAsia="Times New Roman" w:cs="Arial"/>
                <w:szCs w:val="20"/>
                <w:vertAlign w:val="subscript"/>
              </w:rPr>
              <w:t>adult</w:t>
            </w:r>
            <w:r w:rsidRPr="00505285">
              <w:rPr>
                <w:rFonts w:eastAsia="Times New Roman" w:cs="Arial"/>
                <w:szCs w:val="20"/>
              </w:rPr>
              <w:t>)</w:t>
            </w:r>
            <w:r w:rsidRPr="00505285">
              <w:rPr>
                <w:rFonts w:eastAsia="Times New Roman" w:cs="Arial"/>
                <w:szCs w:val="20"/>
                <w:vertAlign w:val="superscript"/>
              </w:rPr>
              <w:t>0.75</w:t>
            </w:r>
            <w:r w:rsidR="00C41F96">
              <w:rPr>
                <w:rFonts w:eastAsia="Times New Roman" w:cs="Arial"/>
                <w:szCs w:val="20"/>
              </w:rPr>
              <w:t xml:space="preserve"> = </w:t>
            </w:r>
            <w:proofErr w:type="spellStart"/>
            <w:r w:rsidR="00C41F96" w:rsidRPr="00505285">
              <w:rPr>
                <w:rFonts w:eastAsia="Times New Roman" w:cs="Arial"/>
                <w:szCs w:val="20"/>
              </w:rPr>
              <w:t>UL</w:t>
            </w:r>
            <w:r w:rsidR="00C41F96" w:rsidRPr="00505285">
              <w:rPr>
                <w:rFonts w:eastAsia="Times New Roman" w:cs="Arial"/>
                <w:szCs w:val="20"/>
                <w:vertAlign w:val="subscript"/>
              </w:rPr>
              <w:t>child</w:t>
            </w:r>
            <w:proofErr w:type="spellEnd"/>
          </w:p>
          <w:p w14:paraId="39A04631" w14:textId="36142921" w:rsidR="00C53E69" w:rsidRDefault="007C712A" w:rsidP="00781DC1">
            <w:pPr>
              <w:spacing w:line="276" w:lineRule="auto"/>
              <w:rPr>
                <w:rFonts w:eastAsia="Times New Roman" w:cs="Arial"/>
                <w:szCs w:val="20"/>
              </w:rPr>
            </w:pPr>
            <w:r w:rsidRPr="00505285">
              <w:rPr>
                <w:rFonts w:eastAsia="Times New Roman" w:cs="Arial"/>
                <w:szCs w:val="20"/>
              </w:rPr>
              <w:t xml:space="preserve">Reference weights used were based on 2022 ideal weight data from the Australian Bureau of Statistics, as per the current NRVs Methodological Framework (NHMRC </w:t>
            </w:r>
            <w:r w:rsidR="00E53800" w:rsidRPr="00505285">
              <w:rPr>
                <w:rFonts w:eastAsia="Times New Roman" w:cs="Arial"/>
                <w:szCs w:val="20"/>
              </w:rPr>
              <w:t>202</w:t>
            </w:r>
            <w:r w:rsidR="00E53800">
              <w:rPr>
                <w:rFonts w:eastAsia="Times New Roman" w:cs="Arial"/>
                <w:szCs w:val="20"/>
              </w:rPr>
              <w:t>6</w:t>
            </w:r>
            <w:r w:rsidRPr="00505285">
              <w:rPr>
                <w:rFonts w:eastAsia="Times New Roman" w:cs="Arial"/>
                <w:szCs w:val="20"/>
              </w:rPr>
              <w:t xml:space="preserve">). </w:t>
            </w:r>
            <w:r w:rsidR="00220881" w:rsidRPr="00505285">
              <w:rPr>
                <w:rFonts w:eastAsia="Times New Roman" w:cs="Arial"/>
                <w:szCs w:val="20"/>
              </w:rPr>
              <w:t xml:space="preserve">Calculated values were rounded to the nearest </w:t>
            </w:r>
            <w:r w:rsidR="001B346E">
              <w:rPr>
                <w:rFonts w:eastAsia="Times New Roman" w:cs="Arial"/>
                <w:szCs w:val="20"/>
              </w:rPr>
              <w:t>0.</w:t>
            </w:r>
            <w:r w:rsidR="00220881" w:rsidRPr="00505285">
              <w:rPr>
                <w:rFonts w:eastAsia="Times New Roman" w:cs="Arial"/>
                <w:szCs w:val="20"/>
              </w:rPr>
              <w:t>5</w:t>
            </w:r>
            <w:r w:rsidR="001B346E">
              <w:rPr>
                <w:rFonts w:eastAsia="Times New Roman" w:cs="Arial"/>
                <w:szCs w:val="20"/>
              </w:rPr>
              <w:t xml:space="preserve"> mg/day</w:t>
            </w:r>
            <w:r w:rsidR="00220881" w:rsidRPr="00505285">
              <w:rPr>
                <w:rFonts w:eastAsia="Times New Roman" w:cs="Arial"/>
                <w:szCs w:val="20"/>
              </w:rPr>
              <w:t xml:space="preserve"> to arrive at final values.</w:t>
            </w:r>
          </w:p>
          <w:p w14:paraId="3783EB26" w14:textId="77777777" w:rsidR="00416DF4" w:rsidRDefault="00416DF4" w:rsidP="00416DF4">
            <w:pPr>
              <w:spacing w:before="0" w:after="160" w:line="276" w:lineRule="auto"/>
              <w:rPr>
                <w:rFonts w:ascii="Calibri" w:eastAsia="Times New Roman" w:hAnsi="Calibri" w:cs="Calibri"/>
                <w:i/>
                <w:iCs/>
                <w:szCs w:val="20"/>
              </w:rPr>
            </w:pPr>
          </w:p>
          <w:p w14:paraId="00D5936D" w14:textId="024A32DC" w:rsidR="00416DF4" w:rsidRPr="00416DF4" w:rsidRDefault="00416DF4" w:rsidP="00416DF4">
            <w:pPr>
              <w:spacing w:before="0" w:after="160" w:line="276" w:lineRule="auto"/>
              <w:rPr>
                <w:rFonts w:eastAsia="Times New Roman" w:cs="Arial"/>
                <w:i/>
                <w:iCs/>
                <w:szCs w:val="20"/>
              </w:rPr>
            </w:pPr>
            <w:r w:rsidRPr="00416DF4">
              <w:rPr>
                <w:rFonts w:eastAsia="Times New Roman" w:cs="Arial"/>
                <w:i/>
                <w:iCs/>
                <w:szCs w:val="20"/>
              </w:rPr>
              <w:t xml:space="preserve">For further information on the evidence supporting the Adult UL, see the Adult Evidence-to-Decision table </w:t>
            </w:r>
          </w:p>
        </w:tc>
      </w:tr>
    </w:tbl>
    <w:p w14:paraId="114BD5E4" w14:textId="77777777" w:rsidR="00C2664D" w:rsidRPr="002D69B2" w:rsidRDefault="00C2664D" w:rsidP="0002606A"/>
    <w:p w14:paraId="740EE222" w14:textId="77777777" w:rsidR="00F428D4" w:rsidRDefault="00F428D4" w:rsidP="00A771E6">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sectPr w:rsidR="00F428D4" w:rsidSect="00D75D51">
          <w:pgSz w:w="16838" w:h="11906" w:orient="landscape" w:code="9"/>
          <w:pgMar w:top="907" w:right="1814" w:bottom="1134" w:left="1565" w:header="510" w:footer="454" w:gutter="0"/>
          <w:cols w:space="708"/>
          <w:titlePg/>
          <w:docGrid w:linePitch="360"/>
        </w:sectPr>
      </w:pPr>
    </w:p>
    <w:p w14:paraId="1F2133CD" w14:textId="77777777" w:rsidR="00A771E6" w:rsidRPr="00962F99" w:rsidRDefault="00A771E6" w:rsidP="00A771E6">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pPr>
      <w:r>
        <w:rPr>
          <w:color w:val="FFFFFF" w:themeColor="background1"/>
          <w:sz w:val="22"/>
          <w:szCs w:val="22"/>
        </w:rPr>
        <w:lastRenderedPageBreak/>
        <w:t>Vitamin B6 exposure in Australia and New Zealand</w:t>
      </w:r>
    </w:p>
    <w:p w14:paraId="70AA1B9B" w14:textId="14CAAA7B" w:rsidR="005E0748" w:rsidRDefault="005E0748" w:rsidP="00E51389">
      <w:pPr>
        <w:spacing w:line="276" w:lineRule="auto"/>
        <w:rPr>
          <w:rFonts w:eastAsia="Times New Roman" w:cs="Arial"/>
          <w:b/>
          <w:bCs/>
          <w:i/>
          <w:iCs/>
          <w:color w:val="auto"/>
        </w:rPr>
      </w:pPr>
      <w:r w:rsidRPr="005E0748">
        <w:rPr>
          <w:rFonts w:eastAsia="Times New Roman" w:cs="Arial"/>
          <w:b/>
          <w:bCs/>
          <w:i/>
          <w:iCs/>
          <w:color w:val="auto"/>
        </w:rPr>
        <w:t>Australia</w:t>
      </w:r>
    </w:p>
    <w:p w14:paraId="1699F618" w14:textId="30DDE5EB" w:rsidR="009B3180" w:rsidRDefault="00105311" w:rsidP="009B3180">
      <w:pPr>
        <w:spacing w:line="276" w:lineRule="auto"/>
        <w:rPr>
          <w:rFonts w:eastAsia="Times New Roman" w:cs="Arial"/>
          <w:color w:val="auto"/>
        </w:rPr>
      </w:pPr>
      <w:r>
        <w:rPr>
          <w:rFonts w:eastAsia="Times New Roman" w:cs="Arial"/>
          <w:color w:val="auto"/>
        </w:rPr>
        <w:t xml:space="preserve">Vitamin B6 intake </w:t>
      </w:r>
      <w:r w:rsidR="00954E0A">
        <w:rPr>
          <w:rFonts w:eastAsia="Times New Roman" w:cs="Arial"/>
          <w:color w:val="auto"/>
        </w:rPr>
        <w:t xml:space="preserve">dietary intake </w:t>
      </w:r>
      <w:r>
        <w:rPr>
          <w:rFonts w:eastAsia="Times New Roman" w:cs="Arial"/>
          <w:color w:val="auto"/>
        </w:rPr>
        <w:t>data</w:t>
      </w:r>
      <w:r w:rsidR="00954E0A">
        <w:rPr>
          <w:rFonts w:eastAsia="Times New Roman" w:cs="Arial"/>
          <w:color w:val="auto"/>
        </w:rPr>
        <w:t xml:space="preserve"> (excluding supplements)</w:t>
      </w:r>
      <w:r>
        <w:rPr>
          <w:rFonts w:eastAsia="Times New Roman" w:cs="Arial"/>
          <w:color w:val="auto"/>
        </w:rPr>
        <w:t xml:space="preserve"> for children in Australia (2023) is presented in </w:t>
      </w:r>
      <w:r w:rsidRPr="00231C7E">
        <w:rPr>
          <w:rFonts w:eastAsia="Times New Roman" w:cs="Arial"/>
          <w:color w:val="auto"/>
        </w:rPr>
        <w:t xml:space="preserve">Table </w:t>
      </w:r>
      <w:r>
        <w:rPr>
          <w:rFonts w:eastAsia="Times New Roman" w:cs="Arial"/>
          <w:color w:val="auto"/>
        </w:rPr>
        <w:t>7</w:t>
      </w:r>
      <w:r w:rsidRPr="00875871">
        <w:rPr>
          <w:rFonts w:eastAsia="Times New Roman" w:cs="Arial"/>
          <w:color w:val="auto"/>
        </w:rPr>
        <w:t xml:space="preserve"> below</w:t>
      </w:r>
      <w:r>
        <w:rPr>
          <w:rFonts w:eastAsia="Times New Roman" w:cs="Arial"/>
          <w:color w:val="auto"/>
        </w:rPr>
        <w:t>.</w:t>
      </w:r>
      <w:r w:rsidRPr="00875871">
        <w:rPr>
          <w:rFonts w:eastAsia="Times New Roman" w:cs="Arial"/>
          <w:color w:val="auto"/>
        </w:rPr>
        <w:t xml:space="preserve"> </w:t>
      </w:r>
      <w:r w:rsidR="00B660AA">
        <w:rPr>
          <w:rFonts w:eastAsia="Times New Roman" w:cs="Arial"/>
          <w:color w:val="auto"/>
        </w:rPr>
        <w:t xml:space="preserve">This data </w:t>
      </w:r>
      <w:r w:rsidR="0046750D">
        <w:rPr>
          <w:rFonts w:eastAsia="Times New Roman" w:cs="Arial"/>
          <w:color w:val="auto"/>
        </w:rPr>
        <w:t>relates to dietary intake, excluding supplements.</w:t>
      </w:r>
      <w:r w:rsidR="009B3180" w:rsidRPr="00875871">
        <w:rPr>
          <w:rFonts w:eastAsia="Times New Roman" w:cs="Arial"/>
          <w:color w:val="auto"/>
        </w:rPr>
        <w:t xml:space="preserve"> </w:t>
      </w:r>
    </w:p>
    <w:p w14:paraId="5AA81BEF" w14:textId="77777777" w:rsidR="002B5B69" w:rsidRDefault="001B0816" w:rsidP="002B5B69">
      <w:pPr>
        <w:spacing w:line="276" w:lineRule="auto"/>
        <w:rPr>
          <w:rFonts w:eastAsia="Times New Roman" w:cs="Arial"/>
          <w:color w:val="auto"/>
        </w:rPr>
      </w:pPr>
      <w:r>
        <w:rPr>
          <w:rFonts w:eastAsia="Times New Roman" w:cs="Arial"/>
          <w:color w:val="auto"/>
        </w:rPr>
        <w:t>At the time of writing</w:t>
      </w:r>
      <w:r w:rsidR="00E57B5D">
        <w:rPr>
          <w:rFonts w:eastAsia="Times New Roman" w:cs="Arial"/>
          <w:color w:val="auto"/>
        </w:rPr>
        <w:t xml:space="preserve"> there was no information available </w:t>
      </w:r>
      <w:r w:rsidR="002153F3">
        <w:rPr>
          <w:rFonts w:eastAsia="Times New Roman" w:cs="Arial"/>
          <w:color w:val="auto"/>
        </w:rPr>
        <w:t xml:space="preserve">from the </w:t>
      </w:r>
      <w:r w:rsidR="002153F3" w:rsidRPr="009B3180">
        <w:rPr>
          <w:rFonts w:eastAsia="Times New Roman" w:cs="Arial"/>
          <w:color w:val="auto"/>
        </w:rPr>
        <w:t>2023 ABS National Nutrition and Physical Activity Survey</w:t>
      </w:r>
      <w:r w:rsidR="002153F3">
        <w:rPr>
          <w:rFonts w:eastAsia="Times New Roman" w:cs="Arial"/>
          <w:color w:val="auto"/>
        </w:rPr>
        <w:t xml:space="preserve"> on </w:t>
      </w:r>
      <w:r>
        <w:rPr>
          <w:rFonts w:eastAsia="Times New Roman" w:cs="Arial"/>
          <w:color w:val="auto"/>
        </w:rPr>
        <w:t>t</w:t>
      </w:r>
      <w:r w:rsidR="009B3180" w:rsidRPr="009B3180">
        <w:rPr>
          <w:rFonts w:eastAsia="Times New Roman" w:cs="Arial"/>
          <w:color w:val="auto"/>
        </w:rPr>
        <w:t>he main food sources of vitamin B6</w:t>
      </w:r>
      <w:r w:rsidR="002153F3">
        <w:rPr>
          <w:rFonts w:eastAsia="Times New Roman" w:cs="Arial"/>
          <w:color w:val="auto"/>
        </w:rPr>
        <w:t xml:space="preserve">, or vitamin B6 supplement use </w:t>
      </w:r>
      <w:r w:rsidR="009B3180" w:rsidRPr="00840BAB">
        <w:rPr>
          <w:rFonts w:eastAsia="Times New Roman" w:cs="Arial"/>
          <w:color w:val="auto"/>
        </w:rPr>
        <w:t xml:space="preserve">in children </w:t>
      </w:r>
      <w:r w:rsidR="009B3180">
        <w:rPr>
          <w:rFonts w:eastAsia="Times New Roman" w:cs="Arial"/>
          <w:color w:val="auto"/>
        </w:rPr>
        <w:t>in Australia.</w:t>
      </w:r>
      <w:r w:rsidR="002B5B69" w:rsidRPr="002B5B69">
        <w:rPr>
          <w:rFonts w:eastAsia="Times New Roman" w:cs="Arial"/>
          <w:color w:val="auto"/>
        </w:rPr>
        <w:t xml:space="preserve"> </w:t>
      </w:r>
    </w:p>
    <w:p w14:paraId="52CEB6F1" w14:textId="7A6F5A2D" w:rsidR="009B3180" w:rsidRPr="005E0748" w:rsidRDefault="002B5B69" w:rsidP="00323FE0">
      <w:pPr>
        <w:spacing w:line="276" w:lineRule="auto"/>
        <w:rPr>
          <w:rFonts w:eastAsia="Times New Roman" w:cs="Arial"/>
          <w:b/>
          <w:bCs/>
          <w:i/>
          <w:iCs/>
          <w:color w:val="auto"/>
        </w:rPr>
      </w:pPr>
      <w:r w:rsidRPr="005956C9">
        <w:rPr>
          <w:rFonts w:eastAsia="Times New Roman" w:cs="Arial"/>
          <w:color w:val="auto"/>
        </w:rPr>
        <w:t>Among children aged 2–17 years, the proportion of males and females that took a</w:t>
      </w:r>
      <w:r>
        <w:rPr>
          <w:rFonts w:eastAsia="Times New Roman" w:cs="Arial"/>
          <w:color w:val="auto"/>
        </w:rPr>
        <w:t>ny</w:t>
      </w:r>
      <w:r w:rsidRPr="005956C9">
        <w:rPr>
          <w:rFonts w:eastAsia="Times New Roman" w:cs="Arial"/>
          <w:color w:val="auto"/>
        </w:rPr>
        <w:t xml:space="preserve"> supplement were similar (19.2% and 18.0%).</w:t>
      </w:r>
      <w:r>
        <w:rPr>
          <w:rFonts w:eastAsia="Times New Roman" w:cs="Arial"/>
          <w:color w:val="auto"/>
        </w:rPr>
        <w:t xml:space="preserve"> </w:t>
      </w:r>
      <w:r w:rsidRPr="005956C9">
        <w:rPr>
          <w:rFonts w:eastAsia="Times New Roman" w:cs="Arial"/>
          <w:color w:val="auto"/>
        </w:rPr>
        <w:t>Children aged 12–17 years (15.0%) were less likely to take a supplement than any other age group.</w:t>
      </w:r>
      <w:r>
        <w:rPr>
          <w:rFonts w:eastAsia="Times New Roman" w:cs="Arial"/>
          <w:color w:val="auto"/>
        </w:rPr>
        <w:t xml:space="preserve"> </w:t>
      </w:r>
    </w:p>
    <w:p w14:paraId="2F0CAB70" w14:textId="6C86A93D" w:rsidR="002B7E40" w:rsidRPr="00B961ED" w:rsidRDefault="002B7E40" w:rsidP="00B961ED">
      <w:pPr>
        <w:pStyle w:val="TableTitle"/>
        <w:ind w:left="1134"/>
        <w:rPr>
          <w:caps/>
          <w:sz w:val="18"/>
          <w:szCs w:val="16"/>
        </w:rPr>
      </w:pPr>
      <w:r w:rsidRPr="00B961ED">
        <w:rPr>
          <w:sz w:val="18"/>
          <w:szCs w:val="16"/>
        </w:rPr>
        <w:t xml:space="preserve">Vitamin B6 dietary intake in Australian </w:t>
      </w:r>
      <w:r w:rsidR="00C913BE" w:rsidRPr="00B961ED">
        <w:rPr>
          <w:sz w:val="18"/>
          <w:szCs w:val="16"/>
        </w:rPr>
        <w:t xml:space="preserve">children </w:t>
      </w:r>
      <w:r w:rsidRPr="00B961ED">
        <w:rPr>
          <w:sz w:val="18"/>
          <w:szCs w:val="16"/>
        </w:rPr>
        <w:t>(general population), National Nutrition and Physical Activity Survey: Usual Nutrient Intakes (2023)</w:t>
      </w:r>
    </w:p>
    <w:tbl>
      <w:tblPr>
        <w:tblStyle w:val="GridTable4"/>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6"/>
        <w:gridCol w:w="1574"/>
        <w:gridCol w:w="1701"/>
        <w:gridCol w:w="1701"/>
        <w:gridCol w:w="1843"/>
      </w:tblGrid>
      <w:tr w:rsidR="002B7E40" w:rsidRPr="00D633FF" w14:paraId="5A13F3C1"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6" w:type="dxa"/>
            <w:tcBorders>
              <w:bottom w:val="single" w:sz="4" w:space="0" w:color="auto"/>
            </w:tcBorders>
            <w:shd w:val="clear" w:color="auto" w:fill="000000" w:themeFill="text1"/>
            <w:noWrap/>
          </w:tcPr>
          <w:p w14:paraId="1419C247" w14:textId="77777777" w:rsidR="002B7E40" w:rsidRPr="00D633FF" w:rsidRDefault="002B7E40">
            <w:pPr>
              <w:keepNext/>
              <w:spacing w:line="276" w:lineRule="auto"/>
              <w:rPr>
                <w:rFonts w:ascii="Calibri" w:eastAsia="Times New Roman" w:hAnsi="Calibri" w:cs="Calibri"/>
                <w:color w:val="FFFFFF"/>
              </w:rPr>
            </w:pPr>
            <w:r w:rsidRPr="00D633FF">
              <w:rPr>
                <w:rFonts w:ascii="Calibri" w:eastAsia="Times New Roman" w:hAnsi="Calibri" w:cs="Calibri"/>
                <w:color w:val="FFFFFF"/>
              </w:rPr>
              <w:t>Age groups (years)</w:t>
            </w:r>
          </w:p>
        </w:tc>
        <w:tc>
          <w:tcPr>
            <w:tcW w:w="1574" w:type="dxa"/>
            <w:shd w:val="clear" w:color="auto" w:fill="000000" w:themeFill="text1"/>
          </w:tcPr>
          <w:p w14:paraId="3B3EE86C" w14:textId="77777777" w:rsidR="002B7E40" w:rsidRPr="00D633FF" w:rsidRDefault="002B7E40">
            <w:pPr>
              <w:keepNext/>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Sex</w:t>
            </w:r>
          </w:p>
        </w:tc>
        <w:tc>
          <w:tcPr>
            <w:tcW w:w="1701" w:type="dxa"/>
            <w:shd w:val="clear" w:color="auto" w:fill="000000" w:themeFill="text1"/>
          </w:tcPr>
          <w:p w14:paraId="77674DC6" w14:textId="77777777" w:rsidR="002B7E40" w:rsidRPr="00D633FF" w:rsidRDefault="002B7E40">
            <w:pPr>
              <w:keepNex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Mean Intake (</w:t>
            </w:r>
            <w:r>
              <w:rPr>
                <w:rFonts w:ascii="Calibri" w:eastAsia="Times New Roman" w:hAnsi="Calibri" w:cs="Calibri"/>
                <w:color w:val="FFFFFF"/>
              </w:rPr>
              <w:t>m</w:t>
            </w:r>
            <w:r w:rsidRPr="00D633FF">
              <w:rPr>
                <w:rFonts w:ascii="Calibri" w:eastAsia="Times New Roman" w:hAnsi="Calibri" w:cs="Calibri"/>
                <w:color w:val="FFFFFF"/>
              </w:rPr>
              <w:t>g/day)</w:t>
            </w:r>
          </w:p>
        </w:tc>
        <w:tc>
          <w:tcPr>
            <w:tcW w:w="1701" w:type="dxa"/>
            <w:shd w:val="clear" w:color="auto" w:fill="000000" w:themeFill="text1"/>
          </w:tcPr>
          <w:p w14:paraId="511F9D44" w14:textId="77777777" w:rsidR="002B7E40" w:rsidRPr="00D633FF" w:rsidRDefault="002B7E40">
            <w:pPr>
              <w:keepNext/>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 less than EAR</w:t>
            </w:r>
          </w:p>
        </w:tc>
        <w:tc>
          <w:tcPr>
            <w:tcW w:w="1843" w:type="dxa"/>
            <w:shd w:val="clear" w:color="auto" w:fill="000000" w:themeFill="text1"/>
          </w:tcPr>
          <w:p w14:paraId="44E108C1" w14:textId="77777777" w:rsidR="002B7E40" w:rsidRPr="00D633FF" w:rsidRDefault="002B7E40">
            <w:pPr>
              <w:keepNext/>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95</w:t>
            </w:r>
            <w:r w:rsidRPr="00D633FF">
              <w:rPr>
                <w:rFonts w:ascii="Calibri" w:eastAsia="Times New Roman" w:hAnsi="Calibri" w:cs="Calibri"/>
                <w:color w:val="FFFFFF"/>
                <w:vertAlign w:val="superscript"/>
              </w:rPr>
              <w:t>th</w:t>
            </w:r>
            <w:r w:rsidRPr="00D633FF">
              <w:rPr>
                <w:rFonts w:ascii="Calibri" w:eastAsia="Times New Roman" w:hAnsi="Calibri" w:cs="Calibri"/>
                <w:color w:val="FFFFFF"/>
              </w:rPr>
              <w:t xml:space="preserve"> percentile intake </w:t>
            </w:r>
          </w:p>
          <w:p w14:paraId="08199FCB" w14:textId="77777777" w:rsidR="002B7E40" w:rsidRPr="00D633FF" w:rsidRDefault="002B7E40">
            <w:pPr>
              <w:keepNext/>
              <w:spacing w:before="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D633FF">
              <w:rPr>
                <w:rFonts w:ascii="Calibri" w:eastAsia="Times New Roman" w:hAnsi="Calibri" w:cs="Calibri"/>
                <w:color w:val="FFFFFF"/>
              </w:rPr>
              <w:t>(</w:t>
            </w:r>
            <w:r>
              <w:rPr>
                <w:rFonts w:ascii="Calibri" w:eastAsia="Times New Roman" w:hAnsi="Calibri" w:cs="Calibri"/>
                <w:color w:val="FFFFFF"/>
              </w:rPr>
              <w:t>m</w:t>
            </w:r>
            <w:r w:rsidRPr="00D633FF">
              <w:rPr>
                <w:rFonts w:ascii="Calibri" w:eastAsia="Times New Roman" w:hAnsi="Calibri" w:cs="Calibri"/>
                <w:color w:val="FFFFFF"/>
              </w:rPr>
              <w:t>g/day)</w:t>
            </w:r>
          </w:p>
        </w:tc>
      </w:tr>
      <w:tr w:rsidR="00C354AF" w:rsidRPr="00D633FF" w14:paraId="70B3E7E2" w14:textId="77777777" w:rsidTr="00C354AF">
        <w:trPr>
          <w:trHeight w:val="340"/>
        </w:trPr>
        <w:tc>
          <w:tcPr>
            <w:cnfStyle w:val="001000000000" w:firstRow="0" w:lastRow="0" w:firstColumn="1" w:lastColumn="0" w:oddVBand="0" w:evenVBand="0" w:oddHBand="0" w:evenHBand="0" w:firstRowFirstColumn="0" w:firstRowLastColumn="0" w:lastRowFirstColumn="0" w:lastRowLastColumn="0"/>
            <w:tcW w:w="1566" w:type="dxa"/>
            <w:vMerge w:val="restart"/>
            <w:noWrap/>
          </w:tcPr>
          <w:p w14:paraId="4A7B181E" w14:textId="64FCCE13" w:rsidR="00C354AF" w:rsidRPr="00D633FF" w:rsidRDefault="00C354AF" w:rsidP="00C354AF">
            <w:pPr>
              <w:keepNext/>
              <w:spacing w:line="276" w:lineRule="auto"/>
              <w:rPr>
                <w:rFonts w:ascii="Calibri" w:eastAsia="Times New Roman" w:hAnsi="Calibri" w:cs="Calibri"/>
              </w:rPr>
            </w:pPr>
            <w:r>
              <w:rPr>
                <w:rFonts w:ascii="Calibri" w:eastAsia="Times New Roman" w:hAnsi="Calibri" w:cs="Calibri"/>
              </w:rPr>
              <w:t>2-4</w:t>
            </w:r>
            <w:r w:rsidRPr="00D633FF">
              <w:rPr>
                <w:rFonts w:ascii="Calibri" w:eastAsia="Times New Roman" w:hAnsi="Calibri" w:cs="Calibri"/>
              </w:rPr>
              <w:t xml:space="preserve"> </w:t>
            </w:r>
          </w:p>
        </w:tc>
        <w:tc>
          <w:tcPr>
            <w:tcW w:w="1574" w:type="dxa"/>
            <w:vAlign w:val="center"/>
          </w:tcPr>
          <w:p w14:paraId="6F590B0A" w14:textId="77777777" w:rsidR="00C354AF" w:rsidRPr="00D633FF" w:rsidRDefault="00C354AF">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46097E29" w14:textId="61F177DD"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0.8</w:t>
            </w:r>
          </w:p>
        </w:tc>
        <w:tc>
          <w:tcPr>
            <w:tcW w:w="1701" w:type="dxa"/>
            <w:vAlign w:val="center"/>
          </w:tcPr>
          <w:p w14:paraId="7539CABA" w14:textId="11254B98"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2.3</w:t>
            </w:r>
            <w:r w:rsidRPr="00C913BE">
              <w:rPr>
                <w:rFonts w:ascii="Calibri" w:eastAsia="Times New Roman" w:hAnsi="Calibri" w:cs="Calibri"/>
                <w:color w:val="000000"/>
                <w:vertAlign w:val="superscript"/>
              </w:rPr>
              <w:t>#</w:t>
            </w:r>
          </w:p>
        </w:tc>
        <w:tc>
          <w:tcPr>
            <w:tcW w:w="1843" w:type="dxa"/>
            <w:vAlign w:val="center"/>
          </w:tcPr>
          <w:p w14:paraId="4523279F" w14:textId="382B6003"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1.2</w:t>
            </w:r>
          </w:p>
        </w:tc>
      </w:tr>
      <w:tr w:rsidR="00C354AF" w:rsidRPr="00D633FF" w14:paraId="2F2D1D89" w14:textId="77777777" w:rsidTr="00C354AF">
        <w:trPr>
          <w:trHeight w:val="340"/>
        </w:trPr>
        <w:tc>
          <w:tcPr>
            <w:cnfStyle w:val="001000000000" w:firstRow="0" w:lastRow="0" w:firstColumn="1" w:lastColumn="0" w:oddVBand="0" w:evenVBand="0" w:oddHBand="0" w:evenHBand="0" w:firstRowFirstColumn="0" w:firstRowLastColumn="0" w:lastRowFirstColumn="0" w:lastRowLastColumn="0"/>
            <w:tcW w:w="1566" w:type="dxa"/>
            <w:vMerge/>
            <w:tcBorders>
              <w:bottom w:val="single" w:sz="4" w:space="0" w:color="auto"/>
            </w:tcBorders>
            <w:noWrap/>
          </w:tcPr>
          <w:p w14:paraId="40D3C33C" w14:textId="77777777" w:rsidR="00C354AF" w:rsidRPr="00D633FF" w:rsidRDefault="00C354AF" w:rsidP="00C354AF">
            <w:pPr>
              <w:keepNext/>
              <w:spacing w:line="276" w:lineRule="auto"/>
              <w:rPr>
                <w:rFonts w:ascii="Calibri" w:eastAsia="Times New Roman" w:hAnsi="Calibri" w:cs="Calibri"/>
              </w:rPr>
            </w:pPr>
          </w:p>
        </w:tc>
        <w:tc>
          <w:tcPr>
            <w:tcW w:w="1574" w:type="dxa"/>
            <w:shd w:val="clear" w:color="auto" w:fill="FFFFFF"/>
            <w:vAlign w:val="center"/>
          </w:tcPr>
          <w:p w14:paraId="16F5B1A3" w14:textId="77777777" w:rsidR="00C354AF" w:rsidRPr="00D633FF" w:rsidRDefault="00C354AF">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6AAC6FB6" w14:textId="06D5B4EB"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0.7</w:t>
            </w:r>
          </w:p>
        </w:tc>
        <w:tc>
          <w:tcPr>
            <w:tcW w:w="1701" w:type="dxa"/>
            <w:shd w:val="clear" w:color="auto" w:fill="FFFFFF"/>
            <w:vAlign w:val="center"/>
          </w:tcPr>
          <w:p w14:paraId="74468D7A" w14:textId="7325D822"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4.2</w:t>
            </w:r>
            <w:r w:rsidRPr="00425F4B">
              <w:rPr>
                <w:rFonts w:ascii="Calibri" w:eastAsia="Times New Roman" w:hAnsi="Calibri" w:cs="Calibri"/>
                <w:color w:val="000000"/>
                <w:vertAlign w:val="superscript"/>
              </w:rPr>
              <w:t>#</w:t>
            </w:r>
          </w:p>
        </w:tc>
        <w:tc>
          <w:tcPr>
            <w:tcW w:w="1843" w:type="dxa"/>
            <w:shd w:val="clear" w:color="auto" w:fill="FFFFFF"/>
            <w:vAlign w:val="center"/>
          </w:tcPr>
          <w:p w14:paraId="51AE84E5" w14:textId="786DFEB1"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r>
      <w:tr w:rsidR="00C354AF" w:rsidRPr="00D633FF" w14:paraId="5546DD37" w14:textId="77777777" w:rsidTr="00C354AF">
        <w:trPr>
          <w:trHeight w:val="340"/>
        </w:trPr>
        <w:tc>
          <w:tcPr>
            <w:cnfStyle w:val="001000000000" w:firstRow="0" w:lastRow="0" w:firstColumn="1" w:lastColumn="0" w:oddVBand="0" w:evenVBand="0" w:oddHBand="0" w:evenHBand="0" w:firstRowFirstColumn="0" w:firstRowLastColumn="0" w:lastRowFirstColumn="0" w:lastRowLastColumn="0"/>
            <w:tcW w:w="1566" w:type="dxa"/>
            <w:vMerge w:val="restart"/>
            <w:noWrap/>
            <w:hideMark/>
          </w:tcPr>
          <w:p w14:paraId="70D2CA29" w14:textId="5789DD36" w:rsidR="00C354AF" w:rsidRPr="00D633FF" w:rsidRDefault="00C354AF" w:rsidP="00C354AF">
            <w:pPr>
              <w:keepNext/>
              <w:spacing w:line="276" w:lineRule="auto"/>
              <w:rPr>
                <w:rFonts w:ascii="Calibri" w:eastAsia="Times New Roman" w:hAnsi="Calibri" w:cs="Calibri"/>
              </w:rPr>
            </w:pPr>
            <w:r>
              <w:rPr>
                <w:rFonts w:ascii="Calibri" w:eastAsia="Times New Roman" w:hAnsi="Calibri" w:cs="Calibri"/>
              </w:rPr>
              <w:t>5-11</w:t>
            </w:r>
          </w:p>
        </w:tc>
        <w:tc>
          <w:tcPr>
            <w:tcW w:w="1574" w:type="dxa"/>
            <w:vAlign w:val="center"/>
          </w:tcPr>
          <w:p w14:paraId="61A28C57" w14:textId="77777777" w:rsidR="00C354AF" w:rsidRPr="00D633FF" w:rsidRDefault="00C354AF">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33EED2C7" w14:textId="2A53DB41"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1.0</w:t>
            </w:r>
          </w:p>
        </w:tc>
        <w:tc>
          <w:tcPr>
            <w:tcW w:w="1701" w:type="dxa"/>
            <w:vAlign w:val="center"/>
          </w:tcPr>
          <w:p w14:paraId="6C18E8B8" w14:textId="36928AB5"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5.3</w:t>
            </w:r>
          </w:p>
        </w:tc>
        <w:tc>
          <w:tcPr>
            <w:tcW w:w="1843" w:type="dxa"/>
            <w:vAlign w:val="center"/>
          </w:tcPr>
          <w:p w14:paraId="12A4BF2D" w14:textId="5EC550A9"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w:t>
            </w:r>
          </w:p>
        </w:tc>
      </w:tr>
      <w:tr w:rsidR="00C354AF" w:rsidRPr="00D633FF" w14:paraId="1B5C524D" w14:textId="77777777" w:rsidTr="00C354AF">
        <w:trPr>
          <w:trHeight w:val="340"/>
        </w:trPr>
        <w:tc>
          <w:tcPr>
            <w:cnfStyle w:val="001000000000" w:firstRow="0" w:lastRow="0" w:firstColumn="1" w:lastColumn="0" w:oddVBand="0" w:evenVBand="0" w:oddHBand="0" w:evenHBand="0" w:firstRowFirstColumn="0" w:firstRowLastColumn="0" w:lastRowFirstColumn="0" w:lastRowLastColumn="0"/>
            <w:tcW w:w="1566" w:type="dxa"/>
            <w:vMerge/>
            <w:tcBorders>
              <w:bottom w:val="single" w:sz="4" w:space="0" w:color="auto"/>
            </w:tcBorders>
            <w:noWrap/>
          </w:tcPr>
          <w:p w14:paraId="1AA165D8" w14:textId="77777777" w:rsidR="00C354AF" w:rsidRPr="00D633FF" w:rsidRDefault="00C354AF" w:rsidP="00C354AF">
            <w:pPr>
              <w:keepNext/>
              <w:spacing w:line="276" w:lineRule="auto"/>
              <w:rPr>
                <w:rFonts w:ascii="Calibri" w:eastAsia="Times New Roman" w:hAnsi="Calibri" w:cs="Calibri"/>
              </w:rPr>
            </w:pPr>
          </w:p>
        </w:tc>
        <w:tc>
          <w:tcPr>
            <w:tcW w:w="1574" w:type="dxa"/>
            <w:shd w:val="clear" w:color="auto" w:fill="FFFFFF"/>
            <w:vAlign w:val="center"/>
          </w:tcPr>
          <w:p w14:paraId="3CCCC14C" w14:textId="77777777" w:rsidR="00C354AF" w:rsidRPr="00D633FF" w:rsidRDefault="00C354AF">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1620526F" w14:textId="6A6E3A6C"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0.9</w:t>
            </w:r>
          </w:p>
        </w:tc>
        <w:tc>
          <w:tcPr>
            <w:tcW w:w="1701" w:type="dxa"/>
            <w:shd w:val="clear" w:color="auto" w:fill="FFFFFF"/>
            <w:vAlign w:val="center"/>
          </w:tcPr>
          <w:p w14:paraId="71072D49" w14:textId="68A06173"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9.1</w:t>
            </w:r>
          </w:p>
        </w:tc>
        <w:tc>
          <w:tcPr>
            <w:tcW w:w="1843" w:type="dxa"/>
            <w:shd w:val="clear" w:color="auto" w:fill="FFFFFF"/>
            <w:vAlign w:val="center"/>
          </w:tcPr>
          <w:p w14:paraId="3B6135DE" w14:textId="4784BD7E"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r>
      <w:tr w:rsidR="00C354AF" w:rsidRPr="00D633FF" w14:paraId="7F1AD06A" w14:textId="77777777" w:rsidTr="00C354AF">
        <w:trPr>
          <w:trHeight w:val="340"/>
        </w:trPr>
        <w:tc>
          <w:tcPr>
            <w:cnfStyle w:val="001000000000" w:firstRow="0" w:lastRow="0" w:firstColumn="1" w:lastColumn="0" w:oddVBand="0" w:evenVBand="0" w:oddHBand="0" w:evenHBand="0" w:firstRowFirstColumn="0" w:firstRowLastColumn="0" w:lastRowFirstColumn="0" w:lastRowLastColumn="0"/>
            <w:tcW w:w="1566" w:type="dxa"/>
            <w:vMerge w:val="restart"/>
            <w:noWrap/>
            <w:hideMark/>
          </w:tcPr>
          <w:p w14:paraId="3FCE26D8" w14:textId="0496CF7B" w:rsidR="00C354AF" w:rsidRPr="00D633FF" w:rsidRDefault="00C354AF" w:rsidP="00C354AF">
            <w:pPr>
              <w:keepNext/>
              <w:spacing w:line="276" w:lineRule="auto"/>
              <w:rPr>
                <w:rFonts w:ascii="Calibri" w:eastAsia="Times New Roman" w:hAnsi="Calibri" w:cs="Calibri"/>
              </w:rPr>
            </w:pPr>
            <w:r>
              <w:rPr>
                <w:rFonts w:ascii="Calibri" w:eastAsia="Times New Roman" w:hAnsi="Calibri" w:cs="Calibri"/>
              </w:rPr>
              <w:t>12-17</w:t>
            </w:r>
          </w:p>
        </w:tc>
        <w:tc>
          <w:tcPr>
            <w:tcW w:w="1574" w:type="dxa"/>
            <w:vAlign w:val="center"/>
          </w:tcPr>
          <w:p w14:paraId="62B50243" w14:textId="77777777" w:rsidR="00C354AF" w:rsidRPr="00D633FF" w:rsidRDefault="00C354AF">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Males</w:t>
            </w:r>
          </w:p>
        </w:tc>
        <w:tc>
          <w:tcPr>
            <w:tcW w:w="1701" w:type="dxa"/>
            <w:vAlign w:val="center"/>
          </w:tcPr>
          <w:p w14:paraId="55249D5B" w14:textId="17EDD423"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w:t>
            </w:r>
          </w:p>
        </w:tc>
        <w:tc>
          <w:tcPr>
            <w:tcW w:w="1701" w:type="dxa"/>
            <w:vAlign w:val="center"/>
          </w:tcPr>
          <w:p w14:paraId="78B57DCD" w14:textId="47EA5E86"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19.1</w:t>
            </w:r>
          </w:p>
        </w:tc>
        <w:tc>
          <w:tcPr>
            <w:tcW w:w="1843" w:type="dxa"/>
            <w:vAlign w:val="center"/>
          </w:tcPr>
          <w:p w14:paraId="65A82831" w14:textId="5396B0BF"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2.7</w:t>
            </w:r>
          </w:p>
        </w:tc>
      </w:tr>
      <w:tr w:rsidR="00C354AF" w:rsidRPr="00D633FF" w14:paraId="245E46F5" w14:textId="77777777" w:rsidTr="0070374D">
        <w:trPr>
          <w:trHeight w:val="340"/>
        </w:trPr>
        <w:tc>
          <w:tcPr>
            <w:cnfStyle w:val="001000000000" w:firstRow="0" w:lastRow="0" w:firstColumn="1" w:lastColumn="0" w:oddVBand="0" w:evenVBand="0" w:oddHBand="0" w:evenHBand="0" w:firstRowFirstColumn="0" w:firstRowLastColumn="0" w:lastRowFirstColumn="0" w:lastRowLastColumn="0"/>
            <w:tcW w:w="1566" w:type="dxa"/>
            <w:vMerge/>
            <w:tcBorders>
              <w:bottom w:val="single" w:sz="4" w:space="0" w:color="auto"/>
            </w:tcBorders>
            <w:noWrap/>
            <w:vAlign w:val="center"/>
          </w:tcPr>
          <w:p w14:paraId="42BA72EF" w14:textId="77777777" w:rsidR="00C354AF" w:rsidRPr="00D633FF" w:rsidRDefault="00C354AF">
            <w:pPr>
              <w:keepNext/>
              <w:spacing w:line="276" w:lineRule="auto"/>
              <w:rPr>
                <w:rFonts w:ascii="Calibri" w:eastAsia="Times New Roman" w:hAnsi="Calibri" w:cs="Calibri"/>
              </w:rPr>
            </w:pPr>
          </w:p>
        </w:tc>
        <w:tc>
          <w:tcPr>
            <w:tcW w:w="1574" w:type="dxa"/>
            <w:shd w:val="clear" w:color="auto" w:fill="FFFFFF"/>
            <w:vAlign w:val="center"/>
          </w:tcPr>
          <w:p w14:paraId="05D8218E" w14:textId="77777777" w:rsidR="00C354AF" w:rsidRPr="00D633FF" w:rsidRDefault="00C354AF">
            <w:pPr>
              <w:keepNext/>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633FF">
              <w:rPr>
                <w:rFonts w:ascii="Calibri" w:eastAsia="Times New Roman" w:hAnsi="Calibri" w:cs="Calibri"/>
                <w:color w:val="000000"/>
              </w:rPr>
              <w:t>Females</w:t>
            </w:r>
          </w:p>
        </w:tc>
        <w:tc>
          <w:tcPr>
            <w:tcW w:w="1701" w:type="dxa"/>
            <w:shd w:val="clear" w:color="auto" w:fill="FFFFFF"/>
            <w:vAlign w:val="center"/>
          </w:tcPr>
          <w:p w14:paraId="4F8BF92F" w14:textId="2DBC18D1"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1.0</w:t>
            </w:r>
          </w:p>
        </w:tc>
        <w:tc>
          <w:tcPr>
            <w:tcW w:w="1701" w:type="dxa"/>
            <w:shd w:val="clear" w:color="auto" w:fill="FFFFFF"/>
            <w:vAlign w:val="center"/>
          </w:tcPr>
          <w:p w14:paraId="47E36D8B" w14:textId="6FDFE759"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42.9</w:t>
            </w:r>
          </w:p>
        </w:tc>
        <w:tc>
          <w:tcPr>
            <w:tcW w:w="1843" w:type="dxa"/>
            <w:shd w:val="clear" w:color="auto" w:fill="FFFFFF"/>
            <w:vAlign w:val="center"/>
          </w:tcPr>
          <w:p w14:paraId="7AEE55CB" w14:textId="0AE2C25D" w:rsidR="00C354AF" w:rsidRPr="00D633FF" w:rsidRDefault="00C354AF">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1.8</w:t>
            </w:r>
          </w:p>
        </w:tc>
      </w:tr>
    </w:tbl>
    <w:p w14:paraId="49C68A41" w14:textId="77777777" w:rsidR="002B7E40" w:rsidRDefault="002B7E40" w:rsidP="002B7E40">
      <w:pPr>
        <w:spacing w:before="0" w:line="276" w:lineRule="auto"/>
        <w:rPr>
          <w:rFonts w:ascii="Calibri" w:eastAsia="Arial" w:hAnsi="Calibri" w:cs="Calibri"/>
          <w:sz w:val="16"/>
          <w:szCs w:val="16"/>
        </w:rPr>
      </w:pPr>
      <w:r w:rsidRPr="00D633FF">
        <w:rPr>
          <w:rFonts w:ascii="Calibri" w:eastAsia="Arial" w:hAnsi="Calibri" w:cs="Calibri"/>
          <w:b/>
          <w:bCs/>
          <w:sz w:val="16"/>
          <w:szCs w:val="16"/>
        </w:rPr>
        <w:t>Source:</w:t>
      </w:r>
      <w:r w:rsidRPr="00D633FF">
        <w:rPr>
          <w:rFonts w:ascii="Calibri" w:eastAsia="Arial" w:hAnsi="Calibri" w:cs="Calibri"/>
          <w:sz w:val="16"/>
          <w:szCs w:val="16"/>
        </w:rPr>
        <w:t xml:space="preserve"> </w:t>
      </w:r>
      <w:hyperlink r:id="rId43" w:history="1">
        <w:r>
          <w:rPr>
            <w:rFonts w:ascii="Calibri" w:eastAsia="Arial" w:hAnsi="Calibri" w:cs="Calibri"/>
            <w:color w:val="006CBC"/>
            <w:sz w:val="16"/>
            <w:szCs w:val="16"/>
            <w:u w:val="single"/>
          </w:rPr>
          <w:t>https://www.abs.gov.au/statistics/health/food-and-nutrition/usual-nutrient-intakes/latest-release</w:t>
        </w:r>
      </w:hyperlink>
      <w:r w:rsidRPr="00D633FF">
        <w:rPr>
          <w:rFonts w:ascii="Calibri" w:eastAsia="Arial" w:hAnsi="Calibri" w:cs="Calibri"/>
          <w:sz w:val="16"/>
          <w:szCs w:val="16"/>
        </w:rPr>
        <w:t xml:space="preserve"> </w:t>
      </w:r>
      <w:r w:rsidRPr="00D633FF">
        <w:rPr>
          <w:rFonts w:ascii="Calibri" w:eastAsia="Arial" w:hAnsi="Calibri" w:cs="Calibri"/>
          <w:sz w:val="16"/>
          <w:szCs w:val="16"/>
        </w:rPr>
        <w:br/>
      </w:r>
      <w:r w:rsidRPr="006F04A4">
        <w:rPr>
          <w:rFonts w:ascii="Calibri" w:eastAsia="Arial" w:hAnsi="Calibri" w:cs="Calibri"/>
          <w:b/>
          <w:bCs/>
          <w:sz w:val="16"/>
          <w:szCs w:val="16"/>
        </w:rPr>
        <w:t>Abbreviations:</w:t>
      </w:r>
      <w:r w:rsidRPr="00D633FF">
        <w:rPr>
          <w:rFonts w:ascii="Calibri" w:eastAsia="Arial" w:hAnsi="Calibri" w:cs="Calibri"/>
          <w:sz w:val="16"/>
          <w:szCs w:val="16"/>
        </w:rPr>
        <w:t xml:space="preserve"> EAR, estimated average requirement.</w:t>
      </w:r>
    </w:p>
    <w:p w14:paraId="74B2CA93" w14:textId="1BF8A4D6" w:rsidR="005B5F1B" w:rsidRDefault="004715AF" w:rsidP="002B7E40">
      <w:pPr>
        <w:spacing w:before="0" w:line="276" w:lineRule="auto"/>
        <w:rPr>
          <w:rFonts w:ascii="Calibri" w:eastAsia="Arial" w:hAnsi="Calibri" w:cs="Calibri"/>
          <w:sz w:val="16"/>
          <w:szCs w:val="16"/>
        </w:rPr>
      </w:pPr>
      <w:r>
        <w:rPr>
          <w:rFonts w:ascii="Calibri" w:eastAsia="Arial" w:hAnsi="Calibri" w:cs="Calibri"/>
          <w:sz w:val="16"/>
          <w:szCs w:val="16"/>
        </w:rPr>
        <w:t xml:space="preserve"># </w:t>
      </w:r>
      <w:r w:rsidR="00140434">
        <w:rPr>
          <w:rFonts w:ascii="Calibri" w:eastAsia="Arial" w:hAnsi="Calibri" w:cs="Calibri"/>
          <w:sz w:val="16"/>
          <w:szCs w:val="16"/>
        </w:rPr>
        <w:t xml:space="preserve">proportion has a high margin of error and should be used with </w:t>
      </w:r>
      <w:r w:rsidR="000D1BCD">
        <w:rPr>
          <w:rFonts w:ascii="Calibri" w:eastAsia="Arial" w:hAnsi="Calibri" w:cs="Calibri"/>
          <w:sz w:val="16"/>
          <w:szCs w:val="16"/>
        </w:rPr>
        <w:t>caution</w:t>
      </w:r>
    </w:p>
    <w:p w14:paraId="69867EEE" w14:textId="00AD8B80" w:rsidR="00E40078" w:rsidRPr="00840BAB" w:rsidRDefault="00E40078" w:rsidP="00A771E6">
      <w:pPr>
        <w:rPr>
          <w:rFonts w:eastAsia="Times New Roman" w:cs="Arial"/>
          <w:b/>
          <w:bCs/>
          <w:i/>
          <w:iCs/>
          <w:color w:val="auto"/>
        </w:rPr>
      </w:pPr>
      <w:r w:rsidRPr="00840BAB">
        <w:rPr>
          <w:rFonts w:eastAsia="Times New Roman" w:cs="Arial"/>
          <w:b/>
          <w:bCs/>
          <w:i/>
          <w:iCs/>
          <w:color w:val="auto"/>
        </w:rPr>
        <w:t>New Zealand</w:t>
      </w:r>
    </w:p>
    <w:p w14:paraId="753BA335" w14:textId="0B897CFD" w:rsidR="0002299D" w:rsidRPr="00F05DFC" w:rsidRDefault="00E40078" w:rsidP="00A771E6">
      <w:pPr>
        <w:rPr>
          <w:rFonts w:eastAsia="Times New Roman" w:cs="Arial"/>
          <w:color w:val="auto"/>
        </w:rPr>
      </w:pPr>
      <w:r w:rsidRPr="00F05DFC">
        <w:rPr>
          <w:rFonts w:eastAsia="Times New Roman" w:cs="Arial"/>
          <w:color w:val="auto"/>
        </w:rPr>
        <w:t xml:space="preserve">Table </w:t>
      </w:r>
      <w:r w:rsidR="009F521A">
        <w:rPr>
          <w:rFonts w:eastAsia="Times New Roman" w:cs="Arial"/>
          <w:color w:val="auto"/>
        </w:rPr>
        <w:t>8</w:t>
      </w:r>
      <w:r w:rsidR="009F521A" w:rsidRPr="00F05DFC">
        <w:rPr>
          <w:rFonts w:eastAsia="Times New Roman" w:cs="Arial"/>
          <w:color w:val="auto"/>
        </w:rPr>
        <w:t xml:space="preserve"> </w:t>
      </w:r>
      <w:r w:rsidR="00F05DFC">
        <w:rPr>
          <w:rFonts w:eastAsia="Times New Roman" w:cs="Arial"/>
          <w:color w:val="auto"/>
        </w:rPr>
        <w:t xml:space="preserve">below </w:t>
      </w:r>
      <w:r w:rsidRPr="00F05DFC">
        <w:rPr>
          <w:rFonts w:eastAsia="Times New Roman" w:cs="Arial"/>
          <w:color w:val="auto"/>
        </w:rPr>
        <w:t>outlines</w:t>
      </w:r>
      <w:r w:rsidR="00DD470D" w:rsidRPr="00F05DFC">
        <w:rPr>
          <w:rFonts w:eastAsia="Times New Roman" w:cs="Arial"/>
          <w:color w:val="auto"/>
        </w:rPr>
        <w:t xml:space="preserve"> Vitamin B6 intake levels for Children in New Zealand</w:t>
      </w:r>
      <w:r w:rsidR="005D2FC7" w:rsidRPr="00F05DFC">
        <w:rPr>
          <w:rFonts w:eastAsia="Times New Roman" w:cs="Arial"/>
          <w:color w:val="auto"/>
        </w:rPr>
        <w:t xml:space="preserve"> from the </w:t>
      </w:r>
      <w:r w:rsidR="00F75501" w:rsidRPr="00F05DFC">
        <w:rPr>
          <w:rFonts w:eastAsia="Times New Roman" w:cs="Arial"/>
          <w:color w:val="auto"/>
        </w:rPr>
        <w:t xml:space="preserve">2002 </w:t>
      </w:r>
      <w:r w:rsidR="002E2B1D" w:rsidRPr="00F05DFC">
        <w:rPr>
          <w:rFonts w:eastAsia="Times New Roman" w:cs="Arial"/>
          <w:color w:val="auto"/>
        </w:rPr>
        <w:t>New Ze</w:t>
      </w:r>
      <w:r w:rsidR="00F75501" w:rsidRPr="00F05DFC">
        <w:rPr>
          <w:rFonts w:eastAsia="Times New Roman" w:cs="Arial"/>
          <w:color w:val="auto"/>
        </w:rPr>
        <w:t>a</w:t>
      </w:r>
      <w:r w:rsidR="002E2B1D" w:rsidRPr="00F05DFC">
        <w:rPr>
          <w:rFonts w:eastAsia="Times New Roman" w:cs="Arial"/>
          <w:color w:val="auto"/>
        </w:rPr>
        <w:t>land National Children’s Nutrition Survey</w:t>
      </w:r>
      <w:r w:rsidR="007E21E2" w:rsidRPr="00F05DFC">
        <w:rPr>
          <w:rFonts w:eastAsia="Times New Roman" w:cs="Arial"/>
          <w:color w:val="auto"/>
        </w:rPr>
        <w:t>.</w:t>
      </w:r>
      <w:r w:rsidR="00C76F34" w:rsidRPr="00F05DFC">
        <w:rPr>
          <w:rFonts w:eastAsia="Times New Roman" w:cs="Arial"/>
          <w:color w:val="auto"/>
        </w:rPr>
        <w:t xml:space="preserve"> Dietary supplements</w:t>
      </w:r>
      <w:r w:rsidR="00E717F0" w:rsidRPr="00F05DFC">
        <w:rPr>
          <w:rFonts w:eastAsia="Times New Roman" w:cs="Arial"/>
          <w:color w:val="auto"/>
        </w:rPr>
        <w:t xml:space="preserve"> (13%)</w:t>
      </w:r>
      <w:r w:rsidR="00C76F34" w:rsidRPr="00F05DFC">
        <w:rPr>
          <w:rFonts w:eastAsia="Times New Roman" w:cs="Arial"/>
          <w:color w:val="auto"/>
        </w:rPr>
        <w:t>, Fruit</w:t>
      </w:r>
      <w:r w:rsidR="00E717F0" w:rsidRPr="00F05DFC">
        <w:rPr>
          <w:rFonts w:eastAsia="Times New Roman" w:cs="Arial"/>
          <w:color w:val="auto"/>
        </w:rPr>
        <w:t xml:space="preserve"> (11</w:t>
      </w:r>
      <w:r w:rsidR="00186A2E" w:rsidRPr="00F05DFC">
        <w:rPr>
          <w:rFonts w:eastAsia="Times New Roman" w:cs="Arial"/>
          <w:color w:val="auto"/>
        </w:rPr>
        <w:t>%)</w:t>
      </w:r>
      <w:r w:rsidR="00C76F34" w:rsidRPr="00F05DFC">
        <w:rPr>
          <w:rFonts w:eastAsia="Times New Roman" w:cs="Arial"/>
          <w:color w:val="auto"/>
        </w:rPr>
        <w:t xml:space="preserve">, Potatoes, kumara &amp; taro </w:t>
      </w:r>
      <w:r w:rsidR="00186A2E" w:rsidRPr="00F05DFC">
        <w:rPr>
          <w:rFonts w:eastAsia="Times New Roman" w:cs="Arial"/>
          <w:color w:val="auto"/>
        </w:rPr>
        <w:t>(</w:t>
      </w:r>
      <w:r w:rsidR="0039616B" w:rsidRPr="00F05DFC">
        <w:rPr>
          <w:rFonts w:eastAsia="Times New Roman" w:cs="Arial"/>
          <w:color w:val="auto"/>
        </w:rPr>
        <w:t>10%</w:t>
      </w:r>
      <w:r w:rsidR="00186A2E" w:rsidRPr="00F05DFC">
        <w:rPr>
          <w:rFonts w:eastAsia="Times New Roman" w:cs="Arial"/>
          <w:color w:val="auto"/>
        </w:rPr>
        <w:t xml:space="preserve">) </w:t>
      </w:r>
      <w:r w:rsidR="00C76F34" w:rsidRPr="00F05DFC">
        <w:rPr>
          <w:rFonts w:eastAsia="Times New Roman" w:cs="Arial"/>
          <w:color w:val="auto"/>
        </w:rPr>
        <w:t xml:space="preserve">and Breakfast cereals </w:t>
      </w:r>
      <w:r w:rsidR="0039616B" w:rsidRPr="00F05DFC">
        <w:rPr>
          <w:rFonts w:eastAsia="Times New Roman" w:cs="Arial"/>
          <w:color w:val="auto"/>
        </w:rPr>
        <w:t xml:space="preserve">(9%) </w:t>
      </w:r>
      <w:r w:rsidR="00C76F34" w:rsidRPr="00F05DFC">
        <w:rPr>
          <w:rFonts w:eastAsia="Times New Roman" w:cs="Arial"/>
          <w:color w:val="auto"/>
        </w:rPr>
        <w:t xml:space="preserve">provided the most vitamin B6 to the diets of New Zealand children </w:t>
      </w:r>
      <w:r w:rsidR="00E717F0" w:rsidRPr="00F05DFC">
        <w:rPr>
          <w:rFonts w:eastAsia="Times New Roman" w:cs="Arial"/>
          <w:color w:val="auto"/>
        </w:rPr>
        <w:t>aged 5-14 years</w:t>
      </w:r>
      <w:r w:rsidR="00AF4B0A" w:rsidRPr="00F05DFC">
        <w:rPr>
          <w:rFonts w:eastAsia="Times New Roman" w:cs="Arial"/>
          <w:color w:val="auto"/>
        </w:rPr>
        <w:t xml:space="preserve"> </w:t>
      </w:r>
      <w:r w:rsidR="0045011E">
        <w:rPr>
          <w:rFonts w:eastAsia="Times New Roman" w:cs="Arial"/>
          <w:noProof/>
          <w:color w:val="auto"/>
        </w:rPr>
        <w:t>(Ministry of Health, 2003)</w:t>
      </w:r>
      <w:r w:rsidR="00C76F34" w:rsidRPr="00F05DFC">
        <w:rPr>
          <w:rFonts w:eastAsia="Times New Roman" w:cs="Arial"/>
          <w:color w:val="auto"/>
        </w:rPr>
        <w:t xml:space="preserve">. </w:t>
      </w:r>
    </w:p>
    <w:p w14:paraId="0402825E" w14:textId="29F70789" w:rsidR="00780B3F" w:rsidRDefault="00780B3F" w:rsidP="00780B3F">
      <w:pPr>
        <w:rPr>
          <w:rFonts w:eastAsia="Times New Roman" w:cs="Arial"/>
          <w:color w:val="auto"/>
        </w:rPr>
      </w:pPr>
      <w:r w:rsidRPr="00F05DFC">
        <w:rPr>
          <w:rFonts w:eastAsia="Times New Roman" w:cs="Arial"/>
          <w:color w:val="auto"/>
        </w:rPr>
        <w:lastRenderedPageBreak/>
        <w:t xml:space="preserve">Median intakes of vitamin B6 for all subgroups of children were above the RNIs </w:t>
      </w:r>
      <w:r>
        <w:rPr>
          <w:rFonts w:eastAsia="Times New Roman" w:cs="Arial"/>
          <w:color w:val="auto"/>
        </w:rPr>
        <w:t xml:space="preserve">(Reference Nutrient Intakes) </w:t>
      </w:r>
      <w:r w:rsidRPr="00F05DFC">
        <w:rPr>
          <w:rFonts w:eastAsia="Times New Roman" w:cs="Arial"/>
          <w:color w:val="auto"/>
        </w:rPr>
        <w:t>that range from 0.9 mg (4–6 years) to 1.2 mg (11–14 years)</w:t>
      </w:r>
      <w:r w:rsidR="00084434">
        <w:rPr>
          <w:rFonts w:eastAsia="Times New Roman" w:cs="Arial"/>
          <w:color w:val="auto"/>
        </w:rPr>
        <w:t xml:space="preserve">, comparison to </w:t>
      </w:r>
      <w:r w:rsidR="008B74F2">
        <w:rPr>
          <w:rFonts w:eastAsia="Times New Roman" w:cs="Arial"/>
          <w:color w:val="auto"/>
        </w:rPr>
        <w:t>NHMRC 2006 values were not possible</w:t>
      </w:r>
      <w:r w:rsidR="00281678">
        <w:rPr>
          <w:rFonts w:eastAsia="Times New Roman" w:cs="Arial"/>
          <w:color w:val="auto"/>
        </w:rPr>
        <w:t xml:space="preserve"> as this data predates them</w:t>
      </w:r>
      <w:r w:rsidR="00954E0A">
        <w:rPr>
          <w:rFonts w:eastAsia="Times New Roman" w:cs="Arial"/>
          <w:color w:val="auto"/>
        </w:rPr>
        <w:t>.</w:t>
      </w:r>
      <w:r w:rsidR="00281678">
        <w:rPr>
          <w:rFonts w:eastAsia="Times New Roman" w:cs="Arial"/>
          <w:color w:val="auto"/>
        </w:rPr>
        <w:t xml:space="preserve"> </w:t>
      </w:r>
      <w:r w:rsidRPr="00F05DFC">
        <w:rPr>
          <w:rFonts w:eastAsia="Times New Roman" w:cs="Arial"/>
          <w:color w:val="auto"/>
        </w:rPr>
        <w:t xml:space="preserve">As vitamin B6 is involved in protein metabolism, recommended intakes were based on protein intake. The UK </w:t>
      </w:r>
      <w:r>
        <w:rPr>
          <w:rFonts w:eastAsia="Times New Roman" w:cs="Arial"/>
          <w:color w:val="auto"/>
        </w:rPr>
        <w:t xml:space="preserve">Dietary Reference Value </w:t>
      </w:r>
      <w:r w:rsidR="0045011E">
        <w:rPr>
          <w:rFonts w:eastAsia="Times New Roman" w:cs="Arial"/>
          <w:noProof/>
          <w:color w:val="auto"/>
        </w:rPr>
        <w:t>(UK Department of Health, 1991)</w:t>
      </w:r>
      <w:r w:rsidRPr="00F05DFC">
        <w:rPr>
          <w:rFonts w:eastAsia="Times New Roman" w:cs="Arial"/>
          <w:color w:val="auto"/>
        </w:rPr>
        <w:t xml:space="preserve"> calculations were based on protein providing 14.7 percent of the EAR for energy. On this basis the vitamin B6 intake of New Zealand children appeared satisfactory</w:t>
      </w:r>
      <w:r>
        <w:rPr>
          <w:rFonts w:eastAsia="Times New Roman" w:cs="Arial"/>
          <w:color w:val="auto"/>
        </w:rPr>
        <w:t xml:space="preserve"> </w:t>
      </w:r>
      <w:r w:rsidR="0045011E">
        <w:rPr>
          <w:rFonts w:eastAsia="Times New Roman" w:cs="Arial"/>
          <w:noProof/>
          <w:color w:val="auto"/>
        </w:rPr>
        <w:t>(Ministry of Health, 2003)</w:t>
      </w:r>
      <w:r w:rsidRPr="00F05DFC">
        <w:rPr>
          <w:rFonts w:eastAsia="Times New Roman" w:cs="Arial"/>
          <w:color w:val="auto"/>
        </w:rPr>
        <w:t>.</w:t>
      </w:r>
    </w:p>
    <w:p w14:paraId="4C857972" w14:textId="0CE4F17E" w:rsidR="00A561EA" w:rsidRPr="00B961ED" w:rsidRDefault="00A561EA" w:rsidP="00B961ED">
      <w:pPr>
        <w:pStyle w:val="TableTitle"/>
        <w:ind w:left="1134"/>
        <w:rPr>
          <w:caps/>
          <w:sz w:val="18"/>
          <w:szCs w:val="16"/>
        </w:rPr>
      </w:pPr>
      <w:r w:rsidRPr="00B961ED">
        <w:rPr>
          <w:sz w:val="18"/>
          <w:szCs w:val="16"/>
        </w:rPr>
        <w:t xml:space="preserve">Vitamin B6 intake in New Zealand </w:t>
      </w:r>
      <w:r w:rsidR="00B61EEC" w:rsidRPr="00B961ED">
        <w:rPr>
          <w:sz w:val="18"/>
          <w:szCs w:val="16"/>
        </w:rPr>
        <w:t xml:space="preserve">children </w:t>
      </w:r>
      <w:r w:rsidRPr="00B961ED">
        <w:rPr>
          <w:sz w:val="18"/>
          <w:szCs w:val="16"/>
        </w:rPr>
        <w:t xml:space="preserve">(general population), </w:t>
      </w:r>
      <w:r w:rsidR="000C5CA3" w:rsidRPr="00B961ED">
        <w:rPr>
          <w:sz w:val="18"/>
          <w:szCs w:val="16"/>
        </w:rPr>
        <w:t>2002</w:t>
      </w:r>
      <w:r w:rsidRPr="00B961ED">
        <w:rPr>
          <w:sz w:val="18"/>
          <w:szCs w:val="16"/>
        </w:rPr>
        <w:t xml:space="preserve"> </w:t>
      </w:r>
      <w:r w:rsidR="006A5FE0" w:rsidRPr="00B961ED">
        <w:rPr>
          <w:sz w:val="18"/>
          <w:szCs w:val="16"/>
        </w:rPr>
        <w:t>National Children</w:t>
      </w:r>
      <w:r w:rsidR="0034378E" w:rsidRPr="00B961ED">
        <w:rPr>
          <w:sz w:val="18"/>
          <w:szCs w:val="16"/>
        </w:rPr>
        <w:t>’s Nutrition Survey</w:t>
      </w:r>
    </w:p>
    <w:tbl>
      <w:tblPr>
        <w:tblStyle w:val="GridTable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1559"/>
        <w:gridCol w:w="1701"/>
        <w:gridCol w:w="1701"/>
        <w:gridCol w:w="2384"/>
      </w:tblGrid>
      <w:tr w:rsidR="00A561EA" w:rsidRPr="00B61EEC" w14:paraId="5E8E721E" w14:textId="77777777" w:rsidTr="00C354A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1" w:type="dxa"/>
            <w:tcBorders>
              <w:bottom w:val="single" w:sz="4" w:space="0" w:color="auto"/>
            </w:tcBorders>
            <w:shd w:val="clear" w:color="auto" w:fill="000000" w:themeFill="text1"/>
            <w:noWrap/>
            <w:vAlign w:val="center"/>
          </w:tcPr>
          <w:p w14:paraId="3790DA37" w14:textId="77777777" w:rsidR="00A561EA" w:rsidRPr="005843DD" w:rsidRDefault="00A561EA" w:rsidP="00C354AF">
            <w:pPr>
              <w:keepNext/>
              <w:keepLines/>
              <w:widowControl w:val="0"/>
              <w:spacing w:line="276" w:lineRule="auto"/>
              <w:rPr>
                <w:rFonts w:ascii="Calibri" w:eastAsia="Times New Roman" w:hAnsi="Calibri" w:cs="Calibri"/>
                <w:color w:val="FFFFFF"/>
              </w:rPr>
            </w:pPr>
            <w:r w:rsidRPr="005843DD">
              <w:rPr>
                <w:rFonts w:ascii="Calibri" w:eastAsia="Times New Roman" w:hAnsi="Calibri" w:cs="Calibri"/>
                <w:color w:val="FFFFFF"/>
              </w:rPr>
              <w:t>Age groups (years)</w:t>
            </w:r>
          </w:p>
        </w:tc>
        <w:tc>
          <w:tcPr>
            <w:tcW w:w="1559" w:type="dxa"/>
            <w:shd w:val="clear" w:color="auto" w:fill="000000" w:themeFill="text1"/>
            <w:vAlign w:val="center"/>
          </w:tcPr>
          <w:p w14:paraId="4B10349D" w14:textId="77777777" w:rsidR="00A561EA" w:rsidRPr="005843DD" w:rsidRDefault="00A561EA" w:rsidP="00C354AF">
            <w:pPr>
              <w:keepNext/>
              <w:keepLines/>
              <w:widowControl w:val="0"/>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5843DD">
              <w:rPr>
                <w:rFonts w:ascii="Calibri" w:eastAsia="Times New Roman" w:hAnsi="Calibri" w:cs="Calibri"/>
                <w:color w:val="FFFFFF"/>
              </w:rPr>
              <w:t>Sex</w:t>
            </w:r>
          </w:p>
        </w:tc>
        <w:tc>
          <w:tcPr>
            <w:tcW w:w="1701" w:type="dxa"/>
            <w:shd w:val="clear" w:color="auto" w:fill="000000" w:themeFill="text1"/>
          </w:tcPr>
          <w:p w14:paraId="47BF538F" w14:textId="77777777" w:rsidR="00A561EA" w:rsidRPr="005843DD" w:rsidRDefault="00A561EA">
            <w:pPr>
              <w:keepNext/>
              <w:keepLines/>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5843DD">
              <w:rPr>
                <w:rFonts w:ascii="Calibri" w:eastAsia="Times New Roman" w:hAnsi="Calibri" w:cs="Calibri"/>
                <w:color w:val="FFFFFF"/>
              </w:rPr>
              <w:t>Mean Intake</w:t>
            </w:r>
          </w:p>
          <w:p w14:paraId="11F57DB4" w14:textId="77777777" w:rsidR="00A561EA" w:rsidRPr="005843DD" w:rsidRDefault="00A561EA">
            <w:pPr>
              <w:keepNext/>
              <w:keepLines/>
              <w:widowControl w:val="0"/>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5843DD">
              <w:rPr>
                <w:rFonts w:ascii="Calibri" w:eastAsia="Times New Roman" w:hAnsi="Calibri" w:cs="Calibri"/>
                <w:color w:val="FFFFFF"/>
              </w:rPr>
              <w:t>(mg/day)</w:t>
            </w:r>
          </w:p>
        </w:tc>
        <w:tc>
          <w:tcPr>
            <w:tcW w:w="1701" w:type="dxa"/>
            <w:shd w:val="clear" w:color="auto" w:fill="000000" w:themeFill="text1"/>
          </w:tcPr>
          <w:p w14:paraId="11E41352" w14:textId="0FCE50E8" w:rsidR="00A561EA" w:rsidRPr="005843DD" w:rsidRDefault="004E6737">
            <w:pPr>
              <w:keepNext/>
              <w:keepLines/>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5843DD">
              <w:rPr>
                <w:rFonts w:ascii="Calibri" w:eastAsia="Times New Roman" w:hAnsi="Calibri" w:cs="Calibri"/>
                <w:color w:val="FFFFFF"/>
              </w:rPr>
              <w:t>% less than EAR</w:t>
            </w:r>
          </w:p>
        </w:tc>
        <w:tc>
          <w:tcPr>
            <w:tcW w:w="2384" w:type="dxa"/>
            <w:shd w:val="clear" w:color="auto" w:fill="000000" w:themeFill="text1"/>
          </w:tcPr>
          <w:p w14:paraId="75C5FBB7" w14:textId="77777777" w:rsidR="00A561EA" w:rsidRPr="005843DD" w:rsidRDefault="00A561EA">
            <w:pPr>
              <w:keepNext/>
              <w:keepLines/>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5843DD">
              <w:rPr>
                <w:rFonts w:ascii="Calibri" w:eastAsia="Times New Roman" w:hAnsi="Calibri" w:cs="Calibri"/>
                <w:color w:val="FFFFFF"/>
              </w:rPr>
              <w:t>90</w:t>
            </w:r>
            <w:r w:rsidRPr="005843DD">
              <w:rPr>
                <w:rFonts w:ascii="Calibri" w:eastAsia="Times New Roman" w:hAnsi="Calibri" w:cs="Calibri"/>
                <w:color w:val="FFFFFF"/>
                <w:vertAlign w:val="superscript"/>
              </w:rPr>
              <w:t>th</w:t>
            </w:r>
            <w:r w:rsidRPr="005843DD">
              <w:rPr>
                <w:rFonts w:ascii="Calibri" w:eastAsia="Times New Roman" w:hAnsi="Calibri" w:cs="Calibri"/>
                <w:color w:val="FFFFFF"/>
              </w:rPr>
              <w:t xml:space="preserve"> Percentile intake</w:t>
            </w:r>
          </w:p>
          <w:p w14:paraId="47568DE5" w14:textId="77777777" w:rsidR="00A561EA" w:rsidRPr="005843DD" w:rsidRDefault="00A561EA">
            <w:pPr>
              <w:keepNext/>
              <w:keepLines/>
              <w:widowControl w:val="0"/>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5843DD">
              <w:rPr>
                <w:rFonts w:ascii="Calibri" w:eastAsia="Times New Roman" w:hAnsi="Calibri" w:cs="Calibri"/>
                <w:color w:val="FFFFFF"/>
              </w:rPr>
              <w:t>(mg/day)</w:t>
            </w:r>
          </w:p>
        </w:tc>
      </w:tr>
      <w:tr w:rsidR="00C354AF" w:rsidRPr="00B61EEC" w14:paraId="54666A10"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581" w:type="dxa"/>
            <w:vMerge w:val="restart"/>
            <w:noWrap/>
          </w:tcPr>
          <w:p w14:paraId="19BCC044" w14:textId="344DF045" w:rsidR="00C354AF" w:rsidRPr="005843DD" w:rsidRDefault="00C354AF" w:rsidP="00C354AF">
            <w:pPr>
              <w:keepNext/>
              <w:keepLines/>
              <w:widowControl w:val="0"/>
              <w:spacing w:line="276" w:lineRule="auto"/>
              <w:rPr>
                <w:rFonts w:ascii="Calibri" w:eastAsia="Times New Roman" w:hAnsi="Calibri" w:cs="Calibri"/>
              </w:rPr>
            </w:pPr>
            <w:r w:rsidRPr="005843DD">
              <w:rPr>
                <w:rFonts w:ascii="Calibri" w:eastAsia="Times New Roman" w:hAnsi="Calibri" w:cs="Calibri"/>
              </w:rPr>
              <w:t>5-6</w:t>
            </w:r>
          </w:p>
        </w:tc>
        <w:tc>
          <w:tcPr>
            <w:tcW w:w="1559" w:type="dxa"/>
            <w:vAlign w:val="center"/>
          </w:tcPr>
          <w:p w14:paraId="7928C299" w14:textId="77777777" w:rsidR="00C354AF" w:rsidRPr="005843DD" w:rsidRDefault="00C354AF" w:rsidP="00C354AF">
            <w:pPr>
              <w:keepNext/>
              <w:keepLines/>
              <w:widowControl w:val="0"/>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843DD">
              <w:rPr>
                <w:rFonts w:ascii="Calibri" w:eastAsia="Times New Roman" w:hAnsi="Calibri" w:cs="Calibri"/>
                <w:color w:val="000000"/>
              </w:rPr>
              <w:t>Males</w:t>
            </w:r>
          </w:p>
        </w:tc>
        <w:tc>
          <w:tcPr>
            <w:tcW w:w="1701" w:type="dxa"/>
            <w:vAlign w:val="center"/>
          </w:tcPr>
          <w:p w14:paraId="2BBE55E1" w14:textId="5A52E36B"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1.2</w:t>
            </w:r>
          </w:p>
        </w:tc>
        <w:tc>
          <w:tcPr>
            <w:tcW w:w="1701" w:type="dxa"/>
            <w:vAlign w:val="center"/>
          </w:tcPr>
          <w:p w14:paraId="3FF15A9A" w14:textId="7EE5744F"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2384" w:type="dxa"/>
            <w:vAlign w:val="center"/>
          </w:tcPr>
          <w:p w14:paraId="292D92D3" w14:textId="3A8EDC19"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1.6</w:t>
            </w:r>
          </w:p>
        </w:tc>
      </w:tr>
      <w:tr w:rsidR="00C354AF" w:rsidRPr="00B61EEC" w14:paraId="2E31C467"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581" w:type="dxa"/>
            <w:vMerge/>
            <w:tcBorders>
              <w:bottom w:val="single" w:sz="4" w:space="0" w:color="auto"/>
            </w:tcBorders>
            <w:noWrap/>
          </w:tcPr>
          <w:p w14:paraId="77FFD79A" w14:textId="77777777" w:rsidR="00C354AF" w:rsidRPr="005843DD" w:rsidRDefault="00C354AF" w:rsidP="00C354AF">
            <w:pPr>
              <w:keepNext/>
              <w:keepLines/>
              <w:widowControl w:val="0"/>
              <w:spacing w:line="276" w:lineRule="auto"/>
              <w:rPr>
                <w:rFonts w:ascii="Calibri" w:eastAsia="Times New Roman" w:hAnsi="Calibri" w:cs="Calibri"/>
              </w:rPr>
            </w:pPr>
          </w:p>
        </w:tc>
        <w:tc>
          <w:tcPr>
            <w:tcW w:w="1559" w:type="dxa"/>
            <w:shd w:val="clear" w:color="auto" w:fill="FFFFFF"/>
            <w:vAlign w:val="center"/>
          </w:tcPr>
          <w:p w14:paraId="2CFF2F73" w14:textId="77777777" w:rsidR="00C354AF" w:rsidRPr="005843DD" w:rsidRDefault="00C354AF" w:rsidP="00C354AF">
            <w:pPr>
              <w:keepNext/>
              <w:keepLines/>
              <w:widowControl w:val="0"/>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843DD">
              <w:rPr>
                <w:rFonts w:ascii="Calibri" w:eastAsia="Times New Roman" w:hAnsi="Calibri" w:cs="Calibri"/>
                <w:color w:val="000000"/>
              </w:rPr>
              <w:t>Females</w:t>
            </w:r>
          </w:p>
        </w:tc>
        <w:tc>
          <w:tcPr>
            <w:tcW w:w="1701" w:type="dxa"/>
            <w:shd w:val="clear" w:color="auto" w:fill="FFFFFF"/>
            <w:vAlign w:val="center"/>
          </w:tcPr>
          <w:p w14:paraId="54CC1609" w14:textId="0CD40ED9"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w:t>
            </w:r>
          </w:p>
        </w:tc>
        <w:tc>
          <w:tcPr>
            <w:tcW w:w="1701" w:type="dxa"/>
            <w:shd w:val="clear" w:color="auto" w:fill="FFFFFF"/>
            <w:vAlign w:val="center"/>
          </w:tcPr>
          <w:p w14:paraId="34762725" w14:textId="56DF5791"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2384" w:type="dxa"/>
            <w:shd w:val="clear" w:color="auto" w:fill="FFFFFF"/>
            <w:vAlign w:val="center"/>
          </w:tcPr>
          <w:p w14:paraId="33C8820C" w14:textId="5E99B7E9"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1.5</w:t>
            </w:r>
          </w:p>
        </w:tc>
      </w:tr>
      <w:tr w:rsidR="00C354AF" w:rsidRPr="00B61EEC" w14:paraId="7447E3EB"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581" w:type="dxa"/>
            <w:vMerge w:val="restart"/>
            <w:noWrap/>
          </w:tcPr>
          <w:p w14:paraId="4648662E" w14:textId="7A6EFCF2" w:rsidR="00C354AF" w:rsidRPr="005843DD" w:rsidRDefault="00C354AF" w:rsidP="00C354AF">
            <w:pPr>
              <w:keepNext/>
              <w:keepLines/>
              <w:widowControl w:val="0"/>
              <w:spacing w:line="276" w:lineRule="auto"/>
              <w:rPr>
                <w:rFonts w:ascii="Calibri" w:eastAsia="Times New Roman" w:hAnsi="Calibri" w:cs="Calibri"/>
              </w:rPr>
            </w:pPr>
            <w:r w:rsidRPr="005843DD">
              <w:rPr>
                <w:rFonts w:ascii="Calibri" w:eastAsia="Times New Roman" w:hAnsi="Calibri" w:cs="Calibri"/>
              </w:rPr>
              <w:t xml:space="preserve">7-10 </w:t>
            </w:r>
          </w:p>
        </w:tc>
        <w:tc>
          <w:tcPr>
            <w:tcW w:w="1559" w:type="dxa"/>
            <w:vAlign w:val="center"/>
          </w:tcPr>
          <w:p w14:paraId="6284C67B" w14:textId="77777777" w:rsidR="00C354AF" w:rsidRPr="005843DD" w:rsidRDefault="00C354AF" w:rsidP="00C354AF">
            <w:pPr>
              <w:keepNext/>
              <w:keepLines/>
              <w:widowControl w:val="0"/>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843DD">
              <w:rPr>
                <w:rFonts w:ascii="Calibri" w:eastAsia="Times New Roman" w:hAnsi="Calibri" w:cs="Calibri"/>
                <w:color w:val="000000"/>
              </w:rPr>
              <w:t>Males</w:t>
            </w:r>
          </w:p>
        </w:tc>
        <w:tc>
          <w:tcPr>
            <w:tcW w:w="1701" w:type="dxa"/>
            <w:vAlign w:val="center"/>
          </w:tcPr>
          <w:p w14:paraId="1ABF395F" w14:textId="04F5DD92"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c>
          <w:tcPr>
            <w:tcW w:w="1701" w:type="dxa"/>
            <w:vAlign w:val="center"/>
          </w:tcPr>
          <w:p w14:paraId="3508BF70" w14:textId="4CE9F5D3"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2384" w:type="dxa"/>
            <w:vAlign w:val="center"/>
          </w:tcPr>
          <w:p w14:paraId="2BA501EE" w14:textId="4E534825"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2.1</w:t>
            </w:r>
          </w:p>
        </w:tc>
      </w:tr>
      <w:tr w:rsidR="00C354AF" w:rsidRPr="00B61EEC" w14:paraId="315EB58B"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581" w:type="dxa"/>
            <w:vMerge/>
            <w:tcBorders>
              <w:bottom w:val="single" w:sz="4" w:space="0" w:color="auto"/>
            </w:tcBorders>
            <w:noWrap/>
          </w:tcPr>
          <w:p w14:paraId="04FFB41F" w14:textId="77777777" w:rsidR="00C354AF" w:rsidRPr="005843DD" w:rsidRDefault="00C354AF" w:rsidP="00C354AF">
            <w:pPr>
              <w:keepNext/>
              <w:keepLines/>
              <w:widowControl w:val="0"/>
              <w:spacing w:line="276" w:lineRule="auto"/>
              <w:rPr>
                <w:rFonts w:ascii="Calibri" w:eastAsia="Times New Roman" w:hAnsi="Calibri" w:cs="Calibri"/>
              </w:rPr>
            </w:pPr>
          </w:p>
        </w:tc>
        <w:tc>
          <w:tcPr>
            <w:tcW w:w="1559" w:type="dxa"/>
            <w:shd w:val="clear" w:color="auto" w:fill="FFFFFF"/>
            <w:vAlign w:val="center"/>
          </w:tcPr>
          <w:p w14:paraId="60ADC594" w14:textId="77777777" w:rsidR="00C354AF" w:rsidRPr="005843DD" w:rsidRDefault="00C354AF" w:rsidP="00C354AF">
            <w:pPr>
              <w:keepNext/>
              <w:keepLines/>
              <w:widowControl w:val="0"/>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843DD">
              <w:rPr>
                <w:rFonts w:ascii="Calibri" w:eastAsia="Times New Roman" w:hAnsi="Calibri" w:cs="Calibri"/>
                <w:color w:val="000000"/>
              </w:rPr>
              <w:t>Females</w:t>
            </w:r>
          </w:p>
        </w:tc>
        <w:tc>
          <w:tcPr>
            <w:tcW w:w="1701" w:type="dxa"/>
            <w:shd w:val="clear" w:color="auto" w:fill="FFFFFF"/>
            <w:vAlign w:val="center"/>
          </w:tcPr>
          <w:p w14:paraId="0581A113" w14:textId="2498CCCB"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1.2</w:t>
            </w:r>
          </w:p>
        </w:tc>
        <w:tc>
          <w:tcPr>
            <w:tcW w:w="1701" w:type="dxa"/>
            <w:shd w:val="clear" w:color="auto" w:fill="FFFFFF"/>
            <w:vAlign w:val="center"/>
          </w:tcPr>
          <w:p w14:paraId="590D155E" w14:textId="693A3813"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2384" w:type="dxa"/>
            <w:shd w:val="clear" w:color="auto" w:fill="FFFFFF"/>
            <w:vAlign w:val="center"/>
          </w:tcPr>
          <w:p w14:paraId="65F98B37" w14:textId="7C7030A7"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r>
      <w:tr w:rsidR="00C354AF" w:rsidRPr="00B61EEC" w14:paraId="2AF02215"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581" w:type="dxa"/>
            <w:vMerge w:val="restart"/>
            <w:noWrap/>
            <w:hideMark/>
          </w:tcPr>
          <w:p w14:paraId="196752F1" w14:textId="564654FF" w:rsidR="00C354AF" w:rsidRPr="005843DD" w:rsidRDefault="00C354AF" w:rsidP="00C354AF">
            <w:pPr>
              <w:keepNext/>
              <w:keepLines/>
              <w:widowControl w:val="0"/>
              <w:spacing w:line="276" w:lineRule="auto"/>
              <w:rPr>
                <w:rFonts w:ascii="Calibri" w:eastAsia="Times New Roman" w:hAnsi="Calibri" w:cs="Calibri"/>
              </w:rPr>
            </w:pPr>
            <w:r w:rsidRPr="005843DD">
              <w:rPr>
                <w:rFonts w:ascii="Calibri" w:eastAsia="Times New Roman" w:hAnsi="Calibri" w:cs="Calibri"/>
              </w:rPr>
              <w:t>11-14</w:t>
            </w:r>
          </w:p>
        </w:tc>
        <w:tc>
          <w:tcPr>
            <w:tcW w:w="1559" w:type="dxa"/>
            <w:vAlign w:val="center"/>
          </w:tcPr>
          <w:p w14:paraId="2BE598EE" w14:textId="77777777" w:rsidR="00C354AF" w:rsidRPr="005843DD" w:rsidRDefault="00C354AF" w:rsidP="00C354AF">
            <w:pPr>
              <w:keepNext/>
              <w:keepLines/>
              <w:widowControl w:val="0"/>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843DD">
              <w:rPr>
                <w:rFonts w:ascii="Calibri" w:eastAsia="Times New Roman" w:hAnsi="Calibri" w:cs="Calibri"/>
                <w:color w:val="000000"/>
              </w:rPr>
              <w:t>Males</w:t>
            </w:r>
          </w:p>
        </w:tc>
        <w:tc>
          <w:tcPr>
            <w:tcW w:w="1701" w:type="dxa"/>
            <w:vAlign w:val="center"/>
          </w:tcPr>
          <w:p w14:paraId="2228B0D7" w14:textId="18BB85A5"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1.6</w:t>
            </w:r>
          </w:p>
        </w:tc>
        <w:tc>
          <w:tcPr>
            <w:tcW w:w="1701" w:type="dxa"/>
            <w:vAlign w:val="center"/>
          </w:tcPr>
          <w:p w14:paraId="0E14DB6F" w14:textId="3E73FF92"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2384" w:type="dxa"/>
            <w:vAlign w:val="center"/>
          </w:tcPr>
          <w:p w14:paraId="5132F50F" w14:textId="5A90A7BF"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2.4</w:t>
            </w:r>
          </w:p>
        </w:tc>
      </w:tr>
      <w:tr w:rsidR="00C354AF" w:rsidRPr="00B61EEC" w14:paraId="1381C98A" w14:textId="77777777" w:rsidTr="00C354AF">
        <w:trPr>
          <w:cantSplit/>
        </w:trPr>
        <w:tc>
          <w:tcPr>
            <w:cnfStyle w:val="001000000000" w:firstRow="0" w:lastRow="0" w:firstColumn="1" w:lastColumn="0" w:oddVBand="0" w:evenVBand="0" w:oddHBand="0" w:evenHBand="0" w:firstRowFirstColumn="0" w:firstRowLastColumn="0" w:lastRowFirstColumn="0" w:lastRowLastColumn="0"/>
            <w:tcW w:w="1581" w:type="dxa"/>
            <w:vMerge/>
            <w:tcBorders>
              <w:bottom w:val="single" w:sz="4" w:space="0" w:color="auto"/>
            </w:tcBorders>
            <w:noWrap/>
            <w:vAlign w:val="center"/>
          </w:tcPr>
          <w:p w14:paraId="59584D1B" w14:textId="77777777" w:rsidR="00C354AF" w:rsidRPr="005843DD" w:rsidRDefault="00C354AF">
            <w:pPr>
              <w:keepNext/>
              <w:keepLines/>
              <w:widowControl w:val="0"/>
              <w:spacing w:line="276" w:lineRule="auto"/>
              <w:jc w:val="right"/>
              <w:rPr>
                <w:rFonts w:ascii="Calibri" w:eastAsia="Times New Roman" w:hAnsi="Calibri" w:cs="Calibri"/>
              </w:rPr>
            </w:pPr>
          </w:p>
        </w:tc>
        <w:tc>
          <w:tcPr>
            <w:tcW w:w="1559" w:type="dxa"/>
            <w:shd w:val="clear" w:color="auto" w:fill="FFFFFF"/>
            <w:vAlign w:val="center"/>
          </w:tcPr>
          <w:p w14:paraId="2B92D79B" w14:textId="77777777" w:rsidR="00C354AF" w:rsidRPr="005843DD" w:rsidRDefault="00C354AF" w:rsidP="00C354AF">
            <w:pPr>
              <w:keepNext/>
              <w:keepLines/>
              <w:widowControl w:val="0"/>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843DD">
              <w:rPr>
                <w:rFonts w:ascii="Calibri" w:eastAsia="Times New Roman" w:hAnsi="Calibri" w:cs="Calibri"/>
                <w:color w:val="000000"/>
              </w:rPr>
              <w:t>Females</w:t>
            </w:r>
          </w:p>
        </w:tc>
        <w:tc>
          <w:tcPr>
            <w:tcW w:w="1701" w:type="dxa"/>
            <w:shd w:val="clear" w:color="auto" w:fill="FFFFFF"/>
            <w:vAlign w:val="center"/>
          </w:tcPr>
          <w:p w14:paraId="3B662422" w14:textId="1CCE6B5C"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c>
          <w:tcPr>
            <w:tcW w:w="1701" w:type="dxa"/>
            <w:shd w:val="clear" w:color="auto" w:fill="FFFFFF"/>
            <w:vAlign w:val="center"/>
          </w:tcPr>
          <w:p w14:paraId="5885097C" w14:textId="295EFC92"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2384" w:type="dxa"/>
            <w:shd w:val="clear" w:color="auto" w:fill="FFFFFF"/>
            <w:vAlign w:val="center"/>
          </w:tcPr>
          <w:p w14:paraId="02C9D1C9" w14:textId="5F205504" w:rsidR="00C354AF" w:rsidRPr="005843DD" w:rsidRDefault="00C354AF">
            <w:pPr>
              <w:keepNext/>
              <w:keepLines/>
              <w:widowControl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1.7</w:t>
            </w:r>
          </w:p>
        </w:tc>
      </w:tr>
    </w:tbl>
    <w:p w14:paraId="2D863660" w14:textId="0C780501" w:rsidR="00A561EA" w:rsidRPr="0060388F" w:rsidRDefault="00A561EA" w:rsidP="00A561EA">
      <w:pPr>
        <w:keepNext/>
        <w:keepLines/>
        <w:widowControl w:val="0"/>
        <w:spacing w:line="276" w:lineRule="auto"/>
        <w:contextualSpacing/>
        <w:rPr>
          <w:rFonts w:ascii="Calibri" w:eastAsia="Arial" w:hAnsi="Calibri" w:cs="Calibri"/>
          <w:sz w:val="16"/>
          <w:szCs w:val="16"/>
        </w:rPr>
      </w:pPr>
      <w:r w:rsidRPr="0060388F">
        <w:rPr>
          <w:rFonts w:ascii="Calibri" w:eastAsia="Arial" w:hAnsi="Calibri" w:cs="Calibri"/>
          <w:b/>
          <w:sz w:val="16"/>
          <w:szCs w:val="16"/>
        </w:rPr>
        <w:t>Source:</w:t>
      </w:r>
      <w:r w:rsidRPr="0060388F">
        <w:rPr>
          <w:rFonts w:ascii="Calibri" w:eastAsia="Arial" w:hAnsi="Calibri" w:cs="Calibri"/>
          <w:sz w:val="16"/>
          <w:szCs w:val="16"/>
        </w:rPr>
        <w:t xml:space="preserve"> </w:t>
      </w:r>
      <w:hyperlink r:id="rId44" w:history="1">
        <w:r w:rsidR="0060388F" w:rsidRPr="0060388F">
          <w:rPr>
            <w:rFonts w:ascii="Calibri" w:eastAsia="Arial" w:hAnsi="Calibri" w:cs="Calibri"/>
            <w:color w:val="006CBC"/>
            <w:sz w:val="14"/>
            <w:u w:val="single"/>
          </w:rPr>
          <w:t>https://www.health.govt.nz/system/files/2011-11/nzfoodnzchildren.pdf</w:t>
        </w:r>
      </w:hyperlink>
    </w:p>
    <w:p w14:paraId="10E0D46C" w14:textId="77777777" w:rsidR="00A561EA" w:rsidRPr="0060388F" w:rsidRDefault="00A561EA" w:rsidP="00A561EA">
      <w:pPr>
        <w:keepNext/>
        <w:keepLines/>
        <w:widowControl w:val="0"/>
        <w:spacing w:line="276" w:lineRule="auto"/>
        <w:contextualSpacing/>
        <w:rPr>
          <w:rFonts w:ascii="Calibri" w:eastAsia="Arial" w:hAnsi="Calibri" w:cs="Calibri"/>
          <w:sz w:val="16"/>
          <w:szCs w:val="16"/>
        </w:rPr>
      </w:pPr>
      <w:r w:rsidRPr="0060388F">
        <w:rPr>
          <w:rFonts w:ascii="Calibri" w:eastAsia="Arial" w:hAnsi="Calibri" w:cs="Calibri"/>
          <w:b/>
          <w:sz w:val="16"/>
          <w:szCs w:val="16"/>
        </w:rPr>
        <w:t xml:space="preserve">Abbreviations: </w:t>
      </w:r>
      <w:r w:rsidRPr="0060388F">
        <w:rPr>
          <w:rFonts w:ascii="Calibri" w:eastAsia="Arial" w:hAnsi="Calibri" w:cs="Calibri"/>
          <w:sz w:val="16"/>
          <w:szCs w:val="16"/>
        </w:rPr>
        <w:t>EAR, estimated average requirement.</w:t>
      </w:r>
    </w:p>
    <w:p w14:paraId="28F2AFEA" w14:textId="7EE96F6B" w:rsidR="00B61EEC" w:rsidRPr="00A561EA" w:rsidRDefault="00B61EEC" w:rsidP="00A771E6">
      <w:pPr>
        <w:rPr>
          <w:color w:val="auto"/>
        </w:rPr>
      </w:pPr>
      <w:r w:rsidRPr="0094548F">
        <w:rPr>
          <w:szCs w:val="22"/>
        </w:rPr>
        <w:t>Overall, dietary vitamin B6 intake remains well below the UL</w:t>
      </w:r>
      <w:r>
        <w:rPr>
          <w:szCs w:val="22"/>
        </w:rPr>
        <w:t xml:space="preserve"> in both Australia and New Zealand for </w:t>
      </w:r>
      <w:r w:rsidR="00F35ED8">
        <w:rPr>
          <w:szCs w:val="22"/>
        </w:rPr>
        <w:t xml:space="preserve">children in </w:t>
      </w:r>
      <w:r>
        <w:rPr>
          <w:szCs w:val="22"/>
        </w:rPr>
        <w:t xml:space="preserve">all population groups. However, the usual intake data does not include </w:t>
      </w:r>
      <w:r w:rsidRPr="0094548F">
        <w:rPr>
          <w:szCs w:val="22"/>
        </w:rPr>
        <w:t>vitamin B6 from dietary supplements</w:t>
      </w:r>
      <w:r w:rsidR="00AF4B0A">
        <w:rPr>
          <w:szCs w:val="22"/>
        </w:rPr>
        <w:t xml:space="preserve"> for children in Australia</w:t>
      </w:r>
      <w:r w:rsidRPr="0094548F">
        <w:rPr>
          <w:szCs w:val="22"/>
        </w:rPr>
        <w:t xml:space="preserve">. This is an important limitation because high-dose supplemental vitamin B6, rather than intake from foods and fortified beverages, is the main exposure source relevant to </w:t>
      </w:r>
      <w:r>
        <w:rPr>
          <w:szCs w:val="22"/>
        </w:rPr>
        <w:t xml:space="preserve">peripheral </w:t>
      </w:r>
      <w:r w:rsidRPr="0094548F">
        <w:rPr>
          <w:szCs w:val="22"/>
        </w:rPr>
        <w:t>neuropathy risk</w:t>
      </w:r>
      <w:r>
        <w:rPr>
          <w:szCs w:val="22"/>
        </w:rPr>
        <w:t xml:space="preserve"> </w:t>
      </w:r>
      <w:r w:rsidR="0045011E">
        <w:rPr>
          <w:noProof/>
        </w:rPr>
        <w:t>(SLR, 2006)</w:t>
      </w:r>
      <w:r w:rsidRPr="00451635">
        <w:rPr>
          <w:szCs w:val="22"/>
        </w:rPr>
        <w:t>.</w:t>
      </w:r>
    </w:p>
    <w:p w14:paraId="09876A96" w14:textId="77777777" w:rsidR="00EA4B7D" w:rsidRPr="0076671A" w:rsidRDefault="00EA4B7D" w:rsidP="00EA4B7D">
      <w:pPr>
        <w:rPr>
          <w:b/>
          <w:bCs/>
          <w:i/>
          <w:iCs/>
          <w:color w:val="auto"/>
        </w:rPr>
      </w:pPr>
      <w:r w:rsidRPr="0076671A">
        <w:rPr>
          <w:b/>
          <w:bCs/>
          <w:i/>
          <w:iCs/>
          <w:color w:val="auto"/>
        </w:rPr>
        <w:t>Population</w:t>
      </w:r>
      <w:r>
        <w:rPr>
          <w:b/>
          <w:bCs/>
          <w:i/>
          <w:iCs/>
          <w:color w:val="auto"/>
        </w:rPr>
        <w:t>s</w:t>
      </w:r>
      <w:r w:rsidRPr="0076671A">
        <w:rPr>
          <w:b/>
          <w:bCs/>
          <w:i/>
          <w:iCs/>
          <w:color w:val="auto"/>
        </w:rPr>
        <w:t xml:space="preserve"> more likely to have excess Vitamin B6 intake</w:t>
      </w:r>
    </w:p>
    <w:p w14:paraId="0E9CD6D8" w14:textId="4A7163D7" w:rsidR="001537A8" w:rsidRPr="001537A8" w:rsidRDefault="00F25676" w:rsidP="00D50618">
      <w:pPr>
        <w:rPr>
          <w:color w:val="auto"/>
          <w:szCs w:val="20"/>
        </w:rPr>
      </w:pPr>
      <w:r>
        <w:rPr>
          <w:color w:val="auto"/>
          <w:szCs w:val="20"/>
        </w:rPr>
        <w:t>In Australia</w:t>
      </w:r>
      <w:r w:rsidR="003A537D">
        <w:rPr>
          <w:color w:val="auto"/>
          <w:szCs w:val="20"/>
        </w:rPr>
        <w:t>, a</w:t>
      </w:r>
      <w:r w:rsidR="001537A8" w:rsidRPr="001537A8">
        <w:rPr>
          <w:color w:val="auto"/>
          <w:szCs w:val="20"/>
        </w:rPr>
        <w:t xml:space="preserve">round 1 in 10 children aged 2 to 17 </w:t>
      </w:r>
      <w:r w:rsidR="003A537D">
        <w:rPr>
          <w:color w:val="auto"/>
          <w:szCs w:val="20"/>
        </w:rPr>
        <w:t xml:space="preserve">were </w:t>
      </w:r>
      <w:r w:rsidR="001537A8" w:rsidRPr="001537A8">
        <w:rPr>
          <w:color w:val="auto"/>
          <w:szCs w:val="20"/>
        </w:rPr>
        <w:t xml:space="preserve">reported </w:t>
      </w:r>
      <w:r w:rsidR="003A537D">
        <w:rPr>
          <w:color w:val="auto"/>
          <w:szCs w:val="20"/>
        </w:rPr>
        <w:t xml:space="preserve">to </w:t>
      </w:r>
      <w:r w:rsidR="001537A8" w:rsidRPr="001537A8">
        <w:rPr>
          <w:color w:val="auto"/>
          <w:szCs w:val="20"/>
        </w:rPr>
        <w:t>consum</w:t>
      </w:r>
      <w:r w:rsidR="003A537D">
        <w:rPr>
          <w:color w:val="auto"/>
          <w:szCs w:val="20"/>
        </w:rPr>
        <w:t>e</w:t>
      </w:r>
      <w:r w:rsidR="001537A8" w:rsidRPr="001537A8">
        <w:rPr>
          <w:color w:val="auto"/>
          <w:szCs w:val="20"/>
        </w:rPr>
        <w:t xml:space="preserve"> a vitamin or mineral supplement </w:t>
      </w:r>
      <w:r w:rsidR="0045011E">
        <w:rPr>
          <w:noProof/>
          <w:color w:val="auto"/>
          <w:szCs w:val="20"/>
        </w:rPr>
        <w:t>(ABS, 2025)</w:t>
      </w:r>
      <w:r w:rsidR="001537A8" w:rsidRPr="001537A8">
        <w:rPr>
          <w:color w:val="auto"/>
          <w:szCs w:val="20"/>
        </w:rPr>
        <w:t xml:space="preserve">. While this </w:t>
      </w:r>
      <w:r w:rsidR="003A537D">
        <w:rPr>
          <w:color w:val="auto"/>
          <w:szCs w:val="20"/>
        </w:rPr>
        <w:t xml:space="preserve">data </w:t>
      </w:r>
      <w:r w:rsidR="001537A8" w:rsidRPr="001537A8">
        <w:rPr>
          <w:color w:val="auto"/>
          <w:szCs w:val="20"/>
        </w:rPr>
        <w:t>is</w:t>
      </w:r>
      <w:r w:rsidR="003A537D">
        <w:rPr>
          <w:color w:val="auto"/>
          <w:szCs w:val="20"/>
        </w:rPr>
        <w:t xml:space="preserve"> </w:t>
      </w:r>
      <w:r w:rsidR="001537A8" w:rsidRPr="001537A8">
        <w:rPr>
          <w:color w:val="auto"/>
          <w:szCs w:val="20"/>
        </w:rPr>
        <w:t>n</w:t>
      </w:r>
      <w:r w:rsidR="003A537D">
        <w:rPr>
          <w:color w:val="auto"/>
          <w:szCs w:val="20"/>
        </w:rPr>
        <w:t>o</w:t>
      </w:r>
      <w:r w:rsidR="001537A8" w:rsidRPr="001537A8">
        <w:rPr>
          <w:color w:val="auto"/>
          <w:szCs w:val="20"/>
        </w:rPr>
        <w:t xml:space="preserve">t specific to </w:t>
      </w:r>
      <w:r w:rsidR="003A537D">
        <w:rPr>
          <w:color w:val="auto"/>
          <w:szCs w:val="20"/>
        </w:rPr>
        <w:t xml:space="preserve">vitamin </w:t>
      </w:r>
      <w:r w:rsidR="001537A8" w:rsidRPr="001537A8">
        <w:rPr>
          <w:color w:val="auto"/>
          <w:szCs w:val="20"/>
        </w:rPr>
        <w:t>B6</w:t>
      </w:r>
      <w:r w:rsidR="003A537D">
        <w:rPr>
          <w:color w:val="auto"/>
          <w:szCs w:val="20"/>
        </w:rPr>
        <w:t>,</w:t>
      </w:r>
      <w:r w:rsidR="001537A8" w:rsidRPr="001537A8">
        <w:rPr>
          <w:color w:val="auto"/>
          <w:szCs w:val="20"/>
        </w:rPr>
        <w:t xml:space="preserve"> it highlights that supplement use is prevalent among children, </w:t>
      </w:r>
      <w:proofErr w:type="gramStart"/>
      <w:r w:rsidR="001537A8" w:rsidRPr="001537A8">
        <w:rPr>
          <w:color w:val="auto"/>
          <w:szCs w:val="20"/>
        </w:rPr>
        <w:t>in particular among</w:t>
      </w:r>
      <w:proofErr w:type="gramEnd"/>
      <w:r w:rsidR="001537A8" w:rsidRPr="001537A8">
        <w:rPr>
          <w:color w:val="auto"/>
          <w:szCs w:val="20"/>
        </w:rPr>
        <w:t xml:space="preserve"> younger children</w:t>
      </w:r>
      <w:r w:rsidR="003A537D">
        <w:rPr>
          <w:color w:val="auto"/>
          <w:szCs w:val="20"/>
        </w:rPr>
        <w:t xml:space="preserve">, with </w:t>
      </w:r>
      <w:r w:rsidR="008F7D38">
        <w:rPr>
          <w:color w:val="auto"/>
          <w:szCs w:val="20"/>
        </w:rPr>
        <w:t xml:space="preserve">vitamin or mineral supplement use </w:t>
      </w:r>
      <w:r w:rsidR="00406583">
        <w:rPr>
          <w:color w:val="auto"/>
          <w:szCs w:val="20"/>
        </w:rPr>
        <w:t xml:space="preserve">dropping to around 5% </w:t>
      </w:r>
      <w:r w:rsidR="001537A8" w:rsidRPr="001537A8">
        <w:rPr>
          <w:color w:val="auto"/>
          <w:szCs w:val="20"/>
        </w:rPr>
        <w:t>in 12-17 year olds</w:t>
      </w:r>
      <w:r w:rsidR="00406583">
        <w:rPr>
          <w:color w:val="auto"/>
          <w:szCs w:val="20"/>
        </w:rPr>
        <w:t xml:space="preserve"> </w:t>
      </w:r>
      <w:r w:rsidR="0045011E">
        <w:rPr>
          <w:noProof/>
          <w:color w:val="auto"/>
          <w:szCs w:val="20"/>
        </w:rPr>
        <w:t>(ABS, 2025)</w:t>
      </w:r>
      <w:r w:rsidR="001537A8" w:rsidRPr="001537A8">
        <w:rPr>
          <w:color w:val="auto"/>
          <w:szCs w:val="20"/>
        </w:rPr>
        <w:t xml:space="preserve">. </w:t>
      </w:r>
    </w:p>
    <w:p w14:paraId="76EFF6CA" w14:textId="790C896D" w:rsidR="00EA4B7D" w:rsidRDefault="00EA4B7D" w:rsidP="00C61EB7">
      <w:r>
        <w:rPr>
          <w:color w:val="auto"/>
          <w:szCs w:val="20"/>
        </w:rPr>
        <w:t>In children, a</w:t>
      </w:r>
      <w:r w:rsidRPr="00CC6DB3">
        <w:rPr>
          <w:color w:val="auto"/>
          <w:szCs w:val="20"/>
        </w:rPr>
        <w:t xml:space="preserve"> population </w:t>
      </w:r>
      <w:r>
        <w:rPr>
          <w:color w:val="auto"/>
          <w:szCs w:val="20"/>
        </w:rPr>
        <w:t xml:space="preserve">that </w:t>
      </w:r>
      <w:r w:rsidRPr="00CC6DB3">
        <w:rPr>
          <w:color w:val="auto"/>
          <w:szCs w:val="20"/>
        </w:rPr>
        <w:t xml:space="preserve">may be more likely to have excess </w:t>
      </w:r>
      <w:r w:rsidR="001D2319">
        <w:rPr>
          <w:color w:val="auto"/>
          <w:szCs w:val="20"/>
        </w:rPr>
        <w:t>v</w:t>
      </w:r>
      <w:r w:rsidR="001D2319" w:rsidRPr="00CC6DB3">
        <w:rPr>
          <w:color w:val="auto"/>
          <w:szCs w:val="20"/>
        </w:rPr>
        <w:t xml:space="preserve">itamin </w:t>
      </w:r>
      <w:r w:rsidRPr="00CC6DB3">
        <w:rPr>
          <w:color w:val="auto"/>
          <w:szCs w:val="20"/>
        </w:rPr>
        <w:t>B6</w:t>
      </w:r>
      <w:r>
        <w:rPr>
          <w:color w:val="auto"/>
          <w:szCs w:val="20"/>
        </w:rPr>
        <w:t xml:space="preserve"> intake is </w:t>
      </w:r>
      <w:r w:rsidR="004441D2">
        <w:rPr>
          <w:color w:val="auto"/>
        </w:rPr>
        <w:t>any children</w:t>
      </w:r>
      <w:r>
        <w:t xml:space="preserve"> who may be prescribed vitamin B6 supplements, as</w:t>
      </w:r>
      <w:r w:rsidR="004441D2">
        <w:t xml:space="preserve"> sometimes happens</w:t>
      </w:r>
      <w:r w:rsidR="00C61EB7">
        <w:t xml:space="preserve"> for c</w:t>
      </w:r>
      <w:r>
        <w:t>hildren with neurodevelopmental disorders</w:t>
      </w:r>
      <w:r w:rsidR="00C61EB7">
        <w:t xml:space="preserve"> </w:t>
      </w:r>
      <w:r w:rsidR="0045011E">
        <w:rPr>
          <w:noProof/>
        </w:rPr>
        <w:t>(Sato, 2018)</w:t>
      </w:r>
      <w:r w:rsidR="002166C1">
        <w:t xml:space="preserve">.  There is guidance for health professionals when prescribing high dose </w:t>
      </w:r>
      <w:r w:rsidR="001D2319">
        <w:t>vitamin B6</w:t>
      </w:r>
      <w:r w:rsidR="00733732">
        <w:t xml:space="preserve"> </w:t>
      </w:r>
      <w:r w:rsidR="0045011E">
        <w:rPr>
          <w:noProof/>
        </w:rPr>
        <w:t>(Schellack et al., 2025)</w:t>
      </w:r>
      <w:r w:rsidR="00AB3AD4">
        <w:t>.</w:t>
      </w:r>
      <w:r w:rsidR="0031402E">
        <w:t xml:space="preserve"> </w:t>
      </w:r>
      <w:r w:rsidR="00E727B2">
        <w:t xml:space="preserve">However, there are concerns when parents or carers provide high dose or multiple supplements to children without health professional oversight. </w:t>
      </w:r>
    </w:p>
    <w:p w14:paraId="41DE641E" w14:textId="77777777" w:rsidR="0024088C" w:rsidRDefault="0024088C" w:rsidP="00C61EB7">
      <w:pPr>
        <w:sectPr w:rsidR="0024088C" w:rsidSect="00D75D51">
          <w:pgSz w:w="16838" w:h="11906" w:orient="landscape" w:code="9"/>
          <w:pgMar w:top="907" w:right="1814" w:bottom="1134" w:left="1565" w:header="510" w:footer="454" w:gutter="0"/>
          <w:cols w:space="708"/>
          <w:titlePg/>
          <w:docGrid w:linePitch="360"/>
        </w:sectPr>
      </w:pPr>
    </w:p>
    <w:p w14:paraId="7126F5D8" w14:textId="77777777" w:rsidR="0024088C" w:rsidRDefault="0024088C" w:rsidP="00C61EB7"/>
    <w:p w14:paraId="73044E93" w14:textId="77777777" w:rsidR="00A771E6" w:rsidRPr="00962F99" w:rsidRDefault="00A771E6" w:rsidP="00A771E6">
      <w:pPr>
        <w:pStyle w:val="Heading5"/>
        <w:pBdr>
          <w:top w:val="single" w:sz="4" w:space="1" w:color="auto"/>
          <w:left w:val="single" w:sz="4" w:space="4" w:color="auto"/>
          <w:bottom w:val="single" w:sz="4" w:space="1" w:color="auto"/>
          <w:right w:val="single" w:sz="4" w:space="4" w:color="auto"/>
        </w:pBdr>
        <w:shd w:val="clear" w:color="auto" w:fill="005F85" w:themeFill="accent2"/>
        <w:rPr>
          <w:color w:val="FFFFFF" w:themeColor="background1"/>
          <w:sz w:val="22"/>
          <w:szCs w:val="22"/>
        </w:rPr>
      </w:pPr>
      <w:r>
        <w:rPr>
          <w:color w:val="FFFFFF" w:themeColor="background1"/>
          <w:sz w:val="22"/>
          <w:szCs w:val="22"/>
        </w:rPr>
        <w:t xml:space="preserve">Benchmarking against comparable international jurisdictions </w:t>
      </w:r>
    </w:p>
    <w:p w14:paraId="403F9420" w14:textId="43328496" w:rsidR="00E21917" w:rsidRPr="00B961ED" w:rsidRDefault="00900BAE" w:rsidP="00B961ED">
      <w:pPr>
        <w:pStyle w:val="TableTitle"/>
        <w:ind w:left="1134"/>
        <w:rPr>
          <w:i/>
          <w:iCs/>
          <w:sz w:val="16"/>
          <w:szCs w:val="16"/>
        </w:rPr>
      </w:pPr>
      <w:r w:rsidRPr="00B961ED">
        <w:rPr>
          <w:sz w:val="18"/>
          <w:szCs w:val="16"/>
        </w:rPr>
        <w:t>Overview of existing Tolerable Upper Intake Levels (ULs) for vitamin B6, in mg/day</w:t>
      </w:r>
    </w:p>
    <w:tbl>
      <w:tblPr>
        <w:tblStyle w:val="TableGrid"/>
        <w:tblW w:w="0" w:type="auto"/>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9"/>
        <w:gridCol w:w="2905"/>
        <w:gridCol w:w="2905"/>
        <w:gridCol w:w="2905"/>
        <w:gridCol w:w="2905"/>
      </w:tblGrid>
      <w:tr w:rsidR="002929E0" w14:paraId="49798020" w14:textId="77777777" w:rsidTr="00DD461A">
        <w:tc>
          <w:tcPr>
            <w:tcW w:w="1829" w:type="dxa"/>
            <w:shd w:val="clear" w:color="auto" w:fill="77BCD9" w:themeFill="accent1"/>
          </w:tcPr>
          <w:p w14:paraId="4EA25189" w14:textId="6CDAE03B" w:rsidR="002929E0" w:rsidRDefault="002929E0" w:rsidP="00D23059">
            <w:pPr>
              <w:spacing w:before="60" w:line="276" w:lineRule="auto"/>
              <w:rPr>
                <w:rFonts w:eastAsia="Times New Roman"/>
                <w:i/>
                <w:iCs/>
                <w:color w:val="auto"/>
                <w:sz w:val="18"/>
              </w:rPr>
            </w:pPr>
            <w:r w:rsidRPr="001F38E0">
              <w:rPr>
                <w:rFonts w:eastAsia="Times New Roman"/>
                <w:b/>
                <w:bCs/>
                <w:color w:val="auto"/>
                <w:szCs w:val="20"/>
              </w:rPr>
              <w:t>Population group</w:t>
            </w:r>
          </w:p>
        </w:tc>
        <w:tc>
          <w:tcPr>
            <w:tcW w:w="2905" w:type="dxa"/>
            <w:shd w:val="clear" w:color="auto" w:fill="77BCD9" w:themeFill="accent1"/>
          </w:tcPr>
          <w:p w14:paraId="441EE310" w14:textId="23D91E50" w:rsidR="002929E0" w:rsidRPr="006C0DAF" w:rsidRDefault="002929E0" w:rsidP="00D23059">
            <w:pPr>
              <w:spacing w:before="60" w:line="276" w:lineRule="auto"/>
              <w:jc w:val="center"/>
              <w:rPr>
                <w:rFonts w:eastAsia="Times New Roman"/>
                <w:i/>
                <w:iCs/>
                <w:color w:val="auto"/>
                <w:sz w:val="18"/>
              </w:rPr>
            </w:pPr>
            <w:r w:rsidRPr="006C0DAF">
              <w:rPr>
                <w:rFonts w:eastAsia="Times New Roman"/>
                <w:b/>
                <w:bCs/>
                <w:color w:val="auto"/>
                <w:szCs w:val="20"/>
              </w:rPr>
              <w:t>SCF (</w:t>
            </w:r>
            <w:hyperlink r:id="rId45" w:anchor="efs28006-bib-0129" w:history="1">
              <w:r w:rsidRPr="006C0DAF">
                <w:rPr>
                  <w:rStyle w:val="Hyperlink"/>
                  <w:rFonts w:eastAsia="Times New Roman"/>
                  <w:b/>
                  <w:bCs/>
                  <w:color w:val="auto"/>
                  <w:szCs w:val="20"/>
                  <w:u w:val="none"/>
                </w:rPr>
                <w:t>2000</w:t>
              </w:r>
            </w:hyperlink>
            <w:r w:rsidRPr="006C0DAF">
              <w:rPr>
                <w:rFonts w:eastAsia="Times New Roman"/>
                <w:b/>
                <w:bCs/>
                <w:color w:val="auto"/>
                <w:szCs w:val="20"/>
              </w:rPr>
              <w:t>)</w:t>
            </w:r>
          </w:p>
        </w:tc>
        <w:tc>
          <w:tcPr>
            <w:tcW w:w="2905" w:type="dxa"/>
            <w:shd w:val="clear" w:color="auto" w:fill="77BCD9" w:themeFill="accent1"/>
          </w:tcPr>
          <w:p w14:paraId="6FF9C509" w14:textId="5B6CA5AC" w:rsidR="002929E0" w:rsidRPr="006C0DAF" w:rsidRDefault="002929E0" w:rsidP="00D23059">
            <w:pPr>
              <w:spacing w:before="60" w:line="276" w:lineRule="auto"/>
              <w:jc w:val="center"/>
              <w:rPr>
                <w:rFonts w:eastAsia="Times New Roman"/>
                <w:i/>
                <w:iCs/>
                <w:color w:val="auto"/>
                <w:sz w:val="18"/>
              </w:rPr>
            </w:pPr>
            <w:r w:rsidRPr="006C0DAF">
              <w:rPr>
                <w:rFonts w:eastAsia="Times New Roman"/>
                <w:b/>
                <w:bCs/>
                <w:color w:val="auto"/>
                <w:szCs w:val="20"/>
              </w:rPr>
              <w:t>IOM (</w:t>
            </w:r>
            <w:hyperlink r:id="rId46" w:anchor="efs28006-bib-0076" w:history="1">
              <w:r w:rsidRPr="006C0DAF">
                <w:rPr>
                  <w:rStyle w:val="Hyperlink"/>
                  <w:rFonts w:eastAsia="Times New Roman"/>
                  <w:b/>
                  <w:bCs/>
                  <w:color w:val="auto"/>
                  <w:szCs w:val="20"/>
                  <w:u w:val="none"/>
                </w:rPr>
                <w:t>1998</w:t>
              </w:r>
            </w:hyperlink>
            <w:r w:rsidRPr="006C0DAF">
              <w:rPr>
                <w:rFonts w:eastAsia="Times New Roman"/>
                <w:b/>
                <w:bCs/>
                <w:color w:val="auto"/>
                <w:szCs w:val="20"/>
              </w:rPr>
              <w:t>)</w:t>
            </w:r>
          </w:p>
        </w:tc>
        <w:tc>
          <w:tcPr>
            <w:tcW w:w="2905" w:type="dxa"/>
            <w:shd w:val="clear" w:color="auto" w:fill="77BCD9" w:themeFill="accent1"/>
          </w:tcPr>
          <w:p w14:paraId="75A72B88" w14:textId="1ADD4555" w:rsidR="002929E0" w:rsidRPr="006C0DAF" w:rsidRDefault="002929E0" w:rsidP="00D23059">
            <w:pPr>
              <w:spacing w:before="60" w:line="276" w:lineRule="auto"/>
              <w:jc w:val="center"/>
              <w:rPr>
                <w:rFonts w:eastAsia="Times New Roman"/>
                <w:i/>
                <w:iCs/>
                <w:color w:val="auto"/>
                <w:sz w:val="18"/>
              </w:rPr>
            </w:pPr>
            <w:r w:rsidRPr="006C0DAF">
              <w:rPr>
                <w:rFonts w:eastAsia="Times New Roman"/>
                <w:b/>
                <w:bCs/>
                <w:color w:val="auto"/>
                <w:szCs w:val="20"/>
              </w:rPr>
              <w:t>NHMRC (</w:t>
            </w:r>
            <w:hyperlink r:id="rId47" w:anchor="efs28006-bib-0109" w:history="1">
              <w:r w:rsidRPr="006C0DAF">
                <w:rPr>
                  <w:rStyle w:val="Hyperlink"/>
                  <w:rFonts w:eastAsia="Times New Roman"/>
                  <w:b/>
                  <w:bCs/>
                  <w:color w:val="auto"/>
                  <w:szCs w:val="20"/>
                  <w:u w:val="none"/>
                </w:rPr>
                <w:t>2006</w:t>
              </w:r>
            </w:hyperlink>
            <w:r w:rsidRPr="006C0DAF">
              <w:rPr>
                <w:rFonts w:eastAsia="Times New Roman"/>
                <w:b/>
                <w:bCs/>
                <w:color w:val="auto"/>
                <w:szCs w:val="20"/>
              </w:rPr>
              <w:t>)</w:t>
            </w:r>
          </w:p>
        </w:tc>
        <w:tc>
          <w:tcPr>
            <w:tcW w:w="2905" w:type="dxa"/>
            <w:shd w:val="clear" w:color="auto" w:fill="77BCD9" w:themeFill="accent1"/>
          </w:tcPr>
          <w:p w14:paraId="293DF8AB" w14:textId="35B98BC5" w:rsidR="002929E0" w:rsidRDefault="002929E0" w:rsidP="00D23059">
            <w:pPr>
              <w:spacing w:before="60" w:line="276" w:lineRule="auto"/>
              <w:jc w:val="center"/>
              <w:rPr>
                <w:rFonts w:eastAsia="Times New Roman"/>
                <w:i/>
                <w:iCs/>
                <w:color w:val="auto"/>
                <w:sz w:val="18"/>
              </w:rPr>
            </w:pPr>
            <w:r>
              <w:rPr>
                <w:rFonts w:eastAsia="Times New Roman"/>
                <w:b/>
                <w:bCs/>
                <w:color w:val="auto"/>
                <w:szCs w:val="20"/>
              </w:rPr>
              <w:t>EFSA (2023)</w:t>
            </w:r>
          </w:p>
        </w:tc>
      </w:tr>
      <w:tr w:rsidR="002929E0" w14:paraId="26112AFE" w14:textId="77777777">
        <w:tc>
          <w:tcPr>
            <w:tcW w:w="13449" w:type="dxa"/>
            <w:gridSpan w:val="5"/>
            <w:shd w:val="clear" w:color="auto" w:fill="E3F1F7" w:themeFill="accent1" w:themeFillTint="33"/>
          </w:tcPr>
          <w:p w14:paraId="03F9ED4C" w14:textId="3DADEDB3" w:rsidR="002929E0" w:rsidRDefault="002929E0" w:rsidP="00D23059">
            <w:pPr>
              <w:spacing w:before="60" w:line="276" w:lineRule="auto"/>
              <w:rPr>
                <w:rFonts w:eastAsia="Times New Roman"/>
                <w:i/>
                <w:iCs/>
                <w:color w:val="auto"/>
                <w:sz w:val="18"/>
              </w:rPr>
            </w:pPr>
            <w:r w:rsidRPr="00425F4B">
              <w:rPr>
                <w:rFonts w:eastAsia="Times New Roman"/>
                <w:b/>
                <w:bCs/>
                <w:color w:val="auto"/>
                <w:szCs w:val="20"/>
              </w:rPr>
              <w:t>Infants</w:t>
            </w:r>
          </w:p>
        </w:tc>
      </w:tr>
      <w:tr w:rsidR="002929E0" w14:paraId="176CA249" w14:textId="77777777" w:rsidTr="00DB0900">
        <w:tc>
          <w:tcPr>
            <w:tcW w:w="1829" w:type="dxa"/>
            <w:tcBorders>
              <w:bottom w:val="single" w:sz="4" w:space="0" w:color="CCCCCF" w:themeColor="accent5" w:themeTint="66"/>
            </w:tcBorders>
            <w:shd w:val="clear" w:color="auto" w:fill="E3F1F7" w:themeFill="accent1" w:themeFillTint="33"/>
          </w:tcPr>
          <w:p w14:paraId="7BAB1674" w14:textId="09660D99" w:rsidR="002929E0" w:rsidRDefault="002929E0" w:rsidP="00D23059">
            <w:pPr>
              <w:spacing w:before="60" w:line="276" w:lineRule="auto"/>
              <w:rPr>
                <w:rFonts w:eastAsia="Times New Roman"/>
                <w:i/>
                <w:iCs/>
                <w:color w:val="auto"/>
                <w:sz w:val="18"/>
              </w:rPr>
            </w:pPr>
            <w:r>
              <w:rPr>
                <w:rFonts w:eastAsia="Times New Roman"/>
                <w:color w:val="auto"/>
                <w:szCs w:val="20"/>
              </w:rPr>
              <w:t>4</w:t>
            </w:r>
            <w:r w:rsidRPr="00425F4B">
              <w:rPr>
                <w:rFonts w:eastAsia="Times New Roman"/>
                <w:color w:val="auto"/>
                <w:szCs w:val="20"/>
              </w:rPr>
              <w:t>–6 months</w:t>
            </w:r>
          </w:p>
        </w:tc>
        <w:tc>
          <w:tcPr>
            <w:tcW w:w="2905" w:type="dxa"/>
            <w:tcBorders>
              <w:bottom w:val="single" w:sz="4" w:space="0" w:color="CCCCCF" w:themeColor="accent5" w:themeTint="66"/>
            </w:tcBorders>
          </w:tcPr>
          <w:p w14:paraId="6D896B94" w14:textId="2B246BE4" w:rsidR="002929E0" w:rsidRPr="00247A72" w:rsidRDefault="002929E0" w:rsidP="00D23059">
            <w:pPr>
              <w:spacing w:before="60" w:line="276" w:lineRule="auto"/>
              <w:jc w:val="center"/>
              <w:rPr>
                <w:rFonts w:eastAsia="Times New Roman"/>
                <w:i/>
                <w:iCs/>
                <w:color w:val="auto"/>
                <w:sz w:val="18"/>
              </w:rPr>
            </w:pPr>
            <w:proofErr w:type="spellStart"/>
            <w:r w:rsidRPr="00247A72">
              <w:rPr>
                <w:rFonts w:eastAsia="Times New Roman"/>
                <w:i/>
                <w:iCs/>
                <w:color w:val="auto"/>
                <w:szCs w:val="20"/>
              </w:rPr>
              <w:t>nd</w:t>
            </w:r>
            <w:proofErr w:type="spellEnd"/>
          </w:p>
        </w:tc>
        <w:tc>
          <w:tcPr>
            <w:tcW w:w="2905" w:type="dxa"/>
            <w:tcBorders>
              <w:bottom w:val="single" w:sz="4" w:space="0" w:color="CCCCCF" w:themeColor="accent5" w:themeTint="66"/>
            </w:tcBorders>
          </w:tcPr>
          <w:p w14:paraId="4BF10E51" w14:textId="2F4BE458" w:rsidR="002929E0" w:rsidRPr="00247A72" w:rsidRDefault="002929E0" w:rsidP="00D23059">
            <w:pPr>
              <w:spacing w:before="60" w:line="276" w:lineRule="auto"/>
              <w:jc w:val="center"/>
              <w:rPr>
                <w:rFonts w:eastAsia="Times New Roman"/>
                <w:i/>
                <w:iCs/>
                <w:color w:val="auto"/>
                <w:sz w:val="18"/>
              </w:rPr>
            </w:pPr>
            <w:proofErr w:type="spellStart"/>
            <w:r w:rsidRPr="00247A72">
              <w:rPr>
                <w:rFonts w:eastAsia="Times New Roman"/>
                <w:i/>
                <w:iCs/>
                <w:color w:val="auto"/>
                <w:szCs w:val="20"/>
              </w:rPr>
              <w:t>nd</w:t>
            </w:r>
            <w:proofErr w:type="spellEnd"/>
          </w:p>
        </w:tc>
        <w:tc>
          <w:tcPr>
            <w:tcW w:w="2905" w:type="dxa"/>
            <w:tcBorders>
              <w:bottom w:val="single" w:sz="4" w:space="0" w:color="CCCCCF" w:themeColor="accent5" w:themeTint="66"/>
            </w:tcBorders>
          </w:tcPr>
          <w:p w14:paraId="1E1049FD" w14:textId="542617C4" w:rsidR="002929E0" w:rsidRPr="00247A72" w:rsidRDefault="002929E0" w:rsidP="00D23059">
            <w:pPr>
              <w:spacing w:before="60" w:line="276" w:lineRule="auto"/>
              <w:jc w:val="center"/>
              <w:rPr>
                <w:rFonts w:eastAsia="Times New Roman"/>
                <w:i/>
                <w:iCs/>
                <w:color w:val="auto"/>
                <w:sz w:val="18"/>
              </w:rPr>
            </w:pPr>
            <w:proofErr w:type="spellStart"/>
            <w:r w:rsidRPr="00247A72">
              <w:rPr>
                <w:rFonts w:eastAsia="Times New Roman"/>
                <w:i/>
                <w:iCs/>
                <w:color w:val="auto"/>
                <w:szCs w:val="20"/>
              </w:rPr>
              <w:t>nd</w:t>
            </w:r>
            <w:proofErr w:type="spellEnd"/>
          </w:p>
        </w:tc>
        <w:tc>
          <w:tcPr>
            <w:tcW w:w="2905" w:type="dxa"/>
            <w:tcBorders>
              <w:bottom w:val="single" w:sz="4" w:space="0" w:color="CCCCCF" w:themeColor="accent5" w:themeTint="66"/>
            </w:tcBorders>
          </w:tcPr>
          <w:p w14:paraId="71F32202" w14:textId="3A0346AC" w:rsidR="002929E0" w:rsidRDefault="002929E0" w:rsidP="00D23059">
            <w:pPr>
              <w:spacing w:before="60" w:line="276" w:lineRule="auto"/>
              <w:jc w:val="center"/>
              <w:rPr>
                <w:rFonts w:eastAsia="Times New Roman"/>
                <w:i/>
                <w:iCs/>
                <w:color w:val="auto"/>
                <w:sz w:val="18"/>
              </w:rPr>
            </w:pPr>
            <w:r>
              <w:rPr>
                <w:rFonts w:eastAsia="Times New Roman"/>
                <w:color w:val="auto"/>
                <w:szCs w:val="20"/>
              </w:rPr>
              <w:t>2.2</w:t>
            </w:r>
            <w:r w:rsidR="00933166" w:rsidRPr="00933166">
              <w:rPr>
                <w:rFonts w:eastAsia="Times New Roman"/>
                <w:color w:val="auto"/>
                <w:szCs w:val="20"/>
                <w:vertAlign w:val="superscript"/>
              </w:rPr>
              <w:t>(d)</w:t>
            </w:r>
          </w:p>
        </w:tc>
      </w:tr>
      <w:tr w:rsidR="002929E0" w14:paraId="1C276CEF" w14:textId="77777777" w:rsidTr="00DB0900">
        <w:tc>
          <w:tcPr>
            <w:tcW w:w="1829" w:type="dxa"/>
            <w:tcBorders>
              <w:top w:val="single" w:sz="4" w:space="0" w:color="CCCCCF" w:themeColor="accent5" w:themeTint="66"/>
            </w:tcBorders>
            <w:shd w:val="clear" w:color="auto" w:fill="E3F1F7" w:themeFill="accent1" w:themeFillTint="33"/>
          </w:tcPr>
          <w:p w14:paraId="3D9A923A" w14:textId="16A1A879" w:rsidR="002929E0" w:rsidRDefault="002929E0" w:rsidP="00D23059">
            <w:pPr>
              <w:spacing w:before="60" w:line="276" w:lineRule="auto"/>
              <w:rPr>
                <w:rFonts w:eastAsia="Times New Roman"/>
                <w:i/>
                <w:iCs/>
                <w:color w:val="auto"/>
                <w:sz w:val="18"/>
              </w:rPr>
            </w:pPr>
            <w:r w:rsidRPr="00425F4B">
              <w:rPr>
                <w:rFonts w:eastAsia="Times New Roman"/>
                <w:color w:val="auto"/>
                <w:szCs w:val="20"/>
              </w:rPr>
              <w:t>7–1</w:t>
            </w:r>
            <w:r>
              <w:rPr>
                <w:rFonts w:eastAsia="Times New Roman"/>
                <w:color w:val="auto"/>
                <w:szCs w:val="20"/>
              </w:rPr>
              <w:t>1</w:t>
            </w:r>
            <w:r w:rsidRPr="00425F4B">
              <w:rPr>
                <w:rFonts w:eastAsia="Times New Roman"/>
                <w:color w:val="auto"/>
                <w:szCs w:val="20"/>
              </w:rPr>
              <w:t xml:space="preserve"> months</w:t>
            </w:r>
          </w:p>
        </w:tc>
        <w:tc>
          <w:tcPr>
            <w:tcW w:w="2905" w:type="dxa"/>
            <w:tcBorders>
              <w:top w:val="single" w:sz="4" w:space="0" w:color="CCCCCF" w:themeColor="accent5" w:themeTint="66"/>
            </w:tcBorders>
          </w:tcPr>
          <w:p w14:paraId="6DE88E63" w14:textId="52C8F556" w:rsidR="002929E0" w:rsidRPr="00247A72" w:rsidRDefault="002929E0" w:rsidP="00D23059">
            <w:pPr>
              <w:spacing w:before="60" w:line="276" w:lineRule="auto"/>
              <w:jc w:val="center"/>
              <w:rPr>
                <w:rFonts w:eastAsia="Times New Roman"/>
                <w:i/>
                <w:iCs/>
                <w:color w:val="auto"/>
                <w:sz w:val="18"/>
              </w:rPr>
            </w:pPr>
            <w:proofErr w:type="spellStart"/>
            <w:r w:rsidRPr="00247A72">
              <w:rPr>
                <w:rFonts w:eastAsia="Times New Roman"/>
                <w:i/>
                <w:iCs/>
                <w:color w:val="auto"/>
                <w:szCs w:val="20"/>
              </w:rPr>
              <w:t>nd</w:t>
            </w:r>
            <w:proofErr w:type="spellEnd"/>
          </w:p>
        </w:tc>
        <w:tc>
          <w:tcPr>
            <w:tcW w:w="2905" w:type="dxa"/>
            <w:tcBorders>
              <w:top w:val="single" w:sz="4" w:space="0" w:color="CCCCCF" w:themeColor="accent5" w:themeTint="66"/>
            </w:tcBorders>
          </w:tcPr>
          <w:p w14:paraId="0DAB6B92" w14:textId="0278B3BF" w:rsidR="002929E0" w:rsidRPr="00247A72" w:rsidRDefault="002929E0" w:rsidP="00D23059">
            <w:pPr>
              <w:spacing w:before="60" w:line="276" w:lineRule="auto"/>
              <w:jc w:val="center"/>
              <w:rPr>
                <w:rFonts w:eastAsia="Times New Roman"/>
                <w:i/>
                <w:iCs/>
                <w:color w:val="auto"/>
                <w:sz w:val="18"/>
              </w:rPr>
            </w:pPr>
            <w:proofErr w:type="spellStart"/>
            <w:r w:rsidRPr="00247A72">
              <w:rPr>
                <w:rFonts w:eastAsia="Times New Roman"/>
                <w:i/>
                <w:iCs/>
                <w:color w:val="auto"/>
                <w:szCs w:val="20"/>
              </w:rPr>
              <w:t>nd</w:t>
            </w:r>
            <w:proofErr w:type="spellEnd"/>
          </w:p>
        </w:tc>
        <w:tc>
          <w:tcPr>
            <w:tcW w:w="2905" w:type="dxa"/>
            <w:tcBorders>
              <w:top w:val="single" w:sz="4" w:space="0" w:color="CCCCCF" w:themeColor="accent5" w:themeTint="66"/>
            </w:tcBorders>
          </w:tcPr>
          <w:p w14:paraId="065CD8B6" w14:textId="17353509" w:rsidR="002929E0" w:rsidRPr="00247A72" w:rsidRDefault="002929E0" w:rsidP="00D23059">
            <w:pPr>
              <w:spacing w:before="60" w:line="276" w:lineRule="auto"/>
              <w:jc w:val="center"/>
              <w:rPr>
                <w:rFonts w:eastAsia="Times New Roman"/>
                <w:i/>
                <w:iCs/>
                <w:color w:val="auto"/>
                <w:sz w:val="18"/>
              </w:rPr>
            </w:pPr>
            <w:proofErr w:type="spellStart"/>
            <w:r w:rsidRPr="00247A72">
              <w:rPr>
                <w:rFonts w:eastAsia="Times New Roman"/>
                <w:i/>
                <w:iCs/>
                <w:color w:val="auto"/>
                <w:szCs w:val="20"/>
              </w:rPr>
              <w:t>nd</w:t>
            </w:r>
            <w:proofErr w:type="spellEnd"/>
          </w:p>
        </w:tc>
        <w:tc>
          <w:tcPr>
            <w:tcW w:w="2905" w:type="dxa"/>
            <w:tcBorders>
              <w:top w:val="single" w:sz="4" w:space="0" w:color="CCCCCF" w:themeColor="accent5" w:themeTint="66"/>
            </w:tcBorders>
          </w:tcPr>
          <w:p w14:paraId="32F2800E" w14:textId="7D3F5EEC" w:rsidR="002929E0" w:rsidRDefault="002929E0" w:rsidP="00D23059">
            <w:pPr>
              <w:spacing w:before="60" w:line="276" w:lineRule="auto"/>
              <w:jc w:val="center"/>
              <w:rPr>
                <w:rFonts w:eastAsia="Times New Roman"/>
                <w:i/>
                <w:iCs/>
                <w:color w:val="auto"/>
                <w:sz w:val="18"/>
              </w:rPr>
            </w:pPr>
            <w:r>
              <w:rPr>
                <w:rFonts w:eastAsia="Times New Roman"/>
                <w:color w:val="auto"/>
                <w:szCs w:val="20"/>
              </w:rPr>
              <w:t>2.5</w:t>
            </w:r>
            <w:r w:rsidR="00933166" w:rsidRPr="00425F4B">
              <w:rPr>
                <w:rFonts w:eastAsia="Times New Roman"/>
                <w:color w:val="auto"/>
                <w:szCs w:val="20"/>
                <w:vertAlign w:val="superscript"/>
              </w:rPr>
              <w:t>(d)</w:t>
            </w:r>
          </w:p>
        </w:tc>
      </w:tr>
      <w:tr w:rsidR="002929E0" w14:paraId="22E699FA" w14:textId="77777777" w:rsidTr="00DB0900">
        <w:tc>
          <w:tcPr>
            <w:tcW w:w="13449" w:type="dxa"/>
            <w:gridSpan w:val="5"/>
            <w:tcBorders>
              <w:bottom w:val="nil"/>
            </w:tcBorders>
            <w:shd w:val="clear" w:color="auto" w:fill="E3F1F7" w:themeFill="accent1" w:themeFillTint="33"/>
          </w:tcPr>
          <w:p w14:paraId="4FB30C2A" w14:textId="5E99EF82" w:rsidR="002929E0" w:rsidRDefault="002929E0" w:rsidP="00D23059">
            <w:pPr>
              <w:spacing w:before="60" w:line="276" w:lineRule="auto"/>
              <w:rPr>
                <w:rFonts w:eastAsia="Times New Roman"/>
                <w:i/>
                <w:iCs/>
                <w:color w:val="auto"/>
                <w:sz w:val="18"/>
              </w:rPr>
            </w:pPr>
            <w:r w:rsidRPr="00425F4B">
              <w:rPr>
                <w:rFonts w:eastAsia="Times New Roman"/>
                <w:b/>
                <w:bCs/>
                <w:color w:val="auto"/>
                <w:szCs w:val="20"/>
              </w:rPr>
              <w:t>Children and adolescents</w:t>
            </w:r>
          </w:p>
        </w:tc>
      </w:tr>
      <w:tr w:rsidR="002929E0" w14:paraId="50AFAC10" w14:textId="77777777" w:rsidTr="00DB0900">
        <w:tc>
          <w:tcPr>
            <w:tcW w:w="1829" w:type="dxa"/>
            <w:tcBorders>
              <w:top w:val="nil"/>
              <w:bottom w:val="single" w:sz="4" w:space="0" w:color="CCCCCF" w:themeColor="accent5" w:themeTint="66"/>
            </w:tcBorders>
            <w:shd w:val="clear" w:color="auto" w:fill="E3F1F7" w:themeFill="accent1" w:themeFillTint="33"/>
          </w:tcPr>
          <w:p w14:paraId="03ADC2D2" w14:textId="509870A7" w:rsidR="002929E0" w:rsidRDefault="002929E0" w:rsidP="00D23059">
            <w:pPr>
              <w:spacing w:before="60" w:line="276" w:lineRule="auto"/>
              <w:rPr>
                <w:rFonts w:eastAsia="Times New Roman"/>
                <w:i/>
                <w:iCs/>
                <w:color w:val="auto"/>
                <w:sz w:val="18"/>
              </w:rPr>
            </w:pPr>
            <w:r w:rsidRPr="00425F4B">
              <w:rPr>
                <w:rFonts w:eastAsia="Times New Roman"/>
                <w:color w:val="auto"/>
                <w:szCs w:val="20"/>
              </w:rPr>
              <w:t>1–3 years</w:t>
            </w:r>
          </w:p>
        </w:tc>
        <w:tc>
          <w:tcPr>
            <w:tcW w:w="2905" w:type="dxa"/>
            <w:tcBorders>
              <w:top w:val="nil"/>
              <w:bottom w:val="single" w:sz="4" w:space="0" w:color="CCCCCF" w:themeColor="accent5" w:themeTint="66"/>
            </w:tcBorders>
          </w:tcPr>
          <w:p w14:paraId="3C17B234" w14:textId="03269C5A"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5</w:t>
            </w:r>
            <w:hyperlink r:id="rId48" w:anchor="efs28006-note-0012_30" w:tooltip="Link to note" w:history="1">
              <w:r w:rsidRPr="00E82FE8">
                <w:rPr>
                  <w:rStyle w:val="Hyperlink"/>
                  <w:rFonts w:eastAsia="Times New Roman"/>
                  <w:b/>
                  <w:bCs/>
                  <w:color w:val="auto"/>
                  <w:szCs w:val="20"/>
                  <w:u w:val="none"/>
                  <w:vertAlign w:val="superscript"/>
                </w:rPr>
                <w:t>(b)</w:t>
              </w:r>
            </w:hyperlink>
          </w:p>
        </w:tc>
        <w:tc>
          <w:tcPr>
            <w:tcW w:w="2905" w:type="dxa"/>
            <w:tcBorders>
              <w:top w:val="nil"/>
              <w:bottom w:val="single" w:sz="4" w:space="0" w:color="CCCCCF" w:themeColor="accent5" w:themeTint="66"/>
            </w:tcBorders>
          </w:tcPr>
          <w:p w14:paraId="741C4C67" w14:textId="7B48C876"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30</w:t>
            </w:r>
            <w:hyperlink r:id="rId49" w:anchor="efs28006-note-0011_31" w:tooltip="Link to note" w:history="1">
              <w:r w:rsidRPr="00E82FE8">
                <w:rPr>
                  <w:rStyle w:val="Hyperlink"/>
                  <w:rFonts w:eastAsia="Times New Roman"/>
                  <w:b/>
                  <w:bCs/>
                  <w:color w:val="auto"/>
                  <w:szCs w:val="20"/>
                  <w:u w:val="none"/>
                  <w:vertAlign w:val="superscript"/>
                </w:rPr>
                <w:t>(a)</w:t>
              </w:r>
            </w:hyperlink>
          </w:p>
        </w:tc>
        <w:tc>
          <w:tcPr>
            <w:tcW w:w="2905" w:type="dxa"/>
            <w:tcBorders>
              <w:top w:val="nil"/>
              <w:bottom w:val="single" w:sz="4" w:space="0" w:color="CCCCCF" w:themeColor="accent5" w:themeTint="66"/>
            </w:tcBorders>
          </w:tcPr>
          <w:p w14:paraId="7A2306E9" w14:textId="52EBFB6E"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15</w:t>
            </w:r>
            <w:hyperlink r:id="rId50" w:anchor="efs28006-note-0011_32" w:tooltip="Link to note" w:history="1">
              <w:r w:rsidRPr="00E82FE8">
                <w:rPr>
                  <w:rStyle w:val="Hyperlink"/>
                  <w:rFonts w:eastAsia="Times New Roman"/>
                  <w:b/>
                  <w:bCs/>
                  <w:color w:val="auto"/>
                  <w:szCs w:val="20"/>
                  <w:u w:val="none"/>
                  <w:vertAlign w:val="superscript"/>
                </w:rPr>
                <w:t>(a)</w:t>
              </w:r>
            </w:hyperlink>
          </w:p>
        </w:tc>
        <w:tc>
          <w:tcPr>
            <w:tcW w:w="2905" w:type="dxa"/>
            <w:tcBorders>
              <w:top w:val="nil"/>
              <w:bottom w:val="single" w:sz="4" w:space="0" w:color="CCCCCF" w:themeColor="accent5" w:themeTint="66"/>
            </w:tcBorders>
          </w:tcPr>
          <w:p w14:paraId="2CCD07C4" w14:textId="6893EF7D" w:rsidR="002929E0" w:rsidRDefault="002929E0" w:rsidP="00D23059">
            <w:pPr>
              <w:spacing w:before="60" w:line="276" w:lineRule="auto"/>
              <w:jc w:val="center"/>
              <w:rPr>
                <w:rFonts w:eastAsia="Times New Roman"/>
                <w:i/>
                <w:iCs/>
                <w:color w:val="auto"/>
                <w:sz w:val="18"/>
              </w:rPr>
            </w:pPr>
            <w:r>
              <w:rPr>
                <w:rFonts w:eastAsia="Times New Roman"/>
                <w:color w:val="auto"/>
                <w:szCs w:val="20"/>
              </w:rPr>
              <w:t>3.2</w:t>
            </w:r>
            <w:r w:rsidR="00933166" w:rsidRPr="00425F4B">
              <w:rPr>
                <w:rFonts w:eastAsia="Times New Roman"/>
                <w:color w:val="auto"/>
                <w:szCs w:val="20"/>
                <w:vertAlign w:val="superscript"/>
              </w:rPr>
              <w:t>(d)</w:t>
            </w:r>
          </w:p>
        </w:tc>
      </w:tr>
      <w:tr w:rsidR="002929E0" w14:paraId="6876A9DD" w14:textId="77777777" w:rsidTr="00DB0900">
        <w:tc>
          <w:tcPr>
            <w:tcW w:w="1829" w:type="dxa"/>
            <w:tcBorders>
              <w:top w:val="single" w:sz="4" w:space="0" w:color="CCCCCF" w:themeColor="accent5" w:themeTint="66"/>
              <w:bottom w:val="single" w:sz="4" w:space="0" w:color="CCCCCF" w:themeColor="accent5" w:themeTint="66"/>
            </w:tcBorders>
            <w:shd w:val="clear" w:color="auto" w:fill="E3F1F7" w:themeFill="accent1" w:themeFillTint="33"/>
          </w:tcPr>
          <w:p w14:paraId="13DC8D49" w14:textId="66DD8B98" w:rsidR="002929E0" w:rsidRDefault="002929E0" w:rsidP="00D23059">
            <w:pPr>
              <w:spacing w:before="60" w:line="276" w:lineRule="auto"/>
              <w:rPr>
                <w:rFonts w:eastAsia="Times New Roman"/>
                <w:i/>
                <w:iCs/>
                <w:color w:val="auto"/>
                <w:sz w:val="18"/>
              </w:rPr>
            </w:pPr>
            <w:r w:rsidRPr="00425F4B">
              <w:rPr>
                <w:rFonts w:eastAsia="Times New Roman"/>
                <w:color w:val="auto"/>
                <w:szCs w:val="20"/>
              </w:rPr>
              <w:t>4–6 years</w:t>
            </w:r>
          </w:p>
        </w:tc>
        <w:tc>
          <w:tcPr>
            <w:tcW w:w="2905" w:type="dxa"/>
            <w:tcBorders>
              <w:top w:val="single" w:sz="4" w:space="0" w:color="CCCCCF" w:themeColor="accent5" w:themeTint="66"/>
              <w:bottom w:val="single" w:sz="4" w:space="0" w:color="CCCCCF" w:themeColor="accent5" w:themeTint="66"/>
            </w:tcBorders>
          </w:tcPr>
          <w:p w14:paraId="0F24DFC5" w14:textId="5C412633"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7</w:t>
            </w:r>
            <w:hyperlink r:id="rId51" w:anchor="efs28006-note-0012_33" w:tooltip="Link to note" w:history="1">
              <w:r w:rsidRPr="00E82FE8">
                <w:rPr>
                  <w:rStyle w:val="Hyperlink"/>
                  <w:rFonts w:eastAsia="Times New Roman"/>
                  <w:b/>
                  <w:bCs/>
                  <w:color w:val="auto"/>
                  <w:szCs w:val="20"/>
                  <w:u w:val="none"/>
                  <w:vertAlign w:val="superscript"/>
                </w:rPr>
                <w:t>(b)</w:t>
              </w:r>
            </w:hyperlink>
          </w:p>
        </w:tc>
        <w:tc>
          <w:tcPr>
            <w:tcW w:w="2905" w:type="dxa"/>
            <w:tcBorders>
              <w:top w:val="single" w:sz="4" w:space="0" w:color="CCCCCF" w:themeColor="accent5" w:themeTint="66"/>
              <w:bottom w:val="single" w:sz="4" w:space="0" w:color="CCCCCF" w:themeColor="accent5" w:themeTint="66"/>
            </w:tcBorders>
          </w:tcPr>
          <w:p w14:paraId="14A94F87" w14:textId="1CE34262"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CCCCCF" w:themeColor="accent5" w:themeTint="66"/>
            </w:tcBorders>
          </w:tcPr>
          <w:p w14:paraId="4EF67489" w14:textId="55765D27"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CCCCCF" w:themeColor="accent5" w:themeTint="66"/>
            </w:tcBorders>
          </w:tcPr>
          <w:p w14:paraId="5FE17C9E" w14:textId="1D1F212B" w:rsidR="002929E0" w:rsidRPr="00E63978" w:rsidRDefault="002929E0" w:rsidP="00D23059">
            <w:pPr>
              <w:spacing w:before="60" w:line="276" w:lineRule="auto"/>
              <w:jc w:val="center"/>
              <w:rPr>
                <w:rFonts w:eastAsia="Times New Roman"/>
                <w:color w:val="auto"/>
                <w:sz w:val="18"/>
              </w:rPr>
            </w:pPr>
            <w:r w:rsidRPr="00E63978">
              <w:rPr>
                <w:rFonts w:eastAsia="Times New Roman"/>
                <w:color w:val="auto"/>
                <w:sz w:val="18"/>
              </w:rPr>
              <w:t>4.5</w:t>
            </w:r>
            <w:r w:rsidR="00933166" w:rsidRPr="00425F4B">
              <w:rPr>
                <w:rFonts w:eastAsia="Times New Roman"/>
                <w:color w:val="auto"/>
                <w:szCs w:val="20"/>
                <w:vertAlign w:val="superscript"/>
              </w:rPr>
              <w:t>(d)</w:t>
            </w:r>
          </w:p>
        </w:tc>
      </w:tr>
      <w:tr w:rsidR="002929E0" w14:paraId="13A6BE8E" w14:textId="77777777" w:rsidTr="00DB0900">
        <w:tc>
          <w:tcPr>
            <w:tcW w:w="1829" w:type="dxa"/>
            <w:tcBorders>
              <w:top w:val="single" w:sz="4" w:space="0" w:color="CCCCCF" w:themeColor="accent5" w:themeTint="66"/>
              <w:bottom w:val="single" w:sz="4" w:space="0" w:color="CCCCCF" w:themeColor="accent5" w:themeTint="66"/>
            </w:tcBorders>
            <w:shd w:val="clear" w:color="auto" w:fill="E3F1F7" w:themeFill="accent1" w:themeFillTint="33"/>
          </w:tcPr>
          <w:p w14:paraId="1FA08B9D" w14:textId="334D4485" w:rsidR="002929E0" w:rsidRDefault="002929E0" w:rsidP="00D23059">
            <w:pPr>
              <w:spacing w:before="60" w:line="276" w:lineRule="auto"/>
              <w:rPr>
                <w:rFonts w:eastAsia="Times New Roman"/>
                <w:i/>
                <w:iCs/>
                <w:color w:val="auto"/>
                <w:sz w:val="18"/>
              </w:rPr>
            </w:pPr>
            <w:r w:rsidRPr="00425F4B">
              <w:rPr>
                <w:rFonts w:eastAsia="Times New Roman"/>
                <w:color w:val="auto"/>
                <w:szCs w:val="20"/>
              </w:rPr>
              <w:t>4–8 years</w:t>
            </w:r>
          </w:p>
        </w:tc>
        <w:tc>
          <w:tcPr>
            <w:tcW w:w="2905" w:type="dxa"/>
            <w:tcBorders>
              <w:top w:val="single" w:sz="4" w:space="0" w:color="CCCCCF" w:themeColor="accent5" w:themeTint="66"/>
              <w:bottom w:val="single" w:sz="4" w:space="0" w:color="CCCCCF" w:themeColor="accent5" w:themeTint="66"/>
            </w:tcBorders>
          </w:tcPr>
          <w:p w14:paraId="6D18C1D3" w14:textId="16ADCF78"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CCCCCF" w:themeColor="accent5" w:themeTint="66"/>
            </w:tcBorders>
          </w:tcPr>
          <w:p w14:paraId="69D0B9E7" w14:textId="364A8034"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40</w:t>
            </w:r>
            <w:hyperlink r:id="rId52" w:anchor="efs28006-note-0011_34" w:tooltip="Link to note" w:history="1">
              <w:r w:rsidRPr="00E82FE8">
                <w:rPr>
                  <w:rStyle w:val="Hyperlink"/>
                  <w:rFonts w:eastAsia="Times New Roman"/>
                  <w:b/>
                  <w:bCs/>
                  <w:color w:val="auto"/>
                  <w:szCs w:val="20"/>
                  <w:u w:val="none"/>
                  <w:vertAlign w:val="superscript"/>
                </w:rPr>
                <w:t>(a)</w:t>
              </w:r>
            </w:hyperlink>
          </w:p>
        </w:tc>
        <w:tc>
          <w:tcPr>
            <w:tcW w:w="2905" w:type="dxa"/>
            <w:tcBorders>
              <w:top w:val="single" w:sz="4" w:space="0" w:color="CCCCCF" w:themeColor="accent5" w:themeTint="66"/>
              <w:bottom w:val="single" w:sz="4" w:space="0" w:color="CCCCCF" w:themeColor="accent5" w:themeTint="66"/>
            </w:tcBorders>
          </w:tcPr>
          <w:p w14:paraId="2C0B437F" w14:textId="7DB1D354"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20</w:t>
            </w:r>
            <w:hyperlink r:id="rId53" w:anchor="efs28006-note-0011_35" w:tooltip="Link to note" w:history="1">
              <w:r w:rsidRPr="00E82FE8">
                <w:rPr>
                  <w:rStyle w:val="Hyperlink"/>
                  <w:rFonts w:eastAsia="Times New Roman"/>
                  <w:b/>
                  <w:bCs/>
                  <w:color w:val="auto"/>
                  <w:szCs w:val="20"/>
                  <w:u w:val="none"/>
                  <w:vertAlign w:val="superscript"/>
                </w:rPr>
                <w:t>(a)</w:t>
              </w:r>
            </w:hyperlink>
          </w:p>
        </w:tc>
        <w:tc>
          <w:tcPr>
            <w:tcW w:w="2905" w:type="dxa"/>
            <w:tcBorders>
              <w:top w:val="single" w:sz="4" w:space="0" w:color="CCCCCF" w:themeColor="accent5" w:themeTint="66"/>
              <w:bottom w:val="single" w:sz="4" w:space="0" w:color="CCCCCF" w:themeColor="accent5" w:themeTint="66"/>
            </w:tcBorders>
          </w:tcPr>
          <w:p w14:paraId="47293A19" w14:textId="38E079CF" w:rsidR="002929E0" w:rsidRPr="00E63978" w:rsidRDefault="000A15C0" w:rsidP="00D23059">
            <w:pPr>
              <w:spacing w:before="60" w:line="276" w:lineRule="auto"/>
              <w:jc w:val="center"/>
              <w:rPr>
                <w:rFonts w:eastAsia="Times New Roman"/>
                <w:color w:val="auto"/>
                <w:sz w:val="18"/>
              </w:rPr>
            </w:pPr>
            <w:r>
              <w:rPr>
                <w:rFonts w:eastAsia="Times New Roman"/>
                <w:color w:val="auto"/>
                <w:sz w:val="18"/>
              </w:rPr>
              <w:t>-</w:t>
            </w:r>
          </w:p>
        </w:tc>
      </w:tr>
      <w:tr w:rsidR="002929E0" w14:paraId="5D41F38D" w14:textId="77777777" w:rsidTr="00DB0900">
        <w:tc>
          <w:tcPr>
            <w:tcW w:w="1829" w:type="dxa"/>
            <w:tcBorders>
              <w:top w:val="single" w:sz="4" w:space="0" w:color="CCCCCF" w:themeColor="accent5" w:themeTint="66"/>
              <w:bottom w:val="single" w:sz="4" w:space="0" w:color="CCCCCF" w:themeColor="accent5" w:themeTint="66"/>
            </w:tcBorders>
            <w:shd w:val="clear" w:color="auto" w:fill="E3F1F7" w:themeFill="accent1" w:themeFillTint="33"/>
          </w:tcPr>
          <w:p w14:paraId="1498ECB0" w14:textId="2A053148" w:rsidR="002929E0" w:rsidRDefault="002929E0" w:rsidP="00D23059">
            <w:pPr>
              <w:spacing w:before="60" w:line="276" w:lineRule="auto"/>
              <w:rPr>
                <w:rFonts w:eastAsia="Times New Roman"/>
                <w:i/>
                <w:iCs/>
                <w:color w:val="auto"/>
                <w:sz w:val="18"/>
              </w:rPr>
            </w:pPr>
            <w:r w:rsidRPr="00425F4B">
              <w:rPr>
                <w:rFonts w:eastAsia="Times New Roman"/>
                <w:color w:val="auto"/>
                <w:szCs w:val="20"/>
              </w:rPr>
              <w:t>7–10 years</w:t>
            </w:r>
          </w:p>
        </w:tc>
        <w:tc>
          <w:tcPr>
            <w:tcW w:w="2905" w:type="dxa"/>
            <w:tcBorders>
              <w:top w:val="single" w:sz="4" w:space="0" w:color="CCCCCF" w:themeColor="accent5" w:themeTint="66"/>
              <w:bottom w:val="single" w:sz="4" w:space="0" w:color="CCCCCF" w:themeColor="accent5" w:themeTint="66"/>
            </w:tcBorders>
          </w:tcPr>
          <w:p w14:paraId="49BCE392" w14:textId="24406310"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10</w:t>
            </w:r>
            <w:hyperlink r:id="rId54" w:anchor="efs28006-note-0012_36" w:tooltip="Link to note" w:history="1">
              <w:r w:rsidRPr="00E82FE8">
                <w:rPr>
                  <w:rStyle w:val="Hyperlink"/>
                  <w:rFonts w:eastAsia="Times New Roman"/>
                  <w:b/>
                  <w:bCs/>
                  <w:color w:val="auto"/>
                  <w:szCs w:val="20"/>
                  <w:u w:val="none"/>
                  <w:vertAlign w:val="superscript"/>
                </w:rPr>
                <w:t>(b)</w:t>
              </w:r>
            </w:hyperlink>
          </w:p>
        </w:tc>
        <w:tc>
          <w:tcPr>
            <w:tcW w:w="2905" w:type="dxa"/>
            <w:tcBorders>
              <w:top w:val="single" w:sz="4" w:space="0" w:color="CCCCCF" w:themeColor="accent5" w:themeTint="66"/>
              <w:bottom w:val="single" w:sz="4" w:space="0" w:color="CCCCCF" w:themeColor="accent5" w:themeTint="66"/>
            </w:tcBorders>
          </w:tcPr>
          <w:p w14:paraId="6E732463" w14:textId="24FCFD32"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CCCCCF" w:themeColor="accent5" w:themeTint="66"/>
            </w:tcBorders>
          </w:tcPr>
          <w:p w14:paraId="5435583D" w14:textId="188A2F66"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CCCCCF" w:themeColor="accent5" w:themeTint="66"/>
            </w:tcBorders>
          </w:tcPr>
          <w:p w14:paraId="1D86F3C1" w14:textId="693AA245" w:rsidR="002929E0" w:rsidRPr="00E63978" w:rsidRDefault="002929E0" w:rsidP="00D23059">
            <w:pPr>
              <w:spacing w:before="60" w:line="276" w:lineRule="auto"/>
              <w:jc w:val="center"/>
              <w:rPr>
                <w:rFonts w:eastAsia="Times New Roman"/>
                <w:color w:val="auto"/>
                <w:sz w:val="18"/>
              </w:rPr>
            </w:pPr>
            <w:r w:rsidRPr="00E63978">
              <w:rPr>
                <w:rFonts w:eastAsia="Times New Roman"/>
                <w:color w:val="auto"/>
                <w:sz w:val="18"/>
              </w:rPr>
              <w:t>6.1</w:t>
            </w:r>
            <w:r w:rsidR="00933166" w:rsidRPr="00425F4B">
              <w:rPr>
                <w:rFonts w:eastAsia="Times New Roman"/>
                <w:color w:val="auto"/>
                <w:szCs w:val="20"/>
                <w:vertAlign w:val="superscript"/>
              </w:rPr>
              <w:t>(d)</w:t>
            </w:r>
          </w:p>
        </w:tc>
      </w:tr>
      <w:tr w:rsidR="002929E0" w14:paraId="57E7775D" w14:textId="77777777" w:rsidTr="00DB0900">
        <w:tc>
          <w:tcPr>
            <w:tcW w:w="1829" w:type="dxa"/>
            <w:tcBorders>
              <w:top w:val="single" w:sz="4" w:space="0" w:color="CCCCCF" w:themeColor="accent5" w:themeTint="66"/>
              <w:bottom w:val="single" w:sz="4" w:space="0" w:color="CCCCCF" w:themeColor="accent5" w:themeTint="66"/>
            </w:tcBorders>
            <w:shd w:val="clear" w:color="auto" w:fill="E3F1F7" w:themeFill="accent1" w:themeFillTint="33"/>
          </w:tcPr>
          <w:p w14:paraId="38D2901F" w14:textId="147162DE" w:rsidR="002929E0" w:rsidRDefault="002929E0" w:rsidP="00D23059">
            <w:pPr>
              <w:spacing w:before="60" w:line="276" w:lineRule="auto"/>
              <w:rPr>
                <w:rFonts w:eastAsia="Times New Roman"/>
                <w:i/>
                <w:iCs/>
                <w:color w:val="auto"/>
                <w:sz w:val="18"/>
              </w:rPr>
            </w:pPr>
            <w:r w:rsidRPr="00425F4B">
              <w:rPr>
                <w:rFonts w:eastAsia="Times New Roman"/>
                <w:color w:val="auto"/>
                <w:szCs w:val="20"/>
              </w:rPr>
              <w:t>9–13 years</w:t>
            </w:r>
          </w:p>
        </w:tc>
        <w:tc>
          <w:tcPr>
            <w:tcW w:w="2905" w:type="dxa"/>
            <w:tcBorders>
              <w:top w:val="single" w:sz="4" w:space="0" w:color="CCCCCF" w:themeColor="accent5" w:themeTint="66"/>
              <w:bottom w:val="single" w:sz="4" w:space="0" w:color="CCCCCF" w:themeColor="accent5" w:themeTint="66"/>
            </w:tcBorders>
          </w:tcPr>
          <w:p w14:paraId="00EFD626" w14:textId="767B1F5A"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CCCCCF" w:themeColor="accent5" w:themeTint="66"/>
            </w:tcBorders>
          </w:tcPr>
          <w:p w14:paraId="0BF71DF7" w14:textId="5CEAAD3F"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60</w:t>
            </w:r>
            <w:hyperlink r:id="rId55" w:anchor="efs28006-note-0011_37" w:tooltip="Link to note" w:history="1">
              <w:r w:rsidRPr="00E82FE8">
                <w:rPr>
                  <w:rStyle w:val="Hyperlink"/>
                  <w:rFonts w:eastAsia="Times New Roman"/>
                  <w:b/>
                  <w:bCs/>
                  <w:color w:val="auto"/>
                  <w:szCs w:val="20"/>
                  <w:u w:val="none"/>
                  <w:vertAlign w:val="superscript"/>
                </w:rPr>
                <w:t>(a)</w:t>
              </w:r>
            </w:hyperlink>
          </w:p>
        </w:tc>
        <w:tc>
          <w:tcPr>
            <w:tcW w:w="2905" w:type="dxa"/>
            <w:tcBorders>
              <w:top w:val="single" w:sz="4" w:space="0" w:color="CCCCCF" w:themeColor="accent5" w:themeTint="66"/>
              <w:bottom w:val="single" w:sz="4" w:space="0" w:color="CCCCCF" w:themeColor="accent5" w:themeTint="66"/>
            </w:tcBorders>
          </w:tcPr>
          <w:p w14:paraId="317829C2" w14:textId="03347FA1"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30</w:t>
            </w:r>
            <w:hyperlink r:id="rId56" w:anchor="efs28006-note-0011_38" w:tooltip="Link to note" w:history="1">
              <w:r w:rsidRPr="00E82FE8">
                <w:rPr>
                  <w:rStyle w:val="Hyperlink"/>
                  <w:rFonts w:eastAsia="Times New Roman"/>
                  <w:b/>
                  <w:bCs/>
                  <w:color w:val="auto"/>
                  <w:szCs w:val="20"/>
                  <w:u w:val="none"/>
                  <w:vertAlign w:val="superscript"/>
                </w:rPr>
                <w:t>(a)</w:t>
              </w:r>
            </w:hyperlink>
          </w:p>
        </w:tc>
        <w:tc>
          <w:tcPr>
            <w:tcW w:w="2905" w:type="dxa"/>
            <w:tcBorders>
              <w:top w:val="single" w:sz="4" w:space="0" w:color="CCCCCF" w:themeColor="accent5" w:themeTint="66"/>
              <w:bottom w:val="single" w:sz="4" w:space="0" w:color="CCCCCF" w:themeColor="accent5" w:themeTint="66"/>
            </w:tcBorders>
          </w:tcPr>
          <w:p w14:paraId="69E6D788" w14:textId="0849136E" w:rsidR="002929E0" w:rsidRPr="00E63978" w:rsidRDefault="000A15C0" w:rsidP="00D23059">
            <w:pPr>
              <w:spacing w:before="60" w:line="276" w:lineRule="auto"/>
              <w:jc w:val="center"/>
              <w:rPr>
                <w:rFonts w:eastAsia="Times New Roman"/>
                <w:color w:val="auto"/>
                <w:sz w:val="18"/>
              </w:rPr>
            </w:pPr>
            <w:r>
              <w:rPr>
                <w:rFonts w:eastAsia="Times New Roman"/>
                <w:color w:val="auto"/>
                <w:sz w:val="18"/>
              </w:rPr>
              <w:t>-</w:t>
            </w:r>
          </w:p>
        </w:tc>
      </w:tr>
      <w:tr w:rsidR="002929E0" w14:paraId="5EFE472E" w14:textId="77777777" w:rsidTr="00DB0900">
        <w:tc>
          <w:tcPr>
            <w:tcW w:w="1829" w:type="dxa"/>
            <w:tcBorders>
              <w:top w:val="single" w:sz="4" w:space="0" w:color="CCCCCF" w:themeColor="accent5" w:themeTint="66"/>
              <w:bottom w:val="single" w:sz="4" w:space="0" w:color="CCCCCF" w:themeColor="accent5" w:themeTint="66"/>
            </w:tcBorders>
            <w:shd w:val="clear" w:color="auto" w:fill="E3F1F7" w:themeFill="accent1" w:themeFillTint="33"/>
          </w:tcPr>
          <w:p w14:paraId="1C5BDC6B" w14:textId="10110667" w:rsidR="002929E0" w:rsidRDefault="002929E0" w:rsidP="00D23059">
            <w:pPr>
              <w:spacing w:before="60" w:line="276" w:lineRule="auto"/>
              <w:rPr>
                <w:rFonts w:eastAsia="Times New Roman"/>
                <w:i/>
                <w:iCs/>
                <w:color w:val="auto"/>
                <w:sz w:val="18"/>
              </w:rPr>
            </w:pPr>
            <w:r w:rsidRPr="00425F4B">
              <w:rPr>
                <w:rFonts w:eastAsia="Times New Roman"/>
                <w:color w:val="auto"/>
                <w:szCs w:val="20"/>
              </w:rPr>
              <w:t>11–14 years</w:t>
            </w:r>
          </w:p>
        </w:tc>
        <w:tc>
          <w:tcPr>
            <w:tcW w:w="2905" w:type="dxa"/>
            <w:tcBorders>
              <w:top w:val="single" w:sz="4" w:space="0" w:color="CCCCCF" w:themeColor="accent5" w:themeTint="66"/>
              <w:bottom w:val="single" w:sz="4" w:space="0" w:color="CCCCCF" w:themeColor="accent5" w:themeTint="66"/>
            </w:tcBorders>
          </w:tcPr>
          <w:p w14:paraId="0B23C68C" w14:textId="782F58C3"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15</w:t>
            </w:r>
            <w:hyperlink r:id="rId57" w:anchor="efs28006-note-0012_39" w:tooltip="Link to note" w:history="1">
              <w:r w:rsidRPr="00E82FE8">
                <w:rPr>
                  <w:rStyle w:val="Hyperlink"/>
                  <w:rFonts w:eastAsia="Times New Roman"/>
                  <w:b/>
                  <w:bCs/>
                  <w:color w:val="auto"/>
                  <w:szCs w:val="20"/>
                  <w:u w:val="none"/>
                  <w:vertAlign w:val="superscript"/>
                </w:rPr>
                <w:t>(b)</w:t>
              </w:r>
            </w:hyperlink>
          </w:p>
        </w:tc>
        <w:tc>
          <w:tcPr>
            <w:tcW w:w="2905" w:type="dxa"/>
            <w:tcBorders>
              <w:top w:val="single" w:sz="4" w:space="0" w:color="CCCCCF" w:themeColor="accent5" w:themeTint="66"/>
              <w:bottom w:val="single" w:sz="4" w:space="0" w:color="CCCCCF" w:themeColor="accent5" w:themeTint="66"/>
            </w:tcBorders>
          </w:tcPr>
          <w:p w14:paraId="76849BE2" w14:textId="6C5513DF"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CCCCCF" w:themeColor="accent5" w:themeTint="66"/>
            </w:tcBorders>
          </w:tcPr>
          <w:p w14:paraId="0FFF9811" w14:textId="69E616E1"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CCCCCF" w:themeColor="accent5" w:themeTint="66"/>
            </w:tcBorders>
          </w:tcPr>
          <w:p w14:paraId="5B797EB2" w14:textId="17FFC07B" w:rsidR="002929E0" w:rsidRPr="00E63978" w:rsidRDefault="002929E0" w:rsidP="00D23059">
            <w:pPr>
              <w:spacing w:before="60" w:line="276" w:lineRule="auto"/>
              <w:jc w:val="center"/>
              <w:rPr>
                <w:rFonts w:eastAsia="Times New Roman"/>
                <w:color w:val="auto"/>
                <w:sz w:val="18"/>
              </w:rPr>
            </w:pPr>
            <w:r w:rsidRPr="00E63978">
              <w:rPr>
                <w:rFonts w:eastAsia="Times New Roman"/>
                <w:color w:val="auto"/>
                <w:sz w:val="18"/>
              </w:rPr>
              <w:t>8.6</w:t>
            </w:r>
            <w:r w:rsidR="00933166" w:rsidRPr="00425F4B">
              <w:rPr>
                <w:rFonts w:eastAsia="Times New Roman"/>
                <w:color w:val="auto"/>
                <w:szCs w:val="20"/>
                <w:vertAlign w:val="superscript"/>
              </w:rPr>
              <w:t>(d)</w:t>
            </w:r>
          </w:p>
        </w:tc>
      </w:tr>
      <w:tr w:rsidR="002929E0" w14:paraId="73CA45CF" w14:textId="77777777" w:rsidTr="00DB0900">
        <w:tc>
          <w:tcPr>
            <w:tcW w:w="1829" w:type="dxa"/>
            <w:tcBorders>
              <w:top w:val="single" w:sz="4" w:space="0" w:color="CCCCCF" w:themeColor="accent5" w:themeTint="66"/>
              <w:bottom w:val="single" w:sz="4" w:space="0" w:color="CCCCCF" w:themeColor="accent5" w:themeTint="66"/>
            </w:tcBorders>
            <w:shd w:val="clear" w:color="auto" w:fill="E3F1F7" w:themeFill="accent1" w:themeFillTint="33"/>
          </w:tcPr>
          <w:p w14:paraId="41281756" w14:textId="27CF598A" w:rsidR="002929E0" w:rsidRDefault="002929E0" w:rsidP="00D23059">
            <w:pPr>
              <w:spacing w:before="60" w:line="276" w:lineRule="auto"/>
              <w:rPr>
                <w:rFonts w:eastAsia="Times New Roman"/>
                <w:i/>
                <w:iCs/>
                <w:color w:val="auto"/>
                <w:sz w:val="18"/>
              </w:rPr>
            </w:pPr>
            <w:r w:rsidRPr="00425F4B">
              <w:rPr>
                <w:rFonts w:eastAsia="Times New Roman"/>
                <w:color w:val="auto"/>
                <w:szCs w:val="20"/>
              </w:rPr>
              <w:t>14–18 years</w:t>
            </w:r>
          </w:p>
        </w:tc>
        <w:tc>
          <w:tcPr>
            <w:tcW w:w="2905" w:type="dxa"/>
            <w:tcBorders>
              <w:top w:val="single" w:sz="4" w:space="0" w:color="CCCCCF" w:themeColor="accent5" w:themeTint="66"/>
              <w:bottom w:val="single" w:sz="4" w:space="0" w:color="CCCCCF" w:themeColor="accent5" w:themeTint="66"/>
            </w:tcBorders>
          </w:tcPr>
          <w:p w14:paraId="3A141216" w14:textId="6C6EA8F8"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CCCCCF" w:themeColor="accent5" w:themeTint="66"/>
            </w:tcBorders>
          </w:tcPr>
          <w:p w14:paraId="2F06B9A6" w14:textId="58AAD46E"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80</w:t>
            </w:r>
            <w:hyperlink r:id="rId58" w:anchor="efs28006-note-0011_40" w:tooltip="Link to note" w:history="1">
              <w:r w:rsidRPr="00E82FE8">
                <w:rPr>
                  <w:rStyle w:val="Hyperlink"/>
                  <w:rFonts w:eastAsia="Times New Roman"/>
                  <w:b/>
                  <w:bCs/>
                  <w:color w:val="auto"/>
                  <w:szCs w:val="20"/>
                  <w:u w:val="none"/>
                  <w:vertAlign w:val="superscript"/>
                </w:rPr>
                <w:t>(a)</w:t>
              </w:r>
            </w:hyperlink>
            <w:r w:rsidRPr="00E82FE8">
              <w:rPr>
                <w:rFonts w:eastAsia="Times New Roman"/>
                <w:color w:val="auto"/>
                <w:szCs w:val="20"/>
                <w:vertAlign w:val="superscript"/>
              </w:rPr>
              <w:t>,</w:t>
            </w:r>
            <w:hyperlink r:id="rId59" w:anchor="efs28006-note-0013_41" w:tooltip="Link to note" w:history="1">
              <w:r w:rsidRPr="00E82FE8">
                <w:rPr>
                  <w:rStyle w:val="Hyperlink"/>
                  <w:rFonts w:eastAsia="Times New Roman"/>
                  <w:b/>
                  <w:bCs/>
                  <w:color w:val="auto"/>
                  <w:szCs w:val="20"/>
                  <w:u w:val="none"/>
                  <w:vertAlign w:val="superscript"/>
                </w:rPr>
                <w:t>(c)</w:t>
              </w:r>
            </w:hyperlink>
          </w:p>
        </w:tc>
        <w:tc>
          <w:tcPr>
            <w:tcW w:w="2905" w:type="dxa"/>
            <w:tcBorders>
              <w:top w:val="single" w:sz="4" w:space="0" w:color="CCCCCF" w:themeColor="accent5" w:themeTint="66"/>
              <w:bottom w:val="single" w:sz="4" w:space="0" w:color="CCCCCF" w:themeColor="accent5" w:themeTint="66"/>
            </w:tcBorders>
          </w:tcPr>
          <w:p w14:paraId="13491D53" w14:textId="63655D59"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40</w:t>
            </w:r>
            <w:hyperlink r:id="rId60" w:anchor="efs28006-note-0011_42" w:tooltip="Link to note" w:history="1">
              <w:r w:rsidRPr="00E82FE8">
                <w:rPr>
                  <w:rStyle w:val="Hyperlink"/>
                  <w:rFonts w:eastAsia="Times New Roman"/>
                  <w:b/>
                  <w:bCs/>
                  <w:color w:val="auto"/>
                  <w:szCs w:val="20"/>
                  <w:u w:val="none"/>
                  <w:vertAlign w:val="superscript"/>
                </w:rPr>
                <w:t>(a)</w:t>
              </w:r>
            </w:hyperlink>
            <w:r w:rsidRPr="00E82FE8">
              <w:rPr>
                <w:rFonts w:eastAsia="Times New Roman"/>
                <w:color w:val="auto"/>
                <w:szCs w:val="20"/>
                <w:vertAlign w:val="superscript"/>
              </w:rPr>
              <w:t>,</w:t>
            </w:r>
            <w:hyperlink r:id="rId61" w:anchor="efs28006-note-0013_43" w:tooltip="Link to note" w:history="1">
              <w:r w:rsidRPr="00E82FE8">
                <w:rPr>
                  <w:rStyle w:val="Hyperlink"/>
                  <w:rFonts w:eastAsia="Times New Roman"/>
                  <w:b/>
                  <w:bCs/>
                  <w:color w:val="auto"/>
                  <w:szCs w:val="20"/>
                  <w:u w:val="none"/>
                  <w:vertAlign w:val="superscript"/>
                </w:rPr>
                <w:t>(c)</w:t>
              </w:r>
            </w:hyperlink>
          </w:p>
        </w:tc>
        <w:tc>
          <w:tcPr>
            <w:tcW w:w="2905" w:type="dxa"/>
            <w:tcBorders>
              <w:top w:val="single" w:sz="4" w:space="0" w:color="CCCCCF" w:themeColor="accent5" w:themeTint="66"/>
              <w:bottom w:val="single" w:sz="4" w:space="0" w:color="CCCCCF" w:themeColor="accent5" w:themeTint="66"/>
            </w:tcBorders>
          </w:tcPr>
          <w:p w14:paraId="76F6C401" w14:textId="571C1D06" w:rsidR="002929E0" w:rsidRPr="00E63978" w:rsidRDefault="000A15C0" w:rsidP="00D23059">
            <w:pPr>
              <w:spacing w:before="60" w:line="276" w:lineRule="auto"/>
              <w:jc w:val="center"/>
              <w:rPr>
                <w:rFonts w:eastAsia="Times New Roman"/>
                <w:color w:val="auto"/>
                <w:sz w:val="18"/>
              </w:rPr>
            </w:pPr>
            <w:r>
              <w:rPr>
                <w:rFonts w:eastAsia="Times New Roman"/>
                <w:color w:val="auto"/>
                <w:sz w:val="18"/>
              </w:rPr>
              <w:t>-</w:t>
            </w:r>
          </w:p>
        </w:tc>
      </w:tr>
      <w:tr w:rsidR="002929E0" w14:paraId="7BD23C0D" w14:textId="77777777" w:rsidTr="00DB0900">
        <w:tc>
          <w:tcPr>
            <w:tcW w:w="1829" w:type="dxa"/>
            <w:tcBorders>
              <w:top w:val="single" w:sz="4" w:space="0" w:color="CCCCCF" w:themeColor="accent5" w:themeTint="66"/>
              <w:bottom w:val="single" w:sz="4" w:space="0" w:color="auto"/>
            </w:tcBorders>
            <w:shd w:val="clear" w:color="auto" w:fill="E3F1F7" w:themeFill="accent1" w:themeFillTint="33"/>
          </w:tcPr>
          <w:p w14:paraId="36B787D2" w14:textId="42BAFCEB" w:rsidR="002929E0" w:rsidRDefault="002929E0" w:rsidP="00D23059">
            <w:pPr>
              <w:spacing w:before="60" w:line="276" w:lineRule="auto"/>
              <w:rPr>
                <w:rFonts w:eastAsia="Times New Roman"/>
                <w:i/>
                <w:iCs/>
                <w:color w:val="auto"/>
                <w:sz w:val="18"/>
              </w:rPr>
            </w:pPr>
            <w:r w:rsidRPr="00425F4B">
              <w:rPr>
                <w:rFonts w:eastAsia="Times New Roman"/>
                <w:color w:val="auto"/>
                <w:szCs w:val="20"/>
              </w:rPr>
              <w:t>15–17 years</w:t>
            </w:r>
          </w:p>
        </w:tc>
        <w:tc>
          <w:tcPr>
            <w:tcW w:w="2905" w:type="dxa"/>
            <w:tcBorders>
              <w:top w:val="single" w:sz="4" w:space="0" w:color="CCCCCF" w:themeColor="accent5" w:themeTint="66"/>
              <w:bottom w:val="single" w:sz="4" w:space="0" w:color="auto"/>
            </w:tcBorders>
          </w:tcPr>
          <w:p w14:paraId="39E262C0" w14:textId="1A859831" w:rsidR="002929E0" w:rsidRPr="00E82FE8" w:rsidRDefault="002929E0" w:rsidP="00D23059">
            <w:pPr>
              <w:spacing w:before="60" w:line="276" w:lineRule="auto"/>
              <w:jc w:val="center"/>
              <w:rPr>
                <w:rFonts w:eastAsia="Times New Roman"/>
                <w:i/>
                <w:iCs/>
                <w:color w:val="auto"/>
                <w:sz w:val="18"/>
              </w:rPr>
            </w:pPr>
            <w:r w:rsidRPr="00E82FE8">
              <w:rPr>
                <w:rFonts w:eastAsia="Times New Roman"/>
                <w:color w:val="auto"/>
                <w:szCs w:val="20"/>
              </w:rPr>
              <w:t>20</w:t>
            </w:r>
            <w:hyperlink r:id="rId62" w:anchor="efs28006-note-0012_44" w:tooltip="Link to note" w:history="1">
              <w:r w:rsidRPr="00E82FE8">
                <w:rPr>
                  <w:rStyle w:val="Hyperlink"/>
                  <w:rFonts w:eastAsia="Times New Roman"/>
                  <w:b/>
                  <w:bCs/>
                  <w:color w:val="auto"/>
                  <w:szCs w:val="20"/>
                  <w:u w:val="none"/>
                  <w:vertAlign w:val="superscript"/>
                </w:rPr>
                <w:t>(b)</w:t>
              </w:r>
            </w:hyperlink>
          </w:p>
        </w:tc>
        <w:tc>
          <w:tcPr>
            <w:tcW w:w="2905" w:type="dxa"/>
            <w:tcBorders>
              <w:top w:val="single" w:sz="4" w:space="0" w:color="CCCCCF" w:themeColor="accent5" w:themeTint="66"/>
              <w:bottom w:val="single" w:sz="4" w:space="0" w:color="auto"/>
            </w:tcBorders>
          </w:tcPr>
          <w:p w14:paraId="3CF322F6" w14:textId="16E853DE"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auto"/>
            </w:tcBorders>
          </w:tcPr>
          <w:p w14:paraId="3359B651" w14:textId="3B08AE86" w:rsidR="002929E0" w:rsidRPr="00E82FE8" w:rsidRDefault="000A15C0" w:rsidP="00D23059">
            <w:pPr>
              <w:spacing w:before="60" w:line="276" w:lineRule="auto"/>
              <w:jc w:val="center"/>
              <w:rPr>
                <w:rFonts w:eastAsia="Times New Roman"/>
                <w:i/>
                <w:iCs/>
                <w:color w:val="auto"/>
                <w:sz w:val="18"/>
              </w:rPr>
            </w:pPr>
            <w:r>
              <w:rPr>
                <w:rFonts w:eastAsia="Times New Roman"/>
                <w:i/>
                <w:iCs/>
                <w:color w:val="auto"/>
                <w:sz w:val="18"/>
              </w:rPr>
              <w:t>-</w:t>
            </w:r>
          </w:p>
        </w:tc>
        <w:tc>
          <w:tcPr>
            <w:tcW w:w="2905" w:type="dxa"/>
            <w:tcBorders>
              <w:top w:val="single" w:sz="4" w:space="0" w:color="CCCCCF" w:themeColor="accent5" w:themeTint="66"/>
              <w:bottom w:val="single" w:sz="4" w:space="0" w:color="auto"/>
            </w:tcBorders>
          </w:tcPr>
          <w:p w14:paraId="13B4028B" w14:textId="286F7C4B" w:rsidR="002929E0" w:rsidRPr="00E63978" w:rsidRDefault="002929E0" w:rsidP="00D23059">
            <w:pPr>
              <w:spacing w:before="60" w:line="276" w:lineRule="auto"/>
              <w:jc w:val="center"/>
              <w:rPr>
                <w:rFonts w:eastAsia="Times New Roman"/>
                <w:color w:val="auto"/>
                <w:sz w:val="18"/>
              </w:rPr>
            </w:pPr>
            <w:r w:rsidRPr="00E63978">
              <w:rPr>
                <w:rFonts w:eastAsia="Times New Roman"/>
                <w:color w:val="auto"/>
                <w:sz w:val="18"/>
              </w:rPr>
              <w:t>10.7</w:t>
            </w:r>
            <w:r w:rsidR="00933166" w:rsidRPr="00425F4B">
              <w:rPr>
                <w:rFonts w:eastAsia="Times New Roman"/>
                <w:color w:val="auto"/>
                <w:szCs w:val="20"/>
                <w:vertAlign w:val="superscript"/>
              </w:rPr>
              <w:t>(d)</w:t>
            </w:r>
          </w:p>
        </w:tc>
      </w:tr>
    </w:tbl>
    <w:p w14:paraId="0D2019C0" w14:textId="1DC55820" w:rsidR="00900BAE" w:rsidRPr="00DD0FEF" w:rsidRDefault="0076171F" w:rsidP="00E21917">
      <w:pPr>
        <w:spacing w:before="0" w:line="276" w:lineRule="auto"/>
        <w:rPr>
          <w:rFonts w:eastAsia="Times New Roman"/>
          <w:i/>
          <w:iCs/>
          <w:color w:val="auto"/>
          <w:sz w:val="18"/>
        </w:rPr>
      </w:pPr>
      <w:r w:rsidRPr="0076171F">
        <w:rPr>
          <w:rFonts w:eastAsia="Times New Roman"/>
          <w:b/>
          <w:bCs/>
          <w:i/>
          <w:iCs/>
          <w:color w:val="auto"/>
          <w:sz w:val="18"/>
        </w:rPr>
        <w:t>Abbreviations:</w:t>
      </w:r>
      <w:r>
        <w:rPr>
          <w:rFonts w:eastAsia="Times New Roman"/>
          <w:i/>
          <w:iCs/>
          <w:color w:val="auto"/>
          <w:sz w:val="18"/>
        </w:rPr>
        <w:t xml:space="preserve"> </w:t>
      </w:r>
      <w:proofErr w:type="spellStart"/>
      <w:r w:rsidR="00900BAE" w:rsidRPr="00DD0FEF">
        <w:rPr>
          <w:rFonts w:eastAsia="Times New Roman"/>
          <w:i/>
          <w:iCs/>
          <w:color w:val="auto"/>
          <w:sz w:val="18"/>
        </w:rPr>
        <w:t>nd</w:t>
      </w:r>
      <w:proofErr w:type="spellEnd"/>
      <w:r w:rsidR="00900BAE" w:rsidRPr="00DD0FEF">
        <w:rPr>
          <w:rFonts w:eastAsia="Times New Roman"/>
          <w:i/>
          <w:iCs/>
          <w:color w:val="auto"/>
          <w:sz w:val="18"/>
        </w:rPr>
        <w:t>: not defined; IOM: Institute of Medicine; NHMRC: National Health and Medical Research Council; Australia and New Zealand; SCF: Scientific Committee on Food.</w:t>
      </w:r>
    </w:p>
    <w:p w14:paraId="23888576" w14:textId="77777777" w:rsidR="00900BAE" w:rsidRPr="00DD0FEF" w:rsidRDefault="00900BAE" w:rsidP="00E21917">
      <w:pPr>
        <w:spacing w:before="0" w:line="276" w:lineRule="auto"/>
        <w:rPr>
          <w:rFonts w:eastAsia="Times New Roman"/>
          <w:i/>
          <w:iCs/>
          <w:color w:val="auto"/>
          <w:sz w:val="18"/>
        </w:rPr>
      </w:pPr>
      <w:r w:rsidRPr="00DD0FEF">
        <w:rPr>
          <w:rFonts w:eastAsia="Times New Roman"/>
          <w:i/>
          <w:iCs/>
          <w:color w:val="auto"/>
          <w:sz w:val="18"/>
        </w:rPr>
        <w:t>(a) Extrapolated from the UL for adults on a body size basis and growth considerations (for NHMRC only).</w:t>
      </w:r>
    </w:p>
    <w:p w14:paraId="4774C7E0" w14:textId="77777777" w:rsidR="00900BAE" w:rsidRPr="00DD0FEF" w:rsidRDefault="00900BAE" w:rsidP="00E21917">
      <w:pPr>
        <w:spacing w:before="0" w:line="276" w:lineRule="auto"/>
        <w:rPr>
          <w:rFonts w:eastAsia="Times New Roman"/>
          <w:i/>
          <w:iCs/>
          <w:color w:val="auto"/>
          <w:sz w:val="18"/>
        </w:rPr>
      </w:pPr>
      <w:r w:rsidRPr="00DD0FEF">
        <w:rPr>
          <w:rFonts w:eastAsia="Times New Roman"/>
          <w:i/>
          <w:iCs/>
          <w:color w:val="auto"/>
          <w:sz w:val="18"/>
        </w:rPr>
        <w:t>(b) Extrapolated from the UL for adults on a body weight basis.</w:t>
      </w:r>
    </w:p>
    <w:p w14:paraId="6624A534" w14:textId="77777777" w:rsidR="00900BAE" w:rsidRDefault="00900BAE" w:rsidP="00E21917">
      <w:pPr>
        <w:spacing w:before="0" w:line="276" w:lineRule="auto"/>
        <w:rPr>
          <w:rFonts w:eastAsia="Times New Roman"/>
          <w:i/>
          <w:iCs/>
          <w:color w:val="auto"/>
          <w:sz w:val="18"/>
        </w:rPr>
      </w:pPr>
      <w:r w:rsidRPr="00DD0FEF">
        <w:rPr>
          <w:rFonts w:eastAsia="Times New Roman"/>
          <w:i/>
          <w:iCs/>
          <w:color w:val="auto"/>
          <w:sz w:val="18"/>
        </w:rPr>
        <w:t>(c) Including pregnant and lactating women.</w:t>
      </w:r>
    </w:p>
    <w:p w14:paraId="0EA74D27" w14:textId="4522B463" w:rsidR="0007049C" w:rsidRPr="00DD0FEF" w:rsidRDefault="0007049C" w:rsidP="00E21917">
      <w:pPr>
        <w:spacing w:before="0" w:line="276" w:lineRule="auto"/>
        <w:rPr>
          <w:rFonts w:eastAsia="Times New Roman"/>
          <w:i/>
          <w:iCs/>
          <w:color w:val="auto"/>
          <w:sz w:val="18"/>
        </w:rPr>
      </w:pPr>
      <w:r>
        <w:rPr>
          <w:rFonts w:eastAsia="Times New Roman"/>
          <w:i/>
          <w:iCs/>
          <w:color w:val="auto"/>
          <w:sz w:val="18"/>
        </w:rPr>
        <w:t>(d) E</w:t>
      </w:r>
      <w:r w:rsidRPr="0007049C">
        <w:rPr>
          <w:rFonts w:eastAsia="Times New Roman"/>
          <w:i/>
          <w:iCs/>
          <w:color w:val="auto"/>
          <w:sz w:val="18"/>
        </w:rPr>
        <w:t>xtrapolate</w:t>
      </w:r>
      <w:r>
        <w:rPr>
          <w:rFonts w:eastAsia="Times New Roman"/>
          <w:i/>
          <w:iCs/>
          <w:color w:val="auto"/>
          <w:sz w:val="18"/>
        </w:rPr>
        <w:t>d</w:t>
      </w:r>
      <w:r w:rsidRPr="0007049C">
        <w:rPr>
          <w:rFonts w:eastAsia="Times New Roman"/>
          <w:i/>
          <w:iCs/>
          <w:color w:val="auto"/>
          <w:sz w:val="18"/>
        </w:rPr>
        <w:t xml:space="preserve"> </w:t>
      </w:r>
      <w:r>
        <w:rPr>
          <w:rFonts w:eastAsia="Times New Roman"/>
          <w:i/>
          <w:iCs/>
          <w:color w:val="auto"/>
          <w:sz w:val="18"/>
        </w:rPr>
        <w:t xml:space="preserve">from </w:t>
      </w:r>
      <w:r w:rsidRPr="0007049C">
        <w:rPr>
          <w:rFonts w:eastAsia="Times New Roman"/>
          <w:i/>
          <w:iCs/>
          <w:color w:val="auto"/>
          <w:sz w:val="18"/>
        </w:rPr>
        <w:t xml:space="preserve">the UL </w:t>
      </w:r>
      <w:r>
        <w:rPr>
          <w:rFonts w:eastAsia="Times New Roman"/>
          <w:i/>
          <w:iCs/>
          <w:color w:val="auto"/>
          <w:sz w:val="18"/>
        </w:rPr>
        <w:t>for</w:t>
      </w:r>
      <w:r w:rsidRPr="0007049C">
        <w:rPr>
          <w:rFonts w:eastAsia="Times New Roman"/>
          <w:i/>
          <w:iCs/>
          <w:color w:val="auto"/>
          <w:sz w:val="18"/>
        </w:rPr>
        <w:t xml:space="preserve"> adults </w:t>
      </w:r>
      <w:r w:rsidR="00E21779">
        <w:rPr>
          <w:rFonts w:eastAsia="Times New Roman"/>
          <w:i/>
          <w:iCs/>
          <w:color w:val="auto"/>
          <w:sz w:val="18"/>
        </w:rPr>
        <w:t>using</w:t>
      </w:r>
      <w:r w:rsidRPr="0007049C">
        <w:rPr>
          <w:rFonts w:eastAsia="Times New Roman"/>
          <w:i/>
          <w:iCs/>
          <w:color w:val="auto"/>
          <w:sz w:val="18"/>
        </w:rPr>
        <w:t xml:space="preserve"> allometric scaling (bw</w:t>
      </w:r>
      <w:r w:rsidRPr="0007049C">
        <w:rPr>
          <w:rFonts w:eastAsia="Times New Roman"/>
          <w:i/>
          <w:iCs/>
          <w:color w:val="auto"/>
          <w:sz w:val="18"/>
          <w:vertAlign w:val="superscript"/>
        </w:rPr>
        <w:t>0.75</w:t>
      </w:r>
      <w:r w:rsidRPr="0007049C">
        <w:rPr>
          <w:rFonts w:eastAsia="Times New Roman"/>
          <w:i/>
          <w:iCs/>
          <w:color w:val="auto"/>
          <w:sz w:val="18"/>
        </w:rPr>
        <w:t xml:space="preserve">) </w:t>
      </w:r>
      <w:r w:rsidR="00933166">
        <w:rPr>
          <w:rFonts w:eastAsia="Times New Roman"/>
          <w:i/>
          <w:iCs/>
          <w:color w:val="auto"/>
          <w:sz w:val="18"/>
        </w:rPr>
        <w:t xml:space="preserve">with </w:t>
      </w:r>
      <w:r w:rsidRPr="0007049C">
        <w:rPr>
          <w:rFonts w:eastAsia="Times New Roman"/>
          <w:i/>
          <w:iCs/>
          <w:color w:val="auto"/>
          <w:sz w:val="18"/>
        </w:rPr>
        <w:t>reference body weights</w:t>
      </w:r>
    </w:p>
    <w:p w14:paraId="630EC575" w14:textId="53B2BD1C" w:rsidR="00FD4A76" w:rsidRPr="0076171F" w:rsidRDefault="00BD53CC" w:rsidP="00DD461A">
      <w:pPr>
        <w:spacing w:before="0" w:after="0" w:line="276" w:lineRule="auto"/>
        <w:rPr>
          <w:rFonts w:eastAsia="Times New Roman"/>
          <w:b/>
          <w:bCs/>
          <w:color w:val="auto"/>
          <w:szCs w:val="20"/>
        </w:rPr>
      </w:pPr>
      <w:r w:rsidRPr="0076171F">
        <w:rPr>
          <w:rFonts w:eastAsia="Times New Roman"/>
          <w:b/>
          <w:bCs/>
          <w:color w:val="auto"/>
          <w:szCs w:val="20"/>
        </w:rPr>
        <w:t>Note</w:t>
      </w:r>
      <w:r w:rsidR="00FD4A76" w:rsidRPr="0076171F">
        <w:rPr>
          <w:rFonts w:eastAsia="Times New Roman"/>
          <w:b/>
          <w:bCs/>
          <w:color w:val="auto"/>
          <w:szCs w:val="20"/>
        </w:rPr>
        <w:t>s</w:t>
      </w:r>
      <w:r w:rsidRPr="0076171F">
        <w:rPr>
          <w:rFonts w:eastAsia="Times New Roman"/>
          <w:b/>
          <w:bCs/>
          <w:color w:val="auto"/>
          <w:szCs w:val="20"/>
        </w:rPr>
        <w:t xml:space="preserve">: </w:t>
      </w:r>
    </w:p>
    <w:p w14:paraId="0921C4F4" w14:textId="0BF4B4CA" w:rsidR="00FD4A76" w:rsidRPr="00217AAA" w:rsidRDefault="00FD4A76">
      <w:pPr>
        <w:pStyle w:val="ListParagraph"/>
        <w:numPr>
          <w:ilvl w:val="0"/>
          <w:numId w:val="35"/>
        </w:numPr>
        <w:spacing w:before="0" w:after="0" w:line="276" w:lineRule="auto"/>
        <w:rPr>
          <w:rFonts w:eastAsia="Times New Roman"/>
          <w:color w:val="auto"/>
          <w:szCs w:val="20"/>
        </w:rPr>
      </w:pPr>
      <w:r w:rsidRPr="003F66BB">
        <w:rPr>
          <w:rFonts w:eastAsia="Times New Roman"/>
          <w:color w:val="auto"/>
          <w:sz w:val="18"/>
        </w:rPr>
        <w:t>EVM (2003): UK Expert Group on Vitamins and Minerals and WHO/FAO (2004): World Health Organization/Food and Agriculture Organization did not derive values for child</w:t>
      </w:r>
      <w:r w:rsidR="00217AAA" w:rsidRPr="003F66BB">
        <w:rPr>
          <w:rFonts w:eastAsia="Times New Roman"/>
          <w:color w:val="auto"/>
          <w:sz w:val="18"/>
        </w:rPr>
        <w:t>ren</w:t>
      </w:r>
    </w:p>
    <w:p w14:paraId="6F61FE83" w14:textId="17EA0DD8" w:rsidR="00FE765F" w:rsidRPr="003F66BB" w:rsidRDefault="00BD53CC">
      <w:pPr>
        <w:pStyle w:val="ListParagraph"/>
        <w:numPr>
          <w:ilvl w:val="0"/>
          <w:numId w:val="35"/>
        </w:numPr>
        <w:spacing w:before="0" w:after="0" w:line="276" w:lineRule="auto"/>
        <w:rPr>
          <w:rFonts w:eastAsia="Times New Roman"/>
          <w:color w:val="auto"/>
          <w:szCs w:val="20"/>
        </w:rPr>
      </w:pPr>
      <w:r w:rsidRPr="003F66BB">
        <w:rPr>
          <w:rFonts w:eastAsia="Times New Roman"/>
          <w:color w:val="auto"/>
          <w:szCs w:val="20"/>
        </w:rPr>
        <w:t>Values will be adjusted using a weighted average calculation, to align with the proposed age groupings</w:t>
      </w:r>
      <w:r w:rsidR="00A771E6" w:rsidRPr="003F66BB">
        <w:rPr>
          <w:rFonts w:eastAsia="Times New Roman"/>
          <w:color w:val="auto"/>
          <w:szCs w:val="20"/>
        </w:rPr>
        <w:t xml:space="preserve"> </w:t>
      </w:r>
    </w:p>
    <w:p w14:paraId="72BCFEFD" w14:textId="77777777" w:rsidR="00C13FDC" w:rsidRPr="00962F99" w:rsidRDefault="00C13FDC" w:rsidP="00C13FDC">
      <w:pPr>
        <w:pStyle w:val="Heading5"/>
        <w:shd w:val="clear" w:color="auto" w:fill="005F85" w:themeFill="accent2"/>
        <w:rPr>
          <w:color w:val="FFFFFF" w:themeColor="background1"/>
          <w:sz w:val="22"/>
          <w:szCs w:val="22"/>
        </w:rPr>
      </w:pPr>
      <w:r>
        <w:rPr>
          <w:color w:val="FFFFFF" w:themeColor="background1"/>
          <w:sz w:val="22"/>
          <w:szCs w:val="22"/>
        </w:rPr>
        <w:lastRenderedPageBreak/>
        <w:t>Balance of effects (benefits and harms)</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5670"/>
        <w:gridCol w:w="7779"/>
      </w:tblGrid>
      <w:tr w:rsidR="00C13FDC" w14:paraId="2222A5E5" w14:textId="77777777" w:rsidTr="003C1A09">
        <w:tc>
          <w:tcPr>
            <w:tcW w:w="5670" w:type="dxa"/>
            <w:tcBorders>
              <w:bottom w:val="nil"/>
            </w:tcBorders>
            <w:shd w:val="clear" w:color="auto" w:fill="C8E4EF" w:themeFill="accent1" w:themeFillTint="66"/>
          </w:tcPr>
          <w:p w14:paraId="2BCDF35B" w14:textId="77777777" w:rsidR="00C13FDC" w:rsidRPr="00962F99" w:rsidRDefault="00C13FDC">
            <w:pPr>
              <w:spacing w:line="276" w:lineRule="auto"/>
              <w:rPr>
                <w:rFonts w:eastAsia="Times New Roman" w:cs="Arial"/>
                <w:b/>
                <w:bCs/>
                <w:color w:val="005F85" w:themeColor="accent2"/>
                <w:szCs w:val="20"/>
              </w:rPr>
            </w:pPr>
            <w:r w:rsidRPr="00962F99">
              <w:rPr>
                <w:rFonts w:eastAsia="Times New Roman" w:cs="Arial"/>
                <w:b/>
                <w:bCs/>
                <w:color w:val="005F85" w:themeColor="accent2"/>
                <w:szCs w:val="20"/>
                <w:u w:val="single"/>
              </w:rPr>
              <w:t>OPTION 1</w:t>
            </w:r>
            <w:r w:rsidRPr="00962F99">
              <w:rPr>
                <w:rFonts w:eastAsia="Times New Roman" w:cs="Arial"/>
                <w:b/>
                <w:bCs/>
                <w:color w:val="005F85" w:themeColor="accent2"/>
                <w:szCs w:val="20"/>
              </w:rPr>
              <w:t>:</w:t>
            </w:r>
          </w:p>
          <w:p w14:paraId="16FDA8DA" w14:textId="77777777" w:rsidR="00C13FDC" w:rsidRDefault="00C13FDC">
            <w:pPr>
              <w:spacing w:line="276" w:lineRule="auto"/>
              <w:contextualSpacing/>
              <w:rPr>
                <w:rFonts w:eastAsia="Times New Roman" w:cs="Arial"/>
                <w:b/>
                <w:bCs/>
                <w:color w:val="005F85" w:themeColor="accent2"/>
                <w:szCs w:val="20"/>
              </w:rPr>
            </w:pPr>
            <w:r w:rsidRPr="00962F99">
              <w:rPr>
                <w:rFonts w:eastAsia="Times New Roman" w:cs="Arial"/>
                <w:b/>
                <w:bCs/>
                <w:color w:val="005F85" w:themeColor="accent2"/>
                <w:szCs w:val="20"/>
              </w:rPr>
              <w:t>Maintain current UL recommendations</w:t>
            </w:r>
          </w:p>
          <w:p w14:paraId="1C436EEA" w14:textId="77777777" w:rsidR="00C13FDC" w:rsidRPr="006331B2" w:rsidRDefault="00C13FDC">
            <w:pPr>
              <w:spacing w:line="276" w:lineRule="auto"/>
              <w:contextualSpacing/>
              <w:rPr>
                <w:rFonts w:eastAsia="Times New Roman" w:cs="Arial"/>
                <w:b/>
                <w:bCs/>
                <w:color w:val="005F85" w:themeColor="accent2"/>
                <w:szCs w:val="20"/>
              </w:rPr>
            </w:pPr>
          </w:p>
        </w:tc>
        <w:tc>
          <w:tcPr>
            <w:tcW w:w="7779" w:type="dxa"/>
            <w:tcBorders>
              <w:bottom w:val="nil"/>
            </w:tcBorders>
            <w:shd w:val="clear" w:color="auto" w:fill="C8E4EF" w:themeFill="accent1" w:themeFillTint="66"/>
          </w:tcPr>
          <w:p w14:paraId="6202D7EE" w14:textId="77777777" w:rsidR="00C13FDC" w:rsidRDefault="00C13FDC">
            <w:r w:rsidRPr="00962F99">
              <w:rPr>
                <w:rFonts w:eastAsia="Times New Roman" w:cs="Arial"/>
                <w:b/>
                <w:bCs/>
                <w:color w:val="005F85" w:themeColor="accent2"/>
                <w:szCs w:val="20"/>
                <w:u w:val="single"/>
              </w:rPr>
              <w:t>OPTION 2</w:t>
            </w:r>
            <w:r w:rsidRPr="00962F99">
              <w:rPr>
                <w:rFonts w:eastAsia="Times New Roman" w:cs="Arial"/>
                <w:b/>
                <w:bCs/>
                <w:color w:val="005F85" w:themeColor="accent2"/>
                <w:szCs w:val="20"/>
              </w:rPr>
              <w:t>:</w:t>
            </w:r>
            <w:r w:rsidRPr="00962F99">
              <w:rPr>
                <w:rFonts w:eastAsia="Times New Roman" w:cs="Arial"/>
                <w:b/>
                <w:bCs/>
                <w:color w:val="005F85" w:themeColor="accent2"/>
                <w:szCs w:val="20"/>
              </w:rPr>
              <w:br/>
            </w:r>
            <w:r>
              <w:rPr>
                <w:rFonts w:eastAsia="Times New Roman" w:cs="Arial"/>
                <w:b/>
                <w:color w:val="005F85" w:themeColor="accent2"/>
                <w:szCs w:val="20"/>
              </w:rPr>
              <w:t>Decrease the UL</w:t>
            </w:r>
          </w:p>
        </w:tc>
      </w:tr>
      <w:tr w:rsidR="00C13FDC" w14:paraId="1AE2FB0F" w14:textId="77777777" w:rsidTr="003C1A09">
        <w:tc>
          <w:tcPr>
            <w:tcW w:w="5670" w:type="dxa"/>
            <w:tcBorders>
              <w:top w:val="nil"/>
              <w:bottom w:val="single" w:sz="4" w:space="0" w:color="auto"/>
            </w:tcBorders>
          </w:tcPr>
          <w:p w14:paraId="08129B42" w14:textId="77777777" w:rsidR="00660741" w:rsidRPr="00660741" w:rsidRDefault="00C13FDC" w:rsidP="00660741">
            <w:pPr>
              <w:spacing w:after="160" w:line="276" w:lineRule="auto"/>
              <w:ind w:right="34"/>
              <w:rPr>
                <w:rFonts w:eastAsia="Times New Roman" w:cs="Calibri"/>
              </w:rPr>
            </w:pPr>
            <w:r w:rsidRPr="00660741">
              <w:rPr>
                <w:color w:val="C00000"/>
              </w:rPr>
              <w:tab/>
            </w:r>
            <w:r w:rsidR="00660741" w:rsidRPr="00660741">
              <w:rPr>
                <w:rFonts w:eastAsia="Times New Roman" w:cs="Calibri"/>
              </w:rPr>
              <w:t>There is no evidence to suggest that the current ULs for children are not protective of most individuals in the general population of Australia and New Zealand.</w:t>
            </w:r>
          </w:p>
          <w:p w14:paraId="2409727D" w14:textId="7E63B0B8" w:rsidR="00C13FDC" w:rsidRDefault="00660741" w:rsidP="00660741">
            <w:pPr>
              <w:spacing w:line="276" w:lineRule="auto"/>
              <w:rPr>
                <w:rFonts w:eastAsia="Times New Roman" w:cs="Calibri"/>
              </w:rPr>
            </w:pPr>
            <w:r w:rsidRPr="00660741">
              <w:rPr>
                <w:rFonts w:eastAsia="Times New Roman" w:cs="Calibri"/>
              </w:rPr>
              <w:t xml:space="preserve">There is no evidence to suggest that peripheral neuropathy </w:t>
            </w:r>
            <w:r w:rsidR="00417AA9">
              <w:rPr>
                <w:rFonts w:eastAsia="Times New Roman" w:cs="Calibri"/>
              </w:rPr>
              <w:t xml:space="preserve">is </w:t>
            </w:r>
            <w:r w:rsidRPr="00660741">
              <w:rPr>
                <w:rFonts w:eastAsia="Times New Roman" w:cs="Calibri"/>
              </w:rPr>
              <w:t>a public health concern for children in Australia or New Zealand.</w:t>
            </w:r>
          </w:p>
          <w:p w14:paraId="1EE32DF6" w14:textId="77777777" w:rsidR="003C1A09" w:rsidRDefault="003C1A09" w:rsidP="00660741">
            <w:pPr>
              <w:spacing w:line="276" w:lineRule="auto"/>
              <w:rPr>
                <w:rFonts w:eastAsia="Times New Roman" w:cs="Calibri"/>
              </w:rPr>
            </w:pPr>
          </w:p>
          <w:p w14:paraId="683EDA6D" w14:textId="4E4E69D4" w:rsidR="003C1A09" w:rsidRPr="00660741" w:rsidRDefault="003C1A09" w:rsidP="00660741">
            <w:pPr>
              <w:spacing w:line="276" w:lineRule="auto"/>
              <w:rPr>
                <w:color w:val="C00000"/>
              </w:rPr>
            </w:pPr>
            <w:r w:rsidRPr="00B9666A">
              <w:rPr>
                <w:i/>
                <w:iCs/>
                <w:color w:val="auto"/>
              </w:rPr>
              <w:t>As values for children are extrapolated from adult values,</w:t>
            </w:r>
            <w:r>
              <w:rPr>
                <w:rFonts w:eastAsia="Times New Roman" w:cs="Arial"/>
                <w:i/>
                <w:iCs/>
                <w:szCs w:val="20"/>
              </w:rPr>
              <w:t xml:space="preserve"> see the balance of effects for adults.</w:t>
            </w:r>
          </w:p>
          <w:p w14:paraId="180111F3" w14:textId="77777777" w:rsidR="009B2E9C" w:rsidRPr="00AF519D" w:rsidRDefault="009B2E9C">
            <w:pPr>
              <w:spacing w:line="276" w:lineRule="auto"/>
              <w:rPr>
                <w:color w:val="C00000"/>
              </w:rPr>
            </w:pPr>
          </w:p>
        </w:tc>
        <w:tc>
          <w:tcPr>
            <w:tcW w:w="7779" w:type="dxa"/>
            <w:tcBorders>
              <w:top w:val="nil"/>
              <w:bottom w:val="single" w:sz="4" w:space="0" w:color="auto"/>
            </w:tcBorders>
          </w:tcPr>
          <w:p w14:paraId="7660ED25" w14:textId="0E42D816" w:rsidR="00FD5CAD" w:rsidRDefault="00FD5CAD" w:rsidP="00FD5CAD">
            <w:pPr>
              <w:spacing w:line="276" w:lineRule="auto"/>
              <w:rPr>
                <w:rFonts w:eastAsia="Times New Roman" w:cs="Calibri"/>
              </w:rPr>
            </w:pPr>
            <w:r w:rsidRPr="00660741">
              <w:rPr>
                <w:rFonts w:eastAsia="Times New Roman" w:cs="Calibri"/>
              </w:rPr>
              <w:t xml:space="preserve">There is no evidence to suggest that peripheral neuropathy </w:t>
            </w:r>
            <w:r>
              <w:rPr>
                <w:rFonts w:eastAsia="Times New Roman" w:cs="Calibri"/>
              </w:rPr>
              <w:t xml:space="preserve">is </w:t>
            </w:r>
            <w:r w:rsidRPr="00660741">
              <w:rPr>
                <w:rFonts w:eastAsia="Times New Roman" w:cs="Calibri"/>
              </w:rPr>
              <w:t>a public health concern for children in Australia or New Zealand.</w:t>
            </w:r>
            <w:r>
              <w:rPr>
                <w:rFonts w:eastAsia="Times New Roman" w:cs="Calibri"/>
              </w:rPr>
              <w:t xml:space="preserve"> </w:t>
            </w:r>
            <w:r w:rsidR="00F0496F">
              <w:rPr>
                <w:rFonts w:eastAsia="Times New Roman" w:cs="Calibri"/>
              </w:rPr>
              <w:t xml:space="preserve">This </w:t>
            </w:r>
            <w:r w:rsidR="0052599D">
              <w:rPr>
                <w:rFonts w:eastAsia="Times New Roman" w:cs="Calibri"/>
              </w:rPr>
              <w:t>could</w:t>
            </w:r>
            <w:r w:rsidR="00F0496F">
              <w:rPr>
                <w:rFonts w:eastAsia="Times New Roman" w:cs="Calibri"/>
              </w:rPr>
              <w:t xml:space="preserve"> be </w:t>
            </w:r>
            <w:r w:rsidR="007C6007">
              <w:rPr>
                <w:rFonts w:eastAsia="Times New Roman" w:cs="Calibri"/>
              </w:rPr>
              <w:t xml:space="preserve">because </w:t>
            </w:r>
            <w:r w:rsidR="0052599D" w:rsidRPr="0052599D">
              <w:rPr>
                <w:rFonts w:eastAsia="Times New Roman" w:cs="Calibri"/>
              </w:rPr>
              <w:t>children may be less likely to consume products</w:t>
            </w:r>
            <w:r w:rsidR="00D37E97">
              <w:rPr>
                <w:rFonts w:eastAsia="Times New Roman" w:cs="Calibri"/>
              </w:rPr>
              <w:t xml:space="preserve"> containing high levels of vitamin B6, and less like to consume multiple </w:t>
            </w:r>
            <w:r w:rsidR="00441ECE">
              <w:rPr>
                <w:rFonts w:eastAsia="Times New Roman" w:cs="Calibri"/>
              </w:rPr>
              <w:t xml:space="preserve">vitamin B6 containing supplements or </w:t>
            </w:r>
            <w:r w:rsidR="00B94DFF">
              <w:rPr>
                <w:rFonts w:eastAsia="Times New Roman" w:cs="Calibri"/>
              </w:rPr>
              <w:t>supplemented food</w:t>
            </w:r>
            <w:r w:rsidR="0000661B">
              <w:rPr>
                <w:rFonts w:eastAsia="Times New Roman" w:cs="Calibri"/>
              </w:rPr>
              <w:t xml:space="preserve"> products.</w:t>
            </w:r>
          </w:p>
          <w:p w14:paraId="7F769F05" w14:textId="71DC6D6B" w:rsidR="00FD5CAD" w:rsidRPr="00C70A49" w:rsidRDefault="00FD5CAD" w:rsidP="00FD5CAD">
            <w:pPr>
              <w:rPr>
                <w:rFonts w:eastAsia="Times New Roman" w:cs="Calibri"/>
                <w:color w:val="auto"/>
              </w:rPr>
            </w:pPr>
            <w:r w:rsidRPr="00C70A49">
              <w:rPr>
                <w:rFonts w:eastAsia="Times New Roman" w:cs="Calibri"/>
                <w:color w:val="auto"/>
              </w:rPr>
              <w:t>Among Australian children aged 2–17 years 19.2% males and 18.0% females took a supplement</w:t>
            </w:r>
            <w:r w:rsidR="00B318A6">
              <w:rPr>
                <w:rFonts w:eastAsia="Times New Roman" w:cs="Calibri"/>
                <w:color w:val="auto"/>
              </w:rPr>
              <w:t xml:space="preserve"> </w:t>
            </w:r>
            <w:r w:rsidR="0045011E">
              <w:rPr>
                <w:rFonts w:eastAsia="Times New Roman" w:cs="Calibri"/>
                <w:noProof/>
                <w:color w:val="auto"/>
              </w:rPr>
              <w:t>(ABS, 2025)</w:t>
            </w:r>
            <w:r w:rsidRPr="00C70A49">
              <w:rPr>
                <w:rFonts w:eastAsia="Times New Roman" w:cs="Calibri"/>
                <w:color w:val="auto"/>
              </w:rPr>
              <w:t>.</w:t>
            </w:r>
          </w:p>
          <w:p w14:paraId="7A1C6D96" w14:textId="77777777" w:rsidR="00042E57" w:rsidRDefault="00042E57" w:rsidP="00042E57">
            <w:pPr>
              <w:rPr>
                <w:color w:val="auto"/>
              </w:rPr>
            </w:pPr>
            <w:r w:rsidRPr="0031285B">
              <w:rPr>
                <w:color w:val="auto"/>
              </w:rPr>
              <w:t>Decreasing the level is more protective of the population</w:t>
            </w:r>
            <w:r>
              <w:rPr>
                <w:color w:val="auto"/>
              </w:rPr>
              <w:t>, and more consistent with recent international values.</w:t>
            </w:r>
          </w:p>
          <w:p w14:paraId="7C1A6008" w14:textId="24DCE4B1" w:rsidR="00C13FDC" w:rsidRPr="00AF519D" w:rsidRDefault="00DF2FA9">
            <w:pPr>
              <w:rPr>
                <w:color w:val="C00000"/>
              </w:rPr>
            </w:pPr>
            <w:r w:rsidRPr="00B9666A">
              <w:rPr>
                <w:i/>
                <w:iCs/>
                <w:color w:val="auto"/>
              </w:rPr>
              <w:t>As values for children are extrapolated from adult values,</w:t>
            </w:r>
            <w:r>
              <w:rPr>
                <w:rFonts w:eastAsia="Times New Roman" w:cs="Arial"/>
                <w:i/>
                <w:iCs/>
                <w:szCs w:val="20"/>
              </w:rPr>
              <w:t xml:space="preserve"> </w:t>
            </w:r>
            <w:r w:rsidR="006541CB">
              <w:rPr>
                <w:rFonts w:eastAsia="Times New Roman" w:cs="Arial"/>
                <w:i/>
                <w:iCs/>
                <w:szCs w:val="20"/>
              </w:rPr>
              <w:t xml:space="preserve">see the </w:t>
            </w:r>
            <w:r>
              <w:rPr>
                <w:rFonts w:eastAsia="Times New Roman" w:cs="Arial"/>
                <w:i/>
                <w:iCs/>
                <w:szCs w:val="20"/>
              </w:rPr>
              <w:t xml:space="preserve">balance of effects for </w:t>
            </w:r>
            <w:r w:rsidR="006541CB">
              <w:rPr>
                <w:rFonts w:eastAsia="Times New Roman" w:cs="Arial"/>
                <w:i/>
                <w:iCs/>
                <w:szCs w:val="20"/>
              </w:rPr>
              <w:t>adults.</w:t>
            </w:r>
            <w:r w:rsidRPr="00416DF4">
              <w:rPr>
                <w:rFonts w:eastAsia="Times New Roman" w:cs="Arial"/>
                <w:i/>
                <w:iCs/>
                <w:szCs w:val="20"/>
              </w:rPr>
              <w:t xml:space="preserve"> </w:t>
            </w:r>
          </w:p>
        </w:tc>
      </w:tr>
    </w:tbl>
    <w:p w14:paraId="631D4BC6" w14:textId="08415CFD" w:rsidR="00AB5994" w:rsidRPr="00AB33DD" w:rsidRDefault="00AB5994" w:rsidP="00AB5994">
      <w:pPr>
        <w:shd w:val="clear" w:color="auto" w:fill="DEDDEC" w:themeFill="accent4" w:themeFillTint="33"/>
        <w:rPr>
          <w:i/>
          <w:iCs/>
          <w:color w:val="auto"/>
        </w:rPr>
      </w:pPr>
      <w:r w:rsidRPr="00AB5994">
        <w:rPr>
          <w:b/>
          <w:bCs/>
          <w:color w:val="00596A" w:themeColor="accent6" w:themeTint="E6"/>
        </w:rPr>
        <w:t>Additional considerations:</w:t>
      </w:r>
      <w:r w:rsidRPr="00AB33DD">
        <w:rPr>
          <w:b/>
          <w:bCs/>
          <w:color w:val="auto"/>
        </w:rPr>
        <w:t xml:space="preserve"> </w:t>
      </w:r>
      <w:r w:rsidRPr="00AB33DD">
        <w:rPr>
          <w:i/>
          <w:iCs/>
          <w:color w:val="auto"/>
        </w:rPr>
        <w:t>Committee input not captured in research evidence</w:t>
      </w:r>
      <w:r w:rsidR="003C1A09">
        <w:rPr>
          <w:i/>
          <w:iCs/>
          <w:color w:val="auto"/>
        </w:rPr>
        <w:t xml:space="preserve"> (note: </w:t>
      </w:r>
      <w:r w:rsidR="003C1A09" w:rsidRPr="009B2E9C">
        <w:rPr>
          <w:i/>
          <w:iCs/>
        </w:rPr>
        <w:t xml:space="preserve">there may be </w:t>
      </w:r>
      <w:r w:rsidR="009C24BB">
        <w:rPr>
          <w:i/>
          <w:iCs/>
        </w:rPr>
        <w:t>in</w:t>
      </w:r>
      <w:r w:rsidR="003C1A09" w:rsidRPr="009B2E9C">
        <w:rPr>
          <w:i/>
          <w:iCs/>
        </w:rPr>
        <w:t>sufficient evidence to commen</w:t>
      </w:r>
      <w:r w:rsidR="003C1A09">
        <w:rPr>
          <w:i/>
          <w:iCs/>
        </w:rPr>
        <w:t>t</w:t>
      </w:r>
      <w:r w:rsidR="003C1A09">
        <w:rPr>
          <w:i/>
          <w:iCs/>
          <w:color w:val="auto"/>
        </w:rPr>
        <w:t>)</w:t>
      </w:r>
    </w:p>
    <w:p w14:paraId="75F0D10E" w14:textId="2C1E2F42" w:rsidR="00AB5994" w:rsidRPr="00AB33DD" w:rsidRDefault="003C1A09" w:rsidP="00AB33DD">
      <w:pPr>
        <w:pStyle w:val="ListParagraph"/>
        <w:numPr>
          <w:ilvl w:val="0"/>
          <w:numId w:val="46"/>
        </w:numPr>
        <w:rPr>
          <w:i/>
          <w:iCs/>
          <w:color w:val="auto"/>
        </w:rPr>
      </w:pPr>
      <w:r>
        <w:rPr>
          <w:i/>
          <w:iCs/>
          <w:color w:val="auto"/>
        </w:rPr>
        <w:t>none discussed</w:t>
      </w:r>
    </w:p>
    <w:p w14:paraId="10C63483" w14:textId="45D190F3" w:rsidR="00C13FDC" w:rsidRPr="00962F99" w:rsidRDefault="00C13FDC" w:rsidP="00C13FDC">
      <w:pPr>
        <w:pStyle w:val="Heading5"/>
        <w:shd w:val="clear" w:color="auto" w:fill="005F85" w:themeFill="accent2"/>
        <w:rPr>
          <w:color w:val="FFFFFF" w:themeColor="background1"/>
          <w:sz w:val="22"/>
          <w:szCs w:val="22"/>
        </w:rPr>
      </w:pPr>
      <w:r>
        <w:rPr>
          <w:color w:val="FFFFFF" w:themeColor="background1"/>
          <w:sz w:val="22"/>
          <w:szCs w:val="22"/>
        </w:rPr>
        <w:t>Certainty of the evidence</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6521"/>
        <w:gridCol w:w="6928"/>
      </w:tblGrid>
      <w:tr w:rsidR="00C13FDC" w14:paraId="44DA3A36" w14:textId="77777777" w:rsidTr="004113AA">
        <w:tc>
          <w:tcPr>
            <w:tcW w:w="6521" w:type="dxa"/>
            <w:tcBorders>
              <w:bottom w:val="nil"/>
            </w:tcBorders>
            <w:shd w:val="clear" w:color="auto" w:fill="C8E4EF" w:themeFill="accent1" w:themeFillTint="66"/>
          </w:tcPr>
          <w:p w14:paraId="1ED932B3" w14:textId="77777777" w:rsidR="00C13FDC" w:rsidRPr="00962F99" w:rsidRDefault="00C13FDC">
            <w:pPr>
              <w:spacing w:line="276" w:lineRule="auto"/>
              <w:rPr>
                <w:rFonts w:eastAsia="Times New Roman" w:cs="Arial"/>
                <w:b/>
                <w:bCs/>
                <w:color w:val="005F85" w:themeColor="accent2"/>
                <w:szCs w:val="20"/>
              </w:rPr>
            </w:pPr>
            <w:r w:rsidRPr="00962F99">
              <w:rPr>
                <w:rFonts w:eastAsia="Times New Roman" w:cs="Arial"/>
                <w:b/>
                <w:bCs/>
                <w:color w:val="005F85" w:themeColor="accent2"/>
                <w:szCs w:val="20"/>
                <w:u w:val="single"/>
              </w:rPr>
              <w:t>OPTION 1</w:t>
            </w:r>
            <w:r w:rsidRPr="00962F99">
              <w:rPr>
                <w:rFonts w:eastAsia="Times New Roman" w:cs="Arial"/>
                <w:b/>
                <w:bCs/>
                <w:color w:val="005F85" w:themeColor="accent2"/>
                <w:szCs w:val="20"/>
              </w:rPr>
              <w:t>:</w:t>
            </w:r>
          </w:p>
          <w:p w14:paraId="38D1BF84" w14:textId="2463E890" w:rsidR="00C13FDC" w:rsidRPr="009C24BB" w:rsidRDefault="00C13FDC" w:rsidP="009C24BB">
            <w:pPr>
              <w:spacing w:line="276" w:lineRule="auto"/>
              <w:contextualSpacing/>
              <w:rPr>
                <w:rFonts w:eastAsia="Times New Roman" w:cs="Arial"/>
                <w:b/>
                <w:bCs/>
                <w:color w:val="005F85" w:themeColor="accent2"/>
                <w:szCs w:val="20"/>
              </w:rPr>
            </w:pPr>
            <w:r w:rsidRPr="00962F99">
              <w:rPr>
                <w:rFonts w:eastAsia="Times New Roman" w:cs="Arial"/>
                <w:b/>
                <w:bCs/>
                <w:color w:val="005F85" w:themeColor="accent2"/>
                <w:szCs w:val="20"/>
              </w:rPr>
              <w:t>Maintain current UL recommendations</w:t>
            </w:r>
          </w:p>
        </w:tc>
        <w:tc>
          <w:tcPr>
            <w:tcW w:w="6928" w:type="dxa"/>
            <w:tcBorders>
              <w:bottom w:val="nil"/>
            </w:tcBorders>
            <w:shd w:val="clear" w:color="auto" w:fill="C8E4EF" w:themeFill="accent1" w:themeFillTint="66"/>
          </w:tcPr>
          <w:p w14:paraId="61ACFFB2" w14:textId="77777777" w:rsidR="00C13FDC" w:rsidRDefault="00C13FDC">
            <w:r w:rsidRPr="00962F99">
              <w:rPr>
                <w:rFonts w:eastAsia="Times New Roman" w:cs="Arial"/>
                <w:b/>
                <w:bCs/>
                <w:color w:val="005F85" w:themeColor="accent2"/>
                <w:szCs w:val="20"/>
                <w:u w:val="single"/>
              </w:rPr>
              <w:t>OPTION 2</w:t>
            </w:r>
            <w:r w:rsidRPr="00962F99">
              <w:rPr>
                <w:rFonts w:eastAsia="Times New Roman" w:cs="Arial"/>
                <w:b/>
                <w:bCs/>
                <w:color w:val="005F85" w:themeColor="accent2"/>
                <w:szCs w:val="20"/>
              </w:rPr>
              <w:t>:</w:t>
            </w:r>
            <w:r w:rsidRPr="00962F99">
              <w:rPr>
                <w:rFonts w:eastAsia="Times New Roman" w:cs="Arial"/>
                <w:b/>
                <w:bCs/>
                <w:color w:val="005F85" w:themeColor="accent2"/>
                <w:szCs w:val="20"/>
              </w:rPr>
              <w:br/>
            </w:r>
            <w:r>
              <w:rPr>
                <w:rFonts w:eastAsia="Times New Roman" w:cs="Arial"/>
                <w:b/>
                <w:color w:val="005F85" w:themeColor="accent2"/>
                <w:szCs w:val="20"/>
              </w:rPr>
              <w:t>Decrease the UL</w:t>
            </w:r>
          </w:p>
        </w:tc>
      </w:tr>
      <w:tr w:rsidR="00C13FDC" w14:paraId="6FC687FC" w14:textId="77777777" w:rsidTr="003C1A09">
        <w:trPr>
          <w:trHeight w:val="806"/>
        </w:trPr>
        <w:tc>
          <w:tcPr>
            <w:tcW w:w="6521" w:type="dxa"/>
            <w:tcBorders>
              <w:top w:val="nil"/>
              <w:bottom w:val="single" w:sz="4" w:space="0" w:color="auto"/>
            </w:tcBorders>
          </w:tcPr>
          <w:p w14:paraId="3FA9B057" w14:textId="060DAD0C" w:rsidR="009B2E9C" w:rsidRPr="00AF519D" w:rsidRDefault="00D4265D">
            <w:pPr>
              <w:spacing w:line="276" w:lineRule="auto"/>
              <w:rPr>
                <w:color w:val="C00000"/>
              </w:rPr>
            </w:pPr>
            <w:r w:rsidRPr="00B9666A">
              <w:rPr>
                <w:i/>
                <w:iCs/>
                <w:color w:val="auto"/>
              </w:rPr>
              <w:t xml:space="preserve">As values for children are extrapolated from adult values, see the certainty of the evidence statement </w:t>
            </w:r>
            <w:r w:rsidR="00992BC1">
              <w:rPr>
                <w:i/>
                <w:iCs/>
                <w:color w:val="auto"/>
              </w:rPr>
              <w:t>for</w:t>
            </w:r>
            <w:r w:rsidRPr="00B9666A">
              <w:rPr>
                <w:i/>
                <w:iCs/>
                <w:color w:val="auto"/>
              </w:rPr>
              <w:t xml:space="preserve"> adult</w:t>
            </w:r>
            <w:r w:rsidR="006541CB">
              <w:rPr>
                <w:i/>
                <w:iCs/>
                <w:color w:val="auto"/>
              </w:rPr>
              <w:t>s</w:t>
            </w:r>
            <w:r w:rsidRPr="00B9666A">
              <w:rPr>
                <w:i/>
                <w:iCs/>
                <w:color w:val="auto"/>
              </w:rPr>
              <w:t xml:space="preserve"> </w:t>
            </w:r>
          </w:p>
        </w:tc>
        <w:tc>
          <w:tcPr>
            <w:tcW w:w="6928" w:type="dxa"/>
            <w:tcBorders>
              <w:top w:val="nil"/>
              <w:bottom w:val="single" w:sz="4" w:space="0" w:color="auto"/>
            </w:tcBorders>
          </w:tcPr>
          <w:p w14:paraId="5D03A464" w14:textId="2548DAF5" w:rsidR="00C13FDC" w:rsidRPr="00B9666A" w:rsidRDefault="00267339">
            <w:pPr>
              <w:rPr>
                <w:i/>
                <w:iCs/>
                <w:color w:val="C00000"/>
              </w:rPr>
            </w:pPr>
            <w:r w:rsidRPr="00B9666A">
              <w:rPr>
                <w:i/>
                <w:iCs/>
                <w:color w:val="auto"/>
              </w:rPr>
              <w:t xml:space="preserve">As values for children are extrapolated from adult values, </w:t>
            </w:r>
            <w:r w:rsidR="00B9666A" w:rsidRPr="00B9666A">
              <w:rPr>
                <w:i/>
                <w:iCs/>
                <w:color w:val="auto"/>
              </w:rPr>
              <w:t>s</w:t>
            </w:r>
            <w:r w:rsidRPr="00B9666A">
              <w:rPr>
                <w:i/>
                <w:iCs/>
                <w:color w:val="auto"/>
              </w:rPr>
              <w:t xml:space="preserve">ee </w:t>
            </w:r>
            <w:r w:rsidR="00B9666A" w:rsidRPr="00B9666A">
              <w:rPr>
                <w:i/>
                <w:iCs/>
                <w:color w:val="auto"/>
              </w:rPr>
              <w:t xml:space="preserve">the certainty of the evidence statement </w:t>
            </w:r>
            <w:r w:rsidR="00992BC1">
              <w:rPr>
                <w:i/>
                <w:iCs/>
                <w:color w:val="auto"/>
              </w:rPr>
              <w:t>for</w:t>
            </w:r>
            <w:r w:rsidR="00B9666A" w:rsidRPr="00B9666A">
              <w:rPr>
                <w:i/>
                <w:iCs/>
                <w:color w:val="auto"/>
              </w:rPr>
              <w:t xml:space="preserve"> </w:t>
            </w:r>
            <w:r w:rsidRPr="00B9666A">
              <w:rPr>
                <w:i/>
                <w:iCs/>
                <w:color w:val="auto"/>
              </w:rPr>
              <w:t>adult</w:t>
            </w:r>
            <w:r w:rsidR="006541CB">
              <w:rPr>
                <w:i/>
                <w:iCs/>
                <w:color w:val="auto"/>
              </w:rPr>
              <w:t>s</w:t>
            </w:r>
            <w:r w:rsidRPr="00B9666A">
              <w:rPr>
                <w:i/>
                <w:iCs/>
                <w:color w:val="auto"/>
              </w:rPr>
              <w:t xml:space="preserve"> </w:t>
            </w:r>
          </w:p>
        </w:tc>
      </w:tr>
    </w:tbl>
    <w:p w14:paraId="13AFA067" w14:textId="4E98F9E0" w:rsidR="004113AA" w:rsidRPr="00AB33DD" w:rsidRDefault="004113AA" w:rsidP="004113AA">
      <w:pPr>
        <w:shd w:val="clear" w:color="auto" w:fill="DEDDEC" w:themeFill="accent4" w:themeFillTint="33"/>
        <w:rPr>
          <w:i/>
          <w:iCs/>
          <w:color w:val="auto"/>
        </w:rPr>
      </w:pPr>
      <w:r w:rsidRPr="004113AA">
        <w:rPr>
          <w:b/>
          <w:bCs/>
          <w:color w:val="00596A" w:themeColor="accent6" w:themeTint="E6"/>
        </w:rPr>
        <w:t>Additional considerations</w:t>
      </w:r>
      <w:r w:rsidRPr="00AB33DD">
        <w:rPr>
          <w:b/>
          <w:bCs/>
          <w:color w:val="auto"/>
        </w:rPr>
        <w:t xml:space="preserve">: </w:t>
      </w:r>
      <w:r w:rsidRPr="00AB33DD">
        <w:rPr>
          <w:i/>
          <w:iCs/>
          <w:color w:val="auto"/>
        </w:rPr>
        <w:t>Committee input not captured in research evidence</w:t>
      </w:r>
      <w:r w:rsidR="003C1A09">
        <w:rPr>
          <w:i/>
          <w:iCs/>
          <w:color w:val="auto"/>
        </w:rPr>
        <w:t xml:space="preserve"> (note: </w:t>
      </w:r>
      <w:r w:rsidR="003C1A09" w:rsidRPr="009B2E9C">
        <w:rPr>
          <w:i/>
          <w:iCs/>
        </w:rPr>
        <w:t xml:space="preserve">there may be </w:t>
      </w:r>
      <w:r w:rsidR="009C24BB">
        <w:rPr>
          <w:i/>
          <w:iCs/>
        </w:rPr>
        <w:t>in</w:t>
      </w:r>
      <w:r w:rsidR="003C1A09" w:rsidRPr="009B2E9C">
        <w:rPr>
          <w:i/>
          <w:iCs/>
        </w:rPr>
        <w:t>sufficient evidence to commen</w:t>
      </w:r>
      <w:r w:rsidR="003C1A09">
        <w:rPr>
          <w:i/>
          <w:iCs/>
        </w:rPr>
        <w:t>t</w:t>
      </w:r>
      <w:r w:rsidR="003C1A09">
        <w:rPr>
          <w:i/>
          <w:iCs/>
          <w:color w:val="auto"/>
        </w:rPr>
        <w:t>)</w:t>
      </w:r>
    </w:p>
    <w:p w14:paraId="53A94BA9" w14:textId="681A822B" w:rsidR="004113AA" w:rsidRPr="003C1A09" w:rsidRDefault="003C1A09" w:rsidP="003C1A09">
      <w:pPr>
        <w:pStyle w:val="ListParagraph"/>
        <w:numPr>
          <w:ilvl w:val="0"/>
          <w:numId w:val="46"/>
        </w:numPr>
        <w:rPr>
          <w:i/>
          <w:iCs/>
          <w:color w:val="auto"/>
        </w:rPr>
      </w:pPr>
      <w:r>
        <w:rPr>
          <w:i/>
          <w:iCs/>
          <w:color w:val="auto"/>
        </w:rPr>
        <w:t>none discussed</w:t>
      </w:r>
    </w:p>
    <w:p w14:paraId="51B8BB48" w14:textId="62A4202A" w:rsidR="00C34599" w:rsidRPr="00962F99" w:rsidRDefault="00C34599" w:rsidP="00C34599">
      <w:pPr>
        <w:pStyle w:val="Heading5"/>
        <w:shd w:val="clear" w:color="auto" w:fill="005F85" w:themeFill="accent2"/>
        <w:rPr>
          <w:color w:val="FFFFFF" w:themeColor="background1"/>
          <w:sz w:val="22"/>
          <w:szCs w:val="22"/>
        </w:rPr>
      </w:pPr>
      <w:r>
        <w:rPr>
          <w:color w:val="FFFFFF" w:themeColor="background1"/>
          <w:sz w:val="22"/>
          <w:szCs w:val="22"/>
        </w:rPr>
        <w:t>Values</w:t>
      </w:r>
      <w:r w:rsidR="001A033E">
        <w:rPr>
          <w:color w:val="FFFFFF" w:themeColor="background1"/>
          <w:sz w:val="22"/>
          <w:szCs w:val="22"/>
        </w:rPr>
        <w:t xml:space="preserve"> and </w:t>
      </w:r>
      <w:r>
        <w:rPr>
          <w:color w:val="FFFFFF" w:themeColor="background1"/>
          <w:sz w:val="22"/>
          <w:szCs w:val="22"/>
        </w:rPr>
        <w:t xml:space="preserve">preferences (consumers, communities) </w:t>
      </w:r>
    </w:p>
    <w:p w14:paraId="1DB24EE1" w14:textId="77777777" w:rsidR="006279D8" w:rsidRPr="00D4265D" w:rsidRDefault="006279D8" w:rsidP="006279D8">
      <w:pPr>
        <w:spacing w:line="276" w:lineRule="auto"/>
        <w:rPr>
          <w:rFonts w:eastAsia="Times New Roman" w:cs="Arial"/>
          <w:i/>
          <w:iCs/>
          <w:color w:val="auto"/>
          <w:szCs w:val="20"/>
        </w:rPr>
      </w:pPr>
      <w:r w:rsidRPr="00D4265D">
        <w:rPr>
          <w:rFonts w:eastAsia="Times New Roman" w:cs="Arial"/>
          <w:i/>
          <w:iCs/>
          <w:color w:val="auto"/>
          <w:szCs w:val="20"/>
        </w:rPr>
        <w:t>See discussion in adult table above.</w:t>
      </w:r>
    </w:p>
    <w:p w14:paraId="3619164E" w14:textId="77777777" w:rsidR="000271B0" w:rsidRDefault="000271B0" w:rsidP="001A033E">
      <w:pPr>
        <w:pStyle w:val="Heading5"/>
        <w:shd w:val="clear" w:color="auto" w:fill="005F85" w:themeFill="accent2"/>
        <w:rPr>
          <w:color w:val="FFFFFF" w:themeColor="background1"/>
          <w:sz w:val="22"/>
          <w:szCs w:val="22"/>
        </w:rPr>
        <w:sectPr w:rsidR="000271B0" w:rsidSect="00D75D51">
          <w:footerReference w:type="default" r:id="rId63"/>
          <w:pgSz w:w="16838" w:h="11906" w:orient="landscape" w:code="9"/>
          <w:pgMar w:top="907" w:right="1814" w:bottom="1134" w:left="1565" w:header="510" w:footer="454" w:gutter="0"/>
          <w:cols w:space="708"/>
          <w:titlePg/>
          <w:docGrid w:linePitch="360"/>
        </w:sectPr>
      </w:pPr>
    </w:p>
    <w:p w14:paraId="4A06E87C" w14:textId="58D2D6D7" w:rsidR="001A033E" w:rsidRPr="00962F99" w:rsidRDefault="00723B5E" w:rsidP="001A033E">
      <w:pPr>
        <w:pStyle w:val="Heading5"/>
        <w:shd w:val="clear" w:color="auto" w:fill="005F85" w:themeFill="accent2"/>
        <w:rPr>
          <w:color w:val="FFFFFF" w:themeColor="background1"/>
          <w:sz w:val="22"/>
          <w:szCs w:val="22"/>
        </w:rPr>
      </w:pPr>
      <w:r>
        <w:rPr>
          <w:color w:val="FFFFFF" w:themeColor="background1"/>
          <w:sz w:val="22"/>
          <w:szCs w:val="22"/>
        </w:rPr>
        <w:lastRenderedPageBreak/>
        <w:t>F</w:t>
      </w:r>
      <w:r w:rsidR="001A033E">
        <w:rPr>
          <w:color w:val="FFFFFF" w:themeColor="background1"/>
          <w:sz w:val="22"/>
          <w:szCs w:val="22"/>
        </w:rPr>
        <w:t xml:space="preserve">easibility </w:t>
      </w:r>
    </w:p>
    <w:p w14:paraId="0611C713" w14:textId="5605C366" w:rsidR="001A033E" w:rsidRPr="00C70A49" w:rsidRDefault="001A033E" w:rsidP="001A033E">
      <w:pPr>
        <w:rPr>
          <w:rFonts w:eastAsia="Times New Roman" w:cs="Arial"/>
          <w:iCs/>
          <w:color w:val="auto"/>
          <w:szCs w:val="20"/>
        </w:rPr>
      </w:pPr>
      <w:r w:rsidRPr="00C70A49">
        <w:rPr>
          <w:rFonts w:eastAsia="Times New Roman" w:cs="Arial"/>
          <w:iCs/>
          <w:color w:val="auto"/>
          <w:szCs w:val="20"/>
        </w:rPr>
        <w:t xml:space="preserve">Among Australian children aged 2–17 years, the proportion of males and females that took a supplement were similar (19.2% and 18.0%) </w:t>
      </w:r>
      <w:r w:rsidR="0045011E">
        <w:rPr>
          <w:rFonts w:eastAsia="Times New Roman" w:cs="Calibri"/>
          <w:noProof/>
          <w:color w:val="auto"/>
        </w:rPr>
        <w:t>(ABS, 2025)</w:t>
      </w:r>
      <w:r w:rsidRPr="00C70A49">
        <w:rPr>
          <w:rFonts w:eastAsia="Times New Roman" w:cs="Arial"/>
          <w:iCs/>
          <w:color w:val="auto"/>
          <w:szCs w:val="20"/>
        </w:rPr>
        <w:t>.</w:t>
      </w:r>
    </w:p>
    <w:p w14:paraId="730ED833" w14:textId="013FB6EC" w:rsidR="001A033E" w:rsidRPr="00270ED3" w:rsidRDefault="00A35CEE" w:rsidP="001A033E">
      <w:pPr>
        <w:rPr>
          <w:rFonts w:eastAsia="Times New Roman"/>
          <w:iCs/>
          <w:color w:val="auto"/>
          <w:szCs w:val="20"/>
        </w:rPr>
      </w:pPr>
      <w:r w:rsidRPr="00270ED3">
        <w:rPr>
          <w:rFonts w:eastAsia="Times New Roman" w:cs="Arial"/>
          <w:iCs/>
          <w:color w:val="auto"/>
          <w:szCs w:val="20"/>
        </w:rPr>
        <w:t xml:space="preserve">The </w:t>
      </w:r>
      <w:r w:rsidR="00832B47" w:rsidRPr="00270ED3">
        <w:rPr>
          <w:rFonts w:eastAsia="Times New Roman" w:cs="Arial"/>
          <w:iCs/>
          <w:color w:val="auto"/>
          <w:szCs w:val="20"/>
        </w:rPr>
        <w:t xml:space="preserve">Australian and New Zealand food modelling data </w:t>
      </w:r>
      <w:r w:rsidR="005B1CA8" w:rsidRPr="00270ED3">
        <w:rPr>
          <w:rFonts w:eastAsia="Times New Roman" w:cs="Arial"/>
          <w:iCs/>
          <w:color w:val="auto"/>
          <w:szCs w:val="20"/>
        </w:rPr>
        <w:t xml:space="preserve">presented in Table </w:t>
      </w:r>
      <w:r w:rsidR="00B961ED">
        <w:rPr>
          <w:rFonts w:eastAsia="Times New Roman" w:cs="Arial"/>
          <w:iCs/>
          <w:color w:val="auto"/>
          <w:szCs w:val="20"/>
        </w:rPr>
        <w:t>10</w:t>
      </w:r>
      <w:r w:rsidR="005B1CA8" w:rsidRPr="00270ED3">
        <w:rPr>
          <w:rFonts w:eastAsia="Times New Roman" w:cs="Arial"/>
          <w:iCs/>
          <w:color w:val="auto"/>
          <w:szCs w:val="20"/>
        </w:rPr>
        <w:t xml:space="preserve"> below shows </w:t>
      </w:r>
      <w:r w:rsidR="00270ED3">
        <w:rPr>
          <w:rFonts w:eastAsia="Times New Roman" w:cs="Arial"/>
          <w:iCs/>
          <w:color w:val="auto"/>
          <w:szCs w:val="20"/>
        </w:rPr>
        <w:t xml:space="preserve">modelled intake </w:t>
      </w:r>
      <w:r w:rsidR="008D1018">
        <w:rPr>
          <w:rFonts w:eastAsia="Times New Roman" w:cs="Arial"/>
          <w:iCs/>
          <w:color w:val="auto"/>
          <w:szCs w:val="20"/>
        </w:rPr>
        <w:t>for children and adolescents is w</w:t>
      </w:r>
      <w:r w:rsidR="007C181E">
        <w:rPr>
          <w:rFonts w:eastAsia="Times New Roman" w:cs="Arial"/>
          <w:iCs/>
          <w:color w:val="auto"/>
          <w:szCs w:val="20"/>
        </w:rPr>
        <w:t>e</w:t>
      </w:r>
      <w:r w:rsidR="008D1018">
        <w:rPr>
          <w:rFonts w:eastAsia="Times New Roman" w:cs="Arial"/>
          <w:iCs/>
          <w:color w:val="auto"/>
          <w:szCs w:val="20"/>
        </w:rPr>
        <w:t xml:space="preserve">ll below </w:t>
      </w:r>
      <w:r w:rsidR="00231A6C" w:rsidRPr="00270ED3">
        <w:rPr>
          <w:rFonts w:eastAsia="Times New Roman" w:cs="Arial"/>
          <w:iCs/>
          <w:color w:val="auto"/>
          <w:szCs w:val="20"/>
        </w:rPr>
        <w:t xml:space="preserve">the </w:t>
      </w:r>
      <w:r w:rsidR="00B97830" w:rsidRPr="00270ED3">
        <w:rPr>
          <w:rFonts w:eastAsia="Times New Roman" w:cs="Arial"/>
          <w:iCs/>
          <w:color w:val="auto"/>
          <w:szCs w:val="20"/>
        </w:rPr>
        <w:t>revised UL</w:t>
      </w:r>
      <w:r w:rsidR="00231A6C" w:rsidRPr="00270ED3">
        <w:rPr>
          <w:rFonts w:eastAsia="Times New Roman" w:cs="Arial"/>
          <w:iCs/>
          <w:color w:val="auto"/>
          <w:szCs w:val="20"/>
        </w:rPr>
        <w:t>s</w:t>
      </w:r>
      <w:r w:rsidR="00AB2D87" w:rsidRPr="00270ED3">
        <w:rPr>
          <w:rFonts w:eastAsia="Times New Roman" w:cs="Arial"/>
          <w:iCs/>
          <w:color w:val="auto"/>
          <w:szCs w:val="20"/>
        </w:rPr>
        <w:t xml:space="preserve"> </w:t>
      </w:r>
      <w:r w:rsidR="00F778BB" w:rsidRPr="00270ED3">
        <w:rPr>
          <w:rFonts w:eastAsia="Times New Roman" w:cs="Arial"/>
          <w:iCs/>
          <w:color w:val="auto"/>
          <w:szCs w:val="20"/>
        </w:rPr>
        <w:t>for children and adolescents</w:t>
      </w:r>
      <w:r w:rsidR="001A033E" w:rsidRPr="00270ED3">
        <w:rPr>
          <w:rFonts w:eastAsia="Times New Roman"/>
          <w:iCs/>
          <w:color w:val="auto"/>
          <w:szCs w:val="20"/>
        </w:rPr>
        <w:t>.</w:t>
      </w:r>
    </w:p>
    <w:p w14:paraId="1B89147D" w14:textId="7848E601" w:rsidR="001A033E" w:rsidRPr="00B961ED" w:rsidRDefault="001A033E" w:rsidP="00B961ED">
      <w:pPr>
        <w:pStyle w:val="TableTitle"/>
        <w:ind w:left="1134"/>
        <w:rPr>
          <w:caps/>
          <w:sz w:val="18"/>
          <w:szCs w:val="16"/>
        </w:rPr>
      </w:pPr>
      <w:r w:rsidRPr="00B961ED">
        <w:rPr>
          <w:sz w:val="18"/>
          <w:szCs w:val="16"/>
        </w:rPr>
        <w:t>Comparison of modelled child and adolescent selenium intakes with proposed ULs</w:t>
      </w:r>
    </w:p>
    <w:tbl>
      <w:tblPr>
        <w:tblStyle w:val="GridTable5Dark"/>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417"/>
        <w:gridCol w:w="2552"/>
        <w:gridCol w:w="1843"/>
        <w:gridCol w:w="992"/>
        <w:gridCol w:w="992"/>
        <w:gridCol w:w="1985"/>
      </w:tblGrid>
      <w:tr w:rsidR="0032590A" w:rsidRPr="00D633FF" w14:paraId="2328D652" w14:textId="77777777" w:rsidTr="00774E81">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5098" w:type="dxa"/>
            <w:gridSpan w:val="3"/>
            <w:tcBorders>
              <w:top w:val="single" w:sz="4" w:space="0" w:color="auto"/>
              <w:left w:val="single" w:sz="4" w:space="0" w:color="auto"/>
              <w:right w:val="single" w:sz="4" w:space="0" w:color="FFFFFF"/>
            </w:tcBorders>
          </w:tcPr>
          <w:p w14:paraId="73E9D6D6" w14:textId="1C2901E6" w:rsidR="0032590A" w:rsidRPr="000728AE" w:rsidRDefault="0032590A" w:rsidP="00774E81">
            <w:pPr>
              <w:rPr>
                <w:rFonts w:ascii="Calibri" w:eastAsia="Times New Roman" w:hAnsi="Calibri" w:cs="Calibri"/>
                <w:color w:val="FFFFFF"/>
                <w:highlight w:val="lightGray"/>
              </w:rPr>
            </w:pPr>
            <w:r w:rsidRPr="001F6EB8">
              <w:rPr>
                <w:rFonts w:ascii="Calibri" w:eastAsia="Times New Roman" w:hAnsi="Calibri" w:cs="Calibri"/>
                <w:color w:val="FFFFFF"/>
              </w:rPr>
              <w:t>Modelled Vitamin B6 Intake (Foundation Diet, mg/day)</w:t>
            </w:r>
          </w:p>
        </w:tc>
        <w:tc>
          <w:tcPr>
            <w:tcW w:w="8364" w:type="dxa"/>
            <w:gridSpan w:val="5"/>
            <w:tcBorders>
              <w:top w:val="single" w:sz="4" w:space="0" w:color="auto"/>
              <w:left w:val="single" w:sz="4" w:space="0" w:color="FFFFFF"/>
              <w:right w:val="single" w:sz="4" w:space="0" w:color="auto"/>
            </w:tcBorders>
          </w:tcPr>
          <w:p w14:paraId="598D775B" w14:textId="36D69AF0" w:rsidR="0032590A" w:rsidRPr="001F6EB8" w:rsidRDefault="0032590A" w:rsidP="00774E8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1F6EB8">
              <w:rPr>
                <w:rFonts w:ascii="Calibri" w:eastAsia="Times New Roman" w:hAnsi="Calibri" w:cs="Calibri"/>
                <w:color w:val="FFFFFF"/>
              </w:rPr>
              <w:t>Comparison with Proposed ULs</w:t>
            </w:r>
            <w:r w:rsidR="006550E5">
              <w:rPr>
                <w:rFonts w:ascii="Calibri" w:eastAsia="Times New Roman" w:hAnsi="Calibri" w:cs="Calibri"/>
                <w:color w:val="FFFFFF"/>
              </w:rPr>
              <w:t xml:space="preserve"> (mg/day)</w:t>
            </w:r>
          </w:p>
        </w:tc>
      </w:tr>
      <w:tr w:rsidR="004E1C56" w:rsidRPr="00D633FF" w14:paraId="34F06094" w14:textId="77777777" w:rsidTr="007C03AD">
        <w:trPr>
          <w:trHeight w:val="317"/>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FFFFFF"/>
              <w:right w:val="single" w:sz="4" w:space="0" w:color="auto"/>
            </w:tcBorders>
            <w:vAlign w:val="center"/>
          </w:tcPr>
          <w:p w14:paraId="530C3BAC" w14:textId="25376896" w:rsidR="004E1C56" w:rsidRPr="001F6EB8" w:rsidRDefault="004E1C56" w:rsidP="004E1C56">
            <w:pPr>
              <w:spacing w:before="0" w:line="240" w:lineRule="auto"/>
              <w:jc w:val="right"/>
              <w:rPr>
                <w:rFonts w:ascii="Calibri" w:eastAsia="Times New Roman" w:hAnsi="Calibri" w:cs="Calibri"/>
                <w:color w:val="FFFFFF"/>
              </w:rPr>
            </w:pPr>
          </w:p>
        </w:tc>
        <w:tc>
          <w:tcPr>
            <w:tcW w:w="1418" w:type="dxa"/>
            <w:vMerge w:val="restart"/>
            <w:tcBorders>
              <w:left w:val="single" w:sz="4" w:space="0" w:color="auto"/>
              <w:right w:val="single" w:sz="4" w:space="0" w:color="auto"/>
            </w:tcBorders>
            <w:shd w:val="clear" w:color="auto" w:fill="E5E5E7" w:themeFill="accent5" w:themeFillTint="33"/>
            <w:vAlign w:val="bottom"/>
          </w:tcPr>
          <w:p w14:paraId="175A05CF" w14:textId="6EC6718C" w:rsidR="004E1C56" w:rsidRPr="001F6EB8"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1F6EB8">
              <w:rPr>
                <w:rFonts w:ascii="Calibri" w:eastAsia="Times New Roman" w:hAnsi="Calibri" w:cs="Calibri"/>
                <w:b/>
              </w:rPr>
              <w:t>Male</w:t>
            </w:r>
          </w:p>
        </w:tc>
        <w:tc>
          <w:tcPr>
            <w:tcW w:w="1417" w:type="dxa"/>
            <w:vMerge w:val="restart"/>
            <w:tcBorders>
              <w:left w:val="single" w:sz="4" w:space="0" w:color="auto"/>
              <w:right w:val="single" w:sz="4" w:space="0" w:color="auto"/>
            </w:tcBorders>
            <w:shd w:val="clear" w:color="auto" w:fill="E5E5E7" w:themeFill="accent5" w:themeFillTint="33"/>
            <w:vAlign w:val="bottom"/>
          </w:tcPr>
          <w:p w14:paraId="739DA53F" w14:textId="3FC28AB4" w:rsidR="004E1C56" w:rsidRPr="001F6EB8"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FFFF"/>
              </w:rPr>
            </w:pPr>
            <w:r w:rsidRPr="001F6EB8">
              <w:rPr>
                <w:rFonts w:ascii="Calibri" w:eastAsia="Times New Roman" w:hAnsi="Calibri" w:cs="Calibri"/>
                <w:b/>
              </w:rPr>
              <w:t>Female</w:t>
            </w:r>
          </w:p>
        </w:tc>
        <w:tc>
          <w:tcPr>
            <w:tcW w:w="2552" w:type="dxa"/>
            <w:tcBorders>
              <w:top w:val="nil"/>
              <w:left w:val="single" w:sz="4" w:space="0" w:color="auto"/>
              <w:bottom w:val="single" w:sz="4" w:space="0" w:color="auto"/>
              <w:right w:val="single" w:sz="4" w:space="0" w:color="auto"/>
            </w:tcBorders>
            <w:shd w:val="clear" w:color="auto" w:fill="000000" w:themeFill="text1"/>
            <w:vAlign w:val="center"/>
          </w:tcPr>
          <w:p w14:paraId="01D953EF" w14:textId="29D72752" w:rsidR="004E1C56" w:rsidRPr="00D32C59"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p>
        </w:tc>
        <w:tc>
          <w:tcPr>
            <w:tcW w:w="1843" w:type="dxa"/>
            <w:tcBorders>
              <w:top w:val="single" w:sz="4" w:space="0" w:color="auto"/>
              <w:left w:val="single" w:sz="4" w:space="0" w:color="auto"/>
              <w:bottom w:val="single" w:sz="4" w:space="0" w:color="auto"/>
              <w:right w:val="single" w:sz="4" w:space="0" w:color="auto"/>
            </w:tcBorders>
            <w:shd w:val="clear" w:color="auto" w:fill="E5E5E7" w:themeFill="accent5" w:themeFillTint="33"/>
            <w:vAlign w:val="center"/>
          </w:tcPr>
          <w:p w14:paraId="097596A0" w14:textId="599F9DC2" w:rsidR="004E1C56" w:rsidRPr="001F6EB8"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rPr>
            </w:pPr>
            <w:r w:rsidRPr="001F6EB8">
              <w:rPr>
                <w:rFonts w:ascii="Calibri" w:eastAsia="Times New Roman" w:hAnsi="Calibri" w:cs="Calibri"/>
                <w:b/>
              </w:rPr>
              <w:t xml:space="preserve">RETAINED 2006 </w:t>
            </w:r>
            <w:r>
              <w:rPr>
                <w:rFonts w:ascii="Calibri" w:eastAsia="Times New Roman" w:hAnsi="Calibri" w:cs="Calibri"/>
                <w:b/>
              </w:rPr>
              <w:t>UL</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5E5E7" w:themeFill="accent5" w:themeFillTint="33"/>
            <w:vAlign w:val="center"/>
          </w:tcPr>
          <w:p w14:paraId="7F201E56" w14:textId="05B2EBFE" w:rsidR="004E1C56" w:rsidRPr="001F6EB8"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rPr>
            </w:pPr>
            <w:r>
              <w:rPr>
                <w:rFonts w:ascii="Calibri" w:eastAsia="Times New Roman" w:hAnsi="Calibri" w:cs="Calibri"/>
                <w:b/>
              </w:rPr>
              <w:t>DECREASED</w:t>
            </w:r>
            <w:r w:rsidRPr="001F6EB8">
              <w:rPr>
                <w:rFonts w:ascii="Calibri" w:eastAsia="Times New Roman" w:hAnsi="Calibri" w:cs="Calibri"/>
                <w:b/>
              </w:rPr>
              <w:t xml:space="preserve"> 202</w:t>
            </w:r>
            <w:r>
              <w:rPr>
                <w:rFonts w:ascii="Calibri" w:eastAsia="Times New Roman" w:hAnsi="Calibri" w:cs="Calibri"/>
                <w:b/>
              </w:rPr>
              <w:t>6</w:t>
            </w:r>
            <w:r w:rsidRPr="001F6EB8">
              <w:rPr>
                <w:rFonts w:ascii="Calibri" w:eastAsia="Times New Roman" w:hAnsi="Calibri" w:cs="Calibri"/>
                <w:b/>
              </w:rPr>
              <w:t xml:space="preserve"> </w:t>
            </w:r>
            <w:r>
              <w:rPr>
                <w:rFonts w:ascii="Calibri" w:eastAsia="Times New Roman" w:hAnsi="Calibri" w:cs="Calibri"/>
                <w:b/>
              </w:rPr>
              <w:t>UL</w:t>
            </w:r>
          </w:p>
        </w:tc>
        <w:tc>
          <w:tcPr>
            <w:tcW w:w="1985" w:type="dxa"/>
            <w:vMerge w:val="restart"/>
            <w:tcBorders>
              <w:top w:val="nil"/>
              <w:left w:val="single" w:sz="4" w:space="0" w:color="auto"/>
              <w:right w:val="single" w:sz="4" w:space="0" w:color="auto"/>
            </w:tcBorders>
            <w:shd w:val="clear" w:color="auto" w:fill="E5E5E7" w:themeFill="accent5" w:themeFillTint="33"/>
            <w:vAlign w:val="center"/>
          </w:tcPr>
          <w:p w14:paraId="0E38D281" w14:textId="02458A3B" w:rsidR="004E1C56" w:rsidRPr="001F6EB8"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b/>
              </w:rPr>
              <w:t>% Modelled Intake Exceeding UL</w:t>
            </w:r>
          </w:p>
        </w:tc>
      </w:tr>
      <w:tr w:rsidR="004E1C56" w:rsidRPr="00D633FF" w14:paraId="54D91EE3" w14:textId="77777777" w:rsidTr="007C03AD">
        <w:trPr>
          <w:trHeight w:val="317"/>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FFFFFF"/>
              <w:right w:val="single" w:sz="4" w:space="0" w:color="auto"/>
            </w:tcBorders>
            <w:vAlign w:val="bottom"/>
          </w:tcPr>
          <w:p w14:paraId="0432996C" w14:textId="59B3FC09" w:rsidR="004E1C56" w:rsidRPr="001F6EB8" w:rsidRDefault="004E1C56" w:rsidP="004E1C56">
            <w:pPr>
              <w:spacing w:before="0" w:line="240" w:lineRule="auto"/>
              <w:jc w:val="right"/>
              <w:rPr>
                <w:rFonts w:ascii="Calibri" w:eastAsia="Times New Roman" w:hAnsi="Calibri" w:cs="Calibri"/>
                <w:color w:val="FFFFFF"/>
              </w:rPr>
            </w:pPr>
            <w:r w:rsidRPr="001F6EB8">
              <w:rPr>
                <w:rFonts w:ascii="Calibri" w:eastAsia="Times New Roman" w:hAnsi="Calibri" w:cs="Calibri"/>
                <w:color w:val="FFFFFF"/>
              </w:rPr>
              <w:t>Age Group</w:t>
            </w:r>
          </w:p>
        </w:tc>
        <w:tc>
          <w:tcPr>
            <w:tcW w:w="1418" w:type="dxa"/>
            <w:vMerge/>
            <w:tcBorders>
              <w:left w:val="single" w:sz="4" w:space="0" w:color="auto"/>
              <w:bottom w:val="single" w:sz="4" w:space="0" w:color="auto"/>
              <w:right w:val="single" w:sz="4" w:space="0" w:color="auto"/>
            </w:tcBorders>
            <w:shd w:val="clear" w:color="auto" w:fill="E5E5E7" w:themeFill="accent5" w:themeFillTint="33"/>
            <w:vAlign w:val="center"/>
          </w:tcPr>
          <w:p w14:paraId="24347A8F" w14:textId="1D21CCB2" w:rsidR="004E1C56" w:rsidRPr="001F6EB8"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rPr>
            </w:pPr>
          </w:p>
        </w:tc>
        <w:tc>
          <w:tcPr>
            <w:tcW w:w="1417" w:type="dxa"/>
            <w:vMerge/>
            <w:tcBorders>
              <w:left w:val="single" w:sz="4" w:space="0" w:color="auto"/>
              <w:bottom w:val="single" w:sz="4" w:space="0" w:color="auto"/>
              <w:right w:val="single" w:sz="4" w:space="0" w:color="auto"/>
            </w:tcBorders>
            <w:shd w:val="clear" w:color="auto" w:fill="E5E5E7" w:themeFill="accent5" w:themeFillTint="33"/>
            <w:vAlign w:val="center"/>
          </w:tcPr>
          <w:p w14:paraId="0C4E8DE1" w14:textId="29F05724" w:rsidR="004E1C56" w:rsidRPr="001F6EB8"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rPr>
            </w:pPr>
          </w:p>
        </w:tc>
        <w:tc>
          <w:tcPr>
            <w:tcW w:w="2552" w:type="dxa"/>
            <w:tcBorders>
              <w:top w:val="nil"/>
              <w:left w:val="single" w:sz="4" w:space="0" w:color="auto"/>
              <w:bottom w:val="single" w:sz="4" w:space="0" w:color="FFFFFF" w:themeColor="background1"/>
              <w:right w:val="single" w:sz="4" w:space="0" w:color="auto"/>
            </w:tcBorders>
            <w:shd w:val="clear" w:color="auto" w:fill="000000" w:themeFill="text1"/>
            <w:vAlign w:val="bottom"/>
          </w:tcPr>
          <w:p w14:paraId="3CA5A09E" w14:textId="3E0C359A" w:rsidR="004E1C56" w:rsidRPr="00D32C59" w:rsidRDefault="004E1C56" w:rsidP="004E1C56">
            <w:pPr>
              <w:spacing w:before="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FFFFFF" w:themeColor="background1"/>
              </w:rPr>
            </w:pPr>
            <w:r w:rsidRPr="00D32C59">
              <w:rPr>
                <w:rFonts w:ascii="Calibri" w:eastAsia="Times New Roman" w:hAnsi="Calibri" w:cs="Calibri"/>
                <w:b/>
                <w:color w:val="FFFFFF" w:themeColor="background1"/>
              </w:rPr>
              <w:t>Applicable UL Age Group/s</w:t>
            </w:r>
          </w:p>
        </w:tc>
        <w:tc>
          <w:tcPr>
            <w:tcW w:w="1843" w:type="dxa"/>
            <w:tcBorders>
              <w:top w:val="single" w:sz="4" w:space="0" w:color="auto"/>
              <w:left w:val="single" w:sz="4" w:space="0" w:color="auto"/>
              <w:bottom w:val="single" w:sz="4" w:space="0" w:color="auto"/>
              <w:right w:val="single" w:sz="4" w:space="0" w:color="auto"/>
            </w:tcBorders>
            <w:shd w:val="clear" w:color="auto" w:fill="E5E5E7" w:themeFill="accent5" w:themeFillTint="33"/>
            <w:vAlign w:val="center"/>
          </w:tcPr>
          <w:p w14:paraId="390FA9DC" w14:textId="266F6ACB" w:rsidR="004E1C56" w:rsidRPr="001F6EB8"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rPr>
            </w:pPr>
            <w:r>
              <w:rPr>
                <w:rFonts w:ascii="Calibri" w:eastAsia="Times New Roman" w:hAnsi="Calibri" w:cs="Calibri"/>
                <w:b/>
              </w:rPr>
              <w:t>All</w:t>
            </w:r>
          </w:p>
        </w:tc>
        <w:tc>
          <w:tcPr>
            <w:tcW w:w="992" w:type="dxa"/>
            <w:tcBorders>
              <w:top w:val="single" w:sz="4" w:space="0" w:color="auto"/>
              <w:left w:val="single" w:sz="4" w:space="0" w:color="auto"/>
              <w:bottom w:val="single" w:sz="4" w:space="0" w:color="auto"/>
              <w:right w:val="single" w:sz="4" w:space="0" w:color="auto"/>
            </w:tcBorders>
            <w:shd w:val="clear" w:color="auto" w:fill="E5E5E7" w:themeFill="accent5" w:themeFillTint="33"/>
            <w:vAlign w:val="center"/>
          </w:tcPr>
          <w:p w14:paraId="60A7EEC5" w14:textId="01E6A83D" w:rsidR="004E1C56" w:rsidRPr="001F6EB8" w:rsidDel="00486AC9"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rPr>
            </w:pPr>
            <w:r>
              <w:rPr>
                <w:rFonts w:ascii="Calibri" w:eastAsia="Times New Roman" w:hAnsi="Calibri" w:cs="Calibri"/>
                <w:b/>
              </w:rPr>
              <w:t>Male</w:t>
            </w:r>
          </w:p>
        </w:tc>
        <w:tc>
          <w:tcPr>
            <w:tcW w:w="992" w:type="dxa"/>
            <w:tcBorders>
              <w:top w:val="single" w:sz="4" w:space="0" w:color="auto"/>
              <w:left w:val="single" w:sz="4" w:space="0" w:color="auto"/>
              <w:bottom w:val="single" w:sz="4" w:space="0" w:color="auto"/>
              <w:right w:val="single" w:sz="4" w:space="0" w:color="auto"/>
            </w:tcBorders>
            <w:shd w:val="clear" w:color="auto" w:fill="E5E5E7" w:themeFill="accent5" w:themeFillTint="33"/>
            <w:vAlign w:val="center"/>
          </w:tcPr>
          <w:p w14:paraId="28F43C4F" w14:textId="011E80BE" w:rsidR="004E1C56" w:rsidRPr="001F6EB8" w:rsidDel="00486AC9"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rPr>
            </w:pPr>
            <w:r>
              <w:rPr>
                <w:rFonts w:ascii="Calibri" w:eastAsia="Times New Roman" w:hAnsi="Calibri" w:cs="Calibri"/>
                <w:b/>
              </w:rPr>
              <w:t>Female</w:t>
            </w:r>
          </w:p>
        </w:tc>
        <w:tc>
          <w:tcPr>
            <w:tcW w:w="1985" w:type="dxa"/>
            <w:vMerge/>
            <w:tcBorders>
              <w:left w:val="single" w:sz="4" w:space="0" w:color="auto"/>
              <w:bottom w:val="single" w:sz="4" w:space="0" w:color="auto"/>
              <w:right w:val="single" w:sz="4" w:space="0" w:color="auto"/>
            </w:tcBorders>
            <w:shd w:val="clear" w:color="auto" w:fill="FFFFFF"/>
            <w:vAlign w:val="center"/>
          </w:tcPr>
          <w:p w14:paraId="3CBA5EF1" w14:textId="3A4DD497" w:rsidR="004E1C56" w:rsidRPr="001F6EB8" w:rsidRDefault="004E1C56" w:rsidP="004E1C56">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rPr>
            </w:pPr>
          </w:p>
        </w:tc>
      </w:tr>
      <w:tr w:rsidR="0007207C" w:rsidRPr="00D633FF" w14:paraId="3CD982BA" w14:textId="77777777" w:rsidTr="002D03E0">
        <w:trPr>
          <w:trHeight w:val="343"/>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left w:val="single" w:sz="4" w:space="0" w:color="auto"/>
              <w:bottom w:val="single" w:sz="4" w:space="0" w:color="FFFFFF"/>
            </w:tcBorders>
            <w:vAlign w:val="center"/>
          </w:tcPr>
          <w:p w14:paraId="04B5CCB6" w14:textId="77777777" w:rsidR="0007207C" w:rsidRPr="001F6EB8" w:rsidRDefault="0007207C">
            <w:pPr>
              <w:spacing w:before="100" w:beforeAutospacing="1"/>
              <w:jc w:val="right"/>
              <w:rPr>
                <w:rFonts w:ascii="Calibri" w:eastAsia="Times New Roman" w:hAnsi="Calibri" w:cs="Calibri"/>
                <w:color w:val="FFFFFF"/>
              </w:rPr>
            </w:pPr>
            <w:r w:rsidRPr="001F6EB8">
              <w:rPr>
                <w:rFonts w:ascii="Calibri" w:eastAsia="Times New Roman" w:hAnsi="Calibri" w:cs="Calibri"/>
                <w:color w:val="FFFFFF"/>
              </w:rPr>
              <w:t>13-23 months</w:t>
            </w:r>
          </w:p>
        </w:tc>
        <w:tc>
          <w:tcPr>
            <w:tcW w:w="1418" w:type="dxa"/>
            <w:tcBorders>
              <w:top w:val="single" w:sz="4" w:space="0" w:color="auto"/>
            </w:tcBorders>
            <w:shd w:val="clear" w:color="auto" w:fill="auto"/>
            <w:vAlign w:val="center"/>
          </w:tcPr>
          <w:p w14:paraId="4D7B0568" w14:textId="77777777" w:rsidR="0007207C" w:rsidRPr="001F6EB8" w:rsidRDefault="0007207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0.84</w:t>
            </w:r>
          </w:p>
        </w:tc>
        <w:tc>
          <w:tcPr>
            <w:tcW w:w="1417" w:type="dxa"/>
            <w:tcBorders>
              <w:top w:val="single" w:sz="4" w:space="0" w:color="auto"/>
            </w:tcBorders>
            <w:shd w:val="clear" w:color="auto" w:fill="auto"/>
            <w:vAlign w:val="center"/>
          </w:tcPr>
          <w:p w14:paraId="038B55D4" w14:textId="77777777" w:rsidR="0007207C" w:rsidRPr="001F6EB8" w:rsidRDefault="0007207C">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0.88</w:t>
            </w:r>
          </w:p>
        </w:tc>
        <w:tc>
          <w:tcPr>
            <w:tcW w:w="2552" w:type="dxa"/>
            <w:tcBorders>
              <w:top w:val="single" w:sz="4" w:space="0" w:color="FFFFFF" w:themeColor="background1"/>
              <w:bottom w:val="single" w:sz="4" w:space="0" w:color="FFFFFF" w:themeColor="background1"/>
            </w:tcBorders>
            <w:shd w:val="clear" w:color="auto" w:fill="000000" w:themeFill="text1"/>
            <w:vAlign w:val="center"/>
          </w:tcPr>
          <w:p w14:paraId="136860D6" w14:textId="77777777" w:rsidR="0007207C" w:rsidRPr="00D32C59" w:rsidRDefault="0007207C">
            <w:pPr>
              <w:spacing w:before="100" w:before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rPr>
            </w:pPr>
            <w:r w:rsidRPr="00D32C59">
              <w:rPr>
                <w:rFonts w:ascii="Calibri" w:eastAsia="Times New Roman" w:hAnsi="Calibri" w:cs="Calibri"/>
                <w:b/>
                <w:bCs/>
                <w:color w:val="FFFFFF" w:themeColor="background1"/>
              </w:rPr>
              <w:t>13-23 months</w:t>
            </w:r>
          </w:p>
        </w:tc>
        <w:tc>
          <w:tcPr>
            <w:tcW w:w="1843" w:type="dxa"/>
            <w:vMerge w:val="restart"/>
            <w:tcBorders>
              <w:top w:val="single" w:sz="4" w:space="0" w:color="auto"/>
            </w:tcBorders>
            <w:shd w:val="clear" w:color="auto" w:fill="auto"/>
            <w:vAlign w:val="center"/>
          </w:tcPr>
          <w:p w14:paraId="2657BBC6" w14:textId="515284B8" w:rsidR="0007207C" w:rsidRPr="00040DF7" w:rsidRDefault="0007207C" w:rsidP="002D03E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40DF7">
              <w:rPr>
                <w:rFonts w:ascii="Calibri" w:eastAsia="Times New Roman" w:hAnsi="Calibri" w:cs="Calibri"/>
              </w:rPr>
              <w:t>15</w:t>
            </w:r>
          </w:p>
        </w:tc>
        <w:tc>
          <w:tcPr>
            <w:tcW w:w="992" w:type="dxa"/>
            <w:vMerge w:val="restart"/>
            <w:tcBorders>
              <w:top w:val="single" w:sz="4" w:space="0" w:color="auto"/>
              <w:right w:val="single" w:sz="4" w:space="0" w:color="auto"/>
            </w:tcBorders>
            <w:shd w:val="clear" w:color="auto" w:fill="auto"/>
            <w:vAlign w:val="center"/>
          </w:tcPr>
          <w:p w14:paraId="4957E6D2" w14:textId="339D7797" w:rsidR="0007207C" w:rsidRPr="0007207C" w:rsidRDefault="0007207C" w:rsidP="002D03E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4.5</w:t>
            </w:r>
          </w:p>
        </w:tc>
        <w:tc>
          <w:tcPr>
            <w:tcW w:w="992" w:type="dxa"/>
            <w:vMerge w:val="restart"/>
            <w:tcBorders>
              <w:top w:val="single" w:sz="4" w:space="0" w:color="auto"/>
              <w:right w:val="single" w:sz="4" w:space="0" w:color="auto"/>
            </w:tcBorders>
            <w:shd w:val="clear" w:color="auto" w:fill="auto"/>
            <w:vAlign w:val="center"/>
          </w:tcPr>
          <w:p w14:paraId="0ECB6018" w14:textId="12312986" w:rsidR="0007207C" w:rsidRPr="0007207C" w:rsidRDefault="0007207C" w:rsidP="002D03E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4.0</w:t>
            </w:r>
          </w:p>
        </w:tc>
        <w:tc>
          <w:tcPr>
            <w:tcW w:w="1985" w:type="dxa"/>
            <w:vMerge w:val="restart"/>
            <w:tcBorders>
              <w:top w:val="single" w:sz="4" w:space="0" w:color="auto"/>
              <w:left w:val="single" w:sz="4" w:space="0" w:color="auto"/>
              <w:right w:val="single" w:sz="4" w:space="0" w:color="auto"/>
            </w:tcBorders>
            <w:shd w:val="clear" w:color="auto" w:fill="FFFFFF"/>
            <w:vAlign w:val="center"/>
          </w:tcPr>
          <w:p w14:paraId="2B321EEF" w14:textId="41CC4A00" w:rsidR="0007207C" w:rsidRPr="0007207C" w:rsidRDefault="0007207C" w:rsidP="002D03E0">
            <w:pPr>
              <w:jc w:val="center"/>
              <w:cnfStyle w:val="000000000000" w:firstRow="0" w:lastRow="0" w:firstColumn="0" w:lastColumn="0" w:oddVBand="0" w:evenVBand="0" w:oddHBand="0" w:evenHBand="0" w:firstRowFirstColumn="0" w:firstRowLastColumn="0" w:lastRowFirstColumn="0" w:lastRowLastColumn="0"/>
              <w:rPr>
                <w:rFonts w:ascii="Calibri" w:eastAsia="Arial" w:hAnsi="Calibri" w:cs="Calibri"/>
                <w:b/>
              </w:rPr>
            </w:pPr>
            <w:r>
              <w:rPr>
                <w:rFonts w:ascii="Calibri" w:eastAsia="Times New Roman" w:hAnsi="Calibri" w:cs="Calibri"/>
              </w:rPr>
              <w:t>0</w:t>
            </w:r>
          </w:p>
        </w:tc>
      </w:tr>
      <w:tr w:rsidR="0007207C" w:rsidRPr="00D633FF" w14:paraId="3AEF7BD9" w14:textId="77777777" w:rsidTr="00774E81">
        <w:trPr>
          <w:trHeight w:val="408"/>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left w:val="single" w:sz="4" w:space="0" w:color="auto"/>
              <w:bottom w:val="single" w:sz="4" w:space="0" w:color="FFFFFF"/>
            </w:tcBorders>
          </w:tcPr>
          <w:p w14:paraId="7F78F37B" w14:textId="77777777" w:rsidR="0007207C" w:rsidRPr="00D63BC2" w:rsidRDefault="0007207C">
            <w:pPr>
              <w:jc w:val="right"/>
              <w:rPr>
                <w:rFonts w:ascii="Calibri" w:eastAsia="Times New Roman" w:hAnsi="Calibri" w:cs="Calibri"/>
                <w:color w:val="FFFFFF"/>
              </w:rPr>
            </w:pPr>
            <w:r w:rsidRPr="00D63BC2">
              <w:rPr>
                <w:rFonts w:ascii="Calibri" w:eastAsia="Times New Roman" w:hAnsi="Calibri" w:cs="Calibri"/>
                <w:color w:val="FFFFFF"/>
              </w:rPr>
              <w:t>2 – 3 years</w:t>
            </w:r>
          </w:p>
        </w:tc>
        <w:tc>
          <w:tcPr>
            <w:tcW w:w="1418" w:type="dxa"/>
            <w:shd w:val="clear" w:color="auto" w:fill="auto"/>
            <w:vAlign w:val="center"/>
          </w:tcPr>
          <w:p w14:paraId="5E21B4AF" w14:textId="77777777" w:rsidR="0007207C" w:rsidRPr="001F6EB8"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0.98</w:t>
            </w:r>
          </w:p>
        </w:tc>
        <w:tc>
          <w:tcPr>
            <w:tcW w:w="1417" w:type="dxa"/>
            <w:shd w:val="clear" w:color="auto" w:fill="auto"/>
            <w:vAlign w:val="center"/>
          </w:tcPr>
          <w:p w14:paraId="4E1D9948" w14:textId="77777777" w:rsidR="0007207C" w:rsidRPr="001F6EB8"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1.02</w:t>
            </w:r>
          </w:p>
        </w:tc>
        <w:tc>
          <w:tcPr>
            <w:tcW w:w="2552" w:type="dxa"/>
            <w:tcBorders>
              <w:top w:val="single" w:sz="4" w:space="0" w:color="FFFFFF" w:themeColor="background1"/>
              <w:bottom w:val="single" w:sz="4" w:space="0" w:color="FFFFFF" w:themeColor="background1"/>
            </w:tcBorders>
            <w:shd w:val="clear" w:color="auto" w:fill="000000" w:themeFill="text1"/>
          </w:tcPr>
          <w:p w14:paraId="608E34B9" w14:textId="77777777" w:rsidR="0007207C" w:rsidRPr="00D32C59" w:rsidRDefault="0007207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rPr>
            </w:pPr>
            <w:r w:rsidRPr="00D32C59">
              <w:rPr>
                <w:rFonts w:ascii="Calibri" w:eastAsia="Times New Roman" w:hAnsi="Calibri" w:cs="Calibri"/>
                <w:b/>
                <w:bCs/>
                <w:color w:val="FFFFFF" w:themeColor="background1"/>
              </w:rPr>
              <w:t>2-4 years</w:t>
            </w:r>
          </w:p>
        </w:tc>
        <w:tc>
          <w:tcPr>
            <w:tcW w:w="1843" w:type="dxa"/>
            <w:vMerge/>
            <w:tcBorders>
              <w:bottom w:val="single" w:sz="4" w:space="0" w:color="auto"/>
            </w:tcBorders>
            <w:shd w:val="clear" w:color="auto" w:fill="auto"/>
          </w:tcPr>
          <w:p w14:paraId="4A8987AE" w14:textId="5AC3B8B7" w:rsidR="0007207C" w:rsidRPr="00040DF7"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c>
          <w:tcPr>
            <w:tcW w:w="992" w:type="dxa"/>
            <w:vMerge/>
            <w:tcBorders>
              <w:right w:val="single" w:sz="4" w:space="0" w:color="auto"/>
            </w:tcBorders>
            <w:shd w:val="clear" w:color="auto" w:fill="auto"/>
            <w:vAlign w:val="center"/>
          </w:tcPr>
          <w:p w14:paraId="5D90D21A" w14:textId="78D54CF9" w:rsidR="0007207C" w:rsidRPr="0007207C" w:rsidRDefault="0007207C"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c>
          <w:tcPr>
            <w:tcW w:w="992" w:type="dxa"/>
            <w:vMerge/>
            <w:tcBorders>
              <w:right w:val="single" w:sz="4" w:space="0" w:color="auto"/>
            </w:tcBorders>
            <w:shd w:val="clear" w:color="auto" w:fill="auto"/>
            <w:vAlign w:val="center"/>
          </w:tcPr>
          <w:p w14:paraId="1926FC53" w14:textId="30F5B796" w:rsidR="0007207C" w:rsidRPr="0007207C" w:rsidRDefault="0007207C"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c>
          <w:tcPr>
            <w:tcW w:w="1985" w:type="dxa"/>
            <w:vMerge/>
            <w:tcBorders>
              <w:left w:val="single" w:sz="4" w:space="0" w:color="auto"/>
              <w:bottom w:val="single" w:sz="4" w:space="0" w:color="auto"/>
              <w:right w:val="single" w:sz="4" w:space="0" w:color="auto"/>
            </w:tcBorders>
            <w:shd w:val="clear" w:color="auto" w:fill="FFFFFF"/>
          </w:tcPr>
          <w:p w14:paraId="07AAB507" w14:textId="0F8235FD" w:rsidR="0007207C" w:rsidRPr="0007207C"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r>
      <w:tr w:rsidR="00487966" w:rsidRPr="00D633FF" w14:paraId="66809A68" w14:textId="77777777" w:rsidTr="00774E81">
        <w:trPr>
          <w:trHeight w:val="408"/>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left w:val="single" w:sz="4" w:space="0" w:color="auto"/>
              <w:bottom w:val="single" w:sz="4" w:space="0" w:color="FFFFFF"/>
            </w:tcBorders>
          </w:tcPr>
          <w:p w14:paraId="106F176A" w14:textId="77777777" w:rsidR="00487966" w:rsidRPr="00D63BC2" w:rsidRDefault="00487966">
            <w:pPr>
              <w:jc w:val="right"/>
              <w:rPr>
                <w:rFonts w:ascii="Calibri" w:eastAsia="Times New Roman" w:hAnsi="Calibri" w:cs="Calibri"/>
                <w:color w:val="FFFFFF"/>
              </w:rPr>
            </w:pPr>
            <w:r w:rsidRPr="00D63BC2">
              <w:rPr>
                <w:rFonts w:ascii="Calibri" w:eastAsia="Times New Roman" w:hAnsi="Calibri" w:cs="Calibri"/>
                <w:color w:val="FFFFFF"/>
              </w:rPr>
              <w:t>4 – 8 years</w:t>
            </w:r>
          </w:p>
        </w:tc>
        <w:tc>
          <w:tcPr>
            <w:tcW w:w="1418" w:type="dxa"/>
            <w:shd w:val="clear" w:color="auto" w:fill="auto"/>
            <w:vAlign w:val="center"/>
          </w:tcPr>
          <w:p w14:paraId="10E20059" w14:textId="77777777" w:rsidR="00487966" w:rsidRPr="001F6EB8" w:rsidRDefault="004879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1.55</w:t>
            </w:r>
          </w:p>
        </w:tc>
        <w:tc>
          <w:tcPr>
            <w:tcW w:w="1417" w:type="dxa"/>
            <w:shd w:val="clear" w:color="auto" w:fill="auto"/>
            <w:vAlign w:val="center"/>
          </w:tcPr>
          <w:p w14:paraId="49340AB5" w14:textId="77777777" w:rsidR="00487966" w:rsidRPr="001F6EB8" w:rsidRDefault="004879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1.61</w:t>
            </w:r>
          </w:p>
        </w:tc>
        <w:tc>
          <w:tcPr>
            <w:tcW w:w="2552" w:type="dxa"/>
            <w:tcBorders>
              <w:top w:val="single" w:sz="4" w:space="0" w:color="FFFFFF" w:themeColor="background1"/>
              <w:bottom w:val="single" w:sz="4" w:space="0" w:color="FFFFFF" w:themeColor="background1"/>
            </w:tcBorders>
            <w:shd w:val="clear" w:color="auto" w:fill="000000" w:themeFill="text1"/>
          </w:tcPr>
          <w:p w14:paraId="6C8B9A51" w14:textId="77777777" w:rsidR="00487966" w:rsidRPr="00D32C59" w:rsidRDefault="0048796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rPr>
            </w:pPr>
            <w:r w:rsidRPr="00D32C59">
              <w:rPr>
                <w:rFonts w:ascii="Calibri" w:eastAsia="Times New Roman" w:hAnsi="Calibri" w:cs="Calibri"/>
                <w:b/>
                <w:bCs/>
                <w:color w:val="FFFFFF" w:themeColor="background1"/>
              </w:rPr>
              <w:t>2-4/5-11 years</w:t>
            </w:r>
          </w:p>
        </w:tc>
        <w:tc>
          <w:tcPr>
            <w:tcW w:w="1843" w:type="dxa"/>
            <w:tcBorders>
              <w:top w:val="single" w:sz="4" w:space="0" w:color="auto"/>
            </w:tcBorders>
            <w:shd w:val="clear" w:color="auto" w:fill="auto"/>
          </w:tcPr>
          <w:p w14:paraId="42AC0A17" w14:textId="7DD12485" w:rsidR="00487966" w:rsidRPr="00040DF7" w:rsidRDefault="004879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40DF7">
              <w:rPr>
                <w:rFonts w:ascii="Calibri" w:eastAsia="Times New Roman" w:hAnsi="Calibri" w:cs="Calibri"/>
              </w:rPr>
              <w:t>20</w:t>
            </w:r>
          </w:p>
        </w:tc>
        <w:tc>
          <w:tcPr>
            <w:tcW w:w="992" w:type="dxa"/>
            <w:tcBorders>
              <w:right w:val="single" w:sz="4" w:space="0" w:color="auto"/>
            </w:tcBorders>
            <w:shd w:val="clear" w:color="auto" w:fill="auto"/>
            <w:vAlign w:val="bottom"/>
          </w:tcPr>
          <w:p w14:paraId="6ABF1FC7" w14:textId="62F98478" w:rsidR="00487966" w:rsidRPr="0007207C" w:rsidRDefault="00912FFD"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6.5</w:t>
            </w:r>
          </w:p>
        </w:tc>
        <w:tc>
          <w:tcPr>
            <w:tcW w:w="992" w:type="dxa"/>
            <w:tcBorders>
              <w:right w:val="single" w:sz="4" w:space="0" w:color="auto"/>
            </w:tcBorders>
            <w:shd w:val="clear" w:color="auto" w:fill="auto"/>
            <w:vAlign w:val="bottom"/>
          </w:tcPr>
          <w:p w14:paraId="5D0BE726" w14:textId="1E5196DC" w:rsidR="00487966" w:rsidRPr="0007207C" w:rsidRDefault="00912FFD"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6.5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CAF91FE" w14:textId="225D9092" w:rsidR="00487966" w:rsidRPr="0007207C"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rPr>
              <w:t>0</w:t>
            </w:r>
          </w:p>
        </w:tc>
      </w:tr>
      <w:tr w:rsidR="0007207C" w:rsidRPr="00D633FF" w14:paraId="68DD07BF" w14:textId="77777777" w:rsidTr="00774E81">
        <w:trPr>
          <w:trHeight w:val="408"/>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left w:val="single" w:sz="4" w:space="0" w:color="auto"/>
              <w:bottom w:val="single" w:sz="4" w:space="0" w:color="FFFFFF" w:themeColor="background1"/>
            </w:tcBorders>
          </w:tcPr>
          <w:p w14:paraId="6EB07F84" w14:textId="77777777" w:rsidR="0007207C" w:rsidRPr="00D63BC2" w:rsidRDefault="0007207C">
            <w:pPr>
              <w:jc w:val="right"/>
              <w:rPr>
                <w:rFonts w:ascii="Calibri" w:eastAsia="Times New Roman" w:hAnsi="Calibri" w:cs="Calibri"/>
                <w:color w:val="FFFFFF"/>
              </w:rPr>
            </w:pPr>
            <w:r w:rsidRPr="00D63BC2">
              <w:rPr>
                <w:rFonts w:ascii="Calibri" w:eastAsia="Times New Roman" w:hAnsi="Calibri" w:cs="Calibri"/>
                <w:color w:val="FFFFFF"/>
              </w:rPr>
              <w:t>9 – 11 years</w:t>
            </w:r>
          </w:p>
        </w:tc>
        <w:tc>
          <w:tcPr>
            <w:tcW w:w="1418" w:type="dxa"/>
            <w:shd w:val="clear" w:color="auto" w:fill="auto"/>
            <w:vAlign w:val="center"/>
          </w:tcPr>
          <w:p w14:paraId="0418CED6" w14:textId="77777777" w:rsidR="0007207C" w:rsidRPr="001F6EB8"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1.78</w:t>
            </w:r>
          </w:p>
        </w:tc>
        <w:tc>
          <w:tcPr>
            <w:tcW w:w="1417" w:type="dxa"/>
            <w:shd w:val="clear" w:color="auto" w:fill="auto"/>
            <w:vAlign w:val="center"/>
          </w:tcPr>
          <w:p w14:paraId="46C3A02A" w14:textId="77777777" w:rsidR="0007207C" w:rsidRPr="001F6EB8"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1.87</w:t>
            </w:r>
          </w:p>
        </w:tc>
        <w:tc>
          <w:tcPr>
            <w:tcW w:w="2552" w:type="dxa"/>
            <w:tcBorders>
              <w:top w:val="single" w:sz="4" w:space="0" w:color="FFFFFF" w:themeColor="background1"/>
              <w:bottom w:val="single" w:sz="4" w:space="0" w:color="FFFFFF" w:themeColor="background1"/>
            </w:tcBorders>
            <w:shd w:val="clear" w:color="auto" w:fill="000000" w:themeFill="text1"/>
          </w:tcPr>
          <w:p w14:paraId="59E43C7B" w14:textId="77777777" w:rsidR="0007207C" w:rsidRPr="00D32C59" w:rsidRDefault="0007207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rPr>
            </w:pPr>
            <w:r w:rsidRPr="00D32C59">
              <w:rPr>
                <w:rFonts w:ascii="Calibri" w:eastAsia="Times New Roman" w:hAnsi="Calibri" w:cs="Calibri"/>
                <w:b/>
                <w:bCs/>
                <w:color w:val="FFFFFF" w:themeColor="background1"/>
              </w:rPr>
              <w:t>5-11 years</w:t>
            </w:r>
          </w:p>
        </w:tc>
        <w:tc>
          <w:tcPr>
            <w:tcW w:w="1843" w:type="dxa"/>
            <w:vMerge w:val="restart"/>
            <w:shd w:val="clear" w:color="auto" w:fill="auto"/>
            <w:vAlign w:val="center"/>
          </w:tcPr>
          <w:p w14:paraId="23F110A1" w14:textId="19720058" w:rsidR="0007207C" w:rsidRPr="00040DF7" w:rsidRDefault="0007207C" w:rsidP="00040DF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40DF7">
              <w:rPr>
                <w:rFonts w:ascii="Calibri" w:eastAsia="Times New Roman" w:hAnsi="Calibri" w:cs="Calibri"/>
              </w:rPr>
              <w:t>30</w:t>
            </w:r>
          </w:p>
        </w:tc>
        <w:tc>
          <w:tcPr>
            <w:tcW w:w="992" w:type="dxa"/>
            <w:vMerge w:val="restart"/>
            <w:tcBorders>
              <w:right w:val="single" w:sz="4" w:space="0" w:color="auto"/>
            </w:tcBorders>
            <w:shd w:val="clear" w:color="auto" w:fill="auto"/>
            <w:vAlign w:val="center"/>
          </w:tcPr>
          <w:p w14:paraId="4332653F" w14:textId="3F3BCAC4" w:rsidR="0007207C" w:rsidRPr="0007207C" w:rsidRDefault="0007207C"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10.0</w:t>
            </w:r>
          </w:p>
        </w:tc>
        <w:tc>
          <w:tcPr>
            <w:tcW w:w="992" w:type="dxa"/>
            <w:vMerge w:val="restart"/>
            <w:tcBorders>
              <w:right w:val="single" w:sz="4" w:space="0" w:color="auto"/>
            </w:tcBorders>
            <w:shd w:val="clear" w:color="auto" w:fill="auto"/>
            <w:vAlign w:val="center"/>
          </w:tcPr>
          <w:p w14:paraId="7217B113" w14:textId="654C1DBA" w:rsidR="0007207C" w:rsidRPr="0007207C" w:rsidRDefault="0007207C"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10.0</w:t>
            </w:r>
          </w:p>
        </w:tc>
        <w:tc>
          <w:tcPr>
            <w:tcW w:w="1985" w:type="dxa"/>
            <w:vMerge w:val="restart"/>
            <w:tcBorders>
              <w:top w:val="single" w:sz="4" w:space="0" w:color="auto"/>
              <w:left w:val="single" w:sz="4" w:space="0" w:color="auto"/>
              <w:right w:val="single" w:sz="4" w:space="0" w:color="auto"/>
            </w:tcBorders>
            <w:shd w:val="clear" w:color="auto" w:fill="FFFFFF"/>
            <w:vAlign w:val="center"/>
          </w:tcPr>
          <w:p w14:paraId="11F115C6" w14:textId="6F0ECE57" w:rsidR="0007207C" w:rsidRPr="0007207C" w:rsidRDefault="0007207C" w:rsidP="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rPr>
              <w:t>0</w:t>
            </w:r>
          </w:p>
        </w:tc>
      </w:tr>
      <w:tr w:rsidR="0007207C" w:rsidRPr="00D633FF" w14:paraId="5BFA045F" w14:textId="77777777" w:rsidTr="00774E81">
        <w:trPr>
          <w:trHeight w:val="408"/>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left w:val="single" w:sz="4" w:space="0" w:color="auto"/>
              <w:bottom w:val="single" w:sz="4" w:space="0" w:color="FFFFFF"/>
            </w:tcBorders>
          </w:tcPr>
          <w:p w14:paraId="027F1AC9" w14:textId="77777777" w:rsidR="0007207C" w:rsidRPr="00D63BC2" w:rsidRDefault="0007207C">
            <w:pPr>
              <w:jc w:val="right"/>
              <w:rPr>
                <w:rFonts w:ascii="Calibri" w:eastAsia="Times New Roman" w:hAnsi="Calibri" w:cs="Calibri"/>
                <w:color w:val="FFFFFF"/>
              </w:rPr>
            </w:pPr>
            <w:r w:rsidRPr="00D63BC2">
              <w:rPr>
                <w:rFonts w:ascii="Calibri" w:eastAsia="Times New Roman" w:hAnsi="Calibri" w:cs="Calibri"/>
                <w:color w:val="FFFFFF"/>
              </w:rPr>
              <w:t>12 – 13 years</w:t>
            </w:r>
          </w:p>
        </w:tc>
        <w:tc>
          <w:tcPr>
            <w:tcW w:w="1418" w:type="dxa"/>
            <w:shd w:val="clear" w:color="auto" w:fill="auto"/>
            <w:vAlign w:val="center"/>
          </w:tcPr>
          <w:p w14:paraId="61332FD0" w14:textId="77777777" w:rsidR="0007207C" w:rsidRPr="001F6EB8"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1.97</w:t>
            </w:r>
          </w:p>
        </w:tc>
        <w:tc>
          <w:tcPr>
            <w:tcW w:w="1417" w:type="dxa"/>
            <w:shd w:val="clear" w:color="auto" w:fill="auto"/>
            <w:vAlign w:val="center"/>
          </w:tcPr>
          <w:p w14:paraId="03BE3182" w14:textId="77777777" w:rsidR="0007207C" w:rsidRPr="001F6EB8"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1.98</w:t>
            </w:r>
          </w:p>
        </w:tc>
        <w:tc>
          <w:tcPr>
            <w:tcW w:w="2552" w:type="dxa"/>
            <w:tcBorders>
              <w:top w:val="single" w:sz="4" w:space="0" w:color="FFFFFF" w:themeColor="background1"/>
              <w:bottom w:val="single" w:sz="4" w:space="0" w:color="FFFFFF" w:themeColor="background1"/>
            </w:tcBorders>
            <w:shd w:val="clear" w:color="auto" w:fill="000000" w:themeFill="text1"/>
          </w:tcPr>
          <w:p w14:paraId="327E04C5" w14:textId="77777777" w:rsidR="0007207C" w:rsidRPr="00D32C59" w:rsidRDefault="0007207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rPr>
            </w:pPr>
            <w:r w:rsidRPr="00D32C59">
              <w:rPr>
                <w:rFonts w:ascii="Calibri" w:eastAsia="Times New Roman" w:hAnsi="Calibri" w:cs="Calibri"/>
                <w:b/>
                <w:bCs/>
                <w:color w:val="FFFFFF" w:themeColor="background1"/>
              </w:rPr>
              <w:t>12-17 years</w:t>
            </w:r>
          </w:p>
        </w:tc>
        <w:tc>
          <w:tcPr>
            <w:tcW w:w="1843" w:type="dxa"/>
            <w:vMerge/>
            <w:shd w:val="clear" w:color="auto" w:fill="CCCCCF"/>
          </w:tcPr>
          <w:p w14:paraId="2789CA6A" w14:textId="1E9DB63F" w:rsidR="0007207C" w:rsidRPr="00040DF7"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c>
          <w:tcPr>
            <w:tcW w:w="992" w:type="dxa"/>
            <w:vMerge/>
            <w:tcBorders>
              <w:right w:val="single" w:sz="4" w:space="0" w:color="auto"/>
            </w:tcBorders>
            <w:shd w:val="clear" w:color="auto" w:fill="CCCCCF"/>
            <w:vAlign w:val="center"/>
          </w:tcPr>
          <w:p w14:paraId="0F46962A" w14:textId="749B8792" w:rsidR="0007207C" w:rsidRPr="0007207C" w:rsidRDefault="0007207C"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c>
          <w:tcPr>
            <w:tcW w:w="992" w:type="dxa"/>
            <w:vMerge/>
            <w:tcBorders>
              <w:right w:val="single" w:sz="4" w:space="0" w:color="auto"/>
            </w:tcBorders>
            <w:shd w:val="clear" w:color="auto" w:fill="CCCCCF"/>
            <w:vAlign w:val="center"/>
          </w:tcPr>
          <w:p w14:paraId="6C271DF8" w14:textId="14AB6B78" w:rsidR="0007207C" w:rsidRPr="0007207C" w:rsidRDefault="0007207C"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c>
          <w:tcPr>
            <w:tcW w:w="1985" w:type="dxa"/>
            <w:vMerge/>
            <w:tcBorders>
              <w:left w:val="single" w:sz="4" w:space="0" w:color="auto"/>
              <w:bottom w:val="single" w:sz="4" w:space="0" w:color="auto"/>
              <w:right w:val="single" w:sz="4" w:space="0" w:color="auto"/>
            </w:tcBorders>
            <w:shd w:val="clear" w:color="auto" w:fill="FFFFFF"/>
          </w:tcPr>
          <w:p w14:paraId="33B5AEA7" w14:textId="5E38EB76" w:rsidR="0007207C" w:rsidRPr="0007207C"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p>
        </w:tc>
      </w:tr>
      <w:tr w:rsidR="00487966" w:rsidRPr="00D633FF" w14:paraId="52B1611B" w14:textId="77777777" w:rsidTr="00774E81">
        <w:trPr>
          <w:trHeight w:val="408"/>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left w:val="single" w:sz="4" w:space="0" w:color="auto"/>
              <w:bottom w:val="single" w:sz="4" w:space="0" w:color="auto"/>
            </w:tcBorders>
          </w:tcPr>
          <w:p w14:paraId="2186AA33" w14:textId="77777777" w:rsidR="00487966" w:rsidRPr="00D63BC2" w:rsidRDefault="00487966">
            <w:pPr>
              <w:jc w:val="right"/>
              <w:rPr>
                <w:rFonts w:ascii="Calibri" w:eastAsia="Times New Roman" w:hAnsi="Calibri" w:cs="Calibri"/>
                <w:color w:val="FFFFFF"/>
              </w:rPr>
            </w:pPr>
            <w:r w:rsidRPr="00D63BC2">
              <w:rPr>
                <w:rFonts w:ascii="Calibri" w:eastAsia="Times New Roman" w:hAnsi="Calibri" w:cs="Calibri"/>
                <w:color w:val="FFFFFF"/>
              </w:rPr>
              <w:t>14 – 18 years</w:t>
            </w:r>
          </w:p>
        </w:tc>
        <w:tc>
          <w:tcPr>
            <w:tcW w:w="1418" w:type="dxa"/>
            <w:tcBorders>
              <w:bottom w:val="single" w:sz="4" w:space="0" w:color="auto"/>
            </w:tcBorders>
            <w:shd w:val="clear" w:color="auto" w:fill="FFFFFF"/>
            <w:vAlign w:val="center"/>
          </w:tcPr>
          <w:p w14:paraId="463C1967" w14:textId="77777777" w:rsidR="00487966" w:rsidRPr="001F6EB8" w:rsidRDefault="004879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1.84</w:t>
            </w:r>
          </w:p>
        </w:tc>
        <w:tc>
          <w:tcPr>
            <w:tcW w:w="1417" w:type="dxa"/>
            <w:tcBorders>
              <w:bottom w:val="single" w:sz="4" w:space="0" w:color="auto"/>
            </w:tcBorders>
            <w:shd w:val="clear" w:color="auto" w:fill="FFFFFF"/>
            <w:vAlign w:val="center"/>
          </w:tcPr>
          <w:p w14:paraId="0AA76B13" w14:textId="77777777" w:rsidR="00487966" w:rsidRPr="001F6EB8" w:rsidRDefault="004879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1.73</w:t>
            </w:r>
          </w:p>
        </w:tc>
        <w:tc>
          <w:tcPr>
            <w:tcW w:w="2552" w:type="dxa"/>
            <w:tcBorders>
              <w:top w:val="single" w:sz="4" w:space="0" w:color="FFFFFF" w:themeColor="background1"/>
              <w:bottom w:val="single" w:sz="4" w:space="0" w:color="auto"/>
            </w:tcBorders>
            <w:shd w:val="clear" w:color="auto" w:fill="000000" w:themeFill="text1"/>
          </w:tcPr>
          <w:p w14:paraId="53C36588" w14:textId="77777777" w:rsidR="00487966" w:rsidRPr="00D32C59" w:rsidRDefault="0048796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rPr>
            </w:pPr>
            <w:r w:rsidRPr="00D32C59">
              <w:rPr>
                <w:rFonts w:ascii="Calibri" w:eastAsia="Times New Roman" w:hAnsi="Calibri" w:cs="Calibri"/>
                <w:b/>
                <w:bCs/>
                <w:color w:val="FFFFFF" w:themeColor="background1"/>
              </w:rPr>
              <w:t>12-17 years</w:t>
            </w:r>
          </w:p>
        </w:tc>
        <w:tc>
          <w:tcPr>
            <w:tcW w:w="1843" w:type="dxa"/>
            <w:shd w:val="clear" w:color="auto" w:fill="FFFFFF"/>
          </w:tcPr>
          <w:p w14:paraId="0A1B0400" w14:textId="67D91EED" w:rsidR="00487966" w:rsidRPr="00040DF7" w:rsidRDefault="004879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40DF7">
              <w:rPr>
                <w:rFonts w:ascii="Calibri" w:eastAsia="Times New Roman" w:hAnsi="Calibri" w:cs="Calibri"/>
              </w:rPr>
              <w:t>40</w:t>
            </w:r>
          </w:p>
        </w:tc>
        <w:tc>
          <w:tcPr>
            <w:tcW w:w="992" w:type="dxa"/>
            <w:tcBorders>
              <w:right w:val="single" w:sz="4" w:space="0" w:color="auto"/>
            </w:tcBorders>
            <w:shd w:val="clear" w:color="auto" w:fill="FFFFFF"/>
            <w:vAlign w:val="bottom"/>
          </w:tcPr>
          <w:p w14:paraId="56248DBF" w14:textId="0044B85A" w:rsidR="00487966" w:rsidRPr="0007207C" w:rsidRDefault="002C4C65"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14.0</w:t>
            </w:r>
          </w:p>
        </w:tc>
        <w:tc>
          <w:tcPr>
            <w:tcW w:w="992" w:type="dxa"/>
            <w:tcBorders>
              <w:right w:val="single" w:sz="4" w:space="0" w:color="auto"/>
            </w:tcBorders>
            <w:shd w:val="clear" w:color="auto" w:fill="FFFFFF"/>
            <w:vAlign w:val="bottom"/>
          </w:tcPr>
          <w:p w14:paraId="49753590" w14:textId="113EA4A3" w:rsidR="00487966" w:rsidRPr="0007207C" w:rsidRDefault="00B864BF"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12.5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094ACAE" w14:textId="668F91E5" w:rsidR="00487966" w:rsidRPr="0007207C"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rPr>
              <w:t>0</w:t>
            </w:r>
          </w:p>
        </w:tc>
      </w:tr>
      <w:tr w:rsidR="00487966" w:rsidRPr="00D633FF" w14:paraId="6AB4E9EF" w14:textId="77777777" w:rsidTr="00774E81">
        <w:trPr>
          <w:trHeight w:val="408"/>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left w:val="single" w:sz="4" w:space="0" w:color="auto"/>
              <w:bottom w:val="single" w:sz="4" w:space="0" w:color="auto"/>
            </w:tcBorders>
          </w:tcPr>
          <w:p w14:paraId="79E7371A" w14:textId="77777777" w:rsidR="00487966" w:rsidRPr="00D63BC2" w:rsidRDefault="00487966">
            <w:pPr>
              <w:jc w:val="right"/>
              <w:rPr>
                <w:rFonts w:ascii="Calibri" w:eastAsia="Times New Roman" w:hAnsi="Calibri" w:cs="Calibri"/>
              </w:rPr>
            </w:pPr>
            <w:r w:rsidRPr="00D63BC2">
              <w:rPr>
                <w:rFonts w:ascii="Calibri" w:eastAsia="Times New Roman" w:hAnsi="Calibri" w:cs="Calibri"/>
              </w:rPr>
              <w:t>Pregnant, 14 – 18 years</w:t>
            </w:r>
          </w:p>
        </w:tc>
        <w:tc>
          <w:tcPr>
            <w:tcW w:w="1418" w:type="dxa"/>
            <w:tcBorders>
              <w:bottom w:val="single" w:sz="4" w:space="0" w:color="auto"/>
            </w:tcBorders>
            <w:shd w:val="clear" w:color="auto" w:fill="FFFFFF"/>
            <w:vAlign w:val="center"/>
          </w:tcPr>
          <w:p w14:paraId="3639C8AC" w14:textId="77777777" w:rsidR="00487966" w:rsidRPr="001F6EB8" w:rsidDel="00F5758D" w:rsidRDefault="004879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rPr>
            </w:pPr>
            <w:proofErr w:type="spellStart"/>
            <w:r w:rsidRPr="001F6EB8">
              <w:rPr>
                <w:rFonts w:ascii="Calibri" w:eastAsia="Times New Roman" w:hAnsi="Calibri" w:cs="Calibri"/>
                <w:i/>
                <w:iCs/>
              </w:rPr>
              <w:t>na</w:t>
            </w:r>
            <w:proofErr w:type="spellEnd"/>
          </w:p>
        </w:tc>
        <w:tc>
          <w:tcPr>
            <w:tcW w:w="1417" w:type="dxa"/>
            <w:tcBorders>
              <w:bottom w:val="single" w:sz="4" w:space="0" w:color="auto"/>
            </w:tcBorders>
            <w:shd w:val="clear" w:color="auto" w:fill="FFFFFF"/>
            <w:vAlign w:val="center"/>
          </w:tcPr>
          <w:p w14:paraId="61D43B6F" w14:textId="77777777" w:rsidR="00487966" w:rsidRPr="001F6EB8" w:rsidDel="00F5758D" w:rsidRDefault="004879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2.05</w:t>
            </w:r>
          </w:p>
        </w:tc>
        <w:tc>
          <w:tcPr>
            <w:tcW w:w="2552" w:type="dxa"/>
            <w:tcBorders>
              <w:bottom w:val="single" w:sz="4" w:space="0" w:color="auto"/>
            </w:tcBorders>
            <w:shd w:val="clear" w:color="auto" w:fill="000000" w:themeFill="text1"/>
          </w:tcPr>
          <w:p w14:paraId="25F90012" w14:textId="143C6C4D" w:rsidR="00487966" w:rsidRPr="00D32C59" w:rsidRDefault="000A6B7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Pr>
                <w:rFonts w:ascii="Calibri" w:eastAsia="Times New Roman" w:hAnsi="Calibri" w:cs="Calibri"/>
                <w:b/>
                <w:bCs/>
                <w:color w:val="FFFFFF" w:themeColor="background1"/>
              </w:rPr>
              <w:t xml:space="preserve">Pregnant, </w:t>
            </w:r>
            <w:r w:rsidRPr="00D32C59">
              <w:rPr>
                <w:rFonts w:ascii="Calibri" w:eastAsia="Times New Roman" w:hAnsi="Calibri" w:cs="Calibri"/>
                <w:b/>
                <w:bCs/>
                <w:color w:val="FFFFFF" w:themeColor="background1"/>
              </w:rPr>
              <w:t>12-17 years</w:t>
            </w:r>
          </w:p>
        </w:tc>
        <w:tc>
          <w:tcPr>
            <w:tcW w:w="1843" w:type="dxa"/>
            <w:shd w:val="clear" w:color="auto" w:fill="FFFFFF"/>
          </w:tcPr>
          <w:p w14:paraId="5C8477D9" w14:textId="22718C8D" w:rsidR="00487966" w:rsidRPr="00040DF7" w:rsidRDefault="0048796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40DF7">
              <w:rPr>
                <w:rFonts w:ascii="Calibri" w:eastAsia="Times New Roman" w:hAnsi="Calibri" w:cs="Calibri"/>
              </w:rPr>
              <w:t>40</w:t>
            </w:r>
          </w:p>
        </w:tc>
        <w:tc>
          <w:tcPr>
            <w:tcW w:w="992" w:type="dxa"/>
            <w:tcBorders>
              <w:right w:val="single" w:sz="4" w:space="0" w:color="auto"/>
            </w:tcBorders>
            <w:shd w:val="clear" w:color="auto" w:fill="FFFFFF"/>
            <w:vAlign w:val="bottom"/>
          </w:tcPr>
          <w:p w14:paraId="71752047" w14:textId="7880951D" w:rsidR="00487966" w:rsidRPr="0007207C" w:rsidRDefault="0007207C"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rPr>
            </w:pPr>
            <w:proofErr w:type="spellStart"/>
            <w:r w:rsidRPr="0007207C">
              <w:rPr>
                <w:rFonts w:ascii="Calibri" w:eastAsia="Times New Roman" w:hAnsi="Calibri" w:cs="Calibri"/>
                <w:i/>
                <w:iCs/>
              </w:rPr>
              <w:t>na</w:t>
            </w:r>
            <w:proofErr w:type="spellEnd"/>
          </w:p>
        </w:tc>
        <w:tc>
          <w:tcPr>
            <w:tcW w:w="992" w:type="dxa"/>
            <w:tcBorders>
              <w:right w:val="single" w:sz="4" w:space="0" w:color="auto"/>
            </w:tcBorders>
            <w:shd w:val="clear" w:color="auto" w:fill="FFFFFF"/>
            <w:vAlign w:val="bottom"/>
          </w:tcPr>
          <w:p w14:paraId="60F69A58" w14:textId="72F41A59" w:rsidR="00487966" w:rsidRPr="0007207C" w:rsidRDefault="0007207C" w:rsidP="009356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12.5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F8C0BFD" w14:textId="6898CF67" w:rsidR="00487966" w:rsidRPr="0007207C" w:rsidRDefault="0007207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rPr>
              <w:t>0</w:t>
            </w:r>
          </w:p>
        </w:tc>
      </w:tr>
      <w:tr w:rsidR="000A6B7D" w:rsidRPr="00D633FF" w14:paraId="5EB9D106" w14:textId="77777777" w:rsidTr="00774E81">
        <w:trPr>
          <w:trHeight w:val="408"/>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left w:val="single" w:sz="4" w:space="0" w:color="auto"/>
              <w:bottom w:val="single" w:sz="4" w:space="0" w:color="auto"/>
            </w:tcBorders>
          </w:tcPr>
          <w:p w14:paraId="397F6DEF" w14:textId="77777777" w:rsidR="000A6B7D" w:rsidRPr="00D63BC2" w:rsidRDefault="000A6B7D" w:rsidP="000A6B7D">
            <w:pPr>
              <w:jc w:val="right"/>
              <w:rPr>
                <w:rFonts w:ascii="Calibri" w:eastAsia="Times New Roman" w:hAnsi="Calibri" w:cs="Calibri"/>
              </w:rPr>
            </w:pPr>
            <w:r w:rsidRPr="00D63BC2">
              <w:rPr>
                <w:rFonts w:ascii="Calibri" w:eastAsia="Times New Roman" w:hAnsi="Calibri" w:cs="Calibri"/>
              </w:rPr>
              <w:t>Lactating, 14 – 18 years</w:t>
            </w:r>
          </w:p>
        </w:tc>
        <w:tc>
          <w:tcPr>
            <w:tcW w:w="1418" w:type="dxa"/>
            <w:tcBorders>
              <w:bottom w:val="single" w:sz="4" w:space="0" w:color="auto"/>
            </w:tcBorders>
            <w:shd w:val="clear" w:color="auto" w:fill="FFFFFF"/>
            <w:vAlign w:val="center"/>
          </w:tcPr>
          <w:p w14:paraId="68A94A2E" w14:textId="77777777" w:rsidR="000A6B7D" w:rsidRPr="001F6EB8" w:rsidDel="00F5758D"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rPr>
            </w:pPr>
            <w:proofErr w:type="spellStart"/>
            <w:r w:rsidRPr="001F6EB8">
              <w:rPr>
                <w:rFonts w:ascii="Calibri" w:eastAsia="Times New Roman" w:hAnsi="Calibri" w:cs="Calibri"/>
                <w:i/>
                <w:iCs/>
              </w:rPr>
              <w:t>na</w:t>
            </w:r>
            <w:proofErr w:type="spellEnd"/>
          </w:p>
        </w:tc>
        <w:tc>
          <w:tcPr>
            <w:tcW w:w="1417" w:type="dxa"/>
            <w:tcBorders>
              <w:bottom w:val="single" w:sz="4" w:space="0" w:color="auto"/>
            </w:tcBorders>
            <w:shd w:val="clear" w:color="auto" w:fill="FFFFFF"/>
            <w:vAlign w:val="center"/>
          </w:tcPr>
          <w:p w14:paraId="418FB72E" w14:textId="77777777" w:rsidR="000A6B7D" w:rsidRPr="001F6EB8" w:rsidDel="00F5758D"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1F6EB8">
              <w:rPr>
                <w:rFonts w:ascii="Calibri" w:eastAsia="Times New Roman" w:hAnsi="Calibri" w:cs="Calibri"/>
              </w:rPr>
              <w:t>2.0</w:t>
            </w:r>
          </w:p>
        </w:tc>
        <w:tc>
          <w:tcPr>
            <w:tcW w:w="2552" w:type="dxa"/>
            <w:tcBorders>
              <w:bottom w:val="single" w:sz="4" w:space="0" w:color="auto"/>
            </w:tcBorders>
            <w:shd w:val="clear" w:color="auto" w:fill="000000" w:themeFill="text1"/>
          </w:tcPr>
          <w:p w14:paraId="41732BD7" w14:textId="54200B85" w:rsidR="000A6B7D" w:rsidRPr="00D32C59" w:rsidRDefault="000A6B7D" w:rsidP="000A6B7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Pr>
                <w:rFonts w:ascii="Calibri" w:eastAsia="Times New Roman" w:hAnsi="Calibri" w:cs="Calibri"/>
                <w:b/>
                <w:bCs/>
                <w:color w:val="FFFFFF" w:themeColor="background1"/>
              </w:rPr>
              <w:t xml:space="preserve">Lactating, </w:t>
            </w:r>
            <w:r w:rsidRPr="00D32C59">
              <w:rPr>
                <w:rFonts w:ascii="Calibri" w:eastAsia="Times New Roman" w:hAnsi="Calibri" w:cs="Calibri"/>
                <w:b/>
                <w:bCs/>
                <w:color w:val="FFFFFF" w:themeColor="background1"/>
              </w:rPr>
              <w:t>12-17 years</w:t>
            </w:r>
          </w:p>
        </w:tc>
        <w:tc>
          <w:tcPr>
            <w:tcW w:w="1843" w:type="dxa"/>
            <w:shd w:val="clear" w:color="auto" w:fill="FFFFFF"/>
          </w:tcPr>
          <w:p w14:paraId="7A659F8F" w14:textId="51CDEAD1" w:rsidR="000A6B7D" w:rsidRPr="00040DF7"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40DF7">
              <w:rPr>
                <w:rFonts w:ascii="Calibri" w:eastAsia="Times New Roman" w:hAnsi="Calibri" w:cs="Calibri"/>
              </w:rPr>
              <w:t>40</w:t>
            </w:r>
          </w:p>
        </w:tc>
        <w:tc>
          <w:tcPr>
            <w:tcW w:w="992" w:type="dxa"/>
            <w:tcBorders>
              <w:right w:val="single" w:sz="4" w:space="0" w:color="auto"/>
            </w:tcBorders>
            <w:shd w:val="clear" w:color="auto" w:fill="FFFFFF"/>
            <w:vAlign w:val="bottom"/>
          </w:tcPr>
          <w:p w14:paraId="4C8BCB64" w14:textId="220B80EB" w:rsidR="000A6B7D" w:rsidRPr="0007207C"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rPr>
            </w:pPr>
            <w:proofErr w:type="spellStart"/>
            <w:r w:rsidRPr="0007207C">
              <w:rPr>
                <w:rFonts w:ascii="Calibri" w:eastAsia="Times New Roman" w:hAnsi="Calibri" w:cs="Calibri"/>
                <w:i/>
                <w:iCs/>
              </w:rPr>
              <w:t>na</w:t>
            </w:r>
            <w:proofErr w:type="spellEnd"/>
          </w:p>
        </w:tc>
        <w:tc>
          <w:tcPr>
            <w:tcW w:w="992" w:type="dxa"/>
            <w:tcBorders>
              <w:right w:val="single" w:sz="4" w:space="0" w:color="auto"/>
            </w:tcBorders>
            <w:shd w:val="clear" w:color="auto" w:fill="FFFFFF"/>
            <w:vAlign w:val="bottom"/>
          </w:tcPr>
          <w:p w14:paraId="27A72397" w14:textId="2322673E" w:rsidR="000A6B7D" w:rsidRPr="0007207C"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12.5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20D2E66" w14:textId="275E0062" w:rsidR="000A6B7D" w:rsidRPr="0007207C"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rPr>
              <w:t>0</w:t>
            </w:r>
          </w:p>
        </w:tc>
      </w:tr>
      <w:tr w:rsidR="000A6B7D" w:rsidRPr="00D633FF" w14:paraId="7B10FB0A" w14:textId="77777777" w:rsidTr="00EE6CDD">
        <w:trPr>
          <w:trHeight w:val="370"/>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auto"/>
              <w:bottom w:val="single" w:sz="4" w:space="0" w:color="auto"/>
            </w:tcBorders>
            <w:shd w:val="clear" w:color="auto" w:fill="B3B3B7" w:themeFill="accent5" w:themeFillTint="99"/>
            <w:vAlign w:val="center"/>
          </w:tcPr>
          <w:p w14:paraId="1994C872" w14:textId="261B767E" w:rsidR="000A6B7D" w:rsidRPr="000728AE" w:rsidRDefault="00EE6CDD" w:rsidP="00EE6CDD">
            <w:pPr>
              <w:jc w:val="center"/>
              <w:rPr>
                <w:rFonts w:ascii="Calibri" w:eastAsia="Times New Roman" w:hAnsi="Calibri" w:cs="Calibri"/>
                <w:b w:val="0"/>
                <w:highlight w:val="lightGray"/>
              </w:rPr>
            </w:pPr>
            <w:r w:rsidRPr="00CD3DF9">
              <w:rPr>
                <w:rFonts w:ascii="Calibri" w:eastAsia="Times New Roman" w:hAnsi="Calibri" w:cs="Calibri"/>
                <w:b w:val="0"/>
                <w:color w:val="414044" w:themeColor="accent5" w:themeShade="80"/>
              </w:rPr>
              <w:t>-</w:t>
            </w:r>
          </w:p>
        </w:tc>
        <w:tc>
          <w:tcPr>
            <w:tcW w:w="1418" w:type="dxa"/>
            <w:tcBorders>
              <w:left w:val="single" w:sz="4" w:space="0" w:color="auto"/>
              <w:bottom w:val="single" w:sz="4" w:space="0" w:color="auto"/>
            </w:tcBorders>
            <w:shd w:val="clear" w:color="auto" w:fill="B3B3B7" w:themeFill="accent5" w:themeFillTint="99"/>
            <w:vAlign w:val="center"/>
          </w:tcPr>
          <w:p w14:paraId="7BDA7B27" w14:textId="069D834A" w:rsidR="000A6B7D" w:rsidRPr="00CD3DF9" w:rsidRDefault="00EE6CDD" w:rsidP="00EE6CD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414044" w:themeColor="accent5" w:themeShade="80"/>
              </w:rPr>
            </w:pPr>
            <w:r w:rsidRPr="00CD3DF9">
              <w:rPr>
                <w:rFonts w:ascii="Calibri" w:eastAsia="Times New Roman" w:hAnsi="Calibri" w:cs="Calibri"/>
                <w:b/>
                <w:color w:val="414044" w:themeColor="accent5" w:themeShade="80"/>
              </w:rPr>
              <w:t>-</w:t>
            </w:r>
          </w:p>
        </w:tc>
        <w:tc>
          <w:tcPr>
            <w:tcW w:w="1417" w:type="dxa"/>
            <w:tcBorders>
              <w:left w:val="single" w:sz="4" w:space="0" w:color="auto"/>
              <w:bottom w:val="single" w:sz="4" w:space="0" w:color="auto"/>
              <w:right w:val="single" w:sz="4" w:space="0" w:color="FFFFFF" w:themeColor="background1"/>
            </w:tcBorders>
            <w:shd w:val="clear" w:color="auto" w:fill="B3B3B7" w:themeFill="accent5" w:themeFillTint="99"/>
            <w:vAlign w:val="center"/>
          </w:tcPr>
          <w:p w14:paraId="07B37AC9" w14:textId="63C2543F" w:rsidR="000A6B7D" w:rsidRPr="00CD3DF9" w:rsidRDefault="00EE6CDD" w:rsidP="00EE6CD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414044" w:themeColor="accent5" w:themeShade="80"/>
              </w:rPr>
            </w:pPr>
            <w:r w:rsidRPr="00CD3DF9">
              <w:rPr>
                <w:rFonts w:ascii="Calibri" w:eastAsia="Times New Roman" w:hAnsi="Calibri" w:cs="Calibri"/>
                <w:b/>
                <w:color w:val="414044" w:themeColor="accent5" w:themeShade="80"/>
              </w:rPr>
              <w:t>-</w:t>
            </w:r>
          </w:p>
        </w:tc>
        <w:tc>
          <w:tcPr>
            <w:tcW w:w="2552" w:type="dxa"/>
            <w:tcBorders>
              <w:left w:val="single" w:sz="4" w:space="0" w:color="FFFFFF" w:themeColor="background1"/>
              <w:bottom w:val="single" w:sz="4" w:space="0" w:color="auto"/>
            </w:tcBorders>
            <w:shd w:val="clear" w:color="auto" w:fill="B3B3B7" w:themeFill="accent5" w:themeFillTint="99"/>
          </w:tcPr>
          <w:p w14:paraId="0B7A2EFD" w14:textId="77777777" w:rsidR="000A6B7D" w:rsidRPr="00EB031D" w:rsidRDefault="000A6B7D" w:rsidP="000A6B7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rPr>
            </w:pPr>
            <w:r w:rsidRPr="00EB031D">
              <w:rPr>
                <w:rFonts w:ascii="Calibri" w:eastAsia="Times New Roman" w:hAnsi="Calibri" w:cs="Calibri"/>
                <w:b/>
                <w:bCs/>
              </w:rPr>
              <w:t>PROPOSED ADULT ULs</w:t>
            </w:r>
          </w:p>
        </w:tc>
        <w:tc>
          <w:tcPr>
            <w:tcW w:w="1843" w:type="dxa"/>
            <w:shd w:val="clear" w:color="auto" w:fill="B3B3B7" w:themeFill="accent5" w:themeFillTint="99"/>
          </w:tcPr>
          <w:p w14:paraId="69695BB3" w14:textId="77777777" w:rsidR="000A6B7D" w:rsidRPr="001F6EB8"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rPr>
              <w:t>50</w:t>
            </w:r>
          </w:p>
        </w:tc>
        <w:tc>
          <w:tcPr>
            <w:tcW w:w="992" w:type="dxa"/>
            <w:shd w:val="clear" w:color="auto" w:fill="B3B3B7" w:themeFill="accent5" w:themeFillTint="99"/>
          </w:tcPr>
          <w:p w14:paraId="040AA8F0" w14:textId="51FDF2D7" w:rsidR="000A6B7D" w:rsidRPr="0007207C"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14</w:t>
            </w:r>
          </w:p>
        </w:tc>
        <w:tc>
          <w:tcPr>
            <w:tcW w:w="992" w:type="dxa"/>
            <w:shd w:val="clear" w:color="auto" w:fill="B3B3B7" w:themeFill="accent5" w:themeFillTint="99"/>
          </w:tcPr>
          <w:p w14:paraId="09EFE049" w14:textId="6E320E02" w:rsidR="000A6B7D" w:rsidRPr="0007207C"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07207C">
              <w:rPr>
                <w:rFonts w:ascii="Calibri" w:eastAsia="Times New Roman" w:hAnsi="Calibri" w:cs="Calibri"/>
              </w:rPr>
              <w:t>14</w:t>
            </w:r>
          </w:p>
        </w:tc>
        <w:tc>
          <w:tcPr>
            <w:tcW w:w="1985" w:type="dxa"/>
            <w:tcBorders>
              <w:top w:val="single" w:sz="4" w:space="0" w:color="auto"/>
            </w:tcBorders>
            <w:shd w:val="clear" w:color="auto" w:fill="B3B3B7" w:themeFill="accent5" w:themeFillTint="99"/>
          </w:tcPr>
          <w:p w14:paraId="527C0678" w14:textId="2B4351FF" w:rsidR="000A6B7D" w:rsidRPr="00B0606E" w:rsidRDefault="000A6B7D" w:rsidP="000A6B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rPr>
            </w:pPr>
            <w:proofErr w:type="spellStart"/>
            <w:r w:rsidRPr="00B0606E">
              <w:rPr>
                <w:rFonts w:ascii="Calibri" w:eastAsia="Times New Roman" w:hAnsi="Calibri" w:cs="Calibri"/>
                <w:i/>
                <w:iCs/>
              </w:rPr>
              <w:t>na</w:t>
            </w:r>
            <w:proofErr w:type="spellEnd"/>
          </w:p>
        </w:tc>
      </w:tr>
    </w:tbl>
    <w:p w14:paraId="1CBFBE69" w14:textId="77777777" w:rsidR="000271B0" w:rsidRDefault="000271B0" w:rsidP="000271B0">
      <w:pPr>
        <w:pStyle w:val="BodyText"/>
        <w:sectPr w:rsidR="000271B0" w:rsidSect="00D75D51">
          <w:pgSz w:w="16838" w:h="11906" w:orient="landscape" w:code="9"/>
          <w:pgMar w:top="907" w:right="1814" w:bottom="1134" w:left="1565" w:header="510" w:footer="454" w:gutter="0"/>
          <w:cols w:space="708"/>
          <w:titlePg/>
          <w:docGrid w:linePitch="360"/>
        </w:sectPr>
      </w:pPr>
    </w:p>
    <w:p w14:paraId="020A706B" w14:textId="77777777" w:rsidR="00C34599" w:rsidRPr="00962F99" w:rsidRDefault="00C34599" w:rsidP="00C34599">
      <w:pPr>
        <w:pStyle w:val="Heading5"/>
        <w:shd w:val="clear" w:color="auto" w:fill="005F85" w:themeFill="accent2"/>
        <w:rPr>
          <w:color w:val="FFFFFF" w:themeColor="background1"/>
          <w:sz w:val="22"/>
          <w:szCs w:val="22"/>
        </w:rPr>
      </w:pPr>
      <w:r>
        <w:rPr>
          <w:color w:val="FFFFFF" w:themeColor="background1"/>
          <w:sz w:val="22"/>
          <w:szCs w:val="22"/>
        </w:rPr>
        <w:lastRenderedPageBreak/>
        <w:t>Resource impacts</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6724"/>
        <w:gridCol w:w="6725"/>
      </w:tblGrid>
      <w:tr w:rsidR="00C34599" w14:paraId="376B9783" w14:textId="77777777">
        <w:tc>
          <w:tcPr>
            <w:tcW w:w="6724" w:type="dxa"/>
            <w:shd w:val="clear" w:color="auto" w:fill="C8E4EF" w:themeFill="accent1" w:themeFillTint="66"/>
          </w:tcPr>
          <w:p w14:paraId="658777A9" w14:textId="77777777" w:rsidR="00C34599" w:rsidRPr="008439D8" w:rsidRDefault="00C34599">
            <w:pPr>
              <w:spacing w:line="276" w:lineRule="auto"/>
              <w:rPr>
                <w:rFonts w:eastAsia="Times New Roman" w:cs="Arial"/>
                <w:b/>
                <w:color w:val="005F85" w:themeColor="accent2"/>
                <w:szCs w:val="20"/>
              </w:rPr>
            </w:pPr>
            <w:r w:rsidRPr="008439D8">
              <w:rPr>
                <w:rFonts w:eastAsia="Times New Roman" w:cs="Arial"/>
                <w:b/>
                <w:color w:val="005F85" w:themeColor="accent2"/>
                <w:szCs w:val="20"/>
                <w:u w:val="single"/>
              </w:rPr>
              <w:t>OPTION 1</w:t>
            </w:r>
            <w:r w:rsidRPr="008439D8">
              <w:rPr>
                <w:rFonts w:eastAsia="Times New Roman" w:cs="Arial"/>
                <w:b/>
                <w:color w:val="005F85" w:themeColor="accent2"/>
                <w:szCs w:val="20"/>
              </w:rPr>
              <w:t>:</w:t>
            </w:r>
          </w:p>
          <w:p w14:paraId="1906707B" w14:textId="77777777" w:rsidR="00C34599" w:rsidRPr="008439D8" w:rsidRDefault="00C34599">
            <w:pPr>
              <w:spacing w:line="276" w:lineRule="auto"/>
              <w:contextualSpacing/>
              <w:rPr>
                <w:rFonts w:eastAsia="Times New Roman" w:cs="Arial"/>
                <w:b/>
                <w:color w:val="005F85" w:themeColor="accent2"/>
                <w:szCs w:val="20"/>
              </w:rPr>
            </w:pPr>
            <w:r w:rsidRPr="008439D8">
              <w:rPr>
                <w:rFonts w:eastAsia="Times New Roman" w:cs="Arial"/>
                <w:b/>
                <w:color w:val="005F85" w:themeColor="accent2"/>
                <w:szCs w:val="20"/>
              </w:rPr>
              <w:t>Maintain current UL recommendations</w:t>
            </w:r>
          </w:p>
          <w:p w14:paraId="2715E03F" w14:textId="77777777" w:rsidR="00C34599" w:rsidRDefault="00C34599"/>
        </w:tc>
        <w:tc>
          <w:tcPr>
            <w:tcW w:w="6725" w:type="dxa"/>
            <w:shd w:val="clear" w:color="auto" w:fill="C8E4EF" w:themeFill="accent1" w:themeFillTint="66"/>
          </w:tcPr>
          <w:p w14:paraId="0D48A842" w14:textId="77777777" w:rsidR="00C34599" w:rsidRDefault="00C34599">
            <w:r w:rsidRPr="008439D8">
              <w:rPr>
                <w:rFonts w:eastAsia="Times New Roman" w:cs="Arial"/>
                <w:b/>
                <w:color w:val="005F85" w:themeColor="accent2"/>
                <w:szCs w:val="20"/>
                <w:u w:val="single"/>
              </w:rPr>
              <w:t>OPTION 2</w:t>
            </w:r>
            <w:r w:rsidRPr="008439D8">
              <w:rPr>
                <w:rFonts w:eastAsia="Times New Roman" w:cs="Arial"/>
                <w:b/>
                <w:color w:val="005F85" w:themeColor="accent2"/>
                <w:szCs w:val="20"/>
              </w:rPr>
              <w:t>:</w:t>
            </w:r>
            <w:r w:rsidRPr="008439D8">
              <w:rPr>
                <w:rFonts w:eastAsia="Times New Roman" w:cs="Arial"/>
                <w:b/>
                <w:color w:val="005F85" w:themeColor="accent2"/>
                <w:szCs w:val="20"/>
              </w:rPr>
              <w:br/>
            </w:r>
            <w:r>
              <w:rPr>
                <w:rFonts w:eastAsia="Times New Roman" w:cs="Arial"/>
                <w:b/>
                <w:color w:val="005F85" w:themeColor="accent2"/>
                <w:szCs w:val="20"/>
              </w:rPr>
              <w:t xml:space="preserve">Decrease the UL </w:t>
            </w:r>
          </w:p>
        </w:tc>
      </w:tr>
      <w:tr w:rsidR="00C34599" w:rsidRPr="004E4763" w14:paraId="57932A25" w14:textId="77777777" w:rsidTr="000271B0">
        <w:trPr>
          <w:trHeight w:val="535"/>
        </w:trPr>
        <w:tc>
          <w:tcPr>
            <w:tcW w:w="6724" w:type="dxa"/>
          </w:tcPr>
          <w:p w14:paraId="763FFB49" w14:textId="7E005CA5" w:rsidR="00C34599" w:rsidRPr="000271B0" w:rsidRDefault="004E4763">
            <w:pPr>
              <w:spacing w:line="276" w:lineRule="auto"/>
              <w:rPr>
                <w:rFonts w:eastAsia="Times New Roman" w:cs="Arial"/>
                <w:i/>
                <w:iCs/>
                <w:color w:val="auto"/>
                <w:szCs w:val="20"/>
              </w:rPr>
            </w:pPr>
            <w:r w:rsidRPr="00D4265D">
              <w:rPr>
                <w:rFonts w:eastAsia="Times New Roman" w:cs="Arial"/>
                <w:i/>
                <w:iCs/>
                <w:color w:val="auto"/>
                <w:szCs w:val="20"/>
              </w:rPr>
              <w:t>See discussion in adult table above</w:t>
            </w:r>
            <w:r w:rsidR="00C34599" w:rsidRPr="00D4265D">
              <w:rPr>
                <w:rFonts w:eastAsia="Times New Roman" w:cs="Arial"/>
                <w:i/>
                <w:iCs/>
                <w:color w:val="auto"/>
                <w:szCs w:val="20"/>
              </w:rPr>
              <w:t>.</w:t>
            </w:r>
          </w:p>
        </w:tc>
        <w:tc>
          <w:tcPr>
            <w:tcW w:w="6725" w:type="dxa"/>
          </w:tcPr>
          <w:p w14:paraId="0F980F64" w14:textId="2938714B" w:rsidR="00C34599" w:rsidRPr="000271B0" w:rsidRDefault="004E4763" w:rsidP="000271B0">
            <w:pPr>
              <w:spacing w:line="276" w:lineRule="auto"/>
              <w:rPr>
                <w:rFonts w:eastAsia="Times New Roman" w:cs="Arial"/>
                <w:i/>
                <w:iCs/>
                <w:color w:val="auto"/>
                <w:szCs w:val="20"/>
              </w:rPr>
            </w:pPr>
            <w:r w:rsidRPr="00D4265D">
              <w:rPr>
                <w:rFonts w:eastAsia="Times New Roman" w:cs="Arial"/>
                <w:i/>
                <w:iCs/>
                <w:color w:val="auto"/>
                <w:szCs w:val="20"/>
              </w:rPr>
              <w:t>See discussion in adult table above.</w:t>
            </w:r>
          </w:p>
        </w:tc>
      </w:tr>
    </w:tbl>
    <w:p w14:paraId="43C4BDD5" w14:textId="77777777" w:rsidR="00C34599" w:rsidRDefault="00C34599" w:rsidP="00C34599">
      <w:pPr>
        <w:rPr>
          <w:rFonts w:eastAsia="Times New Roman" w:cs="Arial"/>
          <w:szCs w:val="20"/>
        </w:rPr>
      </w:pPr>
    </w:p>
    <w:p w14:paraId="6DB37FE6" w14:textId="5CDB8C34" w:rsidR="00C34599" w:rsidRPr="00962F99" w:rsidRDefault="00C34599" w:rsidP="00C34599">
      <w:pPr>
        <w:pStyle w:val="Heading5"/>
        <w:shd w:val="clear" w:color="auto" w:fill="005F85" w:themeFill="accent2"/>
        <w:rPr>
          <w:color w:val="FFFFFF" w:themeColor="background1"/>
          <w:sz w:val="22"/>
          <w:szCs w:val="22"/>
        </w:rPr>
      </w:pPr>
      <w:r>
        <w:rPr>
          <w:color w:val="FFFFFF" w:themeColor="background1"/>
          <w:sz w:val="22"/>
          <w:szCs w:val="22"/>
        </w:rPr>
        <w:t>Other factors (health equity impacts)</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6724"/>
        <w:gridCol w:w="6725"/>
      </w:tblGrid>
      <w:tr w:rsidR="00C34599" w14:paraId="185E2CEB" w14:textId="77777777">
        <w:tc>
          <w:tcPr>
            <w:tcW w:w="6724" w:type="dxa"/>
            <w:shd w:val="clear" w:color="auto" w:fill="C8E4EF" w:themeFill="accent1" w:themeFillTint="66"/>
          </w:tcPr>
          <w:p w14:paraId="1A3E8D7F" w14:textId="77777777" w:rsidR="00C34599" w:rsidRPr="008439D8" w:rsidRDefault="00C34599">
            <w:pPr>
              <w:spacing w:line="276" w:lineRule="auto"/>
              <w:rPr>
                <w:rFonts w:eastAsia="Times New Roman" w:cs="Arial"/>
                <w:b/>
                <w:color w:val="005F85" w:themeColor="accent2"/>
                <w:szCs w:val="20"/>
              </w:rPr>
            </w:pPr>
            <w:r w:rsidRPr="008439D8">
              <w:rPr>
                <w:rFonts w:eastAsia="Times New Roman" w:cs="Arial"/>
                <w:b/>
                <w:color w:val="005F85" w:themeColor="accent2"/>
                <w:szCs w:val="20"/>
                <w:u w:val="single"/>
              </w:rPr>
              <w:t>OPTION 1</w:t>
            </w:r>
            <w:r w:rsidRPr="008439D8">
              <w:rPr>
                <w:rFonts w:eastAsia="Times New Roman" w:cs="Arial"/>
                <w:b/>
                <w:color w:val="005F85" w:themeColor="accent2"/>
                <w:szCs w:val="20"/>
              </w:rPr>
              <w:t>:</w:t>
            </w:r>
          </w:p>
          <w:p w14:paraId="6CC70D30" w14:textId="77777777" w:rsidR="00C34599" w:rsidRPr="008439D8" w:rsidRDefault="00C34599">
            <w:pPr>
              <w:spacing w:line="276" w:lineRule="auto"/>
              <w:contextualSpacing/>
              <w:rPr>
                <w:rFonts w:eastAsia="Times New Roman" w:cs="Arial"/>
                <w:b/>
                <w:color w:val="005F85" w:themeColor="accent2"/>
                <w:szCs w:val="20"/>
              </w:rPr>
            </w:pPr>
            <w:r w:rsidRPr="008439D8">
              <w:rPr>
                <w:rFonts w:eastAsia="Times New Roman" w:cs="Arial"/>
                <w:b/>
                <w:color w:val="005F85" w:themeColor="accent2"/>
                <w:szCs w:val="20"/>
              </w:rPr>
              <w:t>Maintain current UL recommendations</w:t>
            </w:r>
          </w:p>
          <w:p w14:paraId="2B51D24A" w14:textId="77777777" w:rsidR="00C34599" w:rsidRDefault="00C34599"/>
        </w:tc>
        <w:tc>
          <w:tcPr>
            <w:tcW w:w="6725" w:type="dxa"/>
            <w:shd w:val="clear" w:color="auto" w:fill="C8E4EF" w:themeFill="accent1" w:themeFillTint="66"/>
          </w:tcPr>
          <w:p w14:paraId="7CFD316D" w14:textId="77777777" w:rsidR="00C34599" w:rsidRDefault="00C34599">
            <w:r w:rsidRPr="008439D8">
              <w:rPr>
                <w:rFonts w:eastAsia="Times New Roman" w:cs="Arial"/>
                <w:b/>
                <w:color w:val="005F85" w:themeColor="accent2"/>
                <w:szCs w:val="20"/>
                <w:u w:val="single"/>
              </w:rPr>
              <w:t>OPTION 2</w:t>
            </w:r>
            <w:r w:rsidRPr="008439D8">
              <w:rPr>
                <w:rFonts w:eastAsia="Times New Roman" w:cs="Arial"/>
                <w:b/>
                <w:color w:val="005F85" w:themeColor="accent2"/>
                <w:szCs w:val="20"/>
              </w:rPr>
              <w:t>:</w:t>
            </w:r>
            <w:r w:rsidRPr="008439D8">
              <w:rPr>
                <w:rFonts w:eastAsia="Times New Roman" w:cs="Arial"/>
                <w:b/>
                <w:color w:val="005F85" w:themeColor="accent2"/>
                <w:szCs w:val="20"/>
              </w:rPr>
              <w:br/>
            </w:r>
            <w:r>
              <w:rPr>
                <w:rFonts w:eastAsia="Times New Roman" w:cs="Arial"/>
                <w:b/>
                <w:color w:val="005F85" w:themeColor="accent2"/>
                <w:szCs w:val="20"/>
              </w:rPr>
              <w:t xml:space="preserve">Decrease the UL </w:t>
            </w:r>
          </w:p>
        </w:tc>
      </w:tr>
      <w:tr w:rsidR="004E4763" w14:paraId="3FF630E9" w14:textId="77777777" w:rsidTr="000271B0">
        <w:trPr>
          <w:trHeight w:val="542"/>
        </w:trPr>
        <w:tc>
          <w:tcPr>
            <w:tcW w:w="6724" w:type="dxa"/>
          </w:tcPr>
          <w:p w14:paraId="6FEDF2D5" w14:textId="0ED6F967" w:rsidR="004E4763" w:rsidRPr="00D4265D" w:rsidRDefault="004E4763" w:rsidP="004E4763">
            <w:pPr>
              <w:spacing w:line="276" w:lineRule="auto"/>
              <w:rPr>
                <w:i/>
                <w:iCs/>
              </w:rPr>
            </w:pPr>
            <w:r w:rsidRPr="00D4265D">
              <w:rPr>
                <w:rFonts w:eastAsia="Times New Roman" w:cs="Arial"/>
                <w:i/>
                <w:iCs/>
                <w:color w:val="auto"/>
                <w:szCs w:val="20"/>
              </w:rPr>
              <w:t>See discussion in adult table above.</w:t>
            </w:r>
          </w:p>
        </w:tc>
        <w:tc>
          <w:tcPr>
            <w:tcW w:w="6725" w:type="dxa"/>
          </w:tcPr>
          <w:p w14:paraId="1689CFD1" w14:textId="48B833D5" w:rsidR="004E4763" w:rsidRPr="0047342D" w:rsidRDefault="004E4763" w:rsidP="004E4763">
            <w:pPr>
              <w:spacing w:line="276" w:lineRule="auto"/>
              <w:ind w:right="31"/>
              <w:rPr>
                <w:rFonts w:eastAsia="Times New Roman" w:cs="Arial"/>
                <w:szCs w:val="20"/>
              </w:rPr>
            </w:pPr>
            <w:r w:rsidRPr="00D4265D">
              <w:rPr>
                <w:rFonts w:eastAsia="Times New Roman" w:cs="Arial"/>
                <w:i/>
                <w:iCs/>
                <w:color w:val="auto"/>
                <w:szCs w:val="20"/>
              </w:rPr>
              <w:t>See discussion in adult table above.</w:t>
            </w:r>
          </w:p>
        </w:tc>
      </w:tr>
    </w:tbl>
    <w:p w14:paraId="11F018FD" w14:textId="77777777" w:rsidR="000271B0" w:rsidRDefault="000271B0" w:rsidP="000271B0">
      <w:pPr>
        <w:pStyle w:val="BodyText"/>
      </w:pPr>
    </w:p>
    <w:p w14:paraId="13F81637" w14:textId="02F87D6B" w:rsidR="006279D8" w:rsidRPr="00962F99" w:rsidRDefault="006279D8" w:rsidP="006279D8">
      <w:pPr>
        <w:pStyle w:val="Heading5"/>
        <w:shd w:val="clear" w:color="auto" w:fill="005F85" w:themeFill="accent2"/>
        <w:rPr>
          <w:color w:val="FFFFFF" w:themeColor="background1"/>
          <w:sz w:val="22"/>
          <w:szCs w:val="22"/>
        </w:rPr>
      </w:pPr>
      <w:r>
        <w:rPr>
          <w:color w:val="FFFFFF" w:themeColor="background1"/>
          <w:sz w:val="22"/>
          <w:szCs w:val="22"/>
        </w:rPr>
        <w:t>Other factors (sustainability)</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6724"/>
        <w:gridCol w:w="6725"/>
      </w:tblGrid>
      <w:tr w:rsidR="006279D8" w14:paraId="69B041EE" w14:textId="77777777">
        <w:tc>
          <w:tcPr>
            <w:tcW w:w="6724" w:type="dxa"/>
            <w:shd w:val="clear" w:color="auto" w:fill="C8E4EF" w:themeFill="accent1" w:themeFillTint="66"/>
          </w:tcPr>
          <w:p w14:paraId="2F78F30E" w14:textId="77777777" w:rsidR="006279D8" w:rsidRPr="008439D8" w:rsidRDefault="006279D8">
            <w:pPr>
              <w:spacing w:line="276" w:lineRule="auto"/>
              <w:rPr>
                <w:rFonts w:eastAsia="Times New Roman" w:cs="Arial"/>
                <w:b/>
                <w:color w:val="005F85" w:themeColor="accent2"/>
                <w:szCs w:val="20"/>
              </w:rPr>
            </w:pPr>
            <w:r w:rsidRPr="008439D8">
              <w:rPr>
                <w:rFonts w:eastAsia="Times New Roman" w:cs="Arial"/>
                <w:b/>
                <w:color w:val="005F85" w:themeColor="accent2"/>
                <w:szCs w:val="20"/>
                <w:u w:val="single"/>
              </w:rPr>
              <w:t>OPTION 1</w:t>
            </w:r>
            <w:r w:rsidRPr="008439D8">
              <w:rPr>
                <w:rFonts w:eastAsia="Times New Roman" w:cs="Arial"/>
                <w:b/>
                <w:color w:val="005F85" w:themeColor="accent2"/>
                <w:szCs w:val="20"/>
              </w:rPr>
              <w:t>:</w:t>
            </w:r>
          </w:p>
          <w:p w14:paraId="4E1126F8" w14:textId="77777777" w:rsidR="006279D8" w:rsidRPr="008439D8" w:rsidRDefault="006279D8">
            <w:pPr>
              <w:spacing w:line="276" w:lineRule="auto"/>
              <w:contextualSpacing/>
              <w:rPr>
                <w:rFonts w:eastAsia="Times New Roman" w:cs="Arial"/>
                <w:b/>
                <w:color w:val="005F85" w:themeColor="accent2"/>
                <w:szCs w:val="20"/>
              </w:rPr>
            </w:pPr>
            <w:r w:rsidRPr="008439D8">
              <w:rPr>
                <w:rFonts w:eastAsia="Times New Roman" w:cs="Arial"/>
                <w:b/>
                <w:color w:val="005F85" w:themeColor="accent2"/>
                <w:szCs w:val="20"/>
              </w:rPr>
              <w:t>Maintain current UL recommendations</w:t>
            </w:r>
          </w:p>
          <w:p w14:paraId="0310CB7E" w14:textId="77777777" w:rsidR="006279D8" w:rsidRDefault="006279D8"/>
        </w:tc>
        <w:tc>
          <w:tcPr>
            <w:tcW w:w="6725" w:type="dxa"/>
            <w:shd w:val="clear" w:color="auto" w:fill="C8E4EF" w:themeFill="accent1" w:themeFillTint="66"/>
          </w:tcPr>
          <w:p w14:paraId="365B5A9E" w14:textId="77777777" w:rsidR="006279D8" w:rsidRDefault="006279D8">
            <w:r w:rsidRPr="008439D8">
              <w:rPr>
                <w:rFonts w:eastAsia="Times New Roman" w:cs="Arial"/>
                <w:b/>
                <w:color w:val="005F85" w:themeColor="accent2"/>
                <w:szCs w:val="20"/>
                <w:u w:val="single"/>
              </w:rPr>
              <w:t>OPTION 2</w:t>
            </w:r>
            <w:r w:rsidRPr="008439D8">
              <w:rPr>
                <w:rFonts w:eastAsia="Times New Roman" w:cs="Arial"/>
                <w:b/>
                <w:color w:val="005F85" w:themeColor="accent2"/>
                <w:szCs w:val="20"/>
              </w:rPr>
              <w:t>:</w:t>
            </w:r>
            <w:r w:rsidRPr="008439D8">
              <w:rPr>
                <w:rFonts w:eastAsia="Times New Roman" w:cs="Arial"/>
                <w:b/>
                <w:color w:val="005F85" w:themeColor="accent2"/>
                <w:szCs w:val="20"/>
              </w:rPr>
              <w:br/>
            </w:r>
            <w:r>
              <w:rPr>
                <w:rFonts w:eastAsia="Times New Roman" w:cs="Arial"/>
                <w:b/>
                <w:color w:val="005F85" w:themeColor="accent2"/>
                <w:szCs w:val="20"/>
              </w:rPr>
              <w:t xml:space="preserve">Decrease the UL </w:t>
            </w:r>
          </w:p>
        </w:tc>
      </w:tr>
      <w:tr w:rsidR="006279D8" w14:paraId="59A255BF" w14:textId="77777777" w:rsidTr="000271B0">
        <w:trPr>
          <w:trHeight w:val="425"/>
        </w:trPr>
        <w:tc>
          <w:tcPr>
            <w:tcW w:w="6724" w:type="dxa"/>
          </w:tcPr>
          <w:p w14:paraId="29DE32D6" w14:textId="77777777" w:rsidR="006279D8" w:rsidRPr="00D4265D" w:rsidRDefault="006279D8">
            <w:pPr>
              <w:spacing w:line="276" w:lineRule="auto"/>
              <w:rPr>
                <w:i/>
                <w:iCs/>
              </w:rPr>
            </w:pPr>
            <w:r w:rsidRPr="00D4265D">
              <w:rPr>
                <w:rFonts w:eastAsia="Times New Roman" w:cs="Arial"/>
                <w:i/>
                <w:iCs/>
                <w:color w:val="auto"/>
                <w:szCs w:val="20"/>
              </w:rPr>
              <w:t>See discussion in adult table above.</w:t>
            </w:r>
          </w:p>
        </w:tc>
        <w:tc>
          <w:tcPr>
            <w:tcW w:w="6725" w:type="dxa"/>
          </w:tcPr>
          <w:p w14:paraId="4C50FA62" w14:textId="77777777" w:rsidR="006279D8" w:rsidRPr="0047342D" w:rsidRDefault="006279D8">
            <w:pPr>
              <w:spacing w:line="276" w:lineRule="auto"/>
              <w:ind w:right="31"/>
              <w:rPr>
                <w:rFonts w:eastAsia="Times New Roman" w:cs="Arial"/>
                <w:szCs w:val="20"/>
              </w:rPr>
            </w:pPr>
            <w:r w:rsidRPr="00D4265D">
              <w:rPr>
                <w:rFonts w:eastAsia="Times New Roman" w:cs="Arial"/>
                <w:i/>
                <w:iCs/>
                <w:color w:val="auto"/>
                <w:szCs w:val="20"/>
              </w:rPr>
              <w:t>See discussion in adult table above.</w:t>
            </w:r>
          </w:p>
        </w:tc>
      </w:tr>
    </w:tbl>
    <w:p w14:paraId="62BF2605" w14:textId="77777777" w:rsidR="00C34599" w:rsidRPr="00A52776" w:rsidRDefault="00C34599" w:rsidP="00C34599"/>
    <w:p w14:paraId="5A2283AD" w14:textId="77777777" w:rsidR="00C34599" w:rsidRPr="00962F99" w:rsidRDefault="00C34599" w:rsidP="00C34599">
      <w:pPr>
        <w:pStyle w:val="Heading5"/>
        <w:shd w:val="clear" w:color="auto" w:fill="005F85" w:themeFill="accent2"/>
        <w:rPr>
          <w:color w:val="FFFFFF" w:themeColor="background1"/>
          <w:sz w:val="22"/>
          <w:szCs w:val="22"/>
        </w:rPr>
      </w:pPr>
      <w:r>
        <w:rPr>
          <w:color w:val="FFFFFF" w:themeColor="background1"/>
          <w:sz w:val="22"/>
          <w:szCs w:val="22"/>
        </w:rPr>
        <w:t>DECISION</w:t>
      </w:r>
    </w:p>
    <w:p w14:paraId="634FED2B" w14:textId="6635F628" w:rsidR="00BF770D" w:rsidRDefault="009650C8" w:rsidP="00C34599">
      <w:pPr>
        <w:spacing w:after="0" w:line="276" w:lineRule="auto"/>
        <w:ind w:right="172"/>
        <w:rPr>
          <w:rFonts w:eastAsia="Times New Roman" w:cs="Arial"/>
          <w:szCs w:val="20"/>
        </w:rPr>
      </w:pPr>
      <w:r w:rsidRPr="00505285">
        <w:rPr>
          <w:rFonts w:eastAsia="Times New Roman" w:cs="Arial"/>
          <w:b/>
          <w:bCs/>
          <w:szCs w:val="20"/>
        </w:rPr>
        <w:t xml:space="preserve">Option </w:t>
      </w:r>
      <w:r>
        <w:rPr>
          <w:rFonts w:eastAsia="Times New Roman" w:cs="Arial"/>
          <w:b/>
          <w:bCs/>
          <w:szCs w:val="20"/>
        </w:rPr>
        <w:t>2</w:t>
      </w:r>
      <w:r w:rsidRPr="00505285">
        <w:rPr>
          <w:rFonts w:eastAsia="Times New Roman" w:cs="Arial"/>
          <w:b/>
          <w:bCs/>
          <w:szCs w:val="20"/>
        </w:rPr>
        <w:t xml:space="preserve"> </w:t>
      </w:r>
      <w:r w:rsidRPr="00860DCC">
        <w:rPr>
          <w:rFonts w:eastAsia="Times New Roman" w:cs="Arial"/>
          <w:szCs w:val="20"/>
        </w:rPr>
        <w:t>was selected</w:t>
      </w:r>
      <w:r>
        <w:rPr>
          <w:rFonts w:eastAsia="Times New Roman" w:cs="Arial"/>
          <w:szCs w:val="20"/>
        </w:rPr>
        <w:t>: a recommendation to decrease the UL, extrapolating from an</w:t>
      </w:r>
      <w:r w:rsidR="00F140A6">
        <w:rPr>
          <w:rFonts w:eastAsia="Times New Roman" w:cs="Arial"/>
          <w:szCs w:val="20"/>
        </w:rPr>
        <w:t xml:space="preserve"> adult </w:t>
      </w:r>
      <w:r w:rsidR="00BF770D">
        <w:rPr>
          <w:rFonts w:eastAsia="Times New Roman" w:cs="Arial"/>
          <w:szCs w:val="20"/>
        </w:rPr>
        <w:t>UL</w:t>
      </w:r>
      <w:r>
        <w:rPr>
          <w:rFonts w:eastAsia="Times New Roman" w:cs="Arial"/>
          <w:szCs w:val="20"/>
        </w:rPr>
        <w:t xml:space="preserve"> </w:t>
      </w:r>
      <w:r w:rsidR="00BF770D">
        <w:rPr>
          <w:rFonts w:eastAsia="Times New Roman" w:cs="Arial"/>
          <w:szCs w:val="20"/>
        </w:rPr>
        <w:t>of</w:t>
      </w:r>
      <w:r>
        <w:rPr>
          <w:rFonts w:eastAsia="Times New Roman" w:cs="Arial"/>
          <w:szCs w:val="20"/>
        </w:rPr>
        <w:t xml:space="preserve"> 14 mg/day</w:t>
      </w:r>
      <w:r w:rsidR="00BF770D">
        <w:rPr>
          <w:rFonts w:eastAsia="Times New Roman" w:cs="Arial"/>
          <w:szCs w:val="20"/>
        </w:rPr>
        <w:t>.</w:t>
      </w:r>
    </w:p>
    <w:p w14:paraId="2CC77165" w14:textId="3F315BD6" w:rsidR="00BF770D" w:rsidRDefault="00C952F8" w:rsidP="00C34599">
      <w:pPr>
        <w:spacing w:after="0" w:line="276" w:lineRule="auto"/>
        <w:ind w:right="172"/>
        <w:rPr>
          <w:rFonts w:eastAsia="Times New Roman" w:cs="Arial"/>
          <w:szCs w:val="20"/>
        </w:rPr>
      </w:pPr>
      <w:r>
        <w:rPr>
          <w:rFonts w:eastAsia="Times New Roman" w:cs="Arial"/>
          <w:szCs w:val="20"/>
        </w:rPr>
        <w:t>As the U</w:t>
      </w:r>
      <w:r w:rsidR="00665BD7">
        <w:rPr>
          <w:rFonts w:eastAsia="Times New Roman" w:cs="Arial"/>
          <w:szCs w:val="20"/>
        </w:rPr>
        <w:t>L</w:t>
      </w:r>
      <w:r>
        <w:rPr>
          <w:rFonts w:eastAsia="Times New Roman" w:cs="Arial"/>
          <w:szCs w:val="20"/>
        </w:rPr>
        <w:t xml:space="preserve">s for children will be extrapolated from </w:t>
      </w:r>
      <w:r w:rsidR="00451B10">
        <w:rPr>
          <w:rFonts w:eastAsia="Times New Roman" w:cs="Arial"/>
          <w:szCs w:val="20"/>
        </w:rPr>
        <w:t xml:space="preserve">the adult UL, see adult </w:t>
      </w:r>
      <w:r w:rsidR="0045613C">
        <w:rPr>
          <w:rFonts w:eastAsia="Times New Roman" w:cs="Arial"/>
          <w:szCs w:val="20"/>
        </w:rPr>
        <w:t xml:space="preserve">decision </w:t>
      </w:r>
      <w:r w:rsidR="00451B10">
        <w:rPr>
          <w:rFonts w:eastAsia="Times New Roman" w:cs="Arial"/>
          <w:szCs w:val="20"/>
        </w:rPr>
        <w:t>section above for</w:t>
      </w:r>
      <w:r w:rsidR="00463312">
        <w:rPr>
          <w:rFonts w:eastAsia="Times New Roman" w:cs="Arial"/>
          <w:szCs w:val="20"/>
        </w:rPr>
        <w:t xml:space="preserve"> justification of </w:t>
      </w:r>
      <w:r w:rsidR="0045613C">
        <w:rPr>
          <w:rFonts w:eastAsia="Times New Roman" w:cs="Arial"/>
          <w:szCs w:val="20"/>
        </w:rPr>
        <w:t>recommendation</w:t>
      </w:r>
      <w:r w:rsidR="00410F6A">
        <w:rPr>
          <w:rFonts w:eastAsia="Times New Roman" w:cs="Arial"/>
          <w:szCs w:val="20"/>
        </w:rPr>
        <w:t>.</w:t>
      </w:r>
    </w:p>
    <w:p w14:paraId="3EE39418" w14:textId="3501C367" w:rsidR="00C34599" w:rsidRDefault="00C34599" w:rsidP="00C34599">
      <w:pPr>
        <w:spacing w:after="0" w:line="276" w:lineRule="auto"/>
        <w:ind w:right="172"/>
        <w:rPr>
          <w:rFonts w:eastAsia="Times New Roman" w:cs="Arial"/>
          <w:i/>
          <w:iCs/>
          <w:color w:val="C00000"/>
          <w:szCs w:val="20"/>
        </w:rPr>
      </w:pPr>
    </w:p>
    <w:p w14:paraId="575C7272" w14:textId="77777777" w:rsidR="005A6036" w:rsidRDefault="00247C82" w:rsidP="001438B3">
      <w:pPr>
        <w:pStyle w:val="Heading4"/>
        <w:spacing w:line="276" w:lineRule="auto"/>
        <w:rPr>
          <w:sz w:val="28"/>
          <w:szCs w:val="28"/>
        </w:rPr>
      </w:pPr>
      <w:bookmarkStart w:id="8" w:name="_Toc212567928"/>
      <w:r w:rsidRPr="00FF52BE">
        <w:rPr>
          <w:sz w:val="28"/>
          <w:szCs w:val="28"/>
        </w:rPr>
        <w:lastRenderedPageBreak/>
        <w:t>References</w:t>
      </w:r>
      <w:bookmarkEnd w:id="8"/>
    </w:p>
    <w:p w14:paraId="77355067" w14:textId="77777777" w:rsidR="00B019DA" w:rsidRPr="00430B45" w:rsidRDefault="00B019DA" w:rsidP="00B019DA">
      <w:pPr>
        <w:pStyle w:val="EndNoteBibliography"/>
        <w:spacing w:after="0"/>
        <w:ind w:left="720" w:hanging="720"/>
        <w:jc w:val="both"/>
      </w:pPr>
      <w:r>
        <w:t xml:space="preserve">ABS. (2025). </w:t>
      </w:r>
      <w:r w:rsidRPr="44047860">
        <w:rPr>
          <w:i/>
          <w:iCs/>
        </w:rPr>
        <w:t>Dietary supplements, 2023</w:t>
      </w:r>
      <w:r>
        <w:t xml:space="preserve">. Australian Bureau of Statistics. </w:t>
      </w:r>
    </w:p>
    <w:p w14:paraId="535A73C8" w14:textId="77777777" w:rsidR="00B019DA" w:rsidRPr="00430B45" w:rsidRDefault="00B019DA" w:rsidP="00B019DA">
      <w:pPr>
        <w:pStyle w:val="EndNoteBibliography"/>
        <w:spacing w:after="0"/>
        <w:ind w:left="720" w:hanging="720"/>
        <w:jc w:val="both"/>
      </w:pPr>
      <w:r>
        <w:t xml:space="preserve">ABS. (2026). </w:t>
      </w:r>
      <w:r w:rsidRPr="44047860">
        <w:rPr>
          <w:i/>
          <w:iCs/>
        </w:rPr>
        <w:t>Usual nutrient intakes, 2023</w:t>
      </w:r>
      <w:r>
        <w:t xml:space="preserve">. Australian Bureau of Statistics. </w:t>
      </w:r>
    </w:p>
    <w:p w14:paraId="50189CF1" w14:textId="77777777" w:rsidR="00B019DA" w:rsidRPr="00430B45" w:rsidRDefault="00B019DA" w:rsidP="00B019DA">
      <w:pPr>
        <w:pStyle w:val="EndNoteBibliography"/>
        <w:spacing w:after="0"/>
        <w:ind w:left="720" w:hanging="720"/>
        <w:jc w:val="both"/>
      </w:pPr>
      <w:r>
        <w:t xml:space="preserve">ALEC. (2025). </w:t>
      </w:r>
      <w:r w:rsidRPr="44047860">
        <w:rPr>
          <w:i/>
          <w:iCs/>
        </w:rPr>
        <w:t>Living evidence for Australian pregnancy and postnala care (LEAPP) guidelines</w:t>
      </w:r>
      <w:r>
        <w:t>. Australian Living Evidence Consortium. Retrieved 27 July 2026 from https://app.magicapp.org/#/guideline/jm83RE/section/EvOddV</w:t>
      </w:r>
    </w:p>
    <w:p w14:paraId="5B49A8DC" w14:textId="77777777" w:rsidR="00B019DA" w:rsidRPr="00430B45" w:rsidRDefault="00B019DA" w:rsidP="00B019DA">
      <w:pPr>
        <w:pStyle w:val="EndNoteBibliography"/>
        <w:spacing w:after="0"/>
        <w:ind w:left="720" w:hanging="720"/>
        <w:jc w:val="both"/>
      </w:pPr>
      <w:r>
        <w:t xml:space="preserve">Bacharach, R., Lowden, M., &amp; Ahmed, A. (2017). Pyridoxine toxicity small fiber neuropathy with dysautonomia: a case report. </w:t>
      </w:r>
      <w:r w:rsidRPr="44047860">
        <w:rPr>
          <w:i/>
          <w:iCs/>
        </w:rPr>
        <w:t>Journal of clinical neuromuscular disease</w:t>
      </w:r>
      <w:r>
        <w:t>,</w:t>
      </w:r>
      <w:r w:rsidRPr="44047860">
        <w:rPr>
          <w:i/>
          <w:iCs/>
        </w:rPr>
        <w:t xml:space="preserve"> 19</w:t>
      </w:r>
      <w:r>
        <w:t xml:space="preserve">(1), 43-46. </w:t>
      </w:r>
    </w:p>
    <w:p w14:paraId="33DFDB8F" w14:textId="77777777" w:rsidR="00B019DA" w:rsidRPr="00430B45" w:rsidRDefault="00B019DA" w:rsidP="00B019DA">
      <w:pPr>
        <w:pStyle w:val="EndNoteBibliography"/>
        <w:spacing w:after="0"/>
        <w:ind w:left="720" w:hanging="720"/>
        <w:jc w:val="both"/>
      </w:pPr>
      <w:r>
        <w:t xml:space="preserve">Baghurst, K., Cobiac, L., Baghurst, P., Magary, A., &amp; Bryon, A. (2011). A modelling system to inform the revision of the Australian Guide to Healthy Eating. </w:t>
      </w:r>
      <w:r w:rsidRPr="44047860">
        <w:rPr>
          <w:i/>
          <w:iCs/>
        </w:rPr>
        <w:t>Dietitians Association of Australia for Department of Health and Ageing and National Health and Medical Research Council: Canberra, Australia</w:t>
      </w:r>
      <w:r>
        <w:t xml:space="preserve">. https://www.eatforhealth.gov.au/sites/default/files/files/the_guidelines/n55c_australian_dietary_guidelines_food_modelling_140121.pdf </w:t>
      </w:r>
    </w:p>
    <w:p w14:paraId="2DF6DC69" w14:textId="77777777" w:rsidR="00B019DA" w:rsidRPr="00430B45" w:rsidRDefault="00B019DA" w:rsidP="00B019DA">
      <w:pPr>
        <w:pStyle w:val="EndNoteBibliography"/>
        <w:spacing w:after="0"/>
        <w:ind w:left="720" w:hanging="720"/>
        <w:jc w:val="both"/>
      </w:pPr>
      <w:r>
        <w:t xml:space="preserve">Baker, E. M., Canham, J. E., Nunes, W. T., Sauberlich, H. E., &amp; McDowell, M. E. (1964). Vitamin B6 requirement for adult men. </w:t>
      </w:r>
      <w:r w:rsidRPr="44047860">
        <w:rPr>
          <w:i/>
          <w:iCs/>
        </w:rPr>
        <w:t>The American journal of clinical nutrition</w:t>
      </w:r>
      <w:r>
        <w:t>,</w:t>
      </w:r>
      <w:r w:rsidRPr="44047860">
        <w:rPr>
          <w:i/>
          <w:iCs/>
        </w:rPr>
        <w:t xml:space="preserve"> 15</w:t>
      </w:r>
      <w:r>
        <w:t xml:space="preserve">(2), 59-66. </w:t>
      </w:r>
    </w:p>
    <w:p w14:paraId="72726B5A" w14:textId="77777777" w:rsidR="00B019DA" w:rsidRPr="00430B45" w:rsidRDefault="00B019DA" w:rsidP="00B019DA">
      <w:pPr>
        <w:pStyle w:val="EndNoteBibliography"/>
        <w:spacing w:after="0"/>
        <w:ind w:left="720" w:hanging="720"/>
        <w:jc w:val="both"/>
      </w:pPr>
      <w:r>
        <w:t xml:space="preserve">Berger, A., &amp; Schaumburg, H. H. (1984). More on neuropathy from pyridoxine abuse. </w:t>
      </w:r>
      <w:r w:rsidRPr="44047860">
        <w:rPr>
          <w:i/>
          <w:iCs/>
        </w:rPr>
        <w:t>N Engl J Med</w:t>
      </w:r>
      <w:r>
        <w:t>,</w:t>
      </w:r>
      <w:r w:rsidRPr="44047860">
        <w:rPr>
          <w:i/>
          <w:iCs/>
        </w:rPr>
        <w:t xml:space="preserve"> 311</w:t>
      </w:r>
      <w:r>
        <w:t xml:space="preserve">(15), 986-987. </w:t>
      </w:r>
    </w:p>
    <w:p w14:paraId="2A8D5947" w14:textId="77777777" w:rsidR="00B019DA" w:rsidRPr="00430B45" w:rsidRDefault="00B019DA" w:rsidP="00B019DA">
      <w:pPr>
        <w:pStyle w:val="EndNoteBibliography"/>
        <w:spacing w:after="0"/>
        <w:ind w:left="720" w:hanging="720"/>
        <w:jc w:val="both"/>
      </w:pPr>
      <w:r>
        <w:t xml:space="preserve">Bernstein, A., &amp; Lobitz, C. (1988). A clinical and electrophysiologic study of the treatment of painful diabetic neuropathies with pyridoxine. </w:t>
      </w:r>
      <w:r w:rsidRPr="44047860">
        <w:rPr>
          <w:i/>
          <w:iCs/>
        </w:rPr>
        <w:t>Current topics in nutrition and disease</w:t>
      </w:r>
      <w:r>
        <w:t xml:space="preserve">. </w:t>
      </w:r>
    </w:p>
    <w:p w14:paraId="0BA6BCC2" w14:textId="77777777" w:rsidR="00B019DA" w:rsidRPr="00430B45" w:rsidRDefault="00B019DA" w:rsidP="00B019DA">
      <w:pPr>
        <w:pStyle w:val="EndNoteBibliography"/>
        <w:spacing w:after="0"/>
        <w:ind w:left="720" w:hanging="720"/>
        <w:jc w:val="both"/>
      </w:pPr>
      <w:r>
        <w:t xml:space="preserve">Chan, W.-J. J., Hunter, J., Lee, V. Y., Cairns, R., Mathews, S., &amp; Harnett, J. E. (2026). Vitamin B6: too much, too little, too late? An analysis of sales trends in Australia from 2023 to 2025. </w:t>
      </w:r>
      <w:r w:rsidRPr="44047860">
        <w:rPr>
          <w:i/>
          <w:iCs/>
        </w:rPr>
        <w:t>Internal Medicine Journal</w:t>
      </w:r>
      <w:r>
        <w:t xml:space="preserve">. https://doi.org/https://doi.org/10.1111/imj.70589 </w:t>
      </w:r>
    </w:p>
    <w:p w14:paraId="16A4084A" w14:textId="77777777" w:rsidR="00B019DA" w:rsidRPr="00430B45" w:rsidRDefault="00B019DA" w:rsidP="00B019DA">
      <w:pPr>
        <w:pStyle w:val="EndNoteBibliography"/>
        <w:spacing w:after="0"/>
        <w:ind w:left="720" w:hanging="720"/>
        <w:jc w:val="both"/>
      </w:pPr>
      <w:r>
        <w:t xml:space="preserve">Dalton, K. (1985). Pyridoxine overdose in premenstrual syndrome. </w:t>
      </w:r>
      <w:r w:rsidRPr="44047860">
        <w:rPr>
          <w:i/>
          <w:iCs/>
        </w:rPr>
        <w:t>The Lancet</w:t>
      </w:r>
      <w:r>
        <w:t>,</w:t>
      </w:r>
      <w:r w:rsidRPr="44047860">
        <w:rPr>
          <w:i/>
          <w:iCs/>
        </w:rPr>
        <w:t xml:space="preserve"> 325</w:t>
      </w:r>
      <w:r>
        <w:t xml:space="preserve">(8438), 1168-1169. </w:t>
      </w:r>
    </w:p>
    <w:p w14:paraId="2DDEBFFF" w14:textId="77777777" w:rsidR="00B019DA" w:rsidRPr="00430B45" w:rsidRDefault="00B019DA" w:rsidP="00B019DA">
      <w:pPr>
        <w:pStyle w:val="EndNoteBibliography"/>
        <w:spacing w:after="0"/>
        <w:ind w:left="720" w:hanging="720"/>
        <w:jc w:val="both"/>
      </w:pPr>
      <w:r>
        <w:t xml:space="preserve">Dalton, K., &amp; Dalton, M. J. T. (1987). Characteristics of pyridoxine overdose neuropathy syndrome. </w:t>
      </w:r>
      <w:r w:rsidRPr="44047860">
        <w:rPr>
          <w:i/>
          <w:iCs/>
        </w:rPr>
        <w:t>Acta neurologica scandinavica</w:t>
      </w:r>
      <w:r>
        <w:t>,</w:t>
      </w:r>
      <w:r w:rsidRPr="44047860">
        <w:rPr>
          <w:i/>
          <w:iCs/>
        </w:rPr>
        <w:t xml:space="preserve"> 76</w:t>
      </w:r>
      <w:r>
        <w:t xml:space="preserve">(1), 8-11. </w:t>
      </w:r>
    </w:p>
    <w:p w14:paraId="55786D8E" w14:textId="77777777" w:rsidR="00B019DA" w:rsidRPr="00430B45" w:rsidRDefault="00B019DA" w:rsidP="00B019DA">
      <w:pPr>
        <w:pStyle w:val="EndNoteBibliography"/>
        <w:spacing w:after="0"/>
        <w:ind w:left="720" w:hanging="720"/>
        <w:jc w:val="both"/>
      </w:pPr>
      <w:r>
        <w:t xml:space="preserve">Del Tredici, A., Bernstein, A., &amp; Chinn, K. (1985). Carpal tunnel syndrome and vitamin B-6 therapy. In Reynolds RD &amp; L. JD (Eds.), </w:t>
      </w:r>
      <w:r w:rsidRPr="44047860">
        <w:rPr>
          <w:i/>
          <w:iCs/>
        </w:rPr>
        <w:t>Vitamin B6: its role in health and disease. Current topics in nutrition and disease</w:t>
      </w:r>
      <w:r>
        <w:t xml:space="preserve"> (pp. 459–462). Alan R. Liss. </w:t>
      </w:r>
    </w:p>
    <w:p w14:paraId="080FCB36" w14:textId="77777777" w:rsidR="00B019DA" w:rsidRPr="00430B45" w:rsidRDefault="00B019DA" w:rsidP="00B019DA">
      <w:pPr>
        <w:pStyle w:val="EndNoteBibliography"/>
        <w:spacing w:after="0"/>
        <w:ind w:left="720" w:hanging="720"/>
        <w:jc w:val="both"/>
      </w:pPr>
      <w:r>
        <w:t>EFSA, N. (2016). Panel (EFSA Panel on Dietetic Products, Nutrition and Allergies), 2016. Scientific opinion on Dietary Reference Values for vitamin B6. EFSA Journal 2016; 14 (6): 4485, 79 pp. In.</w:t>
      </w:r>
    </w:p>
    <w:p w14:paraId="60F39C4C" w14:textId="77777777" w:rsidR="00B019DA" w:rsidRPr="00430B45" w:rsidRDefault="00B019DA" w:rsidP="00B019DA">
      <w:pPr>
        <w:pStyle w:val="EndNoteBibliography"/>
        <w:spacing w:after="0"/>
        <w:ind w:left="720" w:hanging="720"/>
        <w:jc w:val="both"/>
      </w:pPr>
      <w:r>
        <w:t>EFSA Panel on Nutrition, N. F., Allergens, F., Turck, D., Bohn, T., Castenmiller, J., de Henauw, S., Hirsch</w:t>
      </w:r>
      <w:r w:rsidRPr="44047860">
        <w:rPr>
          <w:rFonts w:ascii="Cambria Math" w:hAnsi="Cambria Math" w:cs="Cambria Math"/>
        </w:rPr>
        <w:t>‐</w:t>
      </w:r>
      <w:r>
        <w:t xml:space="preserve">Ernst, K. I., Knutsen, H. K., Maciuk, A., Mangelsdorf, I., &amp; McArdle, H. J. (2023). Scientific opinion on the tolerable upper intake level for vitamin B6. </w:t>
      </w:r>
      <w:r w:rsidRPr="44047860">
        <w:rPr>
          <w:i/>
          <w:iCs/>
        </w:rPr>
        <w:t>EFSA Journal</w:t>
      </w:r>
      <w:r>
        <w:t>,</w:t>
      </w:r>
      <w:r w:rsidRPr="44047860">
        <w:rPr>
          <w:i/>
          <w:iCs/>
        </w:rPr>
        <w:t xml:space="preserve"> 21</w:t>
      </w:r>
      <w:r>
        <w:t xml:space="preserve">(5), e08006. </w:t>
      </w:r>
    </w:p>
    <w:p w14:paraId="7CC00CF6" w14:textId="77777777" w:rsidR="00B019DA" w:rsidRPr="00430B45" w:rsidRDefault="00B019DA" w:rsidP="00B019DA">
      <w:pPr>
        <w:pStyle w:val="EndNoteBibliography"/>
        <w:spacing w:after="0"/>
        <w:ind w:left="720" w:hanging="720"/>
        <w:jc w:val="both"/>
      </w:pPr>
      <w:r>
        <w:t xml:space="preserve">FNB:IOM. (1998). </w:t>
      </w:r>
      <w:r w:rsidRPr="44047860">
        <w:rPr>
          <w:i/>
          <w:iCs/>
        </w:rPr>
        <w:t>Dietary Reference Intakes for Thiamin, Riboflavin, Niacin, Vitamin B6, Folate, Vitamin B12, Pantothenic acid, Biotin and Choline.</w:t>
      </w:r>
      <w:r>
        <w:t xml:space="preserve"> Food and Nutrition Board: Institute of Medicine, Washington, DC: National Academy Press. </w:t>
      </w:r>
    </w:p>
    <w:p w14:paraId="6EBE3525" w14:textId="77777777" w:rsidR="00B019DA" w:rsidRPr="00430B45" w:rsidRDefault="00B019DA" w:rsidP="00B019DA">
      <w:pPr>
        <w:pStyle w:val="EndNoteBibliography"/>
        <w:spacing w:after="0"/>
        <w:ind w:left="720" w:hanging="720"/>
        <w:jc w:val="both"/>
      </w:pPr>
      <w:r>
        <w:lastRenderedPageBreak/>
        <w:t xml:space="preserve">Food Standards Australia New Zealand. (2015). </w:t>
      </w:r>
      <w:r w:rsidRPr="44047860">
        <w:rPr>
          <w:i/>
          <w:iCs/>
        </w:rPr>
        <w:t>Australia New Zealand Food Standards Code – Schedule 28 – Formulated caffeinated beverages</w:t>
      </w:r>
      <w:r>
        <w:t>. Retrieved 27 July 2026 from https://www.legislation.gov.au/F2015L00455/latest/text</w:t>
      </w:r>
    </w:p>
    <w:p w14:paraId="1209CF58" w14:textId="77777777" w:rsidR="00B019DA" w:rsidRPr="00430B45" w:rsidRDefault="00B019DA" w:rsidP="00B019DA">
      <w:pPr>
        <w:pStyle w:val="EndNoteBibliography"/>
        <w:spacing w:after="0"/>
        <w:ind w:left="720" w:hanging="720"/>
        <w:jc w:val="both"/>
      </w:pPr>
      <w:r>
        <w:t xml:space="preserve">Food Standards Australia New Zealand. (2026a). </w:t>
      </w:r>
      <w:r w:rsidRPr="44047860">
        <w:rPr>
          <w:i/>
          <w:iCs/>
        </w:rPr>
        <w:t>Australia New Zealand Food Standards Code – Schedule 17 – Vitamins and minerals</w:t>
      </w:r>
      <w:r>
        <w:t>. Retrieved 27 July 2026 from https://www.legislation.gov.au/F2015L00449/latest/text</w:t>
      </w:r>
    </w:p>
    <w:p w14:paraId="1D642309" w14:textId="77777777" w:rsidR="00B019DA" w:rsidRPr="00430B45" w:rsidRDefault="00B019DA" w:rsidP="00B019DA">
      <w:pPr>
        <w:pStyle w:val="EndNoteBibliography"/>
        <w:spacing w:after="0"/>
        <w:ind w:left="720" w:hanging="720"/>
        <w:jc w:val="both"/>
      </w:pPr>
      <w:r>
        <w:t xml:space="preserve">Food Standards Australia New Zealand. (2026b). </w:t>
      </w:r>
      <w:r w:rsidRPr="44047860">
        <w:rPr>
          <w:i/>
          <w:iCs/>
        </w:rPr>
        <w:t>Australia New Zealand Food Standards Code – Schedule 29 – Special purpose foods</w:t>
      </w:r>
      <w:r>
        <w:t>. Retrieved 27 July 2026 from https://www.legislation.gov.au/F2015L00463/latest/text</w:t>
      </w:r>
    </w:p>
    <w:p w14:paraId="25A0CF5C" w14:textId="77777777" w:rsidR="00B019DA" w:rsidRPr="00430B45" w:rsidRDefault="00B019DA" w:rsidP="00B019DA">
      <w:pPr>
        <w:pStyle w:val="EndNoteBibliography"/>
        <w:spacing w:after="0"/>
        <w:ind w:left="720" w:hanging="720"/>
        <w:jc w:val="both"/>
      </w:pPr>
      <w:r>
        <w:t xml:space="preserve">Gdynia, N., Gratzer, A., &amp; Gdynia, H.-J. (2025). Polyneuropathy due to vitamin B6 hypervitaminosis: A case series and call for more education. </w:t>
      </w:r>
      <w:r w:rsidRPr="44047860">
        <w:rPr>
          <w:i/>
          <w:iCs/>
        </w:rPr>
        <w:t>Journal of Neurosciences in Rural Practice</w:t>
      </w:r>
      <w:r>
        <w:t>,</w:t>
      </w:r>
      <w:r w:rsidRPr="44047860">
        <w:rPr>
          <w:i/>
          <w:iCs/>
        </w:rPr>
        <w:t xml:space="preserve"> 16</w:t>
      </w:r>
      <w:r>
        <w:t xml:space="preserve">(1), 99-103. </w:t>
      </w:r>
    </w:p>
    <w:p w14:paraId="253FD404" w14:textId="77777777" w:rsidR="00B019DA" w:rsidRPr="00430B45" w:rsidRDefault="00B019DA" w:rsidP="00B019DA">
      <w:pPr>
        <w:pStyle w:val="EndNoteBibliography"/>
        <w:spacing w:after="0"/>
        <w:ind w:left="720" w:hanging="720"/>
        <w:jc w:val="both"/>
      </w:pPr>
      <w:r>
        <w:t xml:space="preserve">Hansen, C. M., Leklem, J. E., &amp; Miller, L. T. (1996). Vitamin B-6 status of women with a constant intake of vitamin B-6 changes with three levels of dietary protein. </w:t>
      </w:r>
      <w:r w:rsidRPr="44047860">
        <w:rPr>
          <w:i/>
          <w:iCs/>
        </w:rPr>
        <w:t>The Journal of nutrition</w:t>
      </w:r>
      <w:r>
        <w:t>,</w:t>
      </w:r>
      <w:r w:rsidRPr="44047860">
        <w:rPr>
          <w:i/>
          <w:iCs/>
        </w:rPr>
        <w:t xml:space="preserve"> 126</w:t>
      </w:r>
      <w:r>
        <w:t xml:space="preserve">(7), 1891-1901. </w:t>
      </w:r>
    </w:p>
    <w:p w14:paraId="1CB55DE5" w14:textId="77777777" w:rsidR="00B019DA" w:rsidRPr="00430B45" w:rsidRDefault="00B019DA" w:rsidP="00B019DA">
      <w:pPr>
        <w:pStyle w:val="EndNoteBibliography"/>
        <w:spacing w:after="0"/>
        <w:ind w:left="720" w:hanging="720"/>
        <w:jc w:val="both"/>
      </w:pPr>
      <w:r>
        <w:t xml:space="preserve">Linkswiler, H. M. (1978). Vitamin B6 requirements of men. Human Vitamin B-6 Requirements, </w:t>
      </w:r>
    </w:p>
    <w:p w14:paraId="74DFD5C2" w14:textId="77777777" w:rsidR="00B019DA" w:rsidRPr="00430B45" w:rsidRDefault="00B019DA" w:rsidP="00B019DA">
      <w:pPr>
        <w:pStyle w:val="EndNoteBibliography"/>
        <w:spacing w:after="0"/>
        <w:ind w:left="720" w:hanging="720"/>
        <w:jc w:val="both"/>
      </w:pPr>
      <w:r>
        <w:t xml:space="preserve">Lizárraga, K. J., &amp; Lang, A. E. (2022). Vitamins B6 and B12, levodopa, and their complex interactions in patients with Parkinson’s disease. </w:t>
      </w:r>
      <w:r w:rsidRPr="44047860">
        <w:rPr>
          <w:i/>
          <w:iCs/>
        </w:rPr>
        <w:t>Brain</w:t>
      </w:r>
      <w:r>
        <w:t>,</w:t>
      </w:r>
      <w:r w:rsidRPr="44047860">
        <w:rPr>
          <w:i/>
          <w:iCs/>
        </w:rPr>
        <w:t xml:space="preserve"> 145</w:t>
      </w:r>
      <w:r>
        <w:t xml:space="preserve">(9), e77-e78. https://doi.org/10.1093/brain/awac225 </w:t>
      </w:r>
    </w:p>
    <w:p w14:paraId="4A185CD3" w14:textId="77777777" w:rsidR="00B019DA" w:rsidRPr="00430B45" w:rsidRDefault="00B019DA" w:rsidP="00B019DA">
      <w:pPr>
        <w:pStyle w:val="EndNoteBibliography"/>
        <w:spacing w:after="0"/>
        <w:ind w:left="720" w:hanging="720"/>
        <w:jc w:val="both"/>
      </w:pPr>
      <w:r>
        <w:t xml:space="preserve">Lui, A., Lumeng, L., Aronoff, G., &amp; Li, T.-K. (1985). Effect of oral contraceptives on the plasma concentration of pyridoxyl phosphate. </w:t>
      </w:r>
      <w:r w:rsidRPr="44047860">
        <w:rPr>
          <w:i/>
          <w:iCs/>
        </w:rPr>
        <w:t>Am J Clin Nutr</w:t>
      </w:r>
      <w:r>
        <w:t>,</w:t>
      </w:r>
      <w:r w:rsidRPr="44047860">
        <w:rPr>
          <w:i/>
          <w:iCs/>
        </w:rPr>
        <w:t xml:space="preserve"> 27</w:t>
      </w:r>
      <w:r>
        <w:t xml:space="preserve">, 326-333. </w:t>
      </w:r>
    </w:p>
    <w:p w14:paraId="23ADF37B" w14:textId="77777777" w:rsidR="00B019DA" w:rsidRPr="00430B45" w:rsidRDefault="00B019DA" w:rsidP="00B019DA">
      <w:pPr>
        <w:pStyle w:val="EndNoteBibliography"/>
        <w:spacing w:after="0"/>
        <w:ind w:left="720" w:hanging="720"/>
        <w:jc w:val="both"/>
      </w:pPr>
      <w:r>
        <w:t xml:space="preserve">Ministry of Health. (2003). NZ food NZ children: key results of the 2002 National Children's Nutrition Survey. </w:t>
      </w:r>
      <w:r w:rsidRPr="44047860">
        <w:rPr>
          <w:i/>
          <w:iCs/>
        </w:rPr>
        <w:t>Wellington: Ministry of Health</w:t>
      </w:r>
      <w:r>
        <w:t xml:space="preserve">. </w:t>
      </w:r>
    </w:p>
    <w:p w14:paraId="63626D94" w14:textId="77777777" w:rsidR="00B019DA" w:rsidRPr="00430B45" w:rsidRDefault="00B019DA" w:rsidP="00B019DA">
      <w:pPr>
        <w:pStyle w:val="EndNoteBibliography"/>
        <w:spacing w:after="0"/>
        <w:ind w:left="720" w:hanging="720"/>
        <w:jc w:val="both"/>
      </w:pPr>
      <w:r>
        <w:t xml:space="preserve">Ministry of Health. (2011). </w:t>
      </w:r>
      <w:r w:rsidRPr="44047860">
        <w:rPr>
          <w:i/>
          <w:iCs/>
        </w:rPr>
        <w:t>A Focus on Nutrition: Key Findings of the 2008/09 New Zealand Adult Nutrition Survey</w:t>
      </w:r>
      <w:r>
        <w:t>.  Retrieved from https://www.health.govt.nz/system/files/2011-10/a-focus-on-nutrition-ch5.pdf</w:t>
      </w:r>
    </w:p>
    <w:p w14:paraId="5212B3EF" w14:textId="77777777" w:rsidR="00B019DA" w:rsidRPr="00430B45" w:rsidRDefault="00B019DA" w:rsidP="00B019DA">
      <w:pPr>
        <w:pStyle w:val="EndNoteBibliography"/>
        <w:spacing w:after="0"/>
        <w:ind w:left="720" w:hanging="720"/>
        <w:jc w:val="both"/>
      </w:pPr>
      <w:r>
        <w:t xml:space="preserve">Muhamad, R., Akrivaki, A., Papagiannopoulou, G., Zavridis, P., &amp; Zis, P. (2023). The role of vitamin B6 in peripheral neuropathy: a systematic review. </w:t>
      </w:r>
      <w:r w:rsidRPr="44047860">
        <w:rPr>
          <w:i/>
          <w:iCs/>
        </w:rPr>
        <w:t>Nutrients</w:t>
      </w:r>
      <w:r>
        <w:t>,</w:t>
      </w:r>
      <w:r w:rsidRPr="44047860">
        <w:rPr>
          <w:i/>
          <w:iCs/>
        </w:rPr>
        <w:t xml:space="preserve"> 15</w:t>
      </w:r>
      <w:r>
        <w:t xml:space="preserve">(13), 2823. </w:t>
      </w:r>
    </w:p>
    <w:p w14:paraId="328DCA9E" w14:textId="77777777" w:rsidR="00B019DA" w:rsidRDefault="00B019DA" w:rsidP="00B019DA">
      <w:pPr>
        <w:pStyle w:val="EndNoteBibliography"/>
        <w:spacing w:after="0"/>
        <w:ind w:left="720" w:hanging="720"/>
        <w:jc w:val="both"/>
      </w:pPr>
      <w:r>
        <w:t xml:space="preserve">NHMRC. (2026). Methodological Framework for the Review of Nutrient Refrence Values. </w:t>
      </w:r>
      <w:hyperlink r:id="rId64" w:history="1">
        <w:r>
          <w:rPr>
            <w:rStyle w:val="Hyperlink"/>
          </w:rPr>
          <w:t>https://www.eatforhealth.gov.au/nutrient-reference-values/resources</w:t>
        </w:r>
      </w:hyperlink>
    </w:p>
    <w:p w14:paraId="04A2CD5E" w14:textId="77777777" w:rsidR="00B019DA" w:rsidRPr="00430B45" w:rsidRDefault="00B019DA" w:rsidP="00B019DA">
      <w:pPr>
        <w:pStyle w:val="EndNoteBibliography"/>
        <w:spacing w:after="0"/>
        <w:ind w:left="720" w:hanging="720"/>
        <w:jc w:val="both"/>
      </w:pPr>
      <w:r>
        <w:t xml:space="preserve">NHMRC. (2006). </w:t>
      </w:r>
      <w:r w:rsidRPr="44047860">
        <w:rPr>
          <w:i/>
          <w:iCs/>
        </w:rPr>
        <w:t>Nutrient Reference Values for Australia and New Zealand</w:t>
      </w:r>
      <w:r>
        <w:t>. Canberra: National Health and Medical Research Council, Australian Government Department of Health and Ageing, New Zealand Ministry of Health</w:t>
      </w:r>
    </w:p>
    <w:p w14:paraId="74AD4AF0" w14:textId="77777777" w:rsidR="00B019DA" w:rsidRPr="00430B45" w:rsidRDefault="00B019DA" w:rsidP="00B019DA">
      <w:pPr>
        <w:pStyle w:val="EndNoteBibliography"/>
        <w:spacing w:after="0"/>
        <w:ind w:left="720" w:hanging="720"/>
        <w:jc w:val="both"/>
      </w:pPr>
      <w:r>
        <w:t xml:space="preserve">Paluszny, A., Qiu, S., &amp; Paluszny, A. M. (2023). Vitamin B6 toxicity secondary to daily multivitamin use: a case report. </w:t>
      </w:r>
      <w:r w:rsidRPr="44047860">
        <w:rPr>
          <w:i/>
          <w:iCs/>
        </w:rPr>
        <w:t>Cureus</w:t>
      </w:r>
      <w:r>
        <w:t>,</w:t>
      </w:r>
      <w:r w:rsidRPr="44047860">
        <w:rPr>
          <w:i/>
          <w:iCs/>
        </w:rPr>
        <w:t xml:space="preserve"> 15</w:t>
      </w:r>
      <w:r>
        <w:t xml:space="preserve">(11). </w:t>
      </w:r>
    </w:p>
    <w:p w14:paraId="3720D771" w14:textId="77777777" w:rsidR="00B019DA" w:rsidRPr="00430B45" w:rsidRDefault="00B019DA" w:rsidP="00B019DA">
      <w:pPr>
        <w:pStyle w:val="EndNoteBibliography"/>
        <w:spacing w:after="0"/>
        <w:ind w:left="720" w:hanging="720"/>
        <w:jc w:val="both"/>
      </w:pPr>
      <w:r>
        <w:t xml:space="preserve">Pannemans, D. L., van den Berg, H., &amp; Westerterp, K. R. (1994). The influence of protein intake on vitamin B-6 metabolism differs in young and elderly humans. </w:t>
      </w:r>
      <w:r w:rsidRPr="44047860">
        <w:rPr>
          <w:i/>
          <w:iCs/>
        </w:rPr>
        <w:t>The Journal of nutrition</w:t>
      </w:r>
      <w:r>
        <w:t>,</w:t>
      </w:r>
      <w:r w:rsidRPr="44047860">
        <w:rPr>
          <w:i/>
          <w:iCs/>
        </w:rPr>
        <w:t xml:space="preserve"> 124</w:t>
      </w:r>
      <w:r>
        <w:t xml:space="preserve">(8), 1207-1214. </w:t>
      </w:r>
    </w:p>
    <w:p w14:paraId="3B9B4E72" w14:textId="77777777" w:rsidR="00616B90" w:rsidRDefault="00B019DA" w:rsidP="00B019DA">
      <w:pPr>
        <w:pStyle w:val="EndNoteBibliography"/>
        <w:spacing w:after="0"/>
        <w:ind w:left="720" w:hanging="720"/>
        <w:jc w:val="both"/>
      </w:pPr>
      <w:r>
        <w:t xml:space="preserve">Parnell, W., Heath, A.-L., Brown, R., Walker, H., Gray, A., Blakey, C., Fleming, L., Turley, M., Mackay, S., &amp; Templeton, R. (2011). </w:t>
      </w:r>
      <w:r w:rsidRPr="44047860">
        <w:rPr>
          <w:i/>
          <w:iCs/>
        </w:rPr>
        <w:t>Methodology report for the 2008/09 New Zealand Adult Nutrition Survey</w:t>
      </w:r>
      <w:r>
        <w:t xml:space="preserve">. </w:t>
      </w:r>
    </w:p>
    <w:p w14:paraId="673E8A1B" w14:textId="77777777" w:rsidR="00616B90" w:rsidRDefault="00B019DA" w:rsidP="00B019DA">
      <w:pPr>
        <w:pStyle w:val="EndNoteBibliography"/>
        <w:spacing w:after="0"/>
        <w:ind w:left="720" w:hanging="720"/>
        <w:jc w:val="both"/>
      </w:pPr>
      <w:r>
        <w:t>Parry, G. J., &amp; Bredesen, D. E. (1985). Sensory neuropathy with low</w:t>
      </w:r>
      <w:r w:rsidRPr="44047860">
        <w:rPr>
          <w:rFonts w:ascii="Cambria Math" w:hAnsi="Cambria Math" w:cs="Cambria Math"/>
        </w:rPr>
        <w:t>‐</w:t>
      </w:r>
      <w:r>
        <w:t xml:space="preserve">dose pyridoxine. </w:t>
      </w:r>
      <w:r w:rsidRPr="44047860">
        <w:rPr>
          <w:i/>
          <w:iCs/>
        </w:rPr>
        <w:t>Neurology</w:t>
      </w:r>
      <w:r>
        <w:t>,</w:t>
      </w:r>
      <w:r w:rsidRPr="44047860">
        <w:rPr>
          <w:i/>
          <w:iCs/>
        </w:rPr>
        <w:t xml:space="preserve"> 35</w:t>
      </w:r>
      <w:r>
        <w:t xml:space="preserve">(10), 1466-1466. </w:t>
      </w:r>
    </w:p>
    <w:p w14:paraId="0999DF2E" w14:textId="00701767" w:rsidR="00B019DA" w:rsidRPr="00430B45" w:rsidRDefault="00B019DA" w:rsidP="00B019DA">
      <w:pPr>
        <w:pStyle w:val="EndNoteBibliography"/>
        <w:spacing w:after="0"/>
        <w:ind w:left="720" w:hanging="720"/>
        <w:jc w:val="both"/>
      </w:pPr>
      <w:r>
        <w:lastRenderedPageBreak/>
        <w:t xml:space="preserve">Phillips, W., Mills, J., Charbonneau, S. M., Tryphonas, L., Hatina, G., Zawidzka, Z., Bryce, F., &amp; Munro, I. (1978). Subacute toxicity of pyridoxine hydrochloride in the beagle dog. </w:t>
      </w:r>
      <w:r w:rsidRPr="44047860">
        <w:rPr>
          <w:i/>
          <w:iCs/>
        </w:rPr>
        <w:t>Toxicology and Applied Pharmacology</w:t>
      </w:r>
      <w:r>
        <w:t>,</w:t>
      </w:r>
      <w:r w:rsidRPr="44047860">
        <w:rPr>
          <w:i/>
          <w:iCs/>
        </w:rPr>
        <w:t xml:space="preserve"> 44</w:t>
      </w:r>
      <w:r>
        <w:t xml:space="preserve">(2), 323-333. </w:t>
      </w:r>
    </w:p>
    <w:p w14:paraId="6F138CF3" w14:textId="77777777" w:rsidR="00B019DA" w:rsidRPr="00430B45" w:rsidRDefault="00B019DA" w:rsidP="00B019DA">
      <w:pPr>
        <w:pStyle w:val="EndNoteBibliography"/>
        <w:spacing w:after="0"/>
        <w:ind w:left="720" w:hanging="720"/>
        <w:jc w:val="both"/>
      </w:pPr>
      <w:r>
        <w:t xml:space="preserve">Reynolds, R. D. (1988). Bioavailability of vitamin B-6 from plant foods. </w:t>
      </w:r>
      <w:r w:rsidRPr="44047860">
        <w:rPr>
          <w:i/>
          <w:iCs/>
        </w:rPr>
        <w:t>The American journal of clinical nutrition</w:t>
      </w:r>
      <w:r>
        <w:t>,</w:t>
      </w:r>
      <w:r w:rsidRPr="44047860">
        <w:rPr>
          <w:i/>
          <w:iCs/>
        </w:rPr>
        <w:t xml:space="preserve"> 48</w:t>
      </w:r>
      <w:r>
        <w:t xml:space="preserve">(3), 863-867. </w:t>
      </w:r>
    </w:p>
    <w:p w14:paraId="5C132AAE" w14:textId="77777777" w:rsidR="00B019DA" w:rsidRPr="00430B45" w:rsidRDefault="00B019DA" w:rsidP="00B019DA">
      <w:pPr>
        <w:pStyle w:val="EndNoteBibliography"/>
        <w:spacing w:after="0"/>
        <w:ind w:left="720" w:hanging="720"/>
        <w:jc w:val="both"/>
      </w:pPr>
      <w:r>
        <w:t xml:space="preserve">Sato, K. (2018). Why is vitamin B6 effective in alleviating the symptoms of autism? </w:t>
      </w:r>
      <w:r w:rsidRPr="44047860">
        <w:rPr>
          <w:i/>
          <w:iCs/>
        </w:rPr>
        <w:t>Medical Hypotheses</w:t>
      </w:r>
      <w:r>
        <w:t>,</w:t>
      </w:r>
      <w:r w:rsidRPr="44047860">
        <w:rPr>
          <w:i/>
          <w:iCs/>
        </w:rPr>
        <w:t xml:space="preserve"> 115</w:t>
      </w:r>
      <w:r>
        <w:t xml:space="preserve">, 103-106. https://doi.org/https://doi.org/10.1016/j.mehy.2018.04.007 </w:t>
      </w:r>
    </w:p>
    <w:p w14:paraId="66593E55" w14:textId="77777777" w:rsidR="00B019DA" w:rsidRPr="00430B45" w:rsidRDefault="00B019DA" w:rsidP="00B019DA">
      <w:pPr>
        <w:pStyle w:val="EndNoteBibliography"/>
        <w:spacing w:after="0"/>
        <w:ind w:left="720" w:hanging="720"/>
        <w:jc w:val="both"/>
      </w:pPr>
      <w:r>
        <w:t xml:space="preserve">Schellack, N., Yotsombut, K., Sabet, A., Nafach, J., Hiew, F. L., &amp; Kulkantrakorn, K. (2025). Expert Consensus on Vitamin B6 Therapeutic Use for Patients: Guidance on Safe Dosage, Duration and Clinical Management. </w:t>
      </w:r>
      <w:r w:rsidRPr="44047860">
        <w:rPr>
          <w:i/>
          <w:iCs/>
        </w:rPr>
        <w:t>Drug Healthc Patient Saf</w:t>
      </w:r>
      <w:r>
        <w:t>,</w:t>
      </w:r>
      <w:r w:rsidRPr="44047860">
        <w:rPr>
          <w:i/>
          <w:iCs/>
        </w:rPr>
        <w:t xml:space="preserve"> 17</w:t>
      </w:r>
      <w:r>
        <w:t xml:space="preserve">, 97-108. https://doi.org/10.2147/dhps.S499941 </w:t>
      </w:r>
    </w:p>
    <w:p w14:paraId="08B93D04" w14:textId="77777777" w:rsidR="00B019DA" w:rsidRPr="00430B45" w:rsidRDefault="00B019DA" w:rsidP="00B019DA">
      <w:pPr>
        <w:pStyle w:val="EndNoteBibliography"/>
        <w:spacing w:after="0"/>
        <w:ind w:left="720" w:hanging="720"/>
        <w:jc w:val="both"/>
      </w:pPr>
      <w:r>
        <w:t xml:space="preserve">Shultz, T. D., &amp; Leklem, J. E. (1981). Urinary 4-pyridoxic acid, urinary vitamin B-6 and plasma pyridoxal phosphate as measures of vitamin B-6 status and dietary intake in adults. In </w:t>
      </w:r>
      <w:r w:rsidRPr="44047860">
        <w:rPr>
          <w:i/>
          <w:iCs/>
        </w:rPr>
        <w:t>Methods in vitamin B-6 nutrition: analysis and status assessment</w:t>
      </w:r>
      <w:r>
        <w:t xml:space="preserve"> (pp. 297-320). Springer. </w:t>
      </w:r>
    </w:p>
    <w:p w14:paraId="456678C7" w14:textId="77777777" w:rsidR="00B019DA" w:rsidRPr="00430B45" w:rsidRDefault="00B019DA" w:rsidP="00B019DA">
      <w:pPr>
        <w:pStyle w:val="EndNoteBibliography"/>
        <w:spacing w:after="0"/>
        <w:ind w:left="720" w:hanging="720"/>
        <w:jc w:val="both"/>
      </w:pPr>
      <w:r>
        <w:t xml:space="preserve">SLR Consulting Australia Pty Ltd. (2006). </w:t>
      </w:r>
      <w:r w:rsidRPr="44047860">
        <w:rPr>
          <w:i/>
          <w:iCs/>
        </w:rPr>
        <w:t>Evidence Evaluations for Vitamin B6 Upper Level, prepared for National Health and Medical Research Council, 22 June 2026</w:t>
      </w:r>
      <w:r>
        <w:t xml:space="preserve">. </w:t>
      </w:r>
    </w:p>
    <w:p w14:paraId="07343839" w14:textId="77777777" w:rsidR="00B019DA" w:rsidRPr="00430B45" w:rsidRDefault="00B019DA" w:rsidP="00B019DA">
      <w:pPr>
        <w:pStyle w:val="EndNoteBibliography"/>
        <w:spacing w:after="0"/>
        <w:ind w:left="720" w:hanging="720"/>
        <w:jc w:val="both"/>
      </w:pPr>
      <w:r>
        <w:t xml:space="preserve">Tarr, J. B., Tamura, T., &amp; Stokstad, E. (1981). Availability of vitamin B6 and pantothenate in an average American diet in man. </w:t>
      </w:r>
      <w:r w:rsidRPr="44047860">
        <w:rPr>
          <w:i/>
          <w:iCs/>
        </w:rPr>
        <w:t>The American journal of clinical nutrition</w:t>
      </w:r>
      <w:r>
        <w:t>,</w:t>
      </w:r>
      <w:r w:rsidRPr="44047860">
        <w:rPr>
          <w:i/>
          <w:iCs/>
        </w:rPr>
        <w:t xml:space="preserve"> 34</w:t>
      </w:r>
      <w:r>
        <w:t xml:space="preserve">(7), 1328-1337. </w:t>
      </w:r>
    </w:p>
    <w:p w14:paraId="795D9295" w14:textId="77777777" w:rsidR="00B019DA" w:rsidRPr="00430B45" w:rsidRDefault="00B019DA" w:rsidP="00B019DA">
      <w:pPr>
        <w:pStyle w:val="EndNoteBibliography"/>
        <w:spacing w:after="0"/>
        <w:ind w:left="720" w:hanging="720"/>
        <w:jc w:val="both"/>
      </w:pPr>
      <w:r>
        <w:t xml:space="preserve">TGA. (2025). </w:t>
      </w:r>
      <w:r w:rsidRPr="44047860">
        <w:rPr>
          <w:i/>
          <w:iCs/>
        </w:rPr>
        <w:t>Notice of final decision to amend (or not amend) the current Poisons Standard in relation to pyridoxine, pyridoxal or pyridoxamine (vitamin B6)</w:t>
      </w:r>
      <w:r>
        <w:t>. https://www.tga.gov.au/sites/default/files/2025-11/notice-final-decision-to-amend-current-poisons-standard-pyridoxine-pyridoxa-pyridoxamine-vitamin-b6.pdf</w:t>
      </w:r>
    </w:p>
    <w:p w14:paraId="15CD60F5" w14:textId="77777777" w:rsidR="00B019DA" w:rsidRPr="00430B45" w:rsidRDefault="00B019DA" w:rsidP="00B019DA">
      <w:pPr>
        <w:pStyle w:val="EndNoteBibliography"/>
        <w:spacing w:after="0"/>
        <w:ind w:left="720" w:hanging="720"/>
        <w:jc w:val="both"/>
      </w:pPr>
      <w:r>
        <w:t xml:space="preserve">TGA. (2026). </w:t>
      </w:r>
      <w:r w:rsidRPr="44047860">
        <w:rPr>
          <w:i/>
          <w:iCs/>
        </w:rPr>
        <w:t>Peripheral neuropathy with supplementary vitamin B6 (pyridoxine)</w:t>
      </w:r>
      <w:r>
        <w:t>. Retrieved 27 July 2026 from https://www.tga.gov.au/news/safety-updates/peripheral-neuropathy-supplementary-vitamin-b6-pyridoxine</w:t>
      </w:r>
    </w:p>
    <w:p w14:paraId="030D502E" w14:textId="77777777" w:rsidR="00B019DA" w:rsidRPr="00430B45" w:rsidRDefault="00B019DA" w:rsidP="00B019DA">
      <w:pPr>
        <w:pStyle w:val="EndNoteBibliography"/>
        <w:spacing w:after="0"/>
        <w:ind w:left="720" w:hanging="720"/>
        <w:jc w:val="both"/>
      </w:pPr>
      <w:r>
        <w:t xml:space="preserve">UK Department of Health. (1991). </w:t>
      </w:r>
      <w:r w:rsidRPr="44047860">
        <w:rPr>
          <w:i/>
          <w:iCs/>
        </w:rPr>
        <w:t>Dietary reference values for food energy and nutrients for the United Kingdom: report of the Panel on Dietary Reference Values of the Committee on Medical Aspects of Food Policy</w:t>
      </w:r>
      <w:r>
        <w:t xml:space="preserve">. London: HMSO. </w:t>
      </w:r>
    </w:p>
    <w:p w14:paraId="3BA04163" w14:textId="30C99887" w:rsidR="00DE38FE" w:rsidRPr="00DE38FE" w:rsidRDefault="00B019DA" w:rsidP="00B019DA">
      <w:pPr>
        <w:pStyle w:val="EndNoteBibliography"/>
        <w:ind w:left="720" w:hanging="720"/>
        <w:rPr>
          <w:rFonts w:asciiTheme="minorHAnsi" w:hAnsiTheme="minorHAnsi"/>
        </w:rPr>
      </w:pPr>
      <w:r>
        <w:t xml:space="preserve">van Hunsel, F., Scholl, J., Vrolijk, M., &amp; Ekhart, C. (2025). Impact of Regulatory Action on Dose Maximalization for Vitamin B6 Dietary Supplements on the Reporting Pattern for Neuropathy. </w:t>
      </w:r>
      <w:r w:rsidRPr="44047860">
        <w:rPr>
          <w:i/>
          <w:iCs/>
        </w:rPr>
        <w:t>Pharmacoepidemiology and Drug Safety</w:t>
      </w:r>
      <w:r>
        <w:t>,</w:t>
      </w:r>
      <w:r w:rsidRPr="44047860">
        <w:rPr>
          <w:i/>
          <w:iCs/>
        </w:rPr>
        <w:t xml:space="preserve"> 34</w:t>
      </w:r>
      <w:r>
        <w:t>(2), e70108.</w:t>
      </w:r>
      <w:r w:rsidR="00430B45" w:rsidRPr="00430B45">
        <w:t xml:space="preserve"> </w:t>
      </w:r>
    </w:p>
    <w:sectPr w:rsidR="00DE38FE" w:rsidRPr="00DE38FE" w:rsidSect="00D75D51">
      <w:footerReference w:type="default" r:id="rId65"/>
      <w:footerReference w:type="first" r:id="rId66"/>
      <w:pgSz w:w="16838" w:h="11906" w:orient="landscape" w:code="9"/>
      <w:pgMar w:top="907" w:right="1814" w:bottom="1134" w:left="1565" w:header="51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BF0C" w14:textId="77777777" w:rsidR="00231D3F" w:rsidRDefault="00231D3F">
      <w:pPr>
        <w:spacing w:before="0" w:after="0" w:line="240" w:lineRule="auto"/>
      </w:pPr>
      <w:r>
        <w:separator/>
      </w:r>
    </w:p>
  </w:endnote>
  <w:endnote w:type="continuationSeparator" w:id="0">
    <w:p w14:paraId="14597BDD" w14:textId="77777777" w:rsidR="00231D3F" w:rsidRDefault="00231D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tham Book">
    <w:altName w:val="Calibri"/>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Gotham Medium">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A5D5" w14:textId="1B61F4F5" w:rsidR="00B0637E" w:rsidRDefault="00265DF7">
    <w:pPr>
      <w:pStyle w:val="Footer"/>
    </w:pPr>
    <w:r>
      <w:rPr>
        <w:noProof/>
      </w:rPr>
      <mc:AlternateContent>
        <mc:Choice Requires="wps">
          <w:drawing>
            <wp:anchor distT="0" distB="0" distL="0" distR="0" simplePos="0" relativeHeight="251670532" behindDoc="0" locked="0" layoutInCell="1" allowOverlap="1" wp14:anchorId="17FF2CD4" wp14:editId="4C11CA85">
              <wp:simplePos x="635" y="635"/>
              <wp:positionH relativeFrom="page">
                <wp:align>left</wp:align>
              </wp:positionH>
              <wp:positionV relativeFrom="page">
                <wp:align>bottom</wp:align>
              </wp:positionV>
              <wp:extent cx="772795" cy="444500"/>
              <wp:effectExtent l="0" t="0" r="8255" b="0"/>
              <wp:wrapNone/>
              <wp:docPr id="101977631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24F2402B" w14:textId="7C947E1F" w:rsidR="00265DF7" w:rsidRPr="00265DF7" w:rsidRDefault="00265DF7" w:rsidP="00265DF7">
                          <w:pPr>
                            <w:spacing w:after="0"/>
                            <w:rPr>
                              <w:rFonts w:ascii="Aptos" w:eastAsia="Aptos" w:hAnsi="Aptos" w:cs="Aptos"/>
                              <w:noProof/>
                              <w:color w:val="000000"/>
                              <w:szCs w:val="20"/>
                            </w:rPr>
                          </w:pPr>
                          <w:r w:rsidRPr="00265DF7">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FF2CD4" id="_x0000_t202" coordsize="21600,21600" o:spt="202" path="m,l,21600r21600,l21600,xe">
              <v:stroke joinstyle="miter"/>
              <v:path gradientshapeok="t" o:connecttype="rect"/>
            </v:shapetype>
            <v:shape id="Text Box 12" o:spid="_x0000_s1027" type="#_x0000_t202" alt="OFFICIAL" style="position:absolute;margin-left:0;margin-top:0;width:60.85pt;height:35pt;z-index:2516705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" filled="f" stroked="f">
              <v:textbox style="mso-fit-shape-to-text:t" inset="20pt,0,0,15pt">
                <w:txbxContent>
                  <w:p w14:paraId="24F2402B" w14:textId="7C947E1F" w:rsidR="00265DF7" w:rsidRPr="00265DF7" w:rsidRDefault="00265DF7" w:rsidP="00265DF7">
                    <w:pPr>
                      <w:spacing w:after="0"/>
                      <w:rPr>
                        <w:rFonts w:ascii="Aptos" w:eastAsia="Aptos" w:hAnsi="Aptos" w:cs="Aptos"/>
                        <w:noProof/>
                        <w:color w:val="000000"/>
                        <w:szCs w:val="20"/>
                      </w:rPr>
                    </w:pPr>
                    <w:r w:rsidRPr="00265DF7">
                      <w:rPr>
                        <w:rFonts w:ascii="Aptos" w:eastAsia="Aptos" w:hAnsi="Aptos" w:cs="Aptos"/>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073A26" w:rsidRPr="00FF1AAF" w14:paraId="321453AF" w14:textId="77777777" w:rsidTr="005B0DFB">
      <w:tc>
        <w:tcPr>
          <w:tcW w:w="1736" w:type="dxa"/>
          <w:tcBorders>
            <w:top w:val="nil"/>
            <w:bottom w:val="single" w:sz="8" w:space="0" w:color="4BACC6"/>
          </w:tcBorders>
        </w:tcPr>
        <w:p w14:paraId="7FEA2804" w14:textId="1D788411" w:rsidR="00073A26" w:rsidRPr="00FF1AAF" w:rsidRDefault="00073A26" w:rsidP="00073A26">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550E2301" w14:textId="77777777" w:rsidR="00073A26" w:rsidRPr="00FF1AAF" w:rsidRDefault="00073A26" w:rsidP="00073A26">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1A61B974" w14:textId="77777777" w:rsidR="00073A26" w:rsidRPr="00FF1AAF" w:rsidRDefault="00073A26" w:rsidP="00073A26">
          <w:pPr>
            <w:pStyle w:val="Footer"/>
            <w:tabs>
              <w:tab w:val="clear" w:pos="4513"/>
              <w:tab w:val="clear" w:pos="9026"/>
              <w:tab w:val="center" w:pos="7230"/>
              <w:tab w:val="right" w:pos="10206"/>
            </w:tabs>
            <w:rPr>
              <w:rFonts w:ascii="Gotham Book" w:hAnsi="Gotham Book" w:cs="Arial"/>
              <w:sz w:val="18"/>
            </w:rPr>
          </w:pPr>
        </w:p>
      </w:tc>
    </w:tr>
    <w:tr w:rsidR="00073A26" w:rsidRPr="00FF1AAF" w14:paraId="41B09757" w14:textId="77777777" w:rsidTr="005B0DFB">
      <w:tc>
        <w:tcPr>
          <w:tcW w:w="1736" w:type="dxa"/>
          <w:tcBorders>
            <w:top w:val="single" w:sz="8" w:space="0" w:color="4BACC6"/>
          </w:tcBorders>
        </w:tcPr>
        <w:p w14:paraId="50DB316C" w14:textId="77777777" w:rsidR="00073A26" w:rsidRPr="00FF1AAF" w:rsidRDefault="00073A26" w:rsidP="00073A26">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cs="Arial"/>
              <w:sz w:val="18"/>
            </w:rPr>
            <w:fldChar w:fldCharType="begin"/>
          </w:r>
          <w:r w:rsidRPr="00FF1AAF">
            <w:rPr>
              <w:rFonts w:ascii="Gotham Book" w:hAnsi="Gotham Book" w:cs="Arial"/>
              <w:sz w:val="18"/>
            </w:rPr>
            <w:instrText xml:space="preserve"> PAGE </w:instrText>
          </w:r>
          <w:r w:rsidRPr="00FF1AAF">
            <w:rPr>
              <w:rFonts w:cs="Arial"/>
              <w:sz w:val="18"/>
            </w:rPr>
            <w:fldChar w:fldCharType="separate"/>
          </w:r>
          <w:r>
            <w:rPr>
              <w:rFonts w:ascii="Gotham Book" w:hAnsi="Gotham Book" w:cs="Arial"/>
            </w:rPr>
            <w:t>1</w:t>
          </w:r>
          <w:r w:rsidRPr="00FF1AAF">
            <w:rPr>
              <w:rFonts w:cs="Arial"/>
              <w:sz w:val="18"/>
            </w:rPr>
            <w:fldChar w:fldCharType="end"/>
          </w:r>
        </w:p>
      </w:tc>
      <w:tc>
        <w:tcPr>
          <w:tcW w:w="11198" w:type="dxa"/>
          <w:tcBorders>
            <w:top w:val="single" w:sz="8" w:space="0" w:color="4BACC6"/>
          </w:tcBorders>
        </w:tcPr>
        <w:p w14:paraId="0403D5B4" w14:textId="77777777" w:rsidR="00073A26" w:rsidRPr="00006531" w:rsidRDefault="00073A26" w:rsidP="00073A26">
          <w:pPr>
            <w:pStyle w:val="SecurityDLM"/>
            <w:spacing w:after="0" w:line="240" w:lineRule="auto"/>
            <w:ind w:left="0"/>
            <w:jc w:val="right"/>
            <w:rPr>
              <w:rFonts w:cs="Arial"/>
              <w:color w:val="595959" w:themeColor="text1" w:themeTint="A6"/>
              <w:sz w:val="18"/>
            </w:rPr>
          </w:pPr>
        </w:p>
      </w:tc>
      <w:tc>
        <w:tcPr>
          <w:tcW w:w="1276" w:type="dxa"/>
          <w:tcBorders>
            <w:top w:val="single" w:sz="8" w:space="0" w:color="4BACC6"/>
          </w:tcBorders>
        </w:tcPr>
        <w:p w14:paraId="222A0939" w14:textId="77777777" w:rsidR="00073A26" w:rsidRPr="00FF1AAF" w:rsidRDefault="00073A26" w:rsidP="00073A26">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61349060" w14:textId="77777777" w:rsidR="00073A26" w:rsidRDefault="00073A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510FCB" w:rsidRPr="00FF1AAF" w14:paraId="0F9BDC8B" w14:textId="77777777">
      <w:tc>
        <w:tcPr>
          <w:tcW w:w="1736" w:type="dxa"/>
          <w:tcBorders>
            <w:top w:val="nil"/>
            <w:bottom w:val="single" w:sz="8" w:space="0" w:color="4BACC6"/>
          </w:tcBorders>
        </w:tcPr>
        <w:p w14:paraId="600B6F0F" w14:textId="11406854" w:rsidR="00510FCB" w:rsidRPr="00FF1AAF" w:rsidRDefault="00510FCB" w:rsidP="00E315C1">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31B06C97" w14:textId="77777777" w:rsidR="00510FCB" w:rsidRPr="00FF1AAF" w:rsidRDefault="00510FCB" w:rsidP="00E315C1">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5842A409" w14:textId="77777777" w:rsidR="00510FCB" w:rsidRPr="00FF1AAF" w:rsidRDefault="00510FCB" w:rsidP="00E315C1">
          <w:pPr>
            <w:pStyle w:val="Footer"/>
            <w:tabs>
              <w:tab w:val="clear" w:pos="4513"/>
              <w:tab w:val="clear" w:pos="9026"/>
              <w:tab w:val="center" w:pos="7230"/>
              <w:tab w:val="right" w:pos="10206"/>
            </w:tabs>
            <w:rPr>
              <w:rFonts w:ascii="Gotham Book" w:hAnsi="Gotham Book" w:cs="Arial"/>
              <w:sz w:val="18"/>
            </w:rPr>
          </w:pPr>
        </w:p>
      </w:tc>
    </w:tr>
    <w:tr w:rsidR="00510FCB" w:rsidRPr="00FF1AAF" w14:paraId="04CEBC18" w14:textId="77777777">
      <w:tc>
        <w:tcPr>
          <w:tcW w:w="1736" w:type="dxa"/>
          <w:tcBorders>
            <w:top w:val="single" w:sz="8" w:space="0" w:color="4BACC6"/>
          </w:tcBorders>
        </w:tcPr>
        <w:p w14:paraId="696869DB" w14:textId="7041BF1D" w:rsidR="00510FCB" w:rsidRPr="00FF1AAF" w:rsidRDefault="00510FCB" w:rsidP="00E315C1">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cs="Arial"/>
              <w:sz w:val="18"/>
            </w:rPr>
            <w:fldChar w:fldCharType="begin"/>
          </w:r>
          <w:r w:rsidRPr="00FF1AAF">
            <w:rPr>
              <w:rFonts w:ascii="Gotham Book" w:hAnsi="Gotham Book" w:cs="Arial"/>
              <w:sz w:val="18"/>
            </w:rPr>
            <w:instrText xml:space="preserve"> PAGE </w:instrText>
          </w:r>
          <w:r w:rsidRPr="00FF1AAF">
            <w:rPr>
              <w:rFonts w:cs="Arial"/>
              <w:sz w:val="18"/>
            </w:rPr>
            <w:fldChar w:fldCharType="separate"/>
          </w:r>
          <w:r>
            <w:rPr>
              <w:rFonts w:ascii="Gotham Book" w:hAnsi="Gotham Book" w:cs="Arial"/>
            </w:rPr>
            <w:t>1</w:t>
          </w:r>
          <w:r w:rsidRPr="00FF1AAF">
            <w:rPr>
              <w:rFonts w:cs="Arial"/>
              <w:sz w:val="18"/>
            </w:rPr>
            <w:fldChar w:fldCharType="end"/>
          </w:r>
        </w:p>
      </w:tc>
      <w:tc>
        <w:tcPr>
          <w:tcW w:w="11198" w:type="dxa"/>
          <w:tcBorders>
            <w:top w:val="single" w:sz="8" w:space="0" w:color="4BACC6"/>
          </w:tcBorders>
        </w:tcPr>
        <w:p w14:paraId="65B1DA96" w14:textId="485FA30F" w:rsidR="00510FCB" w:rsidRPr="00006531" w:rsidRDefault="00510FCB" w:rsidP="00E315C1">
          <w:pPr>
            <w:pStyle w:val="SecurityDLM"/>
            <w:spacing w:after="0" w:line="240" w:lineRule="auto"/>
            <w:ind w:left="0"/>
            <w:jc w:val="right"/>
            <w:rPr>
              <w:rFonts w:cs="Arial"/>
              <w:color w:val="595959" w:themeColor="text1" w:themeTint="A6"/>
              <w:sz w:val="18"/>
            </w:rPr>
          </w:pPr>
        </w:p>
      </w:tc>
      <w:tc>
        <w:tcPr>
          <w:tcW w:w="1276" w:type="dxa"/>
          <w:tcBorders>
            <w:top w:val="single" w:sz="8" w:space="0" w:color="4BACC6"/>
          </w:tcBorders>
        </w:tcPr>
        <w:p w14:paraId="731B9923" w14:textId="7386159D" w:rsidR="00510FCB" w:rsidRPr="00FF1AAF" w:rsidRDefault="00510FCB" w:rsidP="00E315C1">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02B32FAA" w14:textId="0FF49DFD" w:rsidR="00407B25" w:rsidRDefault="00073A26" w:rsidP="00073A26">
    <w:pPr>
      <w:pStyle w:val="Footer"/>
      <w:ind w:left="709"/>
    </w:pPr>
    <w:r w:rsidRPr="00B126FD">
      <w:rPr>
        <w:rFonts w:asciiTheme="minorHAnsi" w:hAnsiTheme="minorHAnsi"/>
        <w:b/>
        <w:bCs/>
        <w:sz w:val="18"/>
        <w:szCs w:val="22"/>
      </w:rPr>
      <w:t>AI statement:</w:t>
    </w:r>
    <w:r w:rsidRPr="00104E58">
      <w:rPr>
        <w:rFonts w:asciiTheme="minorHAnsi" w:hAnsiTheme="minorHAnsi"/>
        <w:sz w:val="18"/>
        <w:szCs w:val="22"/>
      </w:rPr>
      <w:t xml:space="preserve"> </w:t>
    </w:r>
    <w:r>
      <w:rPr>
        <w:rFonts w:asciiTheme="minorHAnsi" w:hAnsiTheme="minorHAnsi"/>
        <w:sz w:val="18"/>
        <w:szCs w:val="22"/>
      </w:rPr>
      <w:t xml:space="preserve">Microsoft 365 </w:t>
    </w:r>
    <w:r w:rsidRPr="00104E58">
      <w:rPr>
        <w:rFonts w:asciiTheme="minorHAnsi" w:hAnsiTheme="minorHAnsi"/>
        <w:sz w:val="18"/>
        <w:szCs w:val="22"/>
      </w:rPr>
      <w:t>Co</w:t>
    </w:r>
    <w:r>
      <w:rPr>
        <w:rFonts w:asciiTheme="minorHAnsi" w:hAnsiTheme="minorHAnsi"/>
        <w:sz w:val="18"/>
        <w:szCs w:val="22"/>
      </w:rPr>
      <w:t>P</w:t>
    </w:r>
    <w:r w:rsidRPr="00104E58">
      <w:rPr>
        <w:rFonts w:asciiTheme="minorHAnsi" w:hAnsiTheme="minorHAnsi"/>
        <w:sz w:val="18"/>
        <w:szCs w:val="22"/>
      </w:rPr>
      <w:t>ilot was used to refine language to improve clarity and alignment with the Australian Government Style Manual. All content was reviewed and validated</w:t>
    </w:r>
    <w:r>
      <w:rPr>
        <w:rFonts w:asciiTheme="minorHAnsi" w:hAnsiTheme="minorHAnsi"/>
        <w:sz w:val="18"/>
        <w:szCs w:val="22"/>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073A26" w:rsidRPr="00FF1AAF" w14:paraId="34D7659A" w14:textId="77777777">
      <w:tc>
        <w:tcPr>
          <w:tcW w:w="1736" w:type="dxa"/>
          <w:tcBorders>
            <w:top w:val="nil"/>
            <w:bottom w:val="single" w:sz="8" w:space="0" w:color="4BACC6"/>
          </w:tcBorders>
        </w:tcPr>
        <w:p w14:paraId="3A3604A7" w14:textId="63E2B6D5" w:rsidR="00073A26" w:rsidRPr="00FF1AAF" w:rsidRDefault="00073A26" w:rsidP="00E315C1">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455D540F" w14:textId="77777777" w:rsidR="00073A26" w:rsidRPr="00FF1AAF" w:rsidRDefault="00073A26" w:rsidP="00E315C1">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286E91AD" w14:textId="77777777" w:rsidR="00073A26" w:rsidRPr="00FF1AAF" w:rsidRDefault="00073A26" w:rsidP="00E315C1">
          <w:pPr>
            <w:pStyle w:val="Footer"/>
            <w:tabs>
              <w:tab w:val="clear" w:pos="4513"/>
              <w:tab w:val="clear" w:pos="9026"/>
              <w:tab w:val="center" w:pos="7230"/>
              <w:tab w:val="right" w:pos="10206"/>
            </w:tabs>
            <w:rPr>
              <w:rFonts w:ascii="Gotham Book" w:hAnsi="Gotham Book" w:cs="Arial"/>
              <w:sz w:val="18"/>
            </w:rPr>
          </w:pPr>
        </w:p>
      </w:tc>
    </w:tr>
    <w:tr w:rsidR="00073A26" w:rsidRPr="00FF1AAF" w14:paraId="63A76803" w14:textId="77777777">
      <w:tc>
        <w:tcPr>
          <w:tcW w:w="1736" w:type="dxa"/>
          <w:tcBorders>
            <w:top w:val="single" w:sz="8" w:space="0" w:color="4BACC6"/>
          </w:tcBorders>
        </w:tcPr>
        <w:p w14:paraId="466190EC" w14:textId="54A726C2" w:rsidR="00073A26" w:rsidRPr="00FF1AAF" w:rsidRDefault="00073A26" w:rsidP="00E315C1">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cs="Arial"/>
              <w:sz w:val="18"/>
            </w:rPr>
            <w:fldChar w:fldCharType="begin"/>
          </w:r>
          <w:r w:rsidRPr="00FF1AAF">
            <w:rPr>
              <w:rFonts w:ascii="Gotham Book" w:hAnsi="Gotham Book" w:cs="Arial"/>
              <w:sz w:val="18"/>
            </w:rPr>
            <w:instrText xml:space="preserve"> PAGE </w:instrText>
          </w:r>
          <w:r w:rsidRPr="00FF1AAF">
            <w:rPr>
              <w:rFonts w:cs="Arial"/>
              <w:sz w:val="18"/>
            </w:rPr>
            <w:fldChar w:fldCharType="separate"/>
          </w:r>
          <w:r>
            <w:rPr>
              <w:rFonts w:ascii="Gotham Book" w:hAnsi="Gotham Book" w:cs="Arial"/>
            </w:rPr>
            <w:t>1</w:t>
          </w:r>
          <w:r w:rsidRPr="00FF1AAF">
            <w:rPr>
              <w:rFonts w:cs="Arial"/>
              <w:sz w:val="18"/>
            </w:rPr>
            <w:fldChar w:fldCharType="end"/>
          </w:r>
        </w:p>
      </w:tc>
      <w:tc>
        <w:tcPr>
          <w:tcW w:w="11198" w:type="dxa"/>
          <w:tcBorders>
            <w:top w:val="single" w:sz="8" w:space="0" w:color="4BACC6"/>
          </w:tcBorders>
        </w:tcPr>
        <w:p w14:paraId="28018E9E" w14:textId="77777777" w:rsidR="00073A26" w:rsidRPr="00006531" w:rsidRDefault="00073A26" w:rsidP="00E315C1">
          <w:pPr>
            <w:pStyle w:val="SecurityDLM"/>
            <w:spacing w:after="0" w:line="240" w:lineRule="auto"/>
            <w:ind w:left="0"/>
            <w:jc w:val="right"/>
            <w:rPr>
              <w:rFonts w:cs="Arial"/>
              <w:color w:val="595959" w:themeColor="text1" w:themeTint="A6"/>
              <w:sz w:val="18"/>
            </w:rPr>
          </w:pPr>
        </w:p>
      </w:tc>
      <w:tc>
        <w:tcPr>
          <w:tcW w:w="1276" w:type="dxa"/>
          <w:tcBorders>
            <w:top w:val="single" w:sz="8" w:space="0" w:color="4BACC6"/>
          </w:tcBorders>
        </w:tcPr>
        <w:p w14:paraId="5EC917EA" w14:textId="77777777" w:rsidR="00073A26" w:rsidRPr="00FF1AAF" w:rsidRDefault="00073A26" w:rsidP="00E315C1">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284E2C88" w14:textId="77777777" w:rsidR="00073A26" w:rsidRDefault="00073A2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073A26" w:rsidRPr="00FF1AAF" w14:paraId="108B5EE1" w14:textId="77777777" w:rsidTr="005B0DFB">
      <w:tc>
        <w:tcPr>
          <w:tcW w:w="1736" w:type="dxa"/>
          <w:tcBorders>
            <w:top w:val="nil"/>
            <w:bottom w:val="single" w:sz="8" w:space="0" w:color="4BACC6"/>
          </w:tcBorders>
        </w:tcPr>
        <w:p w14:paraId="438A07AD" w14:textId="19D363A8" w:rsidR="00073A26" w:rsidRPr="00FF1AAF" w:rsidRDefault="00073A26" w:rsidP="00073A26">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215557FC" w14:textId="77777777" w:rsidR="00073A26" w:rsidRPr="00FF1AAF" w:rsidRDefault="00073A26" w:rsidP="00073A26">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621D13BF" w14:textId="77777777" w:rsidR="00073A26" w:rsidRPr="00FF1AAF" w:rsidRDefault="00073A26" w:rsidP="00073A26">
          <w:pPr>
            <w:pStyle w:val="Footer"/>
            <w:tabs>
              <w:tab w:val="clear" w:pos="4513"/>
              <w:tab w:val="clear" w:pos="9026"/>
              <w:tab w:val="center" w:pos="7230"/>
              <w:tab w:val="right" w:pos="10206"/>
            </w:tabs>
            <w:rPr>
              <w:rFonts w:ascii="Gotham Book" w:hAnsi="Gotham Book" w:cs="Arial"/>
              <w:sz w:val="18"/>
            </w:rPr>
          </w:pPr>
        </w:p>
      </w:tc>
    </w:tr>
    <w:tr w:rsidR="00073A26" w:rsidRPr="00FF1AAF" w14:paraId="52C60F68" w14:textId="77777777" w:rsidTr="005B0DFB">
      <w:tc>
        <w:tcPr>
          <w:tcW w:w="1736" w:type="dxa"/>
          <w:tcBorders>
            <w:top w:val="single" w:sz="8" w:space="0" w:color="4BACC6"/>
          </w:tcBorders>
        </w:tcPr>
        <w:p w14:paraId="4DC3A512" w14:textId="77777777" w:rsidR="00073A26" w:rsidRPr="00FF1AAF" w:rsidRDefault="00073A26" w:rsidP="00073A26">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cs="Arial"/>
              <w:sz w:val="18"/>
            </w:rPr>
            <w:fldChar w:fldCharType="begin"/>
          </w:r>
          <w:r w:rsidRPr="00FF1AAF">
            <w:rPr>
              <w:rFonts w:ascii="Gotham Book" w:hAnsi="Gotham Book" w:cs="Arial"/>
              <w:sz w:val="18"/>
            </w:rPr>
            <w:instrText xml:space="preserve"> PAGE </w:instrText>
          </w:r>
          <w:r w:rsidRPr="00FF1AAF">
            <w:rPr>
              <w:rFonts w:cs="Arial"/>
              <w:sz w:val="18"/>
            </w:rPr>
            <w:fldChar w:fldCharType="separate"/>
          </w:r>
          <w:r>
            <w:rPr>
              <w:rFonts w:ascii="Gotham Book" w:hAnsi="Gotham Book" w:cs="Arial"/>
            </w:rPr>
            <w:t>1</w:t>
          </w:r>
          <w:r w:rsidRPr="00FF1AAF">
            <w:rPr>
              <w:rFonts w:cs="Arial"/>
              <w:sz w:val="18"/>
            </w:rPr>
            <w:fldChar w:fldCharType="end"/>
          </w:r>
        </w:p>
      </w:tc>
      <w:tc>
        <w:tcPr>
          <w:tcW w:w="11198" w:type="dxa"/>
          <w:tcBorders>
            <w:top w:val="single" w:sz="8" w:space="0" w:color="4BACC6"/>
          </w:tcBorders>
        </w:tcPr>
        <w:p w14:paraId="65A07A61" w14:textId="77777777" w:rsidR="00073A26" w:rsidRPr="00006531" w:rsidRDefault="00073A26" w:rsidP="00073A26">
          <w:pPr>
            <w:pStyle w:val="SecurityDLM"/>
            <w:spacing w:after="0" w:line="240" w:lineRule="auto"/>
            <w:ind w:left="0"/>
            <w:jc w:val="right"/>
            <w:rPr>
              <w:rFonts w:cs="Arial"/>
              <w:color w:val="595959" w:themeColor="text1" w:themeTint="A6"/>
              <w:sz w:val="18"/>
            </w:rPr>
          </w:pPr>
        </w:p>
      </w:tc>
      <w:tc>
        <w:tcPr>
          <w:tcW w:w="1276" w:type="dxa"/>
          <w:tcBorders>
            <w:top w:val="single" w:sz="8" w:space="0" w:color="4BACC6"/>
          </w:tcBorders>
        </w:tcPr>
        <w:p w14:paraId="5883C915" w14:textId="77777777" w:rsidR="00073A26" w:rsidRPr="00FF1AAF" w:rsidRDefault="00073A26" w:rsidP="00073A26">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17D4DA6C" w14:textId="0FCFC424" w:rsidR="00502034" w:rsidRDefault="005020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2234E4" w:rsidRPr="00FF1AAF" w14:paraId="08622FD2" w14:textId="77777777" w:rsidTr="005B0DFB">
      <w:tc>
        <w:tcPr>
          <w:tcW w:w="1736" w:type="dxa"/>
          <w:tcBorders>
            <w:top w:val="nil"/>
            <w:bottom w:val="single" w:sz="8" w:space="0" w:color="4BACC6"/>
          </w:tcBorders>
        </w:tcPr>
        <w:p w14:paraId="22DF6FB1" w14:textId="77777777" w:rsidR="002234E4" w:rsidRPr="00FF1AAF" w:rsidRDefault="002234E4" w:rsidP="00073A26">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70CCA713" w14:textId="77777777" w:rsidR="002234E4" w:rsidRPr="00FF1AAF" w:rsidRDefault="002234E4" w:rsidP="00073A26">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76327292" w14:textId="77777777" w:rsidR="002234E4" w:rsidRPr="00FF1AAF" w:rsidRDefault="002234E4" w:rsidP="00073A26">
          <w:pPr>
            <w:pStyle w:val="Footer"/>
            <w:tabs>
              <w:tab w:val="clear" w:pos="4513"/>
              <w:tab w:val="clear" w:pos="9026"/>
              <w:tab w:val="center" w:pos="7230"/>
              <w:tab w:val="right" w:pos="10206"/>
            </w:tabs>
            <w:rPr>
              <w:rFonts w:ascii="Gotham Book" w:hAnsi="Gotham Book" w:cs="Arial"/>
              <w:sz w:val="18"/>
            </w:rPr>
          </w:pPr>
        </w:p>
      </w:tc>
    </w:tr>
    <w:tr w:rsidR="002234E4" w:rsidRPr="00FF1AAF" w14:paraId="64F21577" w14:textId="77777777" w:rsidTr="005B0DFB">
      <w:tc>
        <w:tcPr>
          <w:tcW w:w="1736" w:type="dxa"/>
          <w:tcBorders>
            <w:top w:val="single" w:sz="8" w:space="0" w:color="4BACC6"/>
          </w:tcBorders>
        </w:tcPr>
        <w:p w14:paraId="39D14A9B" w14:textId="77777777" w:rsidR="002234E4" w:rsidRPr="00FF1AAF" w:rsidRDefault="002234E4" w:rsidP="00073A26">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cs="Arial"/>
              <w:sz w:val="18"/>
            </w:rPr>
            <w:fldChar w:fldCharType="begin"/>
          </w:r>
          <w:r w:rsidRPr="00FF1AAF">
            <w:rPr>
              <w:rFonts w:ascii="Gotham Book" w:hAnsi="Gotham Book" w:cs="Arial"/>
              <w:sz w:val="18"/>
            </w:rPr>
            <w:instrText xml:space="preserve"> PAGE </w:instrText>
          </w:r>
          <w:r w:rsidRPr="00FF1AAF">
            <w:rPr>
              <w:rFonts w:cs="Arial"/>
              <w:sz w:val="18"/>
            </w:rPr>
            <w:fldChar w:fldCharType="separate"/>
          </w:r>
          <w:r>
            <w:rPr>
              <w:rFonts w:ascii="Gotham Book" w:hAnsi="Gotham Book" w:cs="Arial"/>
            </w:rPr>
            <w:t>1</w:t>
          </w:r>
          <w:r w:rsidRPr="00FF1AAF">
            <w:rPr>
              <w:rFonts w:cs="Arial"/>
              <w:sz w:val="18"/>
            </w:rPr>
            <w:fldChar w:fldCharType="end"/>
          </w:r>
        </w:p>
      </w:tc>
      <w:tc>
        <w:tcPr>
          <w:tcW w:w="11198" w:type="dxa"/>
          <w:tcBorders>
            <w:top w:val="single" w:sz="8" w:space="0" w:color="4BACC6"/>
          </w:tcBorders>
        </w:tcPr>
        <w:p w14:paraId="2D27E271" w14:textId="7E6944F1" w:rsidR="002234E4" w:rsidRPr="00006531" w:rsidRDefault="002234E4" w:rsidP="00073A26">
          <w:pPr>
            <w:pStyle w:val="SecurityDLM"/>
            <w:spacing w:after="0" w:line="240" w:lineRule="auto"/>
            <w:ind w:left="0"/>
            <w:jc w:val="right"/>
            <w:rPr>
              <w:rFonts w:cs="Arial"/>
              <w:color w:val="595959" w:themeColor="text1" w:themeTint="A6"/>
              <w:sz w:val="18"/>
            </w:rPr>
          </w:pPr>
        </w:p>
      </w:tc>
      <w:tc>
        <w:tcPr>
          <w:tcW w:w="1276" w:type="dxa"/>
          <w:tcBorders>
            <w:top w:val="single" w:sz="8" w:space="0" w:color="4BACC6"/>
          </w:tcBorders>
        </w:tcPr>
        <w:p w14:paraId="6E26E37D" w14:textId="77777777" w:rsidR="002234E4" w:rsidRPr="00FF1AAF" w:rsidRDefault="002234E4" w:rsidP="00073A26">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362E552A" w14:textId="77777777" w:rsidR="002234E4" w:rsidRDefault="002234E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B019DA" w:rsidRPr="00FF1AAF" w14:paraId="736E9D59" w14:textId="77777777">
      <w:tc>
        <w:tcPr>
          <w:tcW w:w="1736" w:type="dxa"/>
          <w:tcBorders>
            <w:top w:val="nil"/>
            <w:bottom w:val="single" w:sz="8" w:space="0" w:color="4BACC6"/>
          </w:tcBorders>
        </w:tcPr>
        <w:p w14:paraId="314C1C4D" w14:textId="77777777" w:rsidR="00B019DA" w:rsidRPr="00FF1AAF" w:rsidRDefault="00B019DA" w:rsidP="00E315C1">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4FE67F40" w14:textId="77777777" w:rsidR="00B019DA" w:rsidRPr="00FF1AAF" w:rsidRDefault="00B019DA" w:rsidP="00E315C1">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58ACACD0" w14:textId="77777777" w:rsidR="00B019DA" w:rsidRPr="00FF1AAF" w:rsidRDefault="00B019DA" w:rsidP="00E315C1">
          <w:pPr>
            <w:pStyle w:val="Footer"/>
            <w:tabs>
              <w:tab w:val="clear" w:pos="4513"/>
              <w:tab w:val="clear" w:pos="9026"/>
              <w:tab w:val="center" w:pos="7230"/>
              <w:tab w:val="right" w:pos="10206"/>
            </w:tabs>
            <w:rPr>
              <w:rFonts w:ascii="Gotham Book" w:hAnsi="Gotham Book" w:cs="Arial"/>
              <w:sz w:val="18"/>
            </w:rPr>
          </w:pPr>
        </w:p>
      </w:tc>
    </w:tr>
    <w:tr w:rsidR="00B019DA" w:rsidRPr="00FF1AAF" w14:paraId="729F7B2E" w14:textId="77777777">
      <w:tc>
        <w:tcPr>
          <w:tcW w:w="1736" w:type="dxa"/>
          <w:tcBorders>
            <w:top w:val="single" w:sz="8" w:space="0" w:color="4BACC6"/>
          </w:tcBorders>
        </w:tcPr>
        <w:p w14:paraId="75974DD9" w14:textId="77777777" w:rsidR="00B019DA" w:rsidRPr="00FF1AAF" w:rsidRDefault="00B019DA" w:rsidP="00E315C1">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cs="Arial"/>
              <w:sz w:val="18"/>
            </w:rPr>
            <w:fldChar w:fldCharType="begin"/>
          </w:r>
          <w:r w:rsidRPr="00FF1AAF">
            <w:rPr>
              <w:rFonts w:ascii="Gotham Book" w:hAnsi="Gotham Book" w:cs="Arial"/>
              <w:sz w:val="18"/>
            </w:rPr>
            <w:instrText xml:space="preserve"> PAGE </w:instrText>
          </w:r>
          <w:r w:rsidRPr="00FF1AAF">
            <w:rPr>
              <w:rFonts w:cs="Arial"/>
              <w:sz w:val="18"/>
            </w:rPr>
            <w:fldChar w:fldCharType="separate"/>
          </w:r>
          <w:r>
            <w:rPr>
              <w:rFonts w:ascii="Gotham Book" w:hAnsi="Gotham Book" w:cs="Arial"/>
            </w:rPr>
            <w:t>1</w:t>
          </w:r>
          <w:r w:rsidRPr="00FF1AAF">
            <w:rPr>
              <w:rFonts w:cs="Arial"/>
              <w:sz w:val="18"/>
            </w:rPr>
            <w:fldChar w:fldCharType="end"/>
          </w:r>
        </w:p>
      </w:tc>
      <w:tc>
        <w:tcPr>
          <w:tcW w:w="11198" w:type="dxa"/>
          <w:tcBorders>
            <w:top w:val="single" w:sz="8" w:space="0" w:color="4BACC6"/>
          </w:tcBorders>
        </w:tcPr>
        <w:p w14:paraId="48927B09" w14:textId="2EAE457C" w:rsidR="00B019DA" w:rsidRPr="00006531" w:rsidRDefault="00B019DA" w:rsidP="008A4D9A">
          <w:pPr>
            <w:pStyle w:val="SecurityDLM"/>
            <w:spacing w:after="0" w:line="240" w:lineRule="auto"/>
            <w:ind w:left="0"/>
            <w:rPr>
              <w:rFonts w:cs="Arial"/>
              <w:color w:val="595959" w:themeColor="text1" w:themeTint="A6"/>
              <w:sz w:val="18"/>
            </w:rPr>
          </w:pPr>
        </w:p>
      </w:tc>
      <w:tc>
        <w:tcPr>
          <w:tcW w:w="1276" w:type="dxa"/>
          <w:tcBorders>
            <w:top w:val="single" w:sz="8" w:space="0" w:color="4BACC6"/>
          </w:tcBorders>
        </w:tcPr>
        <w:p w14:paraId="3686F631" w14:textId="77777777" w:rsidR="00B019DA" w:rsidRPr="00FF1AAF" w:rsidRDefault="00B019DA" w:rsidP="00E315C1">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6B459B8E" w14:textId="77777777" w:rsidR="00B019DA" w:rsidRDefault="00B01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1F95" w14:textId="77777777" w:rsidR="00231D3F" w:rsidRDefault="00231D3F" w:rsidP="007A386A">
      <w:pPr>
        <w:spacing w:after="0" w:line="240" w:lineRule="auto"/>
      </w:pPr>
      <w:r>
        <w:separator/>
      </w:r>
    </w:p>
  </w:footnote>
  <w:footnote w:type="continuationSeparator" w:id="0">
    <w:p w14:paraId="2D55A275" w14:textId="77777777" w:rsidR="00231D3F" w:rsidRDefault="00231D3F" w:rsidP="007A386A">
      <w:pPr>
        <w:spacing w:after="0" w:line="240" w:lineRule="auto"/>
      </w:pPr>
      <w:r>
        <w:continuationSeparator/>
      </w:r>
    </w:p>
  </w:footnote>
  <w:footnote w:id="1">
    <w:p w14:paraId="2629D8DD" w14:textId="77777777" w:rsidR="001E7653" w:rsidRPr="00CD3DF9" w:rsidRDefault="001E7653" w:rsidP="001E7653">
      <w:pPr>
        <w:pStyle w:val="FootnoteText"/>
        <w:rPr>
          <w:color w:val="616065" w:themeColor="accent5" w:themeShade="BF"/>
          <w:lang w:val="en-US"/>
        </w:rPr>
      </w:pPr>
      <w:r w:rsidRPr="00CD3DF9">
        <w:rPr>
          <w:rStyle w:val="FootnoteReference"/>
          <w:color w:val="616065" w:themeColor="accent5" w:themeShade="BF"/>
        </w:rPr>
        <w:footnoteRef/>
      </w:r>
      <w:r w:rsidRPr="00CD3DF9">
        <w:rPr>
          <w:color w:val="616065" w:themeColor="accent5" w:themeShade="BF"/>
        </w:rPr>
        <w:t xml:space="preserve"> The uncertainty factor of 4 comprised a factor of 2 for uncertainty regarding the duration of exposure needed to account for the inverse dose–duration relationship for peripheral neuropathy, and a further factor of 2 for limitations in the available data, including uncertainty in the LOAEL, representativeness of the Dalton and Dalton (1987) study population, interindividual variability and coverage of sensitive groups.</w:t>
      </w:r>
    </w:p>
  </w:footnote>
  <w:footnote w:id="2">
    <w:p w14:paraId="2E7156A6" w14:textId="77777777" w:rsidR="001E7653" w:rsidRPr="00CD3DF9" w:rsidRDefault="001E7653" w:rsidP="001E7653">
      <w:pPr>
        <w:pStyle w:val="FootnoteText"/>
        <w:rPr>
          <w:color w:val="616065" w:themeColor="accent5" w:themeShade="BF"/>
          <w:lang w:val="en-US"/>
        </w:rPr>
      </w:pPr>
      <w:r w:rsidRPr="00CD3DF9">
        <w:rPr>
          <w:rStyle w:val="FootnoteReference"/>
          <w:color w:val="616065" w:themeColor="accent5" w:themeShade="BF"/>
        </w:rPr>
        <w:footnoteRef/>
      </w:r>
      <w:r w:rsidRPr="00CD3DF9">
        <w:rPr>
          <w:color w:val="616065" w:themeColor="accent5" w:themeShade="BF"/>
        </w:rPr>
        <w:t xml:space="preserve"> </w:t>
      </w:r>
      <w:r w:rsidRPr="00CD3DF9">
        <w:rPr>
          <w:color w:val="616065" w:themeColor="accent5" w:themeShade="BF"/>
        </w:rPr>
        <w:t>A composite UF of 300 was applied, comprising: ×2 for interspecies toxicokinetics (reduced from the default of 4 based on evidence of shared vitamin B6 metabolism between dogs and humans); ×2.5 for interspecies toxicodynamics (default); ×10 for intraspecies variability in humans (default); ×2 for subchronic-to-chronic duration extrapolation; and ×3 to account for the absence of a NOAEL in this study.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7FCE" w14:textId="7FB56728" w:rsidR="00B0637E" w:rsidRDefault="00265DF7">
    <w:pPr>
      <w:pStyle w:val="Header"/>
    </w:pPr>
    <w:r>
      <w:rPr>
        <w:noProof/>
      </w:rPr>
      <mc:AlternateContent>
        <mc:Choice Requires="wps">
          <w:drawing>
            <wp:anchor distT="0" distB="0" distL="0" distR="0" simplePos="0" relativeHeight="251666436" behindDoc="0" locked="0" layoutInCell="1" allowOverlap="1" wp14:anchorId="6D435414" wp14:editId="6ED9F16E">
              <wp:simplePos x="635" y="635"/>
              <wp:positionH relativeFrom="page">
                <wp:align>left</wp:align>
              </wp:positionH>
              <wp:positionV relativeFrom="page">
                <wp:align>top</wp:align>
              </wp:positionV>
              <wp:extent cx="772795" cy="444500"/>
              <wp:effectExtent l="0" t="0" r="8255" b="12700"/>
              <wp:wrapNone/>
              <wp:docPr id="66201588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3C765553" w14:textId="22B42DFE" w:rsidR="00265DF7" w:rsidRPr="00265DF7" w:rsidRDefault="00265DF7" w:rsidP="00265DF7">
                          <w:pPr>
                            <w:spacing w:after="0"/>
                            <w:rPr>
                              <w:rFonts w:ascii="Aptos" w:eastAsia="Aptos" w:hAnsi="Aptos" w:cs="Aptos"/>
                              <w:noProof/>
                              <w:color w:val="000000"/>
                              <w:szCs w:val="20"/>
                            </w:rPr>
                          </w:pPr>
                          <w:r w:rsidRPr="00265DF7">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435414" id="_x0000_t202" coordsize="21600,21600" o:spt="202" path="m,l,21600r21600,l21600,xe">
              <v:stroke joinstyle="miter"/>
              <v:path gradientshapeok="t" o:connecttype="rect"/>
            </v:shapetype>
            <v:shape id="Text Box 8" o:spid="_x0000_s1026" type="#_x0000_t202" alt="OFFICIAL" style="position:absolute;margin-left:0;margin-top:0;width:60.85pt;height:35pt;z-index:2516664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" filled="f" stroked="f">
              <v:textbox style="mso-fit-shape-to-text:t" inset="20pt,15pt,0,0">
                <w:txbxContent>
                  <w:p w14:paraId="3C765553" w14:textId="22B42DFE" w:rsidR="00265DF7" w:rsidRPr="00265DF7" w:rsidRDefault="00265DF7" w:rsidP="00265DF7">
                    <w:pPr>
                      <w:spacing w:after="0"/>
                      <w:rPr>
                        <w:rFonts w:ascii="Aptos" w:eastAsia="Aptos" w:hAnsi="Aptos" w:cs="Aptos"/>
                        <w:noProof/>
                        <w:color w:val="000000"/>
                        <w:szCs w:val="20"/>
                      </w:rPr>
                    </w:pPr>
                    <w:r w:rsidRPr="00265DF7">
                      <w:rPr>
                        <w:rFonts w:ascii="Aptos" w:eastAsia="Aptos" w:hAnsi="Aptos" w:cs="Aptos"/>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456D" w14:textId="77777777" w:rsidR="00B126FD" w:rsidRDefault="00B126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467" w:type="dxa"/>
      <w:tblInd w:w="0" w:type="dxa"/>
      <w:tblLook w:val="04A0" w:firstRow="1" w:lastRow="0" w:firstColumn="1" w:lastColumn="0" w:noHBand="0" w:noVBand="1"/>
    </w:tblPr>
    <w:tblGrid>
      <w:gridCol w:w="5386"/>
      <w:gridCol w:w="3259"/>
      <w:gridCol w:w="4822"/>
    </w:tblGrid>
    <w:tr w:rsidR="006F5D7A" w14:paraId="7F023C82" w14:textId="77777777" w:rsidTr="006F5D7A">
      <w:tc>
        <w:tcPr>
          <w:tcW w:w="5386" w:type="dxa"/>
        </w:tcPr>
        <w:p w14:paraId="3C5B3F77" w14:textId="4CA8F005" w:rsidR="006F5D7A" w:rsidRDefault="00265DF7" w:rsidP="006F5D7A">
          <w:pPr>
            <w:pStyle w:val="Header"/>
          </w:pPr>
          <w:r>
            <w:rPr>
              <w:noProof/>
            </w:rPr>
            <mc:AlternateContent>
              <mc:Choice Requires="wps">
                <w:drawing>
                  <wp:anchor distT="0" distB="0" distL="0" distR="0" simplePos="0" relativeHeight="251665412" behindDoc="0" locked="0" layoutInCell="1" allowOverlap="1" wp14:anchorId="080CC6F6" wp14:editId="747C8ABE">
                    <wp:simplePos x="990600" y="323850"/>
                    <wp:positionH relativeFrom="page">
                      <wp:align>left</wp:align>
                    </wp:positionH>
                    <wp:positionV relativeFrom="page">
                      <wp:align>top</wp:align>
                    </wp:positionV>
                    <wp:extent cx="772795" cy="444500"/>
                    <wp:effectExtent l="0" t="0" r="8255" b="12700"/>
                    <wp:wrapNone/>
                    <wp:docPr id="89299025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33105B7" w14:textId="1AB524A9" w:rsidR="00265DF7" w:rsidRPr="00265DF7" w:rsidRDefault="00265DF7" w:rsidP="00265DF7">
                                <w:pPr>
                                  <w:spacing w:after="0"/>
                                  <w:rPr>
                                    <w:rFonts w:ascii="Aptos" w:eastAsia="Aptos" w:hAnsi="Aptos" w:cs="Aptos"/>
                                    <w:noProof/>
                                    <w:color w:val="000000"/>
                                    <w:szCs w:val="20"/>
                                  </w:rPr>
                                </w:pPr>
                                <w:r w:rsidRPr="00265DF7">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0CC6F6" id="_x0000_t202" coordsize="21600,21600" o:spt="202" path="m,l,21600r21600,l21600,xe">
                    <v:stroke joinstyle="miter"/>
                    <v:path gradientshapeok="t" o:connecttype="rect"/>
                  </v:shapetype>
                  <v:shape id="Text Box 7" o:spid="_x0000_s1028" type="#_x0000_t202" alt="OFFICIAL" style="position:absolute;margin-left:0;margin-top:0;width:60.85pt;height:35pt;z-index:2516654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3uaFA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" filled="f" stroked="f">
                    <v:textbox style="mso-fit-shape-to-text:t" inset="20pt,15pt,0,0">
                      <w:txbxContent>
                        <w:p w14:paraId="533105B7" w14:textId="1AB524A9" w:rsidR="00265DF7" w:rsidRPr="00265DF7" w:rsidRDefault="00265DF7" w:rsidP="00265DF7">
                          <w:pPr>
                            <w:spacing w:after="0"/>
                            <w:rPr>
                              <w:rFonts w:ascii="Aptos" w:eastAsia="Aptos" w:hAnsi="Aptos" w:cs="Aptos"/>
                              <w:noProof/>
                              <w:color w:val="000000"/>
                              <w:szCs w:val="20"/>
                            </w:rPr>
                          </w:pPr>
                          <w:r w:rsidRPr="00265DF7">
                            <w:rPr>
                              <w:rFonts w:ascii="Aptos" w:eastAsia="Aptos" w:hAnsi="Aptos" w:cs="Aptos"/>
                              <w:noProof/>
                              <w:color w:val="000000"/>
                              <w:szCs w:val="20"/>
                            </w:rPr>
                            <w:t>OFFICIAL</w:t>
                          </w:r>
                        </w:p>
                      </w:txbxContent>
                    </v:textbox>
                    <w10:wrap anchorx="page" anchory="page"/>
                  </v:shape>
                </w:pict>
              </mc:Fallback>
            </mc:AlternateContent>
          </w:r>
          <w:r w:rsidR="006F5D7A">
            <w:rPr>
              <w:noProof/>
            </w:rPr>
            <w:drawing>
              <wp:inline distT="0" distB="0" distL="0" distR="0" wp14:anchorId="13D8396C" wp14:editId="691F90D1">
                <wp:extent cx="3282950" cy="756920"/>
                <wp:effectExtent l="0" t="0" r="0" b="5080"/>
                <wp:docPr id="16" name="Picture 16"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139E9944" w14:textId="373441F2" w:rsidR="006F5D7A" w:rsidRDefault="00B126FD" w:rsidP="00B126FD">
          <w:pPr>
            <w:pStyle w:val="SecurityDLM"/>
            <w:tabs>
              <w:tab w:val="left" w:pos="795"/>
            </w:tabs>
            <w:ind w:left="0"/>
          </w:pPr>
          <w:r>
            <w:tab/>
          </w:r>
        </w:p>
      </w:tc>
      <w:tc>
        <w:tcPr>
          <w:tcW w:w="4822" w:type="dxa"/>
        </w:tcPr>
        <w:p w14:paraId="466A81CC" w14:textId="77777777" w:rsidR="006F5D7A" w:rsidRDefault="006F5D7A" w:rsidP="006F5D7A">
          <w:pPr>
            <w:pStyle w:val="Header"/>
            <w:jc w:val="right"/>
          </w:pPr>
          <w:r>
            <w:rPr>
              <w:noProof/>
            </w:rPr>
            <w:drawing>
              <wp:inline distT="0" distB="0" distL="0" distR="0" wp14:anchorId="7B037EAF" wp14:editId="501FFAD5">
                <wp:extent cx="755640" cy="755640"/>
                <wp:effectExtent l="0" t="0" r="6985" b="6985"/>
                <wp:docPr id="15" name="Picture 1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sdt>
    <w:sdtPr>
      <w:id w:val="986986881"/>
      <w:docPartObj>
        <w:docPartGallery w:val="Watermarks"/>
        <w:docPartUnique/>
      </w:docPartObj>
    </w:sdtPr>
    <w:sdtContent>
      <w:p w14:paraId="4D1ED6E6" w14:textId="32C72887" w:rsidR="00B0637E" w:rsidRDefault="00B126FD">
        <w:pPr>
          <w:pStyle w:val="Header"/>
        </w:pPr>
        <w:r>
          <w:rPr>
            <w:noProof/>
          </w:rPr>
          <w:pict w14:anchorId="41E04C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439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2D6C" w14:textId="77777777" w:rsidR="00B126FD" w:rsidRDefault="00B126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A8E8" w14:textId="4CB67670" w:rsidR="00E25C78" w:rsidRPr="00F67A83" w:rsidRDefault="00E25C78" w:rsidP="00F67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F034C004"/>
    <w:lvl w:ilvl="0">
      <w:start w:val="1"/>
      <w:numFmt w:val="decimal"/>
      <w:pStyle w:val="FigureTitle"/>
      <w:lvlText w:val="Figure %1."/>
      <w:lvlJc w:val="left"/>
      <w:pPr>
        <w:ind w:left="1134" w:hanging="1134"/>
      </w:pPr>
      <w:rPr>
        <w:rFonts w:hint="default"/>
        <w:b/>
        <w:i w:val="0"/>
        <w:caps w:val="0"/>
        <w:color w:val="000000" w:themeColor="tex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B61E60"/>
    <w:multiLevelType w:val="hybridMultilevel"/>
    <w:tmpl w:val="F3C69B96"/>
    <w:styleLink w:val="KCBullets1"/>
    <w:lvl w:ilvl="0" w:tplc="7658AB30">
      <w:numFmt w:val="bullet"/>
      <w:lvlText w:val="•"/>
      <w:lvlJc w:val="left"/>
      <w:pPr>
        <w:ind w:left="720" w:hanging="360"/>
      </w:pPr>
      <w:rPr>
        <w:rFonts w:ascii="Gotham Book" w:eastAsia="Times New Roman" w:hAnsi="Gotham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0FA149AD"/>
    <w:multiLevelType w:val="hybridMultilevel"/>
    <w:tmpl w:val="86E22F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5760FA2"/>
    <w:multiLevelType w:val="hybridMultilevel"/>
    <w:tmpl w:val="C4A2F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4C3B01"/>
    <w:multiLevelType w:val="hybridMultilevel"/>
    <w:tmpl w:val="B7BAEB6E"/>
    <w:styleLink w:val="TableNumber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ADD43F3"/>
    <w:multiLevelType w:val="multilevel"/>
    <w:tmpl w:val="F07E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14CD6"/>
    <w:multiLevelType w:val="hybridMultilevel"/>
    <w:tmpl w:val="1DA49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300A99"/>
    <w:multiLevelType w:val="hybridMultilevel"/>
    <w:tmpl w:val="69DCADF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200DCE"/>
    <w:multiLevelType w:val="hybridMultilevel"/>
    <w:tmpl w:val="B00C2C22"/>
    <w:styleLink w:val="DefaultBullet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D240A8"/>
    <w:multiLevelType w:val="hybridMultilevel"/>
    <w:tmpl w:val="6BAC442E"/>
    <w:styleLink w:val="FigureNumbers1"/>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14"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15" w15:restartNumberingAfterBreak="0">
    <w:nsid w:val="32BE5756"/>
    <w:multiLevelType w:val="hybridMultilevel"/>
    <w:tmpl w:val="9AAC3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C30F7C"/>
    <w:multiLevelType w:val="hybridMultilevel"/>
    <w:tmpl w:val="883A84FC"/>
    <w:styleLink w:val="RList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18" w15:restartNumberingAfterBreak="0">
    <w:nsid w:val="36576506"/>
    <w:multiLevelType w:val="hybridMultilevel"/>
    <w:tmpl w:val="AD74DDB6"/>
    <w:styleLink w:val="BoxedBullets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7456"/>
    <w:multiLevelType w:val="hybridMultilevel"/>
    <w:tmpl w:val="26C0DBC4"/>
    <w:styleLink w:val="List1Numbere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302DD6"/>
    <w:multiLevelType w:val="hybridMultilevel"/>
    <w:tmpl w:val="3D462ACC"/>
    <w:lvl w:ilvl="0" w:tplc="0C090001">
      <w:start w:val="1"/>
      <w:numFmt w:val="bullet"/>
      <w:lvlText w:val=""/>
      <w:lvlJc w:val="left"/>
      <w:pPr>
        <w:ind w:left="719" w:hanging="360"/>
      </w:pPr>
      <w:rPr>
        <w:rFonts w:ascii="Symbol" w:hAnsi="Symbol" w:hint="default"/>
      </w:rPr>
    </w:lvl>
    <w:lvl w:ilvl="1" w:tplc="0C090003" w:tentative="1">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21"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3" w15:restartNumberingAfterBreak="0">
    <w:nsid w:val="46FC082F"/>
    <w:multiLevelType w:val="hybridMultilevel"/>
    <w:tmpl w:val="2C02BC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9D0915"/>
    <w:multiLevelType w:val="hybridMultilevel"/>
    <w:tmpl w:val="253A9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5D4614"/>
    <w:multiLevelType w:val="hybridMultilevel"/>
    <w:tmpl w:val="50E84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AF028D"/>
    <w:multiLevelType w:val="hybridMultilevel"/>
    <w:tmpl w:val="173A8732"/>
    <w:lvl w:ilvl="0" w:tplc="118EF240">
      <w:start w:val="1"/>
      <w:numFmt w:val="bullet"/>
      <w:lvlText w:val=""/>
      <w:lvlJc w:val="left"/>
      <w:pPr>
        <w:ind w:left="1080" w:hanging="360"/>
      </w:pPr>
      <w:rPr>
        <w:rFonts w:ascii="Symbol" w:hAnsi="Symbol"/>
      </w:rPr>
    </w:lvl>
    <w:lvl w:ilvl="1" w:tplc="16147F4C">
      <w:start w:val="1"/>
      <w:numFmt w:val="bullet"/>
      <w:lvlText w:val=""/>
      <w:lvlJc w:val="left"/>
      <w:pPr>
        <w:ind w:left="1080" w:hanging="360"/>
      </w:pPr>
      <w:rPr>
        <w:rFonts w:ascii="Symbol" w:hAnsi="Symbol"/>
      </w:rPr>
    </w:lvl>
    <w:lvl w:ilvl="2" w:tplc="0680A61E">
      <w:start w:val="1"/>
      <w:numFmt w:val="bullet"/>
      <w:lvlText w:val=""/>
      <w:lvlJc w:val="left"/>
      <w:pPr>
        <w:ind w:left="1080" w:hanging="360"/>
      </w:pPr>
      <w:rPr>
        <w:rFonts w:ascii="Symbol" w:hAnsi="Symbol"/>
      </w:rPr>
    </w:lvl>
    <w:lvl w:ilvl="3" w:tplc="517A5002">
      <w:start w:val="1"/>
      <w:numFmt w:val="bullet"/>
      <w:lvlText w:val=""/>
      <w:lvlJc w:val="left"/>
      <w:pPr>
        <w:ind w:left="1080" w:hanging="360"/>
      </w:pPr>
      <w:rPr>
        <w:rFonts w:ascii="Symbol" w:hAnsi="Symbol"/>
      </w:rPr>
    </w:lvl>
    <w:lvl w:ilvl="4" w:tplc="B4BC15D4">
      <w:start w:val="1"/>
      <w:numFmt w:val="bullet"/>
      <w:lvlText w:val=""/>
      <w:lvlJc w:val="left"/>
      <w:pPr>
        <w:ind w:left="1080" w:hanging="360"/>
      </w:pPr>
      <w:rPr>
        <w:rFonts w:ascii="Symbol" w:hAnsi="Symbol"/>
      </w:rPr>
    </w:lvl>
    <w:lvl w:ilvl="5" w:tplc="C2F4C0D6">
      <w:start w:val="1"/>
      <w:numFmt w:val="bullet"/>
      <w:lvlText w:val=""/>
      <w:lvlJc w:val="left"/>
      <w:pPr>
        <w:ind w:left="1080" w:hanging="360"/>
      </w:pPr>
      <w:rPr>
        <w:rFonts w:ascii="Symbol" w:hAnsi="Symbol"/>
      </w:rPr>
    </w:lvl>
    <w:lvl w:ilvl="6" w:tplc="590CB6BA">
      <w:start w:val="1"/>
      <w:numFmt w:val="bullet"/>
      <w:lvlText w:val=""/>
      <w:lvlJc w:val="left"/>
      <w:pPr>
        <w:ind w:left="1080" w:hanging="360"/>
      </w:pPr>
      <w:rPr>
        <w:rFonts w:ascii="Symbol" w:hAnsi="Symbol"/>
      </w:rPr>
    </w:lvl>
    <w:lvl w:ilvl="7" w:tplc="A4C8084C">
      <w:start w:val="1"/>
      <w:numFmt w:val="bullet"/>
      <w:lvlText w:val=""/>
      <w:lvlJc w:val="left"/>
      <w:pPr>
        <w:ind w:left="1080" w:hanging="360"/>
      </w:pPr>
      <w:rPr>
        <w:rFonts w:ascii="Symbol" w:hAnsi="Symbol"/>
      </w:rPr>
    </w:lvl>
    <w:lvl w:ilvl="8" w:tplc="C204B952">
      <w:start w:val="1"/>
      <w:numFmt w:val="bullet"/>
      <w:lvlText w:val=""/>
      <w:lvlJc w:val="left"/>
      <w:pPr>
        <w:ind w:left="1080" w:hanging="360"/>
      </w:pPr>
      <w:rPr>
        <w:rFonts w:ascii="Symbol" w:hAnsi="Symbol"/>
      </w:rPr>
    </w:lvl>
  </w:abstractNum>
  <w:abstractNum w:abstractNumId="27" w15:restartNumberingAfterBreak="0">
    <w:nsid w:val="4BDC6C8E"/>
    <w:multiLevelType w:val="multilevel"/>
    <w:tmpl w:val="131EEC6C"/>
    <w:numStyleLink w:val="TableNumbers"/>
  </w:abstractNum>
  <w:abstractNum w:abstractNumId="28"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51131B1"/>
    <w:multiLevelType w:val="hybridMultilevel"/>
    <w:tmpl w:val="FCCE1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A96A1D"/>
    <w:multiLevelType w:val="hybridMultilevel"/>
    <w:tmpl w:val="75C0B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615703"/>
    <w:multiLevelType w:val="multilevel"/>
    <w:tmpl w:val="803CF862"/>
    <w:numStyleLink w:val="List1Numbered"/>
  </w:abstractNum>
  <w:abstractNum w:abstractNumId="33" w15:restartNumberingAfterBreak="0">
    <w:nsid w:val="595A1E0E"/>
    <w:multiLevelType w:val="hybridMultilevel"/>
    <w:tmpl w:val="77383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927FD8"/>
    <w:multiLevelType w:val="hybridMultilevel"/>
    <w:tmpl w:val="CA300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3305E8"/>
    <w:multiLevelType w:val="hybridMultilevel"/>
    <w:tmpl w:val="70A8437E"/>
    <w:styleLink w:val="NumberedHeadings1"/>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6" w15:restartNumberingAfterBreak="0">
    <w:nsid w:val="5E676E09"/>
    <w:multiLevelType w:val="multilevel"/>
    <w:tmpl w:val="0C09001F"/>
    <w:numStyleLink w:val="NumberedHeadings"/>
  </w:abstractNum>
  <w:abstractNum w:abstractNumId="37" w15:restartNumberingAfterBreak="0">
    <w:nsid w:val="6D745A42"/>
    <w:multiLevelType w:val="hybridMultilevel"/>
    <w:tmpl w:val="00E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9" w15:restartNumberingAfterBreak="0">
    <w:nsid w:val="73AA04DA"/>
    <w:multiLevelType w:val="hybridMultilevel"/>
    <w:tmpl w:val="82EC07D0"/>
    <w:styleLink w:val="AppendixNumber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3D3E5F"/>
    <w:multiLevelType w:val="hybridMultilevel"/>
    <w:tmpl w:val="F59E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D26D9A"/>
    <w:multiLevelType w:val="multilevel"/>
    <w:tmpl w:val="EB8E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42"/>
  </w:num>
  <w:num w:numId="2" w16cid:durableId="709764690">
    <w:abstractNumId w:val="28"/>
  </w:num>
  <w:num w:numId="3" w16cid:durableId="142164143">
    <w:abstractNumId w:val="28"/>
  </w:num>
  <w:num w:numId="4" w16cid:durableId="1158381352">
    <w:abstractNumId w:val="22"/>
  </w:num>
  <w:num w:numId="5" w16cid:durableId="2105416843">
    <w:abstractNumId w:val="22"/>
  </w:num>
  <w:num w:numId="6" w16cid:durableId="491412865">
    <w:abstractNumId w:val="38"/>
  </w:num>
  <w:num w:numId="7" w16cid:durableId="1070150997">
    <w:abstractNumId w:val="38"/>
  </w:num>
  <w:num w:numId="8" w16cid:durableId="2095473806">
    <w:abstractNumId w:val="10"/>
  </w:num>
  <w:num w:numId="9" w16cid:durableId="960039475">
    <w:abstractNumId w:val="0"/>
  </w:num>
  <w:num w:numId="10" w16cid:durableId="1213810782">
    <w:abstractNumId w:val="31"/>
  </w:num>
  <w:num w:numId="11" w16cid:durableId="999507997">
    <w:abstractNumId w:val="2"/>
  </w:num>
  <w:num w:numId="12" w16cid:durableId="991106785">
    <w:abstractNumId w:val="6"/>
  </w:num>
  <w:num w:numId="13" w16cid:durableId="1228960154">
    <w:abstractNumId w:val="32"/>
  </w:num>
  <w:num w:numId="14" w16cid:durableId="1083524882">
    <w:abstractNumId w:val="14"/>
  </w:num>
  <w:num w:numId="15" w16cid:durableId="709378581">
    <w:abstractNumId w:val="11"/>
  </w:num>
  <w:num w:numId="16" w16cid:durableId="1198665999">
    <w:abstractNumId w:val="27"/>
    <w:lvlOverride w:ilvl="0">
      <w:lvl w:ilvl="0">
        <w:start w:val="1"/>
        <w:numFmt w:val="decimal"/>
        <w:pStyle w:val="TableTitle"/>
        <w:lvlText w:val="Table %1."/>
        <w:lvlJc w:val="left"/>
        <w:pPr>
          <w:ind w:left="2127" w:hanging="1134"/>
        </w:pPr>
        <w:rPr>
          <w:rFonts w:hint="default"/>
          <w:b/>
          <w:i w:val="0"/>
          <w:caps w:val="0"/>
          <w:color w:val="000000" w:themeColor="text1"/>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 w16cid:durableId="1040395793">
    <w:abstractNumId w:val="17"/>
  </w:num>
  <w:num w:numId="18" w16cid:durableId="1291282911">
    <w:abstractNumId w:val="36"/>
  </w:num>
  <w:num w:numId="19" w16cid:durableId="1443452407">
    <w:abstractNumId w:val="21"/>
  </w:num>
  <w:num w:numId="20" w16cid:durableId="1904103553">
    <w:abstractNumId w:val="16"/>
  </w:num>
  <w:num w:numId="21" w16cid:durableId="1475025360">
    <w:abstractNumId w:val="39"/>
  </w:num>
  <w:num w:numId="22" w16cid:durableId="722602495">
    <w:abstractNumId w:val="18"/>
  </w:num>
  <w:num w:numId="23" w16cid:durableId="1113674171">
    <w:abstractNumId w:val="12"/>
  </w:num>
  <w:num w:numId="24" w16cid:durableId="1518233360">
    <w:abstractNumId w:val="13"/>
  </w:num>
  <w:num w:numId="25" w16cid:durableId="1907757826">
    <w:abstractNumId w:val="35"/>
  </w:num>
  <w:num w:numId="26" w16cid:durableId="744644949">
    <w:abstractNumId w:val="1"/>
  </w:num>
  <w:num w:numId="27" w16cid:durableId="1954441677">
    <w:abstractNumId w:val="19"/>
  </w:num>
  <w:num w:numId="28" w16cid:durableId="181358357">
    <w:abstractNumId w:val="5"/>
  </w:num>
  <w:num w:numId="29" w16cid:durableId="510487197">
    <w:abstractNumId w:val="30"/>
  </w:num>
  <w:num w:numId="30" w16cid:durableId="1004435475">
    <w:abstractNumId w:val="29"/>
  </w:num>
  <w:num w:numId="31" w16cid:durableId="815101053">
    <w:abstractNumId w:val="20"/>
  </w:num>
  <w:num w:numId="32" w16cid:durableId="247617455">
    <w:abstractNumId w:val="9"/>
  </w:num>
  <w:num w:numId="33" w16cid:durableId="156041751">
    <w:abstractNumId w:val="41"/>
  </w:num>
  <w:num w:numId="34" w16cid:durableId="1171456200">
    <w:abstractNumId w:val="8"/>
  </w:num>
  <w:num w:numId="35" w16cid:durableId="644550702">
    <w:abstractNumId w:val="40"/>
  </w:num>
  <w:num w:numId="36" w16cid:durableId="1183787455">
    <w:abstractNumId w:val="23"/>
  </w:num>
  <w:num w:numId="37" w16cid:durableId="229468495">
    <w:abstractNumId w:val="25"/>
  </w:num>
  <w:num w:numId="38" w16cid:durableId="1895503238">
    <w:abstractNumId w:val="33"/>
  </w:num>
  <w:num w:numId="39" w16cid:durableId="968048522">
    <w:abstractNumId w:val="34"/>
  </w:num>
  <w:num w:numId="40" w16cid:durableId="75446734">
    <w:abstractNumId w:val="24"/>
  </w:num>
  <w:num w:numId="41" w16cid:durableId="2118989541">
    <w:abstractNumId w:val="15"/>
  </w:num>
  <w:num w:numId="42" w16cid:durableId="1876577967">
    <w:abstractNumId w:val="3"/>
  </w:num>
  <w:num w:numId="43" w16cid:durableId="2116627945">
    <w:abstractNumId w:val="26"/>
  </w:num>
  <w:num w:numId="44" w16cid:durableId="1978947834">
    <w:abstractNumId w:val="7"/>
  </w:num>
  <w:num w:numId="45" w16cid:durableId="2041784813">
    <w:abstractNumId w:val="4"/>
  </w:num>
  <w:num w:numId="46" w16cid:durableId="1767655301">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Gotham Book&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aww9r0r2awwfezpzqptawxdfzwxsfvd29e&quot;&gt;Vitamin B6&lt;record-ids&gt;&lt;item&gt;1&lt;/item&gt;&lt;item&gt;2&lt;/item&gt;&lt;item&gt;3&lt;/item&gt;&lt;item&gt;4&lt;/item&gt;&lt;item&gt;5&lt;/item&gt;&lt;item&gt;6&lt;/item&gt;&lt;item&gt;7&lt;/item&gt;&lt;item&gt;13&lt;/item&gt;&lt;item&gt;14&lt;/item&gt;&lt;item&gt;15&lt;/item&gt;&lt;item&gt;16&lt;/item&gt;&lt;item&gt;17&lt;/item&gt;&lt;item&gt;18&lt;/item&gt;&lt;item&gt;36&lt;/item&gt;&lt;item&gt;37&lt;/item&gt;&lt;item&gt;38&lt;/item&gt;&lt;item&gt;39&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5&lt;/item&gt;&lt;item&gt;66&lt;/item&gt;&lt;item&gt;67&lt;/item&gt;&lt;item&gt;68&lt;/item&gt;&lt;item&gt;69&lt;/item&gt;&lt;/record-ids&gt;&lt;/item&gt;&lt;/Libraries&gt;"/>
  </w:docVars>
  <w:rsids>
    <w:rsidRoot w:val="009608A3"/>
    <w:rsid w:val="0000037D"/>
    <w:rsid w:val="00000BA0"/>
    <w:rsid w:val="00001191"/>
    <w:rsid w:val="0000134E"/>
    <w:rsid w:val="00001628"/>
    <w:rsid w:val="00001BF8"/>
    <w:rsid w:val="00001C42"/>
    <w:rsid w:val="00001DF3"/>
    <w:rsid w:val="00002924"/>
    <w:rsid w:val="00002D9F"/>
    <w:rsid w:val="00003789"/>
    <w:rsid w:val="000037B0"/>
    <w:rsid w:val="00003897"/>
    <w:rsid w:val="00003DB3"/>
    <w:rsid w:val="00003E49"/>
    <w:rsid w:val="00003F8E"/>
    <w:rsid w:val="0000417E"/>
    <w:rsid w:val="00004B60"/>
    <w:rsid w:val="000051E6"/>
    <w:rsid w:val="00005F46"/>
    <w:rsid w:val="00005FFF"/>
    <w:rsid w:val="00006202"/>
    <w:rsid w:val="00006404"/>
    <w:rsid w:val="000064A7"/>
    <w:rsid w:val="00006531"/>
    <w:rsid w:val="0000661B"/>
    <w:rsid w:val="0000681E"/>
    <w:rsid w:val="00006AF3"/>
    <w:rsid w:val="00006E20"/>
    <w:rsid w:val="00006EEA"/>
    <w:rsid w:val="0000728B"/>
    <w:rsid w:val="00007380"/>
    <w:rsid w:val="00007523"/>
    <w:rsid w:val="000078CF"/>
    <w:rsid w:val="000104F4"/>
    <w:rsid w:val="00010856"/>
    <w:rsid w:val="0001098C"/>
    <w:rsid w:val="00010B91"/>
    <w:rsid w:val="00010EB6"/>
    <w:rsid w:val="00011250"/>
    <w:rsid w:val="000122CC"/>
    <w:rsid w:val="00012813"/>
    <w:rsid w:val="00012B20"/>
    <w:rsid w:val="000134CE"/>
    <w:rsid w:val="000137DB"/>
    <w:rsid w:val="0001431B"/>
    <w:rsid w:val="00014541"/>
    <w:rsid w:val="0001465A"/>
    <w:rsid w:val="000152C7"/>
    <w:rsid w:val="000158E7"/>
    <w:rsid w:val="00015B68"/>
    <w:rsid w:val="00015DCE"/>
    <w:rsid w:val="00015E1C"/>
    <w:rsid w:val="000161AA"/>
    <w:rsid w:val="0001647E"/>
    <w:rsid w:val="00016D0D"/>
    <w:rsid w:val="000170CB"/>
    <w:rsid w:val="000170F7"/>
    <w:rsid w:val="000171D6"/>
    <w:rsid w:val="0002023B"/>
    <w:rsid w:val="000202BD"/>
    <w:rsid w:val="0002032E"/>
    <w:rsid w:val="0002058D"/>
    <w:rsid w:val="000205D9"/>
    <w:rsid w:val="00020B3F"/>
    <w:rsid w:val="00020FD3"/>
    <w:rsid w:val="000210F3"/>
    <w:rsid w:val="000211B8"/>
    <w:rsid w:val="0002125A"/>
    <w:rsid w:val="000216FC"/>
    <w:rsid w:val="00021AA4"/>
    <w:rsid w:val="00021C79"/>
    <w:rsid w:val="00021D6E"/>
    <w:rsid w:val="00021EDC"/>
    <w:rsid w:val="00021FAC"/>
    <w:rsid w:val="00022566"/>
    <w:rsid w:val="000225A3"/>
    <w:rsid w:val="00022605"/>
    <w:rsid w:val="0002295F"/>
    <w:rsid w:val="0002299D"/>
    <w:rsid w:val="00023E71"/>
    <w:rsid w:val="000241EB"/>
    <w:rsid w:val="00024263"/>
    <w:rsid w:val="0002426A"/>
    <w:rsid w:val="00024421"/>
    <w:rsid w:val="00024521"/>
    <w:rsid w:val="00024778"/>
    <w:rsid w:val="00024852"/>
    <w:rsid w:val="00024CF7"/>
    <w:rsid w:val="00024E37"/>
    <w:rsid w:val="0002606A"/>
    <w:rsid w:val="000262C2"/>
    <w:rsid w:val="0002635D"/>
    <w:rsid w:val="00026DBC"/>
    <w:rsid w:val="00027054"/>
    <w:rsid w:val="000270B5"/>
    <w:rsid w:val="000271B0"/>
    <w:rsid w:val="00027DF4"/>
    <w:rsid w:val="00030033"/>
    <w:rsid w:val="00030273"/>
    <w:rsid w:val="000306F0"/>
    <w:rsid w:val="00030789"/>
    <w:rsid w:val="00030A96"/>
    <w:rsid w:val="00030C46"/>
    <w:rsid w:val="00030DF9"/>
    <w:rsid w:val="00030FC1"/>
    <w:rsid w:val="00031481"/>
    <w:rsid w:val="000317D8"/>
    <w:rsid w:val="00031900"/>
    <w:rsid w:val="00031B72"/>
    <w:rsid w:val="00031BBF"/>
    <w:rsid w:val="0003204D"/>
    <w:rsid w:val="0003254D"/>
    <w:rsid w:val="00032901"/>
    <w:rsid w:val="00032CAC"/>
    <w:rsid w:val="000334C6"/>
    <w:rsid w:val="0003351A"/>
    <w:rsid w:val="0003384D"/>
    <w:rsid w:val="00033D32"/>
    <w:rsid w:val="00033FE8"/>
    <w:rsid w:val="00034220"/>
    <w:rsid w:val="000343F0"/>
    <w:rsid w:val="00034758"/>
    <w:rsid w:val="00034C50"/>
    <w:rsid w:val="00034DA6"/>
    <w:rsid w:val="0003525B"/>
    <w:rsid w:val="000352A6"/>
    <w:rsid w:val="00035558"/>
    <w:rsid w:val="00035849"/>
    <w:rsid w:val="00035D23"/>
    <w:rsid w:val="00036214"/>
    <w:rsid w:val="00036351"/>
    <w:rsid w:val="00036F68"/>
    <w:rsid w:val="00037B6A"/>
    <w:rsid w:val="0004075C"/>
    <w:rsid w:val="00040974"/>
    <w:rsid w:val="00040A25"/>
    <w:rsid w:val="00040D1E"/>
    <w:rsid w:val="00040DF7"/>
    <w:rsid w:val="00041103"/>
    <w:rsid w:val="0004172C"/>
    <w:rsid w:val="00041824"/>
    <w:rsid w:val="00041AEE"/>
    <w:rsid w:val="00042521"/>
    <w:rsid w:val="00042AC8"/>
    <w:rsid w:val="00042E57"/>
    <w:rsid w:val="000433CD"/>
    <w:rsid w:val="00043457"/>
    <w:rsid w:val="00043B67"/>
    <w:rsid w:val="000449DF"/>
    <w:rsid w:val="00044E14"/>
    <w:rsid w:val="00044F00"/>
    <w:rsid w:val="000454AB"/>
    <w:rsid w:val="0004635D"/>
    <w:rsid w:val="0004649D"/>
    <w:rsid w:val="0004683C"/>
    <w:rsid w:val="000469BE"/>
    <w:rsid w:val="00046C56"/>
    <w:rsid w:val="00047018"/>
    <w:rsid w:val="000479D3"/>
    <w:rsid w:val="00050091"/>
    <w:rsid w:val="0005046D"/>
    <w:rsid w:val="0005050F"/>
    <w:rsid w:val="00050EB1"/>
    <w:rsid w:val="000512B0"/>
    <w:rsid w:val="00051B08"/>
    <w:rsid w:val="00051BD6"/>
    <w:rsid w:val="00052297"/>
    <w:rsid w:val="0005264E"/>
    <w:rsid w:val="00052858"/>
    <w:rsid w:val="000533AF"/>
    <w:rsid w:val="0005342F"/>
    <w:rsid w:val="000539FF"/>
    <w:rsid w:val="00053B13"/>
    <w:rsid w:val="00054362"/>
    <w:rsid w:val="00054764"/>
    <w:rsid w:val="00054C25"/>
    <w:rsid w:val="00054D2A"/>
    <w:rsid w:val="00055008"/>
    <w:rsid w:val="00055345"/>
    <w:rsid w:val="000554A7"/>
    <w:rsid w:val="000554AA"/>
    <w:rsid w:val="000557B5"/>
    <w:rsid w:val="000559DB"/>
    <w:rsid w:val="00055A7B"/>
    <w:rsid w:val="00055B20"/>
    <w:rsid w:val="00055B41"/>
    <w:rsid w:val="00055DA7"/>
    <w:rsid w:val="00056090"/>
    <w:rsid w:val="0005662F"/>
    <w:rsid w:val="000568FD"/>
    <w:rsid w:val="00056FA1"/>
    <w:rsid w:val="000572E1"/>
    <w:rsid w:val="00057915"/>
    <w:rsid w:val="00057B30"/>
    <w:rsid w:val="0006043B"/>
    <w:rsid w:val="00060E5D"/>
    <w:rsid w:val="00060F01"/>
    <w:rsid w:val="00061673"/>
    <w:rsid w:val="00061B60"/>
    <w:rsid w:val="00061FFF"/>
    <w:rsid w:val="00062828"/>
    <w:rsid w:val="00063728"/>
    <w:rsid w:val="0006382F"/>
    <w:rsid w:val="00063C6C"/>
    <w:rsid w:val="00063D96"/>
    <w:rsid w:val="00064480"/>
    <w:rsid w:val="00064501"/>
    <w:rsid w:val="00064B78"/>
    <w:rsid w:val="00064D00"/>
    <w:rsid w:val="00065070"/>
    <w:rsid w:val="000651CD"/>
    <w:rsid w:val="00065D09"/>
    <w:rsid w:val="00066309"/>
    <w:rsid w:val="00066B92"/>
    <w:rsid w:val="00066BA6"/>
    <w:rsid w:val="0006706B"/>
    <w:rsid w:val="00067081"/>
    <w:rsid w:val="00067EBA"/>
    <w:rsid w:val="00067F5C"/>
    <w:rsid w:val="0007049C"/>
    <w:rsid w:val="00070773"/>
    <w:rsid w:val="0007079D"/>
    <w:rsid w:val="00070E37"/>
    <w:rsid w:val="00070F12"/>
    <w:rsid w:val="000714BF"/>
    <w:rsid w:val="000716D7"/>
    <w:rsid w:val="00071B51"/>
    <w:rsid w:val="0007207C"/>
    <w:rsid w:val="000728AE"/>
    <w:rsid w:val="00072B25"/>
    <w:rsid w:val="00073318"/>
    <w:rsid w:val="00073A26"/>
    <w:rsid w:val="00073A56"/>
    <w:rsid w:val="00074562"/>
    <w:rsid w:val="00074966"/>
    <w:rsid w:val="0007519B"/>
    <w:rsid w:val="000756BE"/>
    <w:rsid w:val="00075D01"/>
    <w:rsid w:val="00075E60"/>
    <w:rsid w:val="00075FD7"/>
    <w:rsid w:val="00075FE6"/>
    <w:rsid w:val="0007602C"/>
    <w:rsid w:val="00076AB3"/>
    <w:rsid w:val="00076D74"/>
    <w:rsid w:val="00076D8A"/>
    <w:rsid w:val="00076E66"/>
    <w:rsid w:val="000770B0"/>
    <w:rsid w:val="00077555"/>
    <w:rsid w:val="00077593"/>
    <w:rsid w:val="00077879"/>
    <w:rsid w:val="00077AA9"/>
    <w:rsid w:val="00077F1A"/>
    <w:rsid w:val="00077FFA"/>
    <w:rsid w:val="00080235"/>
    <w:rsid w:val="0008061A"/>
    <w:rsid w:val="000806CA"/>
    <w:rsid w:val="00080A58"/>
    <w:rsid w:val="00080F18"/>
    <w:rsid w:val="00080F73"/>
    <w:rsid w:val="0008119D"/>
    <w:rsid w:val="0008135B"/>
    <w:rsid w:val="0008170D"/>
    <w:rsid w:val="00081A42"/>
    <w:rsid w:val="00081C1A"/>
    <w:rsid w:val="00081D50"/>
    <w:rsid w:val="000824CD"/>
    <w:rsid w:val="000829FE"/>
    <w:rsid w:val="00083012"/>
    <w:rsid w:val="000832F4"/>
    <w:rsid w:val="00083511"/>
    <w:rsid w:val="00083575"/>
    <w:rsid w:val="0008357F"/>
    <w:rsid w:val="000841DB"/>
    <w:rsid w:val="00084360"/>
    <w:rsid w:val="00084434"/>
    <w:rsid w:val="00084483"/>
    <w:rsid w:val="0008448A"/>
    <w:rsid w:val="0008450F"/>
    <w:rsid w:val="000847C6"/>
    <w:rsid w:val="00084C23"/>
    <w:rsid w:val="00085042"/>
    <w:rsid w:val="0008581F"/>
    <w:rsid w:val="00085898"/>
    <w:rsid w:val="00085AB0"/>
    <w:rsid w:val="0008622C"/>
    <w:rsid w:val="0008636B"/>
    <w:rsid w:val="000864B6"/>
    <w:rsid w:val="00086822"/>
    <w:rsid w:val="00087455"/>
    <w:rsid w:val="000875B5"/>
    <w:rsid w:val="000877B5"/>
    <w:rsid w:val="00087E77"/>
    <w:rsid w:val="00087EFA"/>
    <w:rsid w:val="00087FC9"/>
    <w:rsid w:val="00090AC9"/>
    <w:rsid w:val="00090D87"/>
    <w:rsid w:val="00090FC8"/>
    <w:rsid w:val="0009156C"/>
    <w:rsid w:val="000915DF"/>
    <w:rsid w:val="00091751"/>
    <w:rsid w:val="00091E01"/>
    <w:rsid w:val="0009204A"/>
    <w:rsid w:val="00092077"/>
    <w:rsid w:val="00092421"/>
    <w:rsid w:val="000929C5"/>
    <w:rsid w:val="00093447"/>
    <w:rsid w:val="000935D5"/>
    <w:rsid w:val="00093BC2"/>
    <w:rsid w:val="00093C04"/>
    <w:rsid w:val="00093D8C"/>
    <w:rsid w:val="00093FE7"/>
    <w:rsid w:val="000941D3"/>
    <w:rsid w:val="0009456D"/>
    <w:rsid w:val="0009475C"/>
    <w:rsid w:val="000947ED"/>
    <w:rsid w:val="00095166"/>
    <w:rsid w:val="00095174"/>
    <w:rsid w:val="000959D8"/>
    <w:rsid w:val="00095AAB"/>
    <w:rsid w:val="00095B39"/>
    <w:rsid w:val="00095D0F"/>
    <w:rsid w:val="0009610B"/>
    <w:rsid w:val="00096A87"/>
    <w:rsid w:val="00097C22"/>
    <w:rsid w:val="00097E4B"/>
    <w:rsid w:val="000A0311"/>
    <w:rsid w:val="000A0CC0"/>
    <w:rsid w:val="000A0FA3"/>
    <w:rsid w:val="000A0FF3"/>
    <w:rsid w:val="000A11F3"/>
    <w:rsid w:val="000A12EF"/>
    <w:rsid w:val="000A15C0"/>
    <w:rsid w:val="000A1837"/>
    <w:rsid w:val="000A1A4F"/>
    <w:rsid w:val="000A1CEA"/>
    <w:rsid w:val="000A221B"/>
    <w:rsid w:val="000A2492"/>
    <w:rsid w:val="000A2A9D"/>
    <w:rsid w:val="000A2D28"/>
    <w:rsid w:val="000A3102"/>
    <w:rsid w:val="000A3175"/>
    <w:rsid w:val="000A3D5C"/>
    <w:rsid w:val="000A4200"/>
    <w:rsid w:val="000A4448"/>
    <w:rsid w:val="000A4520"/>
    <w:rsid w:val="000A4654"/>
    <w:rsid w:val="000A4685"/>
    <w:rsid w:val="000A4BA3"/>
    <w:rsid w:val="000A4C4A"/>
    <w:rsid w:val="000A4C97"/>
    <w:rsid w:val="000A510C"/>
    <w:rsid w:val="000A5268"/>
    <w:rsid w:val="000A531A"/>
    <w:rsid w:val="000A53C0"/>
    <w:rsid w:val="000A58F2"/>
    <w:rsid w:val="000A5AB9"/>
    <w:rsid w:val="000A5D8A"/>
    <w:rsid w:val="000A5F6F"/>
    <w:rsid w:val="000A6685"/>
    <w:rsid w:val="000A6AA6"/>
    <w:rsid w:val="000A6B7D"/>
    <w:rsid w:val="000A6BAD"/>
    <w:rsid w:val="000A712D"/>
    <w:rsid w:val="000A73E2"/>
    <w:rsid w:val="000A74F9"/>
    <w:rsid w:val="000A759D"/>
    <w:rsid w:val="000A79B0"/>
    <w:rsid w:val="000A7D19"/>
    <w:rsid w:val="000A7D8B"/>
    <w:rsid w:val="000B04D8"/>
    <w:rsid w:val="000B081C"/>
    <w:rsid w:val="000B08C2"/>
    <w:rsid w:val="000B15EE"/>
    <w:rsid w:val="000B197B"/>
    <w:rsid w:val="000B1CFD"/>
    <w:rsid w:val="000B1EDE"/>
    <w:rsid w:val="000B1FDB"/>
    <w:rsid w:val="000B21B3"/>
    <w:rsid w:val="000B2294"/>
    <w:rsid w:val="000B281F"/>
    <w:rsid w:val="000B288B"/>
    <w:rsid w:val="000B2E5F"/>
    <w:rsid w:val="000B30CB"/>
    <w:rsid w:val="000B31F3"/>
    <w:rsid w:val="000B33D6"/>
    <w:rsid w:val="000B3A9C"/>
    <w:rsid w:val="000B3F4D"/>
    <w:rsid w:val="000B5333"/>
    <w:rsid w:val="000B56F6"/>
    <w:rsid w:val="000B6184"/>
    <w:rsid w:val="000B63C9"/>
    <w:rsid w:val="000B65B4"/>
    <w:rsid w:val="000B6F39"/>
    <w:rsid w:val="000B7651"/>
    <w:rsid w:val="000B7912"/>
    <w:rsid w:val="000B7ABF"/>
    <w:rsid w:val="000B7F72"/>
    <w:rsid w:val="000C020F"/>
    <w:rsid w:val="000C0818"/>
    <w:rsid w:val="000C086E"/>
    <w:rsid w:val="000C23FE"/>
    <w:rsid w:val="000C350C"/>
    <w:rsid w:val="000C3954"/>
    <w:rsid w:val="000C4003"/>
    <w:rsid w:val="000C4E8F"/>
    <w:rsid w:val="000C5A41"/>
    <w:rsid w:val="000C5CA3"/>
    <w:rsid w:val="000C5D4C"/>
    <w:rsid w:val="000C62A9"/>
    <w:rsid w:val="000C6575"/>
    <w:rsid w:val="000C6702"/>
    <w:rsid w:val="000C679F"/>
    <w:rsid w:val="000C6D0C"/>
    <w:rsid w:val="000C6DEF"/>
    <w:rsid w:val="000C75AF"/>
    <w:rsid w:val="000C7628"/>
    <w:rsid w:val="000C7A0E"/>
    <w:rsid w:val="000D0546"/>
    <w:rsid w:val="000D0633"/>
    <w:rsid w:val="000D0824"/>
    <w:rsid w:val="000D0D13"/>
    <w:rsid w:val="000D0EDF"/>
    <w:rsid w:val="000D10E0"/>
    <w:rsid w:val="000D1B86"/>
    <w:rsid w:val="000D1BCD"/>
    <w:rsid w:val="000D26AB"/>
    <w:rsid w:val="000D26B1"/>
    <w:rsid w:val="000D2962"/>
    <w:rsid w:val="000D3171"/>
    <w:rsid w:val="000D36FD"/>
    <w:rsid w:val="000D38FF"/>
    <w:rsid w:val="000D40BB"/>
    <w:rsid w:val="000D4176"/>
    <w:rsid w:val="000D449F"/>
    <w:rsid w:val="000D48EA"/>
    <w:rsid w:val="000D4CF5"/>
    <w:rsid w:val="000D4FE3"/>
    <w:rsid w:val="000D5085"/>
    <w:rsid w:val="000D538B"/>
    <w:rsid w:val="000D586A"/>
    <w:rsid w:val="000D5CD9"/>
    <w:rsid w:val="000D5F14"/>
    <w:rsid w:val="000D6488"/>
    <w:rsid w:val="000D6755"/>
    <w:rsid w:val="000D6CCD"/>
    <w:rsid w:val="000D6E6C"/>
    <w:rsid w:val="000D702D"/>
    <w:rsid w:val="000D74FA"/>
    <w:rsid w:val="000D78D9"/>
    <w:rsid w:val="000E0126"/>
    <w:rsid w:val="000E05D6"/>
    <w:rsid w:val="000E0F9D"/>
    <w:rsid w:val="000E1023"/>
    <w:rsid w:val="000E1283"/>
    <w:rsid w:val="000E1510"/>
    <w:rsid w:val="000E15FD"/>
    <w:rsid w:val="000E1F73"/>
    <w:rsid w:val="000E1FD7"/>
    <w:rsid w:val="000E2545"/>
    <w:rsid w:val="000E2AF9"/>
    <w:rsid w:val="000E30F3"/>
    <w:rsid w:val="000E3152"/>
    <w:rsid w:val="000E316D"/>
    <w:rsid w:val="000E367F"/>
    <w:rsid w:val="000E4299"/>
    <w:rsid w:val="000E42A9"/>
    <w:rsid w:val="000E4912"/>
    <w:rsid w:val="000E4B76"/>
    <w:rsid w:val="000E4D3B"/>
    <w:rsid w:val="000E5C36"/>
    <w:rsid w:val="000E6021"/>
    <w:rsid w:val="000E6244"/>
    <w:rsid w:val="000E6A28"/>
    <w:rsid w:val="000E707F"/>
    <w:rsid w:val="000E71DC"/>
    <w:rsid w:val="000E762F"/>
    <w:rsid w:val="000E776F"/>
    <w:rsid w:val="000E792C"/>
    <w:rsid w:val="000F0097"/>
    <w:rsid w:val="000F0100"/>
    <w:rsid w:val="000F0531"/>
    <w:rsid w:val="000F0730"/>
    <w:rsid w:val="000F140B"/>
    <w:rsid w:val="000F1651"/>
    <w:rsid w:val="000F1723"/>
    <w:rsid w:val="000F27F9"/>
    <w:rsid w:val="000F28C1"/>
    <w:rsid w:val="000F316D"/>
    <w:rsid w:val="000F34CE"/>
    <w:rsid w:val="000F36D6"/>
    <w:rsid w:val="000F3A78"/>
    <w:rsid w:val="000F3D58"/>
    <w:rsid w:val="000F42B8"/>
    <w:rsid w:val="000F4697"/>
    <w:rsid w:val="000F4C99"/>
    <w:rsid w:val="000F5261"/>
    <w:rsid w:val="000F53A0"/>
    <w:rsid w:val="000F5D5C"/>
    <w:rsid w:val="000F5ED6"/>
    <w:rsid w:val="000F6012"/>
    <w:rsid w:val="000F6147"/>
    <w:rsid w:val="000F661E"/>
    <w:rsid w:val="000F6C8D"/>
    <w:rsid w:val="000F6CDB"/>
    <w:rsid w:val="000F71EA"/>
    <w:rsid w:val="000F7754"/>
    <w:rsid w:val="000F7836"/>
    <w:rsid w:val="0010001D"/>
    <w:rsid w:val="0010047A"/>
    <w:rsid w:val="0010050F"/>
    <w:rsid w:val="00100636"/>
    <w:rsid w:val="001009FA"/>
    <w:rsid w:val="00100D6C"/>
    <w:rsid w:val="0010128C"/>
    <w:rsid w:val="001015D2"/>
    <w:rsid w:val="001016DC"/>
    <w:rsid w:val="00101E67"/>
    <w:rsid w:val="001020B5"/>
    <w:rsid w:val="001024E6"/>
    <w:rsid w:val="001025A2"/>
    <w:rsid w:val="001029F1"/>
    <w:rsid w:val="00103056"/>
    <w:rsid w:val="0010384E"/>
    <w:rsid w:val="00103860"/>
    <w:rsid w:val="001039AD"/>
    <w:rsid w:val="00103F6B"/>
    <w:rsid w:val="00104C27"/>
    <w:rsid w:val="00104E58"/>
    <w:rsid w:val="001052A4"/>
    <w:rsid w:val="00105311"/>
    <w:rsid w:val="0010561D"/>
    <w:rsid w:val="001056A8"/>
    <w:rsid w:val="001058BC"/>
    <w:rsid w:val="001060E2"/>
    <w:rsid w:val="0010618B"/>
    <w:rsid w:val="001064A1"/>
    <w:rsid w:val="00106696"/>
    <w:rsid w:val="0010683B"/>
    <w:rsid w:val="00106A53"/>
    <w:rsid w:val="00106E2F"/>
    <w:rsid w:val="00106EA5"/>
    <w:rsid w:val="00106F86"/>
    <w:rsid w:val="00107506"/>
    <w:rsid w:val="0010770F"/>
    <w:rsid w:val="00107739"/>
    <w:rsid w:val="0010780C"/>
    <w:rsid w:val="0010785B"/>
    <w:rsid w:val="00107924"/>
    <w:rsid w:val="00107B3D"/>
    <w:rsid w:val="00107D1B"/>
    <w:rsid w:val="00107D83"/>
    <w:rsid w:val="0011052D"/>
    <w:rsid w:val="00110626"/>
    <w:rsid w:val="00110848"/>
    <w:rsid w:val="00110DC1"/>
    <w:rsid w:val="001112FA"/>
    <w:rsid w:val="00111755"/>
    <w:rsid w:val="00111F0E"/>
    <w:rsid w:val="0011260B"/>
    <w:rsid w:val="00112B86"/>
    <w:rsid w:val="00112C37"/>
    <w:rsid w:val="00113185"/>
    <w:rsid w:val="00113563"/>
    <w:rsid w:val="00113796"/>
    <w:rsid w:val="00113DB4"/>
    <w:rsid w:val="0011443F"/>
    <w:rsid w:val="00114BA0"/>
    <w:rsid w:val="00114C7C"/>
    <w:rsid w:val="00114DC8"/>
    <w:rsid w:val="0011512F"/>
    <w:rsid w:val="0011556C"/>
    <w:rsid w:val="00115630"/>
    <w:rsid w:val="00115755"/>
    <w:rsid w:val="00115D84"/>
    <w:rsid w:val="001160CE"/>
    <w:rsid w:val="00116814"/>
    <w:rsid w:val="001175BE"/>
    <w:rsid w:val="001179CB"/>
    <w:rsid w:val="00117F75"/>
    <w:rsid w:val="00120153"/>
    <w:rsid w:val="0012142C"/>
    <w:rsid w:val="00121694"/>
    <w:rsid w:val="00121D1A"/>
    <w:rsid w:val="001222F9"/>
    <w:rsid w:val="0012233B"/>
    <w:rsid w:val="00122723"/>
    <w:rsid w:val="00122724"/>
    <w:rsid w:val="0012303A"/>
    <w:rsid w:val="001230E3"/>
    <w:rsid w:val="00123394"/>
    <w:rsid w:val="00123B57"/>
    <w:rsid w:val="00123F5E"/>
    <w:rsid w:val="00124210"/>
    <w:rsid w:val="00124364"/>
    <w:rsid w:val="00124439"/>
    <w:rsid w:val="00124A03"/>
    <w:rsid w:val="00124BAD"/>
    <w:rsid w:val="00125159"/>
    <w:rsid w:val="001259BE"/>
    <w:rsid w:val="00125A5F"/>
    <w:rsid w:val="00125DC1"/>
    <w:rsid w:val="00125E2C"/>
    <w:rsid w:val="00125EF3"/>
    <w:rsid w:val="0012641B"/>
    <w:rsid w:val="00127933"/>
    <w:rsid w:val="0013029F"/>
    <w:rsid w:val="001304C3"/>
    <w:rsid w:val="00130517"/>
    <w:rsid w:val="00130545"/>
    <w:rsid w:val="0013066B"/>
    <w:rsid w:val="00130E94"/>
    <w:rsid w:val="00131A39"/>
    <w:rsid w:val="0013205D"/>
    <w:rsid w:val="00132276"/>
    <w:rsid w:val="001325D4"/>
    <w:rsid w:val="0013335D"/>
    <w:rsid w:val="0013385C"/>
    <w:rsid w:val="00133DD8"/>
    <w:rsid w:val="001340FC"/>
    <w:rsid w:val="00134C70"/>
    <w:rsid w:val="00135831"/>
    <w:rsid w:val="001358B3"/>
    <w:rsid w:val="00135F0A"/>
    <w:rsid w:val="0013625C"/>
    <w:rsid w:val="0013636C"/>
    <w:rsid w:val="0013642B"/>
    <w:rsid w:val="001366B7"/>
    <w:rsid w:val="001369AF"/>
    <w:rsid w:val="0013708D"/>
    <w:rsid w:val="0013720C"/>
    <w:rsid w:val="001376A2"/>
    <w:rsid w:val="00137749"/>
    <w:rsid w:val="001377DA"/>
    <w:rsid w:val="00137931"/>
    <w:rsid w:val="00140434"/>
    <w:rsid w:val="00140502"/>
    <w:rsid w:val="0014057F"/>
    <w:rsid w:val="001406DF"/>
    <w:rsid w:val="00140C7E"/>
    <w:rsid w:val="001412BF"/>
    <w:rsid w:val="00141818"/>
    <w:rsid w:val="00141877"/>
    <w:rsid w:val="00141B1C"/>
    <w:rsid w:val="00141DDC"/>
    <w:rsid w:val="001421C6"/>
    <w:rsid w:val="001428A1"/>
    <w:rsid w:val="00142A02"/>
    <w:rsid w:val="0014316F"/>
    <w:rsid w:val="00143295"/>
    <w:rsid w:val="001433BB"/>
    <w:rsid w:val="001434A3"/>
    <w:rsid w:val="00143640"/>
    <w:rsid w:val="00143768"/>
    <w:rsid w:val="001438B3"/>
    <w:rsid w:val="00143F30"/>
    <w:rsid w:val="001443D7"/>
    <w:rsid w:val="00144459"/>
    <w:rsid w:val="00144584"/>
    <w:rsid w:val="00144A5E"/>
    <w:rsid w:val="00144AB5"/>
    <w:rsid w:val="00144C2D"/>
    <w:rsid w:val="00144EC2"/>
    <w:rsid w:val="00145394"/>
    <w:rsid w:val="0014575C"/>
    <w:rsid w:val="00145BAE"/>
    <w:rsid w:val="00146316"/>
    <w:rsid w:val="001468D2"/>
    <w:rsid w:val="001474DB"/>
    <w:rsid w:val="0014768F"/>
    <w:rsid w:val="001477A7"/>
    <w:rsid w:val="00147E23"/>
    <w:rsid w:val="00147F2B"/>
    <w:rsid w:val="0015077B"/>
    <w:rsid w:val="001508B2"/>
    <w:rsid w:val="001508C3"/>
    <w:rsid w:val="001520E8"/>
    <w:rsid w:val="00152995"/>
    <w:rsid w:val="00152A14"/>
    <w:rsid w:val="00152D12"/>
    <w:rsid w:val="00152ECA"/>
    <w:rsid w:val="0015327E"/>
    <w:rsid w:val="001537A8"/>
    <w:rsid w:val="001539CD"/>
    <w:rsid w:val="00153F42"/>
    <w:rsid w:val="001543EF"/>
    <w:rsid w:val="0015499F"/>
    <w:rsid w:val="00155001"/>
    <w:rsid w:val="001552D2"/>
    <w:rsid w:val="001554AD"/>
    <w:rsid w:val="001559A2"/>
    <w:rsid w:val="00155A55"/>
    <w:rsid w:val="00155EEF"/>
    <w:rsid w:val="00156300"/>
    <w:rsid w:val="0015698A"/>
    <w:rsid w:val="00156AAC"/>
    <w:rsid w:val="00156C6E"/>
    <w:rsid w:val="00156FCE"/>
    <w:rsid w:val="00157596"/>
    <w:rsid w:val="001576D2"/>
    <w:rsid w:val="001600D8"/>
    <w:rsid w:val="001606AB"/>
    <w:rsid w:val="00160D89"/>
    <w:rsid w:val="001613C6"/>
    <w:rsid w:val="001617B7"/>
    <w:rsid w:val="001618E4"/>
    <w:rsid w:val="00162090"/>
    <w:rsid w:val="00162191"/>
    <w:rsid w:val="001622C0"/>
    <w:rsid w:val="001626F6"/>
    <w:rsid w:val="001628D5"/>
    <w:rsid w:val="00162BA7"/>
    <w:rsid w:val="00162BB5"/>
    <w:rsid w:val="00163514"/>
    <w:rsid w:val="001638C9"/>
    <w:rsid w:val="0016400B"/>
    <w:rsid w:val="00164228"/>
    <w:rsid w:val="00164890"/>
    <w:rsid w:val="0016491F"/>
    <w:rsid w:val="00164978"/>
    <w:rsid w:val="00164999"/>
    <w:rsid w:val="00165C1E"/>
    <w:rsid w:val="00166976"/>
    <w:rsid w:val="00166A05"/>
    <w:rsid w:val="00167C31"/>
    <w:rsid w:val="001703FD"/>
    <w:rsid w:val="001704B4"/>
    <w:rsid w:val="0017058A"/>
    <w:rsid w:val="001706B0"/>
    <w:rsid w:val="001708E0"/>
    <w:rsid w:val="00170C53"/>
    <w:rsid w:val="00171884"/>
    <w:rsid w:val="00172283"/>
    <w:rsid w:val="001725E2"/>
    <w:rsid w:val="00172775"/>
    <w:rsid w:val="001727F4"/>
    <w:rsid w:val="00172875"/>
    <w:rsid w:val="00172B76"/>
    <w:rsid w:val="0017306E"/>
    <w:rsid w:val="001730AC"/>
    <w:rsid w:val="00173173"/>
    <w:rsid w:val="00173580"/>
    <w:rsid w:val="00173757"/>
    <w:rsid w:val="00173795"/>
    <w:rsid w:val="0017390F"/>
    <w:rsid w:val="001739F8"/>
    <w:rsid w:val="00173D1A"/>
    <w:rsid w:val="001749BC"/>
    <w:rsid w:val="00174D44"/>
    <w:rsid w:val="00174EED"/>
    <w:rsid w:val="00175822"/>
    <w:rsid w:val="00175AC7"/>
    <w:rsid w:val="00175E7E"/>
    <w:rsid w:val="00175F3B"/>
    <w:rsid w:val="001764AA"/>
    <w:rsid w:val="001778A5"/>
    <w:rsid w:val="00177C8A"/>
    <w:rsid w:val="001808B4"/>
    <w:rsid w:val="00180962"/>
    <w:rsid w:val="001809FE"/>
    <w:rsid w:val="00181176"/>
    <w:rsid w:val="00181212"/>
    <w:rsid w:val="0018121E"/>
    <w:rsid w:val="001814A5"/>
    <w:rsid w:val="0018179E"/>
    <w:rsid w:val="001817FE"/>
    <w:rsid w:val="00181A16"/>
    <w:rsid w:val="00181E63"/>
    <w:rsid w:val="00182426"/>
    <w:rsid w:val="00182D0F"/>
    <w:rsid w:val="00182EF7"/>
    <w:rsid w:val="00182FEF"/>
    <w:rsid w:val="0018364C"/>
    <w:rsid w:val="00183B5B"/>
    <w:rsid w:val="00183FD8"/>
    <w:rsid w:val="00184283"/>
    <w:rsid w:val="0018469F"/>
    <w:rsid w:val="00184E5F"/>
    <w:rsid w:val="00185BBE"/>
    <w:rsid w:val="00185F37"/>
    <w:rsid w:val="00186215"/>
    <w:rsid w:val="00186A2E"/>
    <w:rsid w:val="00186FF3"/>
    <w:rsid w:val="0018719A"/>
    <w:rsid w:val="0018720F"/>
    <w:rsid w:val="001873EE"/>
    <w:rsid w:val="0018751A"/>
    <w:rsid w:val="00187730"/>
    <w:rsid w:val="00187734"/>
    <w:rsid w:val="00190081"/>
    <w:rsid w:val="001906BA"/>
    <w:rsid w:val="00190F72"/>
    <w:rsid w:val="0019114C"/>
    <w:rsid w:val="0019142A"/>
    <w:rsid w:val="001915A4"/>
    <w:rsid w:val="0019182F"/>
    <w:rsid w:val="001925AF"/>
    <w:rsid w:val="001926EB"/>
    <w:rsid w:val="001929BB"/>
    <w:rsid w:val="00192B06"/>
    <w:rsid w:val="00192D2A"/>
    <w:rsid w:val="00192DD9"/>
    <w:rsid w:val="00193316"/>
    <w:rsid w:val="00193748"/>
    <w:rsid w:val="00194C95"/>
    <w:rsid w:val="00194DCD"/>
    <w:rsid w:val="00194E6A"/>
    <w:rsid w:val="00195348"/>
    <w:rsid w:val="00195A0B"/>
    <w:rsid w:val="00195C82"/>
    <w:rsid w:val="00195E16"/>
    <w:rsid w:val="00196338"/>
    <w:rsid w:val="0019673E"/>
    <w:rsid w:val="00196C7A"/>
    <w:rsid w:val="001973DB"/>
    <w:rsid w:val="00197FAA"/>
    <w:rsid w:val="001A033E"/>
    <w:rsid w:val="001A0915"/>
    <w:rsid w:val="001A0F03"/>
    <w:rsid w:val="001A0F71"/>
    <w:rsid w:val="001A1056"/>
    <w:rsid w:val="001A121B"/>
    <w:rsid w:val="001A1491"/>
    <w:rsid w:val="001A1A40"/>
    <w:rsid w:val="001A1D0D"/>
    <w:rsid w:val="001A1E49"/>
    <w:rsid w:val="001A2015"/>
    <w:rsid w:val="001A28A0"/>
    <w:rsid w:val="001A2D4C"/>
    <w:rsid w:val="001A31D1"/>
    <w:rsid w:val="001A358E"/>
    <w:rsid w:val="001A3687"/>
    <w:rsid w:val="001A3897"/>
    <w:rsid w:val="001A3D7C"/>
    <w:rsid w:val="001A3E7C"/>
    <w:rsid w:val="001A428E"/>
    <w:rsid w:val="001A4332"/>
    <w:rsid w:val="001A43B1"/>
    <w:rsid w:val="001A4758"/>
    <w:rsid w:val="001A4B7E"/>
    <w:rsid w:val="001A4B7F"/>
    <w:rsid w:val="001A4D1C"/>
    <w:rsid w:val="001A51D8"/>
    <w:rsid w:val="001A5331"/>
    <w:rsid w:val="001A59F2"/>
    <w:rsid w:val="001A5B41"/>
    <w:rsid w:val="001A5B92"/>
    <w:rsid w:val="001A5C65"/>
    <w:rsid w:val="001A6967"/>
    <w:rsid w:val="001A74C2"/>
    <w:rsid w:val="001A7BDE"/>
    <w:rsid w:val="001B04CA"/>
    <w:rsid w:val="001B04D1"/>
    <w:rsid w:val="001B077C"/>
    <w:rsid w:val="001B0816"/>
    <w:rsid w:val="001B163A"/>
    <w:rsid w:val="001B1922"/>
    <w:rsid w:val="001B1AAD"/>
    <w:rsid w:val="001B1D05"/>
    <w:rsid w:val="001B2BB0"/>
    <w:rsid w:val="001B2CFA"/>
    <w:rsid w:val="001B2E09"/>
    <w:rsid w:val="001B2E2A"/>
    <w:rsid w:val="001B2E7D"/>
    <w:rsid w:val="001B346E"/>
    <w:rsid w:val="001B373D"/>
    <w:rsid w:val="001B3852"/>
    <w:rsid w:val="001B44E5"/>
    <w:rsid w:val="001B4B86"/>
    <w:rsid w:val="001B4E06"/>
    <w:rsid w:val="001B4E9E"/>
    <w:rsid w:val="001B58DD"/>
    <w:rsid w:val="001B5BD5"/>
    <w:rsid w:val="001B5F9C"/>
    <w:rsid w:val="001B60B9"/>
    <w:rsid w:val="001B71CB"/>
    <w:rsid w:val="001B726A"/>
    <w:rsid w:val="001B7735"/>
    <w:rsid w:val="001B796C"/>
    <w:rsid w:val="001B79E2"/>
    <w:rsid w:val="001B7A66"/>
    <w:rsid w:val="001B7AB3"/>
    <w:rsid w:val="001C0998"/>
    <w:rsid w:val="001C1394"/>
    <w:rsid w:val="001C140F"/>
    <w:rsid w:val="001C15DD"/>
    <w:rsid w:val="001C17EB"/>
    <w:rsid w:val="001C1DFE"/>
    <w:rsid w:val="001C1FC1"/>
    <w:rsid w:val="001C2378"/>
    <w:rsid w:val="001C29FC"/>
    <w:rsid w:val="001C3170"/>
    <w:rsid w:val="001C34A7"/>
    <w:rsid w:val="001C3552"/>
    <w:rsid w:val="001C3DB5"/>
    <w:rsid w:val="001C3E5B"/>
    <w:rsid w:val="001C406F"/>
    <w:rsid w:val="001C4188"/>
    <w:rsid w:val="001C42DF"/>
    <w:rsid w:val="001C4727"/>
    <w:rsid w:val="001C48A5"/>
    <w:rsid w:val="001C48E7"/>
    <w:rsid w:val="001C497D"/>
    <w:rsid w:val="001C4FE0"/>
    <w:rsid w:val="001C5206"/>
    <w:rsid w:val="001C54C1"/>
    <w:rsid w:val="001C55E6"/>
    <w:rsid w:val="001C58DC"/>
    <w:rsid w:val="001C5C03"/>
    <w:rsid w:val="001C5EFF"/>
    <w:rsid w:val="001C6825"/>
    <w:rsid w:val="001C6D79"/>
    <w:rsid w:val="001C74C5"/>
    <w:rsid w:val="001C794C"/>
    <w:rsid w:val="001C7A7B"/>
    <w:rsid w:val="001C7D01"/>
    <w:rsid w:val="001D00F3"/>
    <w:rsid w:val="001D0349"/>
    <w:rsid w:val="001D0376"/>
    <w:rsid w:val="001D0570"/>
    <w:rsid w:val="001D0D94"/>
    <w:rsid w:val="001D0E30"/>
    <w:rsid w:val="001D11AB"/>
    <w:rsid w:val="001D177D"/>
    <w:rsid w:val="001D2319"/>
    <w:rsid w:val="001D2876"/>
    <w:rsid w:val="001D2C00"/>
    <w:rsid w:val="001D3208"/>
    <w:rsid w:val="001D3334"/>
    <w:rsid w:val="001D3739"/>
    <w:rsid w:val="001D38F7"/>
    <w:rsid w:val="001D3E87"/>
    <w:rsid w:val="001D44B0"/>
    <w:rsid w:val="001D4CBB"/>
    <w:rsid w:val="001D56B6"/>
    <w:rsid w:val="001D5A9D"/>
    <w:rsid w:val="001D5C89"/>
    <w:rsid w:val="001D5F21"/>
    <w:rsid w:val="001D675F"/>
    <w:rsid w:val="001D78B5"/>
    <w:rsid w:val="001D7A03"/>
    <w:rsid w:val="001D7B33"/>
    <w:rsid w:val="001E04F2"/>
    <w:rsid w:val="001E05AB"/>
    <w:rsid w:val="001E0C93"/>
    <w:rsid w:val="001E0D99"/>
    <w:rsid w:val="001E1231"/>
    <w:rsid w:val="001E1B7A"/>
    <w:rsid w:val="001E1CD8"/>
    <w:rsid w:val="001E2086"/>
    <w:rsid w:val="001E209E"/>
    <w:rsid w:val="001E2113"/>
    <w:rsid w:val="001E230B"/>
    <w:rsid w:val="001E3651"/>
    <w:rsid w:val="001E3DD4"/>
    <w:rsid w:val="001E45C8"/>
    <w:rsid w:val="001E487A"/>
    <w:rsid w:val="001E5062"/>
    <w:rsid w:val="001E516B"/>
    <w:rsid w:val="001E5575"/>
    <w:rsid w:val="001E55C3"/>
    <w:rsid w:val="001E563A"/>
    <w:rsid w:val="001E5751"/>
    <w:rsid w:val="001E6F92"/>
    <w:rsid w:val="001E71DC"/>
    <w:rsid w:val="001E7653"/>
    <w:rsid w:val="001E7C5C"/>
    <w:rsid w:val="001E7EDB"/>
    <w:rsid w:val="001F012A"/>
    <w:rsid w:val="001F0149"/>
    <w:rsid w:val="001F0AD0"/>
    <w:rsid w:val="001F0B97"/>
    <w:rsid w:val="001F0BB3"/>
    <w:rsid w:val="001F0E94"/>
    <w:rsid w:val="001F0F10"/>
    <w:rsid w:val="001F1337"/>
    <w:rsid w:val="001F13EA"/>
    <w:rsid w:val="001F1680"/>
    <w:rsid w:val="001F17E8"/>
    <w:rsid w:val="001F1B08"/>
    <w:rsid w:val="001F1F47"/>
    <w:rsid w:val="001F20D3"/>
    <w:rsid w:val="001F243C"/>
    <w:rsid w:val="001F271C"/>
    <w:rsid w:val="001F2766"/>
    <w:rsid w:val="001F2F31"/>
    <w:rsid w:val="001F3564"/>
    <w:rsid w:val="001F38E0"/>
    <w:rsid w:val="001F3CCC"/>
    <w:rsid w:val="001F3DA0"/>
    <w:rsid w:val="001F41DD"/>
    <w:rsid w:val="001F46D7"/>
    <w:rsid w:val="001F4970"/>
    <w:rsid w:val="001F4AEE"/>
    <w:rsid w:val="001F52D2"/>
    <w:rsid w:val="001F60BA"/>
    <w:rsid w:val="001F616E"/>
    <w:rsid w:val="001F634D"/>
    <w:rsid w:val="001F6460"/>
    <w:rsid w:val="001F6EB8"/>
    <w:rsid w:val="001F7D53"/>
    <w:rsid w:val="001F7DEA"/>
    <w:rsid w:val="001F7F23"/>
    <w:rsid w:val="0020003A"/>
    <w:rsid w:val="00200709"/>
    <w:rsid w:val="00200A44"/>
    <w:rsid w:val="00201006"/>
    <w:rsid w:val="00201B68"/>
    <w:rsid w:val="00201ECE"/>
    <w:rsid w:val="002025C5"/>
    <w:rsid w:val="002029E1"/>
    <w:rsid w:val="00202C4F"/>
    <w:rsid w:val="00202D88"/>
    <w:rsid w:val="00202D9B"/>
    <w:rsid w:val="002030EC"/>
    <w:rsid w:val="002031D3"/>
    <w:rsid w:val="002034C6"/>
    <w:rsid w:val="00203618"/>
    <w:rsid w:val="002036C9"/>
    <w:rsid w:val="0020373A"/>
    <w:rsid w:val="00203C12"/>
    <w:rsid w:val="00204292"/>
    <w:rsid w:val="0020432F"/>
    <w:rsid w:val="00204446"/>
    <w:rsid w:val="002044A8"/>
    <w:rsid w:val="00204854"/>
    <w:rsid w:val="00204F4F"/>
    <w:rsid w:val="0020517F"/>
    <w:rsid w:val="00205EF6"/>
    <w:rsid w:val="00206817"/>
    <w:rsid w:val="00206E78"/>
    <w:rsid w:val="00206ED6"/>
    <w:rsid w:val="00207077"/>
    <w:rsid w:val="0020712E"/>
    <w:rsid w:val="00210097"/>
    <w:rsid w:val="00210975"/>
    <w:rsid w:val="00210DB2"/>
    <w:rsid w:val="00210EAA"/>
    <w:rsid w:val="00210F24"/>
    <w:rsid w:val="002111A3"/>
    <w:rsid w:val="002112A6"/>
    <w:rsid w:val="00211549"/>
    <w:rsid w:val="00211817"/>
    <w:rsid w:val="0021189E"/>
    <w:rsid w:val="00212567"/>
    <w:rsid w:val="00212628"/>
    <w:rsid w:val="00212667"/>
    <w:rsid w:val="002126F1"/>
    <w:rsid w:val="00213123"/>
    <w:rsid w:val="002131F6"/>
    <w:rsid w:val="00213853"/>
    <w:rsid w:val="00213B58"/>
    <w:rsid w:val="00213CE5"/>
    <w:rsid w:val="00213E62"/>
    <w:rsid w:val="00214541"/>
    <w:rsid w:val="0021456B"/>
    <w:rsid w:val="00214680"/>
    <w:rsid w:val="00214C17"/>
    <w:rsid w:val="00214CAC"/>
    <w:rsid w:val="002153F3"/>
    <w:rsid w:val="002154F9"/>
    <w:rsid w:val="00215732"/>
    <w:rsid w:val="00215808"/>
    <w:rsid w:val="00215F03"/>
    <w:rsid w:val="00215F1B"/>
    <w:rsid w:val="002166C1"/>
    <w:rsid w:val="00216DBC"/>
    <w:rsid w:val="0021739B"/>
    <w:rsid w:val="0021777D"/>
    <w:rsid w:val="00217792"/>
    <w:rsid w:val="00217A4D"/>
    <w:rsid w:val="00217AAA"/>
    <w:rsid w:val="00217DCC"/>
    <w:rsid w:val="00220881"/>
    <w:rsid w:val="00220BD0"/>
    <w:rsid w:val="00220D6C"/>
    <w:rsid w:val="00221C91"/>
    <w:rsid w:val="00222054"/>
    <w:rsid w:val="002223CC"/>
    <w:rsid w:val="00222CCD"/>
    <w:rsid w:val="00223023"/>
    <w:rsid w:val="002232A6"/>
    <w:rsid w:val="002234E4"/>
    <w:rsid w:val="002243F1"/>
    <w:rsid w:val="00224F33"/>
    <w:rsid w:val="00224FE1"/>
    <w:rsid w:val="00225107"/>
    <w:rsid w:val="00226013"/>
    <w:rsid w:val="00226141"/>
    <w:rsid w:val="00226336"/>
    <w:rsid w:val="002263EE"/>
    <w:rsid w:val="0022668B"/>
    <w:rsid w:val="00226A56"/>
    <w:rsid w:val="00226B60"/>
    <w:rsid w:val="00226F39"/>
    <w:rsid w:val="00227403"/>
    <w:rsid w:val="002276C8"/>
    <w:rsid w:val="002308EE"/>
    <w:rsid w:val="00230A2A"/>
    <w:rsid w:val="00231116"/>
    <w:rsid w:val="0023133C"/>
    <w:rsid w:val="0023166A"/>
    <w:rsid w:val="0023171A"/>
    <w:rsid w:val="00231977"/>
    <w:rsid w:val="00231A6C"/>
    <w:rsid w:val="00231C7E"/>
    <w:rsid w:val="00231D3F"/>
    <w:rsid w:val="00231DB3"/>
    <w:rsid w:val="00231E2C"/>
    <w:rsid w:val="00232133"/>
    <w:rsid w:val="00232613"/>
    <w:rsid w:val="00232A71"/>
    <w:rsid w:val="00232F9E"/>
    <w:rsid w:val="0023347B"/>
    <w:rsid w:val="002334DF"/>
    <w:rsid w:val="00233899"/>
    <w:rsid w:val="00233C8D"/>
    <w:rsid w:val="002342F9"/>
    <w:rsid w:val="0023435B"/>
    <w:rsid w:val="00234773"/>
    <w:rsid w:val="00235319"/>
    <w:rsid w:val="00235380"/>
    <w:rsid w:val="002353F5"/>
    <w:rsid w:val="00235676"/>
    <w:rsid w:val="00236ED0"/>
    <w:rsid w:val="00236F6A"/>
    <w:rsid w:val="00237220"/>
    <w:rsid w:val="00237A82"/>
    <w:rsid w:val="00237BE7"/>
    <w:rsid w:val="002401B7"/>
    <w:rsid w:val="0024041A"/>
    <w:rsid w:val="00240799"/>
    <w:rsid w:val="0024088C"/>
    <w:rsid w:val="00240CD8"/>
    <w:rsid w:val="00240F0C"/>
    <w:rsid w:val="002410E8"/>
    <w:rsid w:val="002412F3"/>
    <w:rsid w:val="00241537"/>
    <w:rsid w:val="00241DCB"/>
    <w:rsid w:val="0024221E"/>
    <w:rsid w:val="0024275B"/>
    <w:rsid w:val="002427CE"/>
    <w:rsid w:val="00242EC5"/>
    <w:rsid w:val="002430E5"/>
    <w:rsid w:val="0024343B"/>
    <w:rsid w:val="002444E6"/>
    <w:rsid w:val="00244568"/>
    <w:rsid w:val="00244B49"/>
    <w:rsid w:val="00245231"/>
    <w:rsid w:val="0024537D"/>
    <w:rsid w:val="00245744"/>
    <w:rsid w:val="002458A4"/>
    <w:rsid w:val="00245F3B"/>
    <w:rsid w:val="00246212"/>
    <w:rsid w:val="00246402"/>
    <w:rsid w:val="00246552"/>
    <w:rsid w:val="002478B5"/>
    <w:rsid w:val="00247A72"/>
    <w:rsid w:val="00247A7D"/>
    <w:rsid w:val="00247C82"/>
    <w:rsid w:val="00247D75"/>
    <w:rsid w:val="0025025E"/>
    <w:rsid w:val="002505F1"/>
    <w:rsid w:val="0025178E"/>
    <w:rsid w:val="002517F7"/>
    <w:rsid w:val="00252578"/>
    <w:rsid w:val="0025271A"/>
    <w:rsid w:val="00252C0E"/>
    <w:rsid w:val="00253370"/>
    <w:rsid w:val="002534D2"/>
    <w:rsid w:val="00253947"/>
    <w:rsid w:val="00253A18"/>
    <w:rsid w:val="00253AEC"/>
    <w:rsid w:val="00253BF9"/>
    <w:rsid w:val="00253D46"/>
    <w:rsid w:val="00253E70"/>
    <w:rsid w:val="002543BB"/>
    <w:rsid w:val="00254745"/>
    <w:rsid w:val="0025488C"/>
    <w:rsid w:val="00254A2C"/>
    <w:rsid w:val="00254C3E"/>
    <w:rsid w:val="00254C6F"/>
    <w:rsid w:val="00254F31"/>
    <w:rsid w:val="00255C05"/>
    <w:rsid w:val="00255E46"/>
    <w:rsid w:val="002569A6"/>
    <w:rsid w:val="0025738F"/>
    <w:rsid w:val="002577E7"/>
    <w:rsid w:val="00257B0C"/>
    <w:rsid w:val="00257C2B"/>
    <w:rsid w:val="0026037F"/>
    <w:rsid w:val="00260888"/>
    <w:rsid w:val="00260F80"/>
    <w:rsid w:val="002613BF"/>
    <w:rsid w:val="002614FB"/>
    <w:rsid w:val="00261C33"/>
    <w:rsid w:val="00262498"/>
    <w:rsid w:val="002625A4"/>
    <w:rsid w:val="00262914"/>
    <w:rsid w:val="00262A27"/>
    <w:rsid w:val="00262A52"/>
    <w:rsid w:val="00262D78"/>
    <w:rsid w:val="002633EA"/>
    <w:rsid w:val="002634F4"/>
    <w:rsid w:val="00263731"/>
    <w:rsid w:val="00263B20"/>
    <w:rsid w:val="00263E35"/>
    <w:rsid w:val="002640EA"/>
    <w:rsid w:val="00264153"/>
    <w:rsid w:val="0026453B"/>
    <w:rsid w:val="002646DE"/>
    <w:rsid w:val="00264D83"/>
    <w:rsid w:val="002652CC"/>
    <w:rsid w:val="0026542F"/>
    <w:rsid w:val="002657B2"/>
    <w:rsid w:val="00265A2D"/>
    <w:rsid w:val="00265A89"/>
    <w:rsid w:val="00265DF7"/>
    <w:rsid w:val="00266338"/>
    <w:rsid w:val="00266B5F"/>
    <w:rsid w:val="00266FDE"/>
    <w:rsid w:val="002670EF"/>
    <w:rsid w:val="00267270"/>
    <w:rsid w:val="00267339"/>
    <w:rsid w:val="0026767A"/>
    <w:rsid w:val="00267AA0"/>
    <w:rsid w:val="00267BC3"/>
    <w:rsid w:val="00267CD8"/>
    <w:rsid w:val="002703D1"/>
    <w:rsid w:val="002704E6"/>
    <w:rsid w:val="00270E33"/>
    <w:rsid w:val="00270EB6"/>
    <w:rsid w:val="00270ED3"/>
    <w:rsid w:val="00270FE7"/>
    <w:rsid w:val="00271EAF"/>
    <w:rsid w:val="002726AF"/>
    <w:rsid w:val="002728C1"/>
    <w:rsid w:val="0027290B"/>
    <w:rsid w:val="00272ADE"/>
    <w:rsid w:val="00273096"/>
    <w:rsid w:val="00273BE5"/>
    <w:rsid w:val="00273FBE"/>
    <w:rsid w:val="00274023"/>
    <w:rsid w:val="00274343"/>
    <w:rsid w:val="0027448C"/>
    <w:rsid w:val="002755C1"/>
    <w:rsid w:val="00275AB2"/>
    <w:rsid w:val="00275C37"/>
    <w:rsid w:val="002765FD"/>
    <w:rsid w:val="002769B8"/>
    <w:rsid w:val="0027747B"/>
    <w:rsid w:val="00277602"/>
    <w:rsid w:val="00277659"/>
    <w:rsid w:val="00277BFB"/>
    <w:rsid w:val="00277D48"/>
    <w:rsid w:val="00277F52"/>
    <w:rsid w:val="00277F81"/>
    <w:rsid w:val="002812D7"/>
    <w:rsid w:val="00281678"/>
    <w:rsid w:val="002819A4"/>
    <w:rsid w:val="00282721"/>
    <w:rsid w:val="00282A4B"/>
    <w:rsid w:val="00283481"/>
    <w:rsid w:val="00283875"/>
    <w:rsid w:val="002838EF"/>
    <w:rsid w:val="0028391A"/>
    <w:rsid w:val="00283F6F"/>
    <w:rsid w:val="002841CB"/>
    <w:rsid w:val="00284A77"/>
    <w:rsid w:val="0028528E"/>
    <w:rsid w:val="002852AD"/>
    <w:rsid w:val="0028583A"/>
    <w:rsid w:val="002864D1"/>
    <w:rsid w:val="00286ABD"/>
    <w:rsid w:val="00286ABE"/>
    <w:rsid w:val="00286B45"/>
    <w:rsid w:val="00287590"/>
    <w:rsid w:val="00287D03"/>
    <w:rsid w:val="00287E0A"/>
    <w:rsid w:val="0029004A"/>
    <w:rsid w:val="002909F7"/>
    <w:rsid w:val="00291473"/>
    <w:rsid w:val="00291529"/>
    <w:rsid w:val="00291970"/>
    <w:rsid w:val="00291AD7"/>
    <w:rsid w:val="00291C90"/>
    <w:rsid w:val="00292172"/>
    <w:rsid w:val="002926DF"/>
    <w:rsid w:val="002929E0"/>
    <w:rsid w:val="00292CF9"/>
    <w:rsid w:val="002932D5"/>
    <w:rsid w:val="002932E7"/>
    <w:rsid w:val="002941EA"/>
    <w:rsid w:val="00294B4F"/>
    <w:rsid w:val="002959EA"/>
    <w:rsid w:val="00296D81"/>
    <w:rsid w:val="00296D9F"/>
    <w:rsid w:val="00296F45"/>
    <w:rsid w:val="002975A9"/>
    <w:rsid w:val="00297D16"/>
    <w:rsid w:val="002A0712"/>
    <w:rsid w:val="002A0D28"/>
    <w:rsid w:val="002A0D45"/>
    <w:rsid w:val="002A10BB"/>
    <w:rsid w:val="002A1102"/>
    <w:rsid w:val="002A1984"/>
    <w:rsid w:val="002A207F"/>
    <w:rsid w:val="002A242A"/>
    <w:rsid w:val="002A28BC"/>
    <w:rsid w:val="002A29A2"/>
    <w:rsid w:val="002A2A22"/>
    <w:rsid w:val="002A37A8"/>
    <w:rsid w:val="002A3A05"/>
    <w:rsid w:val="002A3F26"/>
    <w:rsid w:val="002A426B"/>
    <w:rsid w:val="002A4468"/>
    <w:rsid w:val="002A4B42"/>
    <w:rsid w:val="002A4C01"/>
    <w:rsid w:val="002A4CF3"/>
    <w:rsid w:val="002A5A02"/>
    <w:rsid w:val="002A5B17"/>
    <w:rsid w:val="002A6795"/>
    <w:rsid w:val="002A6960"/>
    <w:rsid w:val="002A72E9"/>
    <w:rsid w:val="002B0691"/>
    <w:rsid w:val="002B083E"/>
    <w:rsid w:val="002B0922"/>
    <w:rsid w:val="002B0D61"/>
    <w:rsid w:val="002B0E92"/>
    <w:rsid w:val="002B0F84"/>
    <w:rsid w:val="002B0F8F"/>
    <w:rsid w:val="002B1DFB"/>
    <w:rsid w:val="002B24BE"/>
    <w:rsid w:val="002B2606"/>
    <w:rsid w:val="002B2756"/>
    <w:rsid w:val="002B2B07"/>
    <w:rsid w:val="002B321E"/>
    <w:rsid w:val="002B3578"/>
    <w:rsid w:val="002B466E"/>
    <w:rsid w:val="002B4924"/>
    <w:rsid w:val="002B4C60"/>
    <w:rsid w:val="002B4CD8"/>
    <w:rsid w:val="002B4E3C"/>
    <w:rsid w:val="002B57FA"/>
    <w:rsid w:val="002B5B0F"/>
    <w:rsid w:val="002B5B69"/>
    <w:rsid w:val="002B5B74"/>
    <w:rsid w:val="002B5F1F"/>
    <w:rsid w:val="002B6068"/>
    <w:rsid w:val="002B6789"/>
    <w:rsid w:val="002B6B9E"/>
    <w:rsid w:val="002B6D54"/>
    <w:rsid w:val="002B7A97"/>
    <w:rsid w:val="002B7CC8"/>
    <w:rsid w:val="002B7DF9"/>
    <w:rsid w:val="002B7E40"/>
    <w:rsid w:val="002C0460"/>
    <w:rsid w:val="002C0574"/>
    <w:rsid w:val="002C0C80"/>
    <w:rsid w:val="002C0CEA"/>
    <w:rsid w:val="002C0F4D"/>
    <w:rsid w:val="002C15B5"/>
    <w:rsid w:val="002C165A"/>
    <w:rsid w:val="002C17D3"/>
    <w:rsid w:val="002C2175"/>
    <w:rsid w:val="002C2C29"/>
    <w:rsid w:val="002C2D29"/>
    <w:rsid w:val="002C2E6C"/>
    <w:rsid w:val="002C2F42"/>
    <w:rsid w:val="002C2FE0"/>
    <w:rsid w:val="002C32CE"/>
    <w:rsid w:val="002C37DC"/>
    <w:rsid w:val="002C381E"/>
    <w:rsid w:val="002C3968"/>
    <w:rsid w:val="002C398F"/>
    <w:rsid w:val="002C3E1B"/>
    <w:rsid w:val="002C41EB"/>
    <w:rsid w:val="002C4C65"/>
    <w:rsid w:val="002C4F8A"/>
    <w:rsid w:val="002C4FFE"/>
    <w:rsid w:val="002C506A"/>
    <w:rsid w:val="002C5493"/>
    <w:rsid w:val="002C5795"/>
    <w:rsid w:val="002C5C7A"/>
    <w:rsid w:val="002C6028"/>
    <w:rsid w:val="002C602B"/>
    <w:rsid w:val="002C6617"/>
    <w:rsid w:val="002C6982"/>
    <w:rsid w:val="002C71A4"/>
    <w:rsid w:val="002C79AF"/>
    <w:rsid w:val="002C7D5D"/>
    <w:rsid w:val="002C7DAA"/>
    <w:rsid w:val="002C7FA3"/>
    <w:rsid w:val="002D03E0"/>
    <w:rsid w:val="002D0F5E"/>
    <w:rsid w:val="002D171B"/>
    <w:rsid w:val="002D20AF"/>
    <w:rsid w:val="002D2818"/>
    <w:rsid w:val="002D2F72"/>
    <w:rsid w:val="002D30DD"/>
    <w:rsid w:val="002D320F"/>
    <w:rsid w:val="002D36E6"/>
    <w:rsid w:val="002D3F74"/>
    <w:rsid w:val="002D4068"/>
    <w:rsid w:val="002D4106"/>
    <w:rsid w:val="002D4C4C"/>
    <w:rsid w:val="002D51F3"/>
    <w:rsid w:val="002D57EE"/>
    <w:rsid w:val="002D621A"/>
    <w:rsid w:val="002D649A"/>
    <w:rsid w:val="002D69B2"/>
    <w:rsid w:val="002D7219"/>
    <w:rsid w:val="002D72FD"/>
    <w:rsid w:val="002D738A"/>
    <w:rsid w:val="002D78E1"/>
    <w:rsid w:val="002D7D5C"/>
    <w:rsid w:val="002E0229"/>
    <w:rsid w:val="002E084A"/>
    <w:rsid w:val="002E0D45"/>
    <w:rsid w:val="002E1269"/>
    <w:rsid w:val="002E1525"/>
    <w:rsid w:val="002E17B5"/>
    <w:rsid w:val="002E2180"/>
    <w:rsid w:val="002E2186"/>
    <w:rsid w:val="002E2315"/>
    <w:rsid w:val="002E2A97"/>
    <w:rsid w:val="002E2B1D"/>
    <w:rsid w:val="002E3984"/>
    <w:rsid w:val="002E3D9B"/>
    <w:rsid w:val="002E4044"/>
    <w:rsid w:val="002E4097"/>
    <w:rsid w:val="002E4B97"/>
    <w:rsid w:val="002E4EF0"/>
    <w:rsid w:val="002E5930"/>
    <w:rsid w:val="002E5BCE"/>
    <w:rsid w:val="002E5EFF"/>
    <w:rsid w:val="002E6039"/>
    <w:rsid w:val="002E6057"/>
    <w:rsid w:val="002E734F"/>
    <w:rsid w:val="002E7CC5"/>
    <w:rsid w:val="002F00C4"/>
    <w:rsid w:val="002F0322"/>
    <w:rsid w:val="002F0411"/>
    <w:rsid w:val="002F0640"/>
    <w:rsid w:val="002F06F2"/>
    <w:rsid w:val="002F0A49"/>
    <w:rsid w:val="002F0EAB"/>
    <w:rsid w:val="002F1064"/>
    <w:rsid w:val="002F129F"/>
    <w:rsid w:val="002F17C9"/>
    <w:rsid w:val="002F26AE"/>
    <w:rsid w:val="002F285E"/>
    <w:rsid w:val="002F29B9"/>
    <w:rsid w:val="002F2F99"/>
    <w:rsid w:val="002F3630"/>
    <w:rsid w:val="002F38A0"/>
    <w:rsid w:val="002F3C69"/>
    <w:rsid w:val="002F5064"/>
    <w:rsid w:val="002F51E4"/>
    <w:rsid w:val="002F55A7"/>
    <w:rsid w:val="002F57AC"/>
    <w:rsid w:val="002F65AA"/>
    <w:rsid w:val="002F6919"/>
    <w:rsid w:val="002F69A3"/>
    <w:rsid w:val="002F6DD3"/>
    <w:rsid w:val="002F6E55"/>
    <w:rsid w:val="002F7699"/>
    <w:rsid w:val="002F7FC9"/>
    <w:rsid w:val="0030022A"/>
    <w:rsid w:val="003008A9"/>
    <w:rsid w:val="003009A0"/>
    <w:rsid w:val="003017A7"/>
    <w:rsid w:val="00301AFC"/>
    <w:rsid w:val="00301D0E"/>
    <w:rsid w:val="00301E65"/>
    <w:rsid w:val="00301E66"/>
    <w:rsid w:val="00301F77"/>
    <w:rsid w:val="00301FD1"/>
    <w:rsid w:val="00302168"/>
    <w:rsid w:val="003025E7"/>
    <w:rsid w:val="0030274E"/>
    <w:rsid w:val="003035B3"/>
    <w:rsid w:val="00303D1C"/>
    <w:rsid w:val="003043F6"/>
    <w:rsid w:val="0030476C"/>
    <w:rsid w:val="00304780"/>
    <w:rsid w:val="00304CC6"/>
    <w:rsid w:val="0030514F"/>
    <w:rsid w:val="0030669A"/>
    <w:rsid w:val="00306945"/>
    <w:rsid w:val="0030788C"/>
    <w:rsid w:val="00307DB0"/>
    <w:rsid w:val="00310485"/>
    <w:rsid w:val="003105DC"/>
    <w:rsid w:val="0031077E"/>
    <w:rsid w:val="0031078C"/>
    <w:rsid w:val="00310D81"/>
    <w:rsid w:val="00311143"/>
    <w:rsid w:val="003115DF"/>
    <w:rsid w:val="003118F1"/>
    <w:rsid w:val="00311B94"/>
    <w:rsid w:val="00311D3C"/>
    <w:rsid w:val="00311D60"/>
    <w:rsid w:val="003120CE"/>
    <w:rsid w:val="00312705"/>
    <w:rsid w:val="0031285B"/>
    <w:rsid w:val="003132BA"/>
    <w:rsid w:val="00313590"/>
    <w:rsid w:val="003138BD"/>
    <w:rsid w:val="00313DA9"/>
    <w:rsid w:val="00313E35"/>
    <w:rsid w:val="0031402E"/>
    <w:rsid w:val="00314047"/>
    <w:rsid w:val="0031404F"/>
    <w:rsid w:val="00314274"/>
    <w:rsid w:val="00314A40"/>
    <w:rsid w:val="00314C23"/>
    <w:rsid w:val="00314E02"/>
    <w:rsid w:val="00314E93"/>
    <w:rsid w:val="0031508A"/>
    <w:rsid w:val="0031518D"/>
    <w:rsid w:val="003151B0"/>
    <w:rsid w:val="003159E5"/>
    <w:rsid w:val="00315A2C"/>
    <w:rsid w:val="00315CE8"/>
    <w:rsid w:val="0031639A"/>
    <w:rsid w:val="003164D1"/>
    <w:rsid w:val="0031689E"/>
    <w:rsid w:val="00316BDD"/>
    <w:rsid w:val="00316DA5"/>
    <w:rsid w:val="003174F4"/>
    <w:rsid w:val="003177ED"/>
    <w:rsid w:val="00320360"/>
    <w:rsid w:val="003207F8"/>
    <w:rsid w:val="00320F41"/>
    <w:rsid w:val="00320FDA"/>
    <w:rsid w:val="003210ED"/>
    <w:rsid w:val="003212F3"/>
    <w:rsid w:val="003213E7"/>
    <w:rsid w:val="003216EF"/>
    <w:rsid w:val="00321E23"/>
    <w:rsid w:val="00321F2D"/>
    <w:rsid w:val="00321FB7"/>
    <w:rsid w:val="00322265"/>
    <w:rsid w:val="00322364"/>
    <w:rsid w:val="00322588"/>
    <w:rsid w:val="0032279E"/>
    <w:rsid w:val="00322AE5"/>
    <w:rsid w:val="00322E6B"/>
    <w:rsid w:val="00322EE9"/>
    <w:rsid w:val="00323A73"/>
    <w:rsid w:val="00323BC1"/>
    <w:rsid w:val="00323BE7"/>
    <w:rsid w:val="00323D95"/>
    <w:rsid w:val="00323E12"/>
    <w:rsid w:val="00323FE0"/>
    <w:rsid w:val="0032426A"/>
    <w:rsid w:val="00324480"/>
    <w:rsid w:val="00324553"/>
    <w:rsid w:val="00324BFF"/>
    <w:rsid w:val="003251AD"/>
    <w:rsid w:val="00325349"/>
    <w:rsid w:val="003258D0"/>
    <w:rsid w:val="0032590A"/>
    <w:rsid w:val="00325D3D"/>
    <w:rsid w:val="00325F5E"/>
    <w:rsid w:val="003260D5"/>
    <w:rsid w:val="00326156"/>
    <w:rsid w:val="003277F7"/>
    <w:rsid w:val="0033018A"/>
    <w:rsid w:val="003301AD"/>
    <w:rsid w:val="00330AB1"/>
    <w:rsid w:val="00331118"/>
    <w:rsid w:val="003313FA"/>
    <w:rsid w:val="00331875"/>
    <w:rsid w:val="003318C9"/>
    <w:rsid w:val="00331C3C"/>
    <w:rsid w:val="0033211C"/>
    <w:rsid w:val="0033212D"/>
    <w:rsid w:val="00332540"/>
    <w:rsid w:val="00332ACC"/>
    <w:rsid w:val="00332B3E"/>
    <w:rsid w:val="00332B94"/>
    <w:rsid w:val="00332EBA"/>
    <w:rsid w:val="003330FE"/>
    <w:rsid w:val="00333467"/>
    <w:rsid w:val="00334347"/>
    <w:rsid w:val="003344AF"/>
    <w:rsid w:val="003344D8"/>
    <w:rsid w:val="003348E9"/>
    <w:rsid w:val="00334C81"/>
    <w:rsid w:val="00334F4E"/>
    <w:rsid w:val="0033543A"/>
    <w:rsid w:val="00335C7F"/>
    <w:rsid w:val="00336678"/>
    <w:rsid w:val="003369FE"/>
    <w:rsid w:val="00336EDE"/>
    <w:rsid w:val="00337267"/>
    <w:rsid w:val="0033795C"/>
    <w:rsid w:val="00337CB7"/>
    <w:rsid w:val="0034037A"/>
    <w:rsid w:val="00340663"/>
    <w:rsid w:val="00340DBF"/>
    <w:rsid w:val="00340F36"/>
    <w:rsid w:val="003410E0"/>
    <w:rsid w:val="0034127F"/>
    <w:rsid w:val="003412BD"/>
    <w:rsid w:val="00341687"/>
    <w:rsid w:val="003419C8"/>
    <w:rsid w:val="00341BC6"/>
    <w:rsid w:val="00342254"/>
    <w:rsid w:val="003422F3"/>
    <w:rsid w:val="00342BAE"/>
    <w:rsid w:val="00342EDD"/>
    <w:rsid w:val="0034378E"/>
    <w:rsid w:val="00343D25"/>
    <w:rsid w:val="0034426F"/>
    <w:rsid w:val="003449A0"/>
    <w:rsid w:val="00344A43"/>
    <w:rsid w:val="00345326"/>
    <w:rsid w:val="00345952"/>
    <w:rsid w:val="00345A95"/>
    <w:rsid w:val="00345AEB"/>
    <w:rsid w:val="00345D58"/>
    <w:rsid w:val="00345EEB"/>
    <w:rsid w:val="003463AF"/>
    <w:rsid w:val="003466DE"/>
    <w:rsid w:val="00346831"/>
    <w:rsid w:val="00346AD9"/>
    <w:rsid w:val="00346B41"/>
    <w:rsid w:val="00346F9F"/>
    <w:rsid w:val="003477F1"/>
    <w:rsid w:val="00347A7B"/>
    <w:rsid w:val="00347D5C"/>
    <w:rsid w:val="0035043C"/>
    <w:rsid w:val="00350509"/>
    <w:rsid w:val="00350D04"/>
    <w:rsid w:val="00350E12"/>
    <w:rsid w:val="0035208F"/>
    <w:rsid w:val="003524D0"/>
    <w:rsid w:val="00352664"/>
    <w:rsid w:val="00353328"/>
    <w:rsid w:val="00353697"/>
    <w:rsid w:val="0035375E"/>
    <w:rsid w:val="003539DD"/>
    <w:rsid w:val="00353AC3"/>
    <w:rsid w:val="00353D08"/>
    <w:rsid w:val="0035404D"/>
    <w:rsid w:val="00354260"/>
    <w:rsid w:val="00354FB4"/>
    <w:rsid w:val="0035515E"/>
    <w:rsid w:val="003551A5"/>
    <w:rsid w:val="003551E3"/>
    <w:rsid w:val="003552DA"/>
    <w:rsid w:val="0035567D"/>
    <w:rsid w:val="0035576E"/>
    <w:rsid w:val="00355B78"/>
    <w:rsid w:val="003563D7"/>
    <w:rsid w:val="00356B5F"/>
    <w:rsid w:val="00356E97"/>
    <w:rsid w:val="00356EC2"/>
    <w:rsid w:val="003572D2"/>
    <w:rsid w:val="0035736E"/>
    <w:rsid w:val="003578B6"/>
    <w:rsid w:val="00357CA1"/>
    <w:rsid w:val="00360121"/>
    <w:rsid w:val="0036055D"/>
    <w:rsid w:val="003616AE"/>
    <w:rsid w:val="0036182F"/>
    <w:rsid w:val="00361BA5"/>
    <w:rsid w:val="003626E1"/>
    <w:rsid w:val="00362849"/>
    <w:rsid w:val="00362ACC"/>
    <w:rsid w:val="00362BA7"/>
    <w:rsid w:val="00362C4F"/>
    <w:rsid w:val="00362F58"/>
    <w:rsid w:val="0036321B"/>
    <w:rsid w:val="003633C6"/>
    <w:rsid w:val="00363641"/>
    <w:rsid w:val="00363C64"/>
    <w:rsid w:val="003646F3"/>
    <w:rsid w:val="00364DBD"/>
    <w:rsid w:val="00364DC0"/>
    <w:rsid w:val="00364F46"/>
    <w:rsid w:val="0036503F"/>
    <w:rsid w:val="0036546B"/>
    <w:rsid w:val="00365D0C"/>
    <w:rsid w:val="00365EF5"/>
    <w:rsid w:val="0036615A"/>
    <w:rsid w:val="003662D9"/>
    <w:rsid w:val="003666C2"/>
    <w:rsid w:val="00367484"/>
    <w:rsid w:val="00367E4D"/>
    <w:rsid w:val="003704DB"/>
    <w:rsid w:val="00370636"/>
    <w:rsid w:val="0037066E"/>
    <w:rsid w:val="003707A6"/>
    <w:rsid w:val="003707D4"/>
    <w:rsid w:val="00370DAE"/>
    <w:rsid w:val="00370DB0"/>
    <w:rsid w:val="00370E8C"/>
    <w:rsid w:val="00370F0D"/>
    <w:rsid w:val="003712EE"/>
    <w:rsid w:val="003715FE"/>
    <w:rsid w:val="00371F4C"/>
    <w:rsid w:val="003722A8"/>
    <w:rsid w:val="0037277F"/>
    <w:rsid w:val="00372A7B"/>
    <w:rsid w:val="00372BAA"/>
    <w:rsid w:val="003730A9"/>
    <w:rsid w:val="003731AB"/>
    <w:rsid w:val="003731C5"/>
    <w:rsid w:val="00373374"/>
    <w:rsid w:val="003735F3"/>
    <w:rsid w:val="00373FFB"/>
    <w:rsid w:val="0037401C"/>
    <w:rsid w:val="00374124"/>
    <w:rsid w:val="00374D43"/>
    <w:rsid w:val="003752B8"/>
    <w:rsid w:val="00375453"/>
    <w:rsid w:val="003758D8"/>
    <w:rsid w:val="00375942"/>
    <w:rsid w:val="00375968"/>
    <w:rsid w:val="00375B07"/>
    <w:rsid w:val="00375C19"/>
    <w:rsid w:val="00375F4B"/>
    <w:rsid w:val="0037660B"/>
    <w:rsid w:val="00376612"/>
    <w:rsid w:val="00376B96"/>
    <w:rsid w:val="00376DA8"/>
    <w:rsid w:val="00376DBC"/>
    <w:rsid w:val="00377064"/>
    <w:rsid w:val="00377139"/>
    <w:rsid w:val="003772AC"/>
    <w:rsid w:val="00377ACE"/>
    <w:rsid w:val="00380154"/>
    <w:rsid w:val="003803DB"/>
    <w:rsid w:val="003809D6"/>
    <w:rsid w:val="00380B88"/>
    <w:rsid w:val="00380D34"/>
    <w:rsid w:val="00380FA7"/>
    <w:rsid w:val="00381060"/>
    <w:rsid w:val="003818C0"/>
    <w:rsid w:val="003818EC"/>
    <w:rsid w:val="00381B54"/>
    <w:rsid w:val="00381FC7"/>
    <w:rsid w:val="00382F52"/>
    <w:rsid w:val="00383094"/>
    <w:rsid w:val="00383319"/>
    <w:rsid w:val="00383698"/>
    <w:rsid w:val="00383909"/>
    <w:rsid w:val="00383A97"/>
    <w:rsid w:val="003841FB"/>
    <w:rsid w:val="003843C6"/>
    <w:rsid w:val="003844EC"/>
    <w:rsid w:val="00384A70"/>
    <w:rsid w:val="00384A7F"/>
    <w:rsid w:val="00385233"/>
    <w:rsid w:val="0038589A"/>
    <w:rsid w:val="00385C3E"/>
    <w:rsid w:val="00385C9A"/>
    <w:rsid w:val="00385E34"/>
    <w:rsid w:val="00385E72"/>
    <w:rsid w:val="00385EE6"/>
    <w:rsid w:val="0038622F"/>
    <w:rsid w:val="003869FC"/>
    <w:rsid w:val="00386B6A"/>
    <w:rsid w:val="00386CBA"/>
    <w:rsid w:val="00386FAF"/>
    <w:rsid w:val="00387319"/>
    <w:rsid w:val="003874DD"/>
    <w:rsid w:val="0038766F"/>
    <w:rsid w:val="00387796"/>
    <w:rsid w:val="00387A1D"/>
    <w:rsid w:val="00387D2A"/>
    <w:rsid w:val="00390079"/>
    <w:rsid w:val="00390201"/>
    <w:rsid w:val="003902D8"/>
    <w:rsid w:val="00390904"/>
    <w:rsid w:val="00390938"/>
    <w:rsid w:val="0039161B"/>
    <w:rsid w:val="00391F3D"/>
    <w:rsid w:val="0039219D"/>
    <w:rsid w:val="003922B1"/>
    <w:rsid w:val="00392A81"/>
    <w:rsid w:val="00392EB3"/>
    <w:rsid w:val="00393041"/>
    <w:rsid w:val="00393599"/>
    <w:rsid w:val="003949F6"/>
    <w:rsid w:val="00394C5F"/>
    <w:rsid w:val="00394F8B"/>
    <w:rsid w:val="0039507F"/>
    <w:rsid w:val="00395A94"/>
    <w:rsid w:val="00395FB7"/>
    <w:rsid w:val="00396023"/>
    <w:rsid w:val="0039616B"/>
    <w:rsid w:val="00396429"/>
    <w:rsid w:val="0039643D"/>
    <w:rsid w:val="003965D6"/>
    <w:rsid w:val="00396C3E"/>
    <w:rsid w:val="00396EDB"/>
    <w:rsid w:val="0039760E"/>
    <w:rsid w:val="00397987"/>
    <w:rsid w:val="00397E79"/>
    <w:rsid w:val="00397F60"/>
    <w:rsid w:val="003A0261"/>
    <w:rsid w:val="003A093C"/>
    <w:rsid w:val="003A0B2E"/>
    <w:rsid w:val="003A0C4C"/>
    <w:rsid w:val="003A0EDF"/>
    <w:rsid w:val="003A0F82"/>
    <w:rsid w:val="003A1B2E"/>
    <w:rsid w:val="003A2760"/>
    <w:rsid w:val="003A2915"/>
    <w:rsid w:val="003A2A09"/>
    <w:rsid w:val="003A2BD1"/>
    <w:rsid w:val="003A3CF9"/>
    <w:rsid w:val="003A3D52"/>
    <w:rsid w:val="003A411B"/>
    <w:rsid w:val="003A48AA"/>
    <w:rsid w:val="003A5111"/>
    <w:rsid w:val="003A537D"/>
    <w:rsid w:val="003A5D0F"/>
    <w:rsid w:val="003A727E"/>
    <w:rsid w:val="003A7984"/>
    <w:rsid w:val="003A7A4E"/>
    <w:rsid w:val="003A7CB0"/>
    <w:rsid w:val="003A7D10"/>
    <w:rsid w:val="003A7E34"/>
    <w:rsid w:val="003B0305"/>
    <w:rsid w:val="003B097D"/>
    <w:rsid w:val="003B184E"/>
    <w:rsid w:val="003B1B1F"/>
    <w:rsid w:val="003B2A08"/>
    <w:rsid w:val="003B2CC6"/>
    <w:rsid w:val="003B36F0"/>
    <w:rsid w:val="003B3CDE"/>
    <w:rsid w:val="003B3DE8"/>
    <w:rsid w:val="003B41EC"/>
    <w:rsid w:val="003B455E"/>
    <w:rsid w:val="003B47A3"/>
    <w:rsid w:val="003B4A19"/>
    <w:rsid w:val="003B4A90"/>
    <w:rsid w:val="003B4ADF"/>
    <w:rsid w:val="003B50D2"/>
    <w:rsid w:val="003B5B44"/>
    <w:rsid w:val="003B66E2"/>
    <w:rsid w:val="003B6995"/>
    <w:rsid w:val="003B6C57"/>
    <w:rsid w:val="003B71C7"/>
    <w:rsid w:val="003B75C0"/>
    <w:rsid w:val="003B7B63"/>
    <w:rsid w:val="003B7BC6"/>
    <w:rsid w:val="003B7FCA"/>
    <w:rsid w:val="003C037D"/>
    <w:rsid w:val="003C0485"/>
    <w:rsid w:val="003C09E8"/>
    <w:rsid w:val="003C0C27"/>
    <w:rsid w:val="003C10E3"/>
    <w:rsid w:val="003C12F3"/>
    <w:rsid w:val="003C1A09"/>
    <w:rsid w:val="003C1B6B"/>
    <w:rsid w:val="003C2136"/>
    <w:rsid w:val="003C2BE4"/>
    <w:rsid w:val="003C2D9F"/>
    <w:rsid w:val="003C2E93"/>
    <w:rsid w:val="003C32E1"/>
    <w:rsid w:val="003C3635"/>
    <w:rsid w:val="003C3F8C"/>
    <w:rsid w:val="003C4423"/>
    <w:rsid w:val="003C4847"/>
    <w:rsid w:val="003C4D61"/>
    <w:rsid w:val="003C5A56"/>
    <w:rsid w:val="003C620F"/>
    <w:rsid w:val="003C630E"/>
    <w:rsid w:val="003C6A65"/>
    <w:rsid w:val="003C6B75"/>
    <w:rsid w:val="003C6F21"/>
    <w:rsid w:val="003C707D"/>
    <w:rsid w:val="003C740A"/>
    <w:rsid w:val="003C741C"/>
    <w:rsid w:val="003C7A6E"/>
    <w:rsid w:val="003C7B7E"/>
    <w:rsid w:val="003C7BBA"/>
    <w:rsid w:val="003C7E64"/>
    <w:rsid w:val="003D0DF1"/>
    <w:rsid w:val="003D0E90"/>
    <w:rsid w:val="003D0ECD"/>
    <w:rsid w:val="003D11C8"/>
    <w:rsid w:val="003D12CA"/>
    <w:rsid w:val="003D1796"/>
    <w:rsid w:val="003D1D59"/>
    <w:rsid w:val="003D1E0E"/>
    <w:rsid w:val="003D2325"/>
    <w:rsid w:val="003D2481"/>
    <w:rsid w:val="003D2C44"/>
    <w:rsid w:val="003D3249"/>
    <w:rsid w:val="003D3373"/>
    <w:rsid w:val="003D3411"/>
    <w:rsid w:val="003D372F"/>
    <w:rsid w:val="003D435C"/>
    <w:rsid w:val="003D4515"/>
    <w:rsid w:val="003D48D8"/>
    <w:rsid w:val="003D4FB9"/>
    <w:rsid w:val="003D5012"/>
    <w:rsid w:val="003D5318"/>
    <w:rsid w:val="003D5D6B"/>
    <w:rsid w:val="003D5F6E"/>
    <w:rsid w:val="003D6E06"/>
    <w:rsid w:val="003D750E"/>
    <w:rsid w:val="003D7BD8"/>
    <w:rsid w:val="003E046F"/>
    <w:rsid w:val="003E106B"/>
    <w:rsid w:val="003E168E"/>
    <w:rsid w:val="003E1B0E"/>
    <w:rsid w:val="003E1C62"/>
    <w:rsid w:val="003E1EC3"/>
    <w:rsid w:val="003E25F8"/>
    <w:rsid w:val="003E2741"/>
    <w:rsid w:val="003E29F9"/>
    <w:rsid w:val="003E361D"/>
    <w:rsid w:val="003E3626"/>
    <w:rsid w:val="003E3ACF"/>
    <w:rsid w:val="003E4045"/>
    <w:rsid w:val="003E43CD"/>
    <w:rsid w:val="003E44E8"/>
    <w:rsid w:val="003E4D55"/>
    <w:rsid w:val="003E4F2E"/>
    <w:rsid w:val="003E5164"/>
    <w:rsid w:val="003E5549"/>
    <w:rsid w:val="003E5592"/>
    <w:rsid w:val="003E6AF0"/>
    <w:rsid w:val="003E73D9"/>
    <w:rsid w:val="003E75ED"/>
    <w:rsid w:val="003E7A88"/>
    <w:rsid w:val="003E7C20"/>
    <w:rsid w:val="003F00B3"/>
    <w:rsid w:val="003F04FC"/>
    <w:rsid w:val="003F0898"/>
    <w:rsid w:val="003F0CA4"/>
    <w:rsid w:val="003F15EA"/>
    <w:rsid w:val="003F1C88"/>
    <w:rsid w:val="003F2122"/>
    <w:rsid w:val="003F246F"/>
    <w:rsid w:val="003F25E9"/>
    <w:rsid w:val="003F2617"/>
    <w:rsid w:val="003F2621"/>
    <w:rsid w:val="003F27A0"/>
    <w:rsid w:val="003F3431"/>
    <w:rsid w:val="003F3730"/>
    <w:rsid w:val="003F3E22"/>
    <w:rsid w:val="003F4308"/>
    <w:rsid w:val="003F49D6"/>
    <w:rsid w:val="003F4F72"/>
    <w:rsid w:val="003F50FC"/>
    <w:rsid w:val="003F518B"/>
    <w:rsid w:val="003F562E"/>
    <w:rsid w:val="003F5DC2"/>
    <w:rsid w:val="003F62DC"/>
    <w:rsid w:val="003F63A6"/>
    <w:rsid w:val="003F63AB"/>
    <w:rsid w:val="003F63FD"/>
    <w:rsid w:val="003F66BB"/>
    <w:rsid w:val="003F68BA"/>
    <w:rsid w:val="003F70F1"/>
    <w:rsid w:val="003F7397"/>
    <w:rsid w:val="003F751B"/>
    <w:rsid w:val="003F759C"/>
    <w:rsid w:val="003F7AFA"/>
    <w:rsid w:val="003F7F3A"/>
    <w:rsid w:val="00400557"/>
    <w:rsid w:val="00400B16"/>
    <w:rsid w:val="00400B91"/>
    <w:rsid w:val="00401CDC"/>
    <w:rsid w:val="00402D89"/>
    <w:rsid w:val="00402EB6"/>
    <w:rsid w:val="004031B4"/>
    <w:rsid w:val="004039F1"/>
    <w:rsid w:val="004042B1"/>
    <w:rsid w:val="004043A6"/>
    <w:rsid w:val="004045BD"/>
    <w:rsid w:val="004047E9"/>
    <w:rsid w:val="00404C78"/>
    <w:rsid w:val="00405653"/>
    <w:rsid w:val="004057FA"/>
    <w:rsid w:val="00405EA0"/>
    <w:rsid w:val="00405F7E"/>
    <w:rsid w:val="00406014"/>
    <w:rsid w:val="0040603E"/>
    <w:rsid w:val="00406583"/>
    <w:rsid w:val="0040658A"/>
    <w:rsid w:val="00406918"/>
    <w:rsid w:val="004070D2"/>
    <w:rsid w:val="004071CD"/>
    <w:rsid w:val="0040759F"/>
    <w:rsid w:val="0040780A"/>
    <w:rsid w:val="00407B25"/>
    <w:rsid w:val="00407F16"/>
    <w:rsid w:val="0041011D"/>
    <w:rsid w:val="0041026E"/>
    <w:rsid w:val="00410351"/>
    <w:rsid w:val="00410870"/>
    <w:rsid w:val="00410F6A"/>
    <w:rsid w:val="00410F9B"/>
    <w:rsid w:val="00410FE9"/>
    <w:rsid w:val="004110C0"/>
    <w:rsid w:val="004110E7"/>
    <w:rsid w:val="004113AA"/>
    <w:rsid w:val="00411BE7"/>
    <w:rsid w:val="00411D76"/>
    <w:rsid w:val="00411F2B"/>
    <w:rsid w:val="004123DB"/>
    <w:rsid w:val="00412E72"/>
    <w:rsid w:val="00412E98"/>
    <w:rsid w:val="004130F4"/>
    <w:rsid w:val="004132AA"/>
    <w:rsid w:val="004133CF"/>
    <w:rsid w:val="004135B3"/>
    <w:rsid w:val="00413E73"/>
    <w:rsid w:val="00414546"/>
    <w:rsid w:val="004149CC"/>
    <w:rsid w:val="004150A1"/>
    <w:rsid w:val="00416B96"/>
    <w:rsid w:val="00416DF4"/>
    <w:rsid w:val="00416FF6"/>
    <w:rsid w:val="00416FFF"/>
    <w:rsid w:val="00417024"/>
    <w:rsid w:val="00417185"/>
    <w:rsid w:val="0041723A"/>
    <w:rsid w:val="004174B2"/>
    <w:rsid w:val="0041786D"/>
    <w:rsid w:val="00417AA9"/>
    <w:rsid w:val="00417D7A"/>
    <w:rsid w:val="00417DEB"/>
    <w:rsid w:val="0042013E"/>
    <w:rsid w:val="004210DA"/>
    <w:rsid w:val="00421150"/>
    <w:rsid w:val="004211AD"/>
    <w:rsid w:val="0042160E"/>
    <w:rsid w:val="00421EFA"/>
    <w:rsid w:val="00422321"/>
    <w:rsid w:val="004224B0"/>
    <w:rsid w:val="004224EB"/>
    <w:rsid w:val="00422608"/>
    <w:rsid w:val="0042278A"/>
    <w:rsid w:val="004229CD"/>
    <w:rsid w:val="00422FC4"/>
    <w:rsid w:val="00422FE4"/>
    <w:rsid w:val="00423169"/>
    <w:rsid w:val="00423405"/>
    <w:rsid w:val="0042340B"/>
    <w:rsid w:val="004237A5"/>
    <w:rsid w:val="00423B07"/>
    <w:rsid w:val="00423B08"/>
    <w:rsid w:val="00423C3D"/>
    <w:rsid w:val="00423DC5"/>
    <w:rsid w:val="004242AC"/>
    <w:rsid w:val="004243E6"/>
    <w:rsid w:val="00424487"/>
    <w:rsid w:val="00424492"/>
    <w:rsid w:val="004246FE"/>
    <w:rsid w:val="00424C85"/>
    <w:rsid w:val="00425060"/>
    <w:rsid w:val="00425069"/>
    <w:rsid w:val="004251F4"/>
    <w:rsid w:val="0042583C"/>
    <w:rsid w:val="00425C7A"/>
    <w:rsid w:val="00425ED4"/>
    <w:rsid w:val="004260DB"/>
    <w:rsid w:val="004267A1"/>
    <w:rsid w:val="00426A4B"/>
    <w:rsid w:val="00426C67"/>
    <w:rsid w:val="00426F95"/>
    <w:rsid w:val="0042737C"/>
    <w:rsid w:val="004274DF"/>
    <w:rsid w:val="00427C15"/>
    <w:rsid w:val="00430142"/>
    <w:rsid w:val="004302E3"/>
    <w:rsid w:val="00430B45"/>
    <w:rsid w:val="00430CC8"/>
    <w:rsid w:val="00430FBE"/>
    <w:rsid w:val="004310DA"/>
    <w:rsid w:val="004317D3"/>
    <w:rsid w:val="004318C1"/>
    <w:rsid w:val="004327A7"/>
    <w:rsid w:val="004327F9"/>
    <w:rsid w:val="00432CD5"/>
    <w:rsid w:val="00433078"/>
    <w:rsid w:val="004337EC"/>
    <w:rsid w:val="00433CC9"/>
    <w:rsid w:val="00433E78"/>
    <w:rsid w:val="00434C81"/>
    <w:rsid w:val="00435ACA"/>
    <w:rsid w:val="00435B96"/>
    <w:rsid w:val="004360CE"/>
    <w:rsid w:val="00436107"/>
    <w:rsid w:val="0043692B"/>
    <w:rsid w:val="00436AA7"/>
    <w:rsid w:val="004371C3"/>
    <w:rsid w:val="00437279"/>
    <w:rsid w:val="00437933"/>
    <w:rsid w:val="00440161"/>
    <w:rsid w:val="00440172"/>
    <w:rsid w:val="0044041E"/>
    <w:rsid w:val="0044042C"/>
    <w:rsid w:val="00440706"/>
    <w:rsid w:val="00440887"/>
    <w:rsid w:val="00440FEB"/>
    <w:rsid w:val="00441591"/>
    <w:rsid w:val="00441A2D"/>
    <w:rsid w:val="00441ECE"/>
    <w:rsid w:val="00442733"/>
    <w:rsid w:val="00442B87"/>
    <w:rsid w:val="00443186"/>
    <w:rsid w:val="004439BA"/>
    <w:rsid w:val="004441D2"/>
    <w:rsid w:val="004442AA"/>
    <w:rsid w:val="00444DFD"/>
    <w:rsid w:val="00445DD2"/>
    <w:rsid w:val="0044650C"/>
    <w:rsid w:val="00446572"/>
    <w:rsid w:val="00446812"/>
    <w:rsid w:val="00446BD5"/>
    <w:rsid w:val="00446E8F"/>
    <w:rsid w:val="00447321"/>
    <w:rsid w:val="00447C4C"/>
    <w:rsid w:val="00447CAE"/>
    <w:rsid w:val="0045009B"/>
    <w:rsid w:val="0045011E"/>
    <w:rsid w:val="00450252"/>
    <w:rsid w:val="004504F3"/>
    <w:rsid w:val="00450A4F"/>
    <w:rsid w:val="00451083"/>
    <w:rsid w:val="004513C4"/>
    <w:rsid w:val="004517ED"/>
    <w:rsid w:val="00451A06"/>
    <w:rsid w:val="00451B10"/>
    <w:rsid w:val="00451F26"/>
    <w:rsid w:val="00452095"/>
    <w:rsid w:val="0045232B"/>
    <w:rsid w:val="0045254B"/>
    <w:rsid w:val="00452C36"/>
    <w:rsid w:val="00452C70"/>
    <w:rsid w:val="00452E78"/>
    <w:rsid w:val="0045341B"/>
    <w:rsid w:val="0045351D"/>
    <w:rsid w:val="0045356A"/>
    <w:rsid w:val="00454093"/>
    <w:rsid w:val="0045421D"/>
    <w:rsid w:val="00454225"/>
    <w:rsid w:val="0045495E"/>
    <w:rsid w:val="00454C83"/>
    <w:rsid w:val="004550F4"/>
    <w:rsid w:val="0045613C"/>
    <w:rsid w:val="00456691"/>
    <w:rsid w:val="0045683E"/>
    <w:rsid w:val="0045720B"/>
    <w:rsid w:val="00457631"/>
    <w:rsid w:val="004578AF"/>
    <w:rsid w:val="00457C7D"/>
    <w:rsid w:val="00457E44"/>
    <w:rsid w:val="00457E7B"/>
    <w:rsid w:val="00457F1A"/>
    <w:rsid w:val="0046006B"/>
    <w:rsid w:val="0046033E"/>
    <w:rsid w:val="004604ED"/>
    <w:rsid w:val="00460535"/>
    <w:rsid w:val="0046074B"/>
    <w:rsid w:val="00460EF6"/>
    <w:rsid w:val="00460F3D"/>
    <w:rsid w:val="004613BA"/>
    <w:rsid w:val="00461D7C"/>
    <w:rsid w:val="00461EFE"/>
    <w:rsid w:val="00462143"/>
    <w:rsid w:val="00462647"/>
    <w:rsid w:val="004626C5"/>
    <w:rsid w:val="00462759"/>
    <w:rsid w:val="00462887"/>
    <w:rsid w:val="00462AFF"/>
    <w:rsid w:val="00462E06"/>
    <w:rsid w:val="00463312"/>
    <w:rsid w:val="004635C8"/>
    <w:rsid w:val="004637A4"/>
    <w:rsid w:val="004638B0"/>
    <w:rsid w:val="00463CAE"/>
    <w:rsid w:val="0046412C"/>
    <w:rsid w:val="004641F8"/>
    <w:rsid w:val="00464ADE"/>
    <w:rsid w:val="00464B55"/>
    <w:rsid w:val="00464B9D"/>
    <w:rsid w:val="00464CC5"/>
    <w:rsid w:val="00464D1A"/>
    <w:rsid w:val="00464E1D"/>
    <w:rsid w:val="00465413"/>
    <w:rsid w:val="004658C6"/>
    <w:rsid w:val="00465AD0"/>
    <w:rsid w:val="00465B6A"/>
    <w:rsid w:val="0046608D"/>
    <w:rsid w:val="00466672"/>
    <w:rsid w:val="00466837"/>
    <w:rsid w:val="0046688A"/>
    <w:rsid w:val="00466ED6"/>
    <w:rsid w:val="0046733C"/>
    <w:rsid w:val="0046750D"/>
    <w:rsid w:val="00467541"/>
    <w:rsid w:val="004679CE"/>
    <w:rsid w:val="00467C4D"/>
    <w:rsid w:val="00467E67"/>
    <w:rsid w:val="0047076B"/>
    <w:rsid w:val="00470E1F"/>
    <w:rsid w:val="00470EF8"/>
    <w:rsid w:val="00471188"/>
    <w:rsid w:val="0047127A"/>
    <w:rsid w:val="004715AF"/>
    <w:rsid w:val="0047201D"/>
    <w:rsid w:val="004721A2"/>
    <w:rsid w:val="004722B2"/>
    <w:rsid w:val="00472455"/>
    <w:rsid w:val="00472638"/>
    <w:rsid w:val="004727B8"/>
    <w:rsid w:val="00472BE6"/>
    <w:rsid w:val="00472DD7"/>
    <w:rsid w:val="00472ED5"/>
    <w:rsid w:val="00472EE4"/>
    <w:rsid w:val="0047306A"/>
    <w:rsid w:val="004730A3"/>
    <w:rsid w:val="0047342D"/>
    <w:rsid w:val="0047395F"/>
    <w:rsid w:val="00473CC9"/>
    <w:rsid w:val="004745CA"/>
    <w:rsid w:val="004752B5"/>
    <w:rsid w:val="004753DC"/>
    <w:rsid w:val="00475914"/>
    <w:rsid w:val="00475BF3"/>
    <w:rsid w:val="004765E6"/>
    <w:rsid w:val="0047698F"/>
    <w:rsid w:val="0047769A"/>
    <w:rsid w:val="00477914"/>
    <w:rsid w:val="00477D73"/>
    <w:rsid w:val="00480903"/>
    <w:rsid w:val="00480A57"/>
    <w:rsid w:val="004816F6"/>
    <w:rsid w:val="004819E5"/>
    <w:rsid w:val="004824AE"/>
    <w:rsid w:val="004825AF"/>
    <w:rsid w:val="00482717"/>
    <w:rsid w:val="00482AE7"/>
    <w:rsid w:val="00482BFB"/>
    <w:rsid w:val="00482DD0"/>
    <w:rsid w:val="004834C8"/>
    <w:rsid w:val="00483759"/>
    <w:rsid w:val="0048375A"/>
    <w:rsid w:val="0048394F"/>
    <w:rsid w:val="0048449C"/>
    <w:rsid w:val="004844C6"/>
    <w:rsid w:val="004845BA"/>
    <w:rsid w:val="004852A9"/>
    <w:rsid w:val="0048547A"/>
    <w:rsid w:val="00485667"/>
    <w:rsid w:val="00485DD4"/>
    <w:rsid w:val="00485E32"/>
    <w:rsid w:val="00485F3E"/>
    <w:rsid w:val="00485FAC"/>
    <w:rsid w:val="0048605E"/>
    <w:rsid w:val="00486A2A"/>
    <w:rsid w:val="00486ABA"/>
    <w:rsid w:val="00486AC9"/>
    <w:rsid w:val="00486EE8"/>
    <w:rsid w:val="0048723C"/>
    <w:rsid w:val="00487966"/>
    <w:rsid w:val="00487C13"/>
    <w:rsid w:val="00487C18"/>
    <w:rsid w:val="0049026C"/>
    <w:rsid w:val="0049098C"/>
    <w:rsid w:val="00490EB3"/>
    <w:rsid w:val="0049156C"/>
    <w:rsid w:val="004917E6"/>
    <w:rsid w:val="00491B89"/>
    <w:rsid w:val="00491FA7"/>
    <w:rsid w:val="00492F26"/>
    <w:rsid w:val="0049350A"/>
    <w:rsid w:val="00493621"/>
    <w:rsid w:val="004942B0"/>
    <w:rsid w:val="0049432B"/>
    <w:rsid w:val="00494351"/>
    <w:rsid w:val="004947D4"/>
    <w:rsid w:val="004947F4"/>
    <w:rsid w:val="00495B6E"/>
    <w:rsid w:val="004964C5"/>
    <w:rsid w:val="00496656"/>
    <w:rsid w:val="004966B9"/>
    <w:rsid w:val="00496AFD"/>
    <w:rsid w:val="00496EDD"/>
    <w:rsid w:val="004973E2"/>
    <w:rsid w:val="004974C0"/>
    <w:rsid w:val="0049761D"/>
    <w:rsid w:val="00497B5D"/>
    <w:rsid w:val="004A0410"/>
    <w:rsid w:val="004A05C7"/>
    <w:rsid w:val="004A121C"/>
    <w:rsid w:val="004A1F2B"/>
    <w:rsid w:val="004A2552"/>
    <w:rsid w:val="004A25CA"/>
    <w:rsid w:val="004A2820"/>
    <w:rsid w:val="004A30F6"/>
    <w:rsid w:val="004A32BF"/>
    <w:rsid w:val="004A33FE"/>
    <w:rsid w:val="004A3506"/>
    <w:rsid w:val="004A3AEA"/>
    <w:rsid w:val="004A4171"/>
    <w:rsid w:val="004A423E"/>
    <w:rsid w:val="004A4671"/>
    <w:rsid w:val="004A474A"/>
    <w:rsid w:val="004A4925"/>
    <w:rsid w:val="004A4A0E"/>
    <w:rsid w:val="004A4D69"/>
    <w:rsid w:val="004A5208"/>
    <w:rsid w:val="004A599C"/>
    <w:rsid w:val="004A5F2F"/>
    <w:rsid w:val="004A76A2"/>
    <w:rsid w:val="004A7786"/>
    <w:rsid w:val="004A7922"/>
    <w:rsid w:val="004A7AC4"/>
    <w:rsid w:val="004A7BF0"/>
    <w:rsid w:val="004B0540"/>
    <w:rsid w:val="004B09B0"/>
    <w:rsid w:val="004B0E88"/>
    <w:rsid w:val="004B1682"/>
    <w:rsid w:val="004B18E7"/>
    <w:rsid w:val="004B1A66"/>
    <w:rsid w:val="004B1C0E"/>
    <w:rsid w:val="004B2317"/>
    <w:rsid w:val="004B3224"/>
    <w:rsid w:val="004B3582"/>
    <w:rsid w:val="004B37BE"/>
    <w:rsid w:val="004B3964"/>
    <w:rsid w:val="004B3DB6"/>
    <w:rsid w:val="004B440F"/>
    <w:rsid w:val="004B44EC"/>
    <w:rsid w:val="004B4740"/>
    <w:rsid w:val="004B4A56"/>
    <w:rsid w:val="004B56B4"/>
    <w:rsid w:val="004B60F6"/>
    <w:rsid w:val="004B64D1"/>
    <w:rsid w:val="004B686B"/>
    <w:rsid w:val="004B68E2"/>
    <w:rsid w:val="004B6A6F"/>
    <w:rsid w:val="004B7005"/>
    <w:rsid w:val="004B7303"/>
    <w:rsid w:val="004B75A6"/>
    <w:rsid w:val="004B7B43"/>
    <w:rsid w:val="004B7B67"/>
    <w:rsid w:val="004B7DF9"/>
    <w:rsid w:val="004C0038"/>
    <w:rsid w:val="004C068B"/>
    <w:rsid w:val="004C071B"/>
    <w:rsid w:val="004C079D"/>
    <w:rsid w:val="004C152D"/>
    <w:rsid w:val="004C1B41"/>
    <w:rsid w:val="004C1C23"/>
    <w:rsid w:val="004C21DF"/>
    <w:rsid w:val="004C2C5E"/>
    <w:rsid w:val="004C3FDE"/>
    <w:rsid w:val="004C405A"/>
    <w:rsid w:val="004C4224"/>
    <w:rsid w:val="004C4264"/>
    <w:rsid w:val="004C44C9"/>
    <w:rsid w:val="004C4742"/>
    <w:rsid w:val="004C4A26"/>
    <w:rsid w:val="004C4C0E"/>
    <w:rsid w:val="004C4DBB"/>
    <w:rsid w:val="004C50A6"/>
    <w:rsid w:val="004C52AA"/>
    <w:rsid w:val="004C55FD"/>
    <w:rsid w:val="004C58A3"/>
    <w:rsid w:val="004C5E4A"/>
    <w:rsid w:val="004C61ED"/>
    <w:rsid w:val="004C62BA"/>
    <w:rsid w:val="004C6997"/>
    <w:rsid w:val="004C6BAB"/>
    <w:rsid w:val="004C7014"/>
    <w:rsid w:val="004C7325"/>
    <w:rsid w:val="004C7ABB"/>
    <w:rsid w:val="004C7E24"/>
    <w:rsid w:val="004D015B"/>
    <w:rsid w:val="004D01F7"/>
    <w:rsid w:val="004D0347"/>
    <w:rsid w:val="004D03C3"/>
    <w:rsid w:val="004D05E8"/>
    <w:rsid w:val="004D0D98"/>
    <w:rsid w:val="004D19D8"/>
    <w:rsid w:val="004D1F4A"/>
    <w:rsid w:val="004D23C3"/>
    <w:rsid w:val="004D280D"/>
    <w:rsid w:val="004D2B4A"/>
    <w:rsid w:val="004D2D0E"/>
    <w:rsid w:val="004D352C"/>
    <w:rsid w:val="004D3BA8"/>
    <w:rsid w:val="004D3CFD"/>
    <w:rsid w:val="004D3EA0"/>
    <w:rsid w:val="004D43B4"/>
    <w:rsid w:val="004D43C8"/>
    <w:rsid w:val="004D47BC"/>
    <w:rsid w:val="004D487B"/>
    <w:rsid w:val="004D4DED"/>
    <w:rsid w:val="004D53E4"/>
    <w:rsid w:val="004D5552"/>
    <w:rsid w:val="004D5B82"/>
    <w:rsid w:val="004D5ECE"/>
    <w:rsid w:val="004D6665"/>
    <w:rsid w:val="004D6A08"/>
    <w:rsid w:val="004D6A47"/>
    <w:rsid w:val="004D75DD"/>
    <w:rsid w:val="004D7723"/>
    <w:rsid w:val="004D7979"/>
    <w:rsid w:val="004E06F3"/>
    <w:rsid w:val="004E086B"/>
    <w:rsid w:val="004E0AC7"/>
    <w:rsid w:val="004E0C54"/>
    <w:rsid w:val="004E0E20"/>
    <w:rsid w:val="004E0E42"/>
    <w:rsid w:val="004E0F12"/>
    <w:rsid w:val="004E0FA2"/>
    <w:rsid w:val="004E167D"/>
    <w:rsid w:val="004E17E9"/>
    <w:rsid w:val="004E1A47"/>
    <w:rsid w:val="004E1C56"/>
    <w:rsid w:val="004E1C70"/>
    <w:rsid w:val="004E1CDD"/>
    <w:rsid w:val="004E1EFF"/>
    <w:rsid w:val="004E2058"/>
    <w:rsid w:val="004E205A"/>
    <w:rsid w:val="004E22AE"/>
    <w:rsid w:val="004E26B9"/>
    <w:rsid w:val="004E281A"/>
    <w:rsid w:val="004E2871"/>
    <w:rsid w:val="004E2A01"/>
    <w:rsid w:val="004E2BB7"/>
    <w:rsid w:val="004E2C15"/>
    <w:rsid w:val="004E31A5"/>
    <w:rsid w:val="004E31AF"/>
    <w:rsid w:val="004E31D3"/>
    <w:rsid w:val="004E3699"/>
    <w:rsid w:val="004E37CC"/>
    <w:rsid w:val="004E3A7F"/>
    <w:rsid w:val="004E3AA6"/>
    <w:rsid w:val="004E3FBC"/>
    <w:rsid w:val="004E4552"/>
    <w:rsid w:val="004E4763"/>
    <w:rsid w:val="004E518A"/>
    <w:rsid w:val="004E5555"/>
    <w:rsid w:val="004E5783"/>
    <w:rsid w:val="004E64FE"/>
    <w:rsid w:val="004E669A"/>
    <w:rsid w:val="004E6737"/>
    <w:rsid w:val="004E6929"/>
    <w:rsid w:val="004E74A7"/>
    <w:rsid w:val="004E768C"/>
    <w:rsid w:val="004E7957"/>
    <w:rsid w:val="004E7DFB"/>
    <w:rsid w:val="004F07FD"/>
    <w:rsid w:val="004F0B66"/>
    <w:rsid w:val="004F17C0"/>
    <w:rsid w:val="004F1A40"/>
    <w:rsid w:val="004F231F"/>
    <w:rsid w:val="004F2331"/>
    <w:rsid w:val="004F24E0"/>
    <w:rsid w:val="004F273C"/>
    <w:rsid w:val="004F287F"/>
    <w:rsid w:val="004F296B"/>
    <w:rsid w:val="004F298D"/>
    <w:rsid w:val="004F2B03"/>
    <w:rsid w:val="004F2DE7"/>
    <w:rsid w:val="004F3850"/>
    <w:rsid w:val="004F39DE"/>
    <w:rsid w:val="004F3F99"/>
    <w:rsid w:val="004F3FD6"/>
    <w:rsid w:val="004F4387"/>
    <w:rsid w:val="004F4939"/>
    <w:rsid w:val="004F4A3A"/>
    <w:rsid w:val="004F4D48"/>
    <w:rsid w:val="004F4E48"/>
    <w:rsid w:val="004F4F1C"/>
    <w:rsid w:val="004F711B"/>
    <w:rsid w:val="00500276"/>
    <w:rsid w:val="00500CB0"/>
    <w:rsid w:val="00500EF5"/>
    <w:rsid w:val="0050136A"/>
    <w:rsid w:val="00501CC2"/>
    <w:rsid w:val="00501D6E"/>
    <w:rsid w:val="00502034"/>
    <w:rsid w:val="00502335"/>
    <w:rsid w:val="005025AD"/>
    <w:rsid w:val="00502EB6"/>
    <w:rsid w:val="005030E3"/>
    <w:rsid w:val="005031E9"/>
    <w:rsid w:val="0050355F"/>
    <w:rsid w:val="00503CEB"/>
    <w:rsid w:val="0050441C"/>
    <w:rsid w:val="0050494A"/>
    <w:rsid w:val="00504B47"/>
    <w:rsid w:val="00504CDB"/>
    <w:rsid w:val="00504DFA"/>
    <w:rsid w:val="00505285"/>
    <w:rsid w:val="0050676C"/>
    <w:rsid w:val="00506911"/>
    <w:rsid w:val="00507CAE"/>
    <w:rsid w:val="0051050C"/>
    <w:rsid w:val="005108EB"/>
    <w:rsid w:val="00510FCB"/>
    <w:rsid w:val="0051178F"/>
    <w:rsid w:val="005118DC"/>
    <w:rsid w:val="00511B72"/>
    <w:rsid w:val="00511E3B"/>
    <w:rsid w:val="00511ED4"/>
    <w:rsid w:val="00511FE0"/>
    <w:rsid w:val="00512D0A"/>
    <w:rsid w:val="00512D5D"/>
    <w:rsid w:val="00512E92"/>
    <w:rsid w:val="00513043"/>
    <w:rsid w:val="005138EC"/>
    <w:rsid w:val="00513B32"/>
    <w:rsid w:val="00513C0A"/>
    <w:rsid w:val="0051470F"/>
    <w:rsid w:val="00514CE6"/>
    <w:rsid w:val="00515303"/>
    <w:rsid w:val="005153BB"/>
    <w:rsid w:val="00516560"/>
    <w:rsid w:val="005166B7"/>
    <w:rsid w:val="005168BC"/>
    <w:rsid w:val="005170D2"/>
    <w:rsid w:val="00517144"/>
    <w:rsid w:val="00517D5A"/>
    <w:rsid w:val="005201C9"/>
    <w:rsid w:val="0052051B"/>
    <w:rsid w:val="00520548"/>
    <w:rsid w:val="005205F9"/>
    <w:rsid w:val="00520B3C"/>
    <w:rsid w:val="005212C3"/>
    <w:rsid w:val="00521414"/>
    <w:rsid w:val="005217FD"/>
    <w:rsid w:val="00521AF7"/>
    <w:rsid w:val="00521B91"/>
    <w:rsid w:val="00521D32"/>
    <w:rsid w:val="00521D44"/>
    <w:rsid w:val="00521F1B"/>
    <w:rsid w:val="00522BAC"/>
    <w:rsid w:val="00522DE9"/>
    <w:rsid w:val="005232A2"/>
    <w:rsid w:val="00523801"/>
    <w:rsid w:val="00523B56"/>
    <w:rsid w:val="00523F25"/>
    <w:rsid w:val="0052435A"/>
    <w:rsid w:val="00524491"/>
    <w:rsid w:val="00524B01"/>
    <w:rsid w:val="00524BD8"/>
    <w:rsid w:val="005251EB"/>
    <w:rsid w:val="005257B8"/>
    <w:rsid w:val="005258FD"/>
    <w:rsid w:val="00525914"/>
    <w:rsid w:val="0052599D"/>
    <w:rsid w:val="00525BC3"/>
    <w:rsid w:val="005263DE"/>
    <w:rsid w:val="00526BD9"/>
    <w:rsid w:val="0052737A"/>
    <w:rsid w:val="0052738D"/>
    <w:rsid w:val="00527426"/>
    <w:rsid w:val="00527747"/>
    <w:rsid w:val="005278D7"/>
    <w:rsid w:val="005279F9"/>
    <w:rsid w:val="00527BDC"/>
    <w:rsid w:val="00527CC4"/>
    <w:rsid w:val="005303FB"/>
    <w:rsid w:val="005307D8"/>
    <w:rsid w:val="00530B0B"/>
    <w:rsid w:val="00530C29"/>
    <w:rsid w:val="00530D02"/>
    <w:rsid w:val="00530F2D"/>
    <w:rsid w:val="005315EA"/>
    <w:rsid w:val="00531AE0"/>
    <w:rsid w:val="00531F4D"/>
    <w:rsid w:val="00532AAA"/>
    <w:rsid w:val="00532C18"/>
    <w:rsid w:val="00532D10"/>
    <w:rsid w:val="00532E97"/>
    <w:rsid w:val="0053312B"/>
    <w:rsid w:val="005331D4"/>
    <w:rsid w:val="005334C3"/>
    <w:rsid w:val="005339F6"/>
    <w:rsid w:val="00533E8C"/>
    <w:rsid w:val="00534949"/>
    <w:rsid w:val="00534B5A"/>
    <w:rsid w:val="00535051"/>
    <w:rsid w:val="0053531D"/>
    <w:rsid w:val="00535359"/>
    <w:rsid w:val="0053560F"/>
    <w:rsid w:val="00535826"/>
    <w:rsid w:val="00535B45"/>
    <w:rsid w:val="00535E8B"/>
    <w:rsid w:val="005360D7"/>
    <w:rsid w:val="005363D9"/>
    <w:rsid w:val="005365B4"/>
    <w:rsid w:val="0053684B"/>
    <w:rsid w:val="00536BF8"/>
    <w:rsid w:val="00536EE3"/>
    <w:rsid w:val="005375C7"/>
    <w:rsid w:val="005376E2"/>
    <w:rsid w:val="00537705"/>
    <w:rsid w:val="005379FD"/>
    <w:rsid w:val="005401D3"/>
    <w:rsid w:val="005405B9"/>
    <w:rsid w:val="005409FB"/>
    <w:rsid w:val="00540D09"/>
    <w:rsid w:val="005414A1"/>
    <w:rsid w:val="005416C3"/>
    <w:rsid w:val="00541862"/>
    <w:rsid w:val="00541B76"/>
    <w:rsid w:val="005420F8"/>
    <w:rsid w:val="005425B1"/>
    <w:rsid w:val="005426F0"/>
    <w:rsid w:val="005430B3"/>
    <w:rsid w:val="0054311C"/>
    <w:rsid w:val="00543197"/>
    <w:rsid w:val="00543D85"/>
    <w:rsid w:val="0054403C"/>
    <w:rsid w:val="00544541"/>
    <w:rsid w:val="00544623"/>
    <w:rsid w:val="0054466B"/>
    <w:rsid w:val="00544CEE"/>
    <w:rsid w:val="0054535C"/>
    <w:rsid w:val="005455A6"/>
    <w:rsid w:val="005458E2"/>
    <w:rsid w:val="00545B7D"/>
    <w:rsid w:val="00545CEB"/>
    <w:rsid w:val="005465B0"/>
    <w:rsid w:val="00546EAA"/>
    <w:rsid w:val="00547124"/>
    <w:rsid w:val="00547138"/>
    <w:rsid w:val="00547B24"/>
    <w:rsid w:val="00547BE9"/>
    <w:rsid w:val="00547DAE"/>
    <w:rsid w:val="005504A3"/>
    <w:rsid w:val="00550A41"/>
    <w:rsid w:val="00550EFC"/>
    <w:rsid w:val="0055113D"/>
    <w:rsid w:val="0055172D"/>
    <w:rsid w:val="005519B4"/>
    <w:rsid w:val="00551D11"/>
    <w:rsid w:val="00551D3C"/>
    <w:rsid w:val="00551FA3"/>
    <w:rsid w:val="0055226B"/>
    <w:rsid w:val="0055263F"/>
    <w:rsid w:val="00552E5A"/>
    <w:rsid w:val="00552FC9"/>
    <w:rsid w:val="005534BA"/>
    <w:rsid w:val="00553DAB"/>
    <w:rsid w:val="00553ECC"/>
    <w:rsid w:val="00554943"/>
    <w:rsid w:val="00554A19"/>
    <w:rsid w:val="00554ACD"/>
    <w:rsid w:val="00554B9C"/>
    <w:rsid w:val="00554F43"/>
    <w:rsid w:val="0055539B"/>
    <w:rsid w:val="005554BA"/>
    <w:rsid w:val="005556E7"/>
    <w:rsid w:val="00556093"/>
    <w:rsid w:val="00556386"/>
    <w:rsid w:val="0055652B"/>
    <w:rsid w:val="0055701E"/>
    <w:rsid w:val="0055727D"/>
    <w:rsid w:val="00557555"/>
    <w:rsid w:val="00557E4E"/>
    <w:rsid w:val="00557F40"/>
    <w:rsid w:val="00560A8F"/>
    <w:rsid w:val="00560EBD"/>
    <w:rsid w:val="00561AC0"/>
    <w:rsid w:val="005627B4"/>
    <w:rsid w:val="005628DF"/>
    <w:rsid w:val="00562AE1"/>
    <w:rsid w:val="0056334B"/>
    <w:rsid w:val="005637D6"/>
    <w:rsid w:val="00563A84"/>
    <w:rsid w:val="00563E6C"/>
    <w:rsid w:val="00563FD1"/>
    <w:rsid w:val="005640D7"/>
    <w:rsid w:val="005643B2"/>
    <w:rsid w:val="00564491"/>
    <w:rsid w:val="00564532"/>
    <w:rsid w:val="00564593"/>
    <w:rsid w:val="00565CBA"/>
    <w:rsid w:val="00565E81"/>
    <w:rsid w:val="005660CA"/>
    <w:rsid w:val="005660DE"/>
    <w:rsid w:val="005667B8"/>
    <w:rsid w:val="005669CC"/>
    <w:rsid w:val="005674F8"/>
    <w:rsid w:val="00567B5A"/>
    <w:rsid w:val="00567B8F"/>
    <w:rsid w:val="00567F17"/>
    <w:rsid w:val="00570089"/>
    <w:rsid w:val="00570D76"/>
    <w:rsid w:val="00571505"/>
    <w:rsid w:val="00571826"/>
    <w:rsid w:val="00571953"/>
    <w:rsid w:val="00572307"/>
    <w:rsid w:val="005723E1"/>
    <w:rsid w:val="00572CFC"/>
    <w:rsid w:val="00572FC5"/>
    <w:rsid w:val="0057354D"/>
    <w:rsid w:val="0057378A"/>
    <w:rsid w:val="0057417C"/>
    <w:rsid w:val="005745C8"/>
    <w:rsid w:val="00574A61"/>
    <w:rsid w:val="00574EEA"/>
    <w:rsid w:val="005755FD"/>
    <w:rsid w:val="00575D1A"/>
    <w:rsid w:val="00575D1F"/>
    <w:rsid w:val="00576022"/>
    <w:rsid w:val="00576109"/>
    <w:rsid w:val="00576701"/>
    <w:rsid w:val="0057685C"/>
    <w:rsid w:val="005769C2"/>
    <w:rsid w:val="00576ED2"/>
    <w:rsid w:val="00577554"/>
    <w:rsid w:val="00577A0B"/>
    <w:rsid w:val="00577DCE"/>
    <w:rsid w:val="00581346"/>
    <w:rsid w:val="005814F2"/>
    <w:rsid w:val="00581603"/>
    <w:rsid w:val="00581EA0"/>
    <w:rsid w:val="00582161"/>
    <w:rsid w:val="0058293F"/>
    <w:rsid w:val="00582D07"/>
    <w:rsid w:val="0058310A"/>
    <w:rsid w:val="00583EFB"/>
    <w:rsid w:val="00583FE9"/>
    <w:rsid w:val="00584294"/>
    <w:rsid w:val="005843DD"/>
    <w:rsid w:val="005846B3"/>
    <w:rsid w:val="00584A7D"/>
    <w:rsid w:val="005850D7"/>
    <w:rsid w:val="0058548B"/>
    <w:rsid w:val="00585EE1"/>
    <w:rsid w:val="005860B5"/>
    <w:rsid w:val="0058636C"/>
    <w:rsid w:val="005863F5"/>
    <w:rsid w:val="00586BFF"/>
    <w:rsid w:val="00587169"/>
    <w:rsid w:val="0058722E"/>
    <w:rsid w:val="00587781"/>
    <w:rsid w:val="00587803"/>
    <w:rsid w:val="00587A69"/>
    <w:rsid w:val="00587D0F"/>
    <w:rsid w:val="00587FC1"/>
    <w:rsid w:val="00590016"/>
    <w:rsid w:val="00590052"/>
    <w:rsid w:val="00590AF1"/>
    <w:rsid w:val="0059164E"/>
    <w:rsid w:val="005917D1"/>
    <w:rsid w:val="00591EF0"/>
    <w:rsid w:val="00591FC0"/>
    <w:rsid w:val="00592021"/>
    <w:rsid w:val="005920F2"/>
    <w:rsid w:val="00592A2E"/>
    <w:rsid w:val="00592C79"/>
    <w:rsid w:val="00592F19"/>
    <w:rsid w:val="00593AA2"/>
    <w:rsid w:val="00593D3B"/>
    <w:rsid w:val="00594738"/>
    <w:rsid w:val="005947AC"/>
    <w:rsid w:val="00594829"/>
    <w:rsid w:val="00594EB6"/>
    <w:rsid w:val="005952E9"/>
    <w:rsid w:val="005956C9"/>
    <w:rsid w:val="00595963"/>
    <w:rsid w:val="00595FB2"/>
    <w:rsid w:val="00596CA5"/>
    <w:rsid w:val="00597DA6"/>
    <w:rsid w:val="00597EF3"/>
    <w:rsid w:val="005A0175"/>
    <w:rsid w:val="005A0998"/>
    <w:rsid w:val="005A0B27"/>
    <w:rsid w:val="005A145C"/>
    <w:rsid w:val="005A1A12"/>
    <w:rsid w:val="005A1D5B"/>
    <w:rsid w:val="005A2013"/>
    <w:rsid w:val="005A24B1"/>
    <w:rsid w:val="005A298B"/>
    <w:rsid w:val="005A2D9A"/>
    <w:rsid w:val="005A301B"/>
    <w:rsid w:val="005A335E"/>
    <w:rsid w:val="005A366D"/>
    <w:rsid w:val="005A36CF"/>
    <w:rsid w:val="005A375E"/>
    <w:rsid w:val="005A38C5"/>
    <w:rsid w:val="005A3E69"/>
    <w:rsid w:val="005A3FB3"/>
    <w:rsid w:val="005A4289"/>
    <w:rsid w:val="005A48BD"/>
    <w:rsid w:val="005A4ACA"/>
    <w:rsid w:val="005A4CD5"/>
    <w:rsid w:val="005A4DB0"/>
    <w:rsid w:val="005A526E"/>
    <w:rsid w:val="005A55B0"/>
    <w:rsid w:val="005A58E4"/>
    <w:rsid w:val="005A6036"/>
    <w:rsid w:val="005A6177"/>
    <w:rsid w:val="005A65E3"/>
    <w:rsid w:val="005A66CC"/>
    <w:rsid w:val="005A6815"/>
    <w:rsid w:val="005A68AD"/>
    <w:rsid w:val="005A6B23"/>
    <w:rsid w:val="005A6C26"/>
    <w:rsid w:val="005A6C4F"/>
    <w:rsid w:val="005A79D9"/>
    <w:rsid w:val="005A7E2B"/>
    <w:rsid w:val="005B0031"/>
    <w:rsid w:val="005B0059"/>
    <w:rsid w:val="005B0216"/>
    <w:rsid w:val="005B061B"/>
    <w:rsid w:val="005B08E2"/>
    <w:rsid w:val="005B0A30"/>
    <w:rsid w:val="005B0BD5"/>
    <w:rsid w:val="005B0D96"/>
    <w:rsid w:val="005B15CA"/>
    <w:rsid w:val="005B1899"/>
    <w:rsid w:val="005B1CA8"/>
    <w:rsid w:val="005B1DD3"/>
    <w:rsid w:val="005B215D"/>
    <w:rsid w:val="005B218C"/>
    <w:rsid w:val="005B226F"/>
    <w:rsid w:val="005B251C"/>
    <w:rsid w:val="005B2BF7"/>
    <w:rsid w:val="005B30D0"/>
    <w:rsid w:val="005B3179"/>
    <w:rsid w:val="005B39FE"/>
    <w:rsid w:val="005B3A2F"/>
    <w:rsid w:val="005B3B22"/>
    <w:rsid w:val="005B3DDC"/>
    <w:rsid w:val="005B3EF0"/>
    <w:rsid w:val="005B4554"/>
    <w:rsid w:val="005B4733"/>
    <w:rsid w:val="005B49EC"/>
    <w:rsid w:val="005B4B84"/>
    <w:rsid w:val="005B511B"/>
    <w:rsid w:val="005B5151"/>
    <w:rsid w:val="005B53A3"/>
    <w:rsid w:val="005B5F1B"/>
    <w:rsid w:val="005B6E32"/>
    <w:rsid w:val="005B70B9"/>
    <w:rsid w:val="005B716A"/>
    <w:rsid w:val="005B723E"/>
    <w:rsid w:val="005B77F1"/>
    <w:rsid w:val="005B7BEB"/>
    <w:rsid w:val="005B7E05"/>
    <w:rsid w:val="005C0A2A"/>
    <w:rsid w:val="005C1686"/>
    <w:rsid w:val="005C1F42"/>
    <w:rsid w:val="005C203C"/>
    <w:rsid w:val="005C205D"/>
    <w:rsid w:val="005C2091"/>
    <w:rsid w:val="005C273A"/>
    <w:rsid w:val="005C282A"/>
    <w:rsid w:val="005C2DAE"/>
    <w:rsid w:val="005C2EE0"/>
    <w:rsid w:val="005C31B6"/>
    <w:rsid w:val="005C458F"/>
    <w:rsid w:val="005C49C7"/>
    <w:rsid w:val="005C49DE"/>
    <w:rsid w:val="005C513F"/>
    <w:rsid w:val="005C57BC"/>
    <w:rsid w:val="005C58D1"/>
    <w:rsid w:val="005C5BF1"/>
    <w:rsid w:val="005C5CDF"/>
    <w:rsid w:val="005C64A1"/>
    <w:rsid w:val="005C7328"/>
    <w:rsid w:val="005C7F6D"/>
    <w:rsid w:val="005D02EA"/>
    <w:rsid w:val="005D04D9"/>
    <w:rsid w:val="005D06E2"/>
    <w:rsid w:val="005D0BDE"/>
    <w:rsid w:val="005D0C1E"/>
    <w:rsid w:val="005D0D94"/>
    <w:rsid w:val="005D117A"/>
    <w:rsid w:val="005D11ED"/>
    <w:rsid w:val="005D1545"/>
    <w:rsid w:val="005D16F2"/>
    <w:rsid w:val="005D2520"/>
    <w:rsid w:val="005D2647"/>
    <w:rsid w:val="005D2D15"/>
    <w:rsid w:val="005D2D92"/>
    <w:rsid w:val="005D2E97"/>
    <w:rsid w:val="005D2F17"/>
    <w:rsid w:val="005D2FC7"/>
    <w:rsid w:val="005D315B"/>
    <w:rsid w:val="005D3213"/>
    <w:rsid w:val="005D36DE"/>
    <w:rsid w:val="005D37BE"/>
    <w:rsid w:val="005D40DD"/>
    <w:rsid w:val="005D45AE"/>
    <w:rsid w:val="005D4619"/>
    <w:rsid w:val="005D4936"/>
    <w:rsid w:val="005D4CBF"/>
    <w:rsid w:val="005D4DF3"/>
    <w:rsid w:val="005D507B"/>
    <w:rsid w:val="005D507F"/>
    <w:rsid w:val="005D5BC5"/>
    <w:rsid w:val="005D5D9F"/>
    <w:rsid w:val="005D5E65"/>
    <w:rsid w:val="005D5EB7"/>
    <w:rsid w:val="005D5F14"/>
    <w:rsid w:val="005D641F"/>
    <w:rsid w:val="005D6E45"/>
    <w:rsid w:val="005D702D"/>
    <w:rsid w:val="005D72A4"/>
    <w:rsid w:val="005D7EAE"/>
    <w:rsid w:val="005E0289"/>
    <w:rsid w:val="005E0486"/>
    <w:rsid w:val="005E0748"/>
    <w:rsid w:val="005E09E4"/>
    <w:rsid w:val="005E0A79"/>
    <w:rsid w:val="005E0B94"/>
    <w:rsid w:val="005E0D81"/>
    <w:rsid w:val="005E0E0A"/>
    <w:rsid w:val="005E15B3"/>
    <w:rsid w:val="005E1650"/>
    <w:rsid w:val="005E1935"/>
    <w:rsid w:val="005E1E32"/>
    <w:rsid w:val="005E1EDE"/>
    <w:rsid w:val="005E2641"/>
    <w:rsid w:val="005E2890"/>
    <w:rsid w:val="005E28A3"/>
    <w:rsid w:val="005E2B26"/>
    <w:rsid w:val="005E362D"/>
    <w:rsid w:val="005E38C1"/>
    <w:rsid w:val="005E3EBC"/>
    <w:rsid w:val="005E3ECF"/>
    <w:rsid w:val="005E4B5C"/>
    <w:rsid w:val="005E4BC5"/>
    <w:rsid w:val="005E50AA"/>
    <w:rsid w:val="005E5873"/>
    <w:rsid w:val="005E62B9"/>
    <w:rsid w:val="005E639A"/>
    <w:rsid w:val="005E6FA1"/>
    <w:rsid w:val="005E724D"/>
    <w:rsid w:val="005E739A"/>
    <w:rsid w:val="005E7E8D"/>
    <w:rsid w:val="005E7EA3"/>
    <w:rsid w:val="005F054A"/>
    <w:rsid w:val="005F0A69"/>
    <w:rsid w:val="005F12EE"/>
    <w:rsid w:val="005F1672"/>
    <w:rsid w:val="005F1F4A"/>
    <w:rsid w:val="005F2698"/>
    <w:rsid w:val="005F2FD4"/>
    <w:rsid w:val="005F301B"/>
    <w:rsid w:val="005F3242"/>
    <w:rsid w:val="005F352D"/>
    <w:rsid w:val="005F3894"/>
    <w:rsid w:val="005F3BA1"/>
    <w:rsid w:val="005F3DDD"/>
    <w:rsid w:val="005F3FA8"/>
    <w:rsid w:val="005F4110"/>
    <w:rsid w:val="005F4415"/>
    <w:rsid w:val="005F4738"/>
    <w:rsid w:val="005F497A"/>
    <w:rsid w:val="005F4E10"/>
    <w:rsid w:val="005F50E2"/>
    <w:rsid w:val="005F5B7C"/>
    <w:rsid w:val="005F67CA"/>
    <w:rsid w:val="005F6A22"/>
    <w:rsid w:val="005F7B11"/>
    <w:rsid w:val="005F7C4F"/>
    <w:rsid w:val="005F7F15"/>
    <w:rsid w:val="006000CB"/>
    <w:rsid w:val="00600420"/>
    <w:rsid w:val="0060056D"/>
    <w:rsid w:val="00600AA1"/>
    <w:rsid w:val="00600BEB"/>
    <w:rsid w:val="00602327"/>
    <w:rsid w:val="006023CF"/>
    <w:rsid w:val="006028F3"/>
    <w:rsid w:val="00602A61"/>
    <w:rsid w:val="00602DC3"/>
    <w:rsid w:val="0060302D"/>
    <w:rsid w:val="00603365"/>
    <w:rsid w:val="00603606"/>
    <w:rsid w:val="0060388F"/>
    <w:rsid w:val="0060393A"/>
    <w:rsid w:val="006041AC"/>
    <w:rsid w:val="00604D53"/>
    <w:rsid w:val="006057B1"/>
    <w:rsid w:val="00605CFE"/>
    <w:rsid w:val="00605F45"/>
    <w:rsid w:val="00606159"/>
    <w:rsid w:val="006065F4"/>
    <w:rsid w:val="006069A0"/>
    <w:rsid w:val="00606AE4"/>
    <w:rsid w:val="00606D4E"/>
    <w:rsid w:val="00606E25"/>
    <w:rsid w:val="00606EFD"/>
    <w:rsid w:val="0060707E"/>
    <w:rsid w:val="00607504"/>
    <w:rsid w:val="006075FC"/>
    <w:rsid w:val="00607754"/>
    <w:rsid w:val="00607D49"/>
    <w:rsid w:val="00607E36"/>
    <w:rsid w:val="006107A2"/>
    <w:rsid w:val="00610917"/>
    <w:rsid w:val="006116DB"/>
    <w:rsid w:val="006116EC"/>
    <w:rsid w:val="00611772"/>
    <w:rsid w:val="00611C22"/>
    <w:rsid w:val="00611C32"/>
    <w:rsid w:val="0061206B"/>
    <w:rsid w:val="00612109"/>
    <w:rsid w:val="00612881"/>
    <w:rsid w:val="00612D82"/>
    <w:rsid w:val="00612D99"/>
    <w:rsid w:val="00612DDA"/>
    <w:rsid w:val="00613683"/>
    <w:rsid w:val="0061397E"/>
    <w:rsid w:val="00613A40"/>
    <w:rsid w:val="00613CC0"/>
    <w:rsid w:val="00613D2C"/>
    <w:rsid w:val="00613E39"/>
    <w:rsid w:val="00614957"/>
    <w:rsid w:val="00614BC6"/>
    <w:rsid w:val="00614FE7"/>
    <w:rsid w:val="006152BC"/>
    <w:rsid w:val="00615559"/>
    <w:rsid w:val="0061566A"/>
    <w:rsid w:val="00615780"/>
    <w:rsid w:val="00616B90"/>
    <w:rsid w:val="00616DCD"/>
    <w:rsid w:val="00616E3D"/>
    <w:rsid w:val="00617A2A"/>
    <w:rsid w:val="00617A53"/>
    <w:rsid w:val="00617B29"/>
    <w:rsid w:val="00617D03"/>
    <w:rsid w:val="00617E27"/>
    <w:rsid w:val="00617E44"/>
    <w:rsid w:val="006206C3"/>
    <w:rsid w:val="00620D3F"/>
    <w:rsid w:val="006212FB"/>
    <w:rsid w:val="00621583"/>
    <w:rsid w:val="006219FE"/>
    <w:rsid w:val="00621D16"/>
    <w:rsid w:val="00621F34"/>
    <w:rsid w:val="0062200F"/>
    <w:rsid w:val="00622F5C"/>
    <w:rsid w:val="00623227"/>
    <w:rsid w:val="00623545"/>
    <w:rsid w:val="00623638"/>
    <w:rsid w:val="00623AE1"/>
    <w:rsid w:val="00623F41"/>
    <w:rsid w:val="00624C36"/>
    <w:rsid w:val="00624CA1"/>
    <w:rsid w:val="00625201"/>
    <w:rsid w:val="006258F1"/>
    <w:rsid w:val="00625FA6"/>
    <w:rsid w:val="00626077"/>
    <w:rsid w:val="00626170"/>
    <w:rsid w:val="00626672"/>
    <w:rsid w:val="0062669F"/>
    <w:rsid w:val="00626B35"/>
    <w:rsid w:val="00626FF8"/>
    <w:rsid w:val="00627461"/>
    <w:rsid w:val="006274E1"/>
    <w:rsid w:val="006279BC"/>
    <w:rsid w:val="006279D8"/>
    <w:rsid w:val="00627B85"/>
    <w:rsid w:val="006300B5"/>
    <w:rsid w:val="00630453"/>
    <w:rsid w:val="0063050E"/>
    <w:rsid w:val="00630ACA"/>
    <w:rsid w:val="00630CFB"/>
    <w:rsid w:val="00630FDC"/>
    <w:rsid w:val="0063123F"/>
    <w:rsid w:val="006317BB"/>
    <w:rsid w:val="00631806"/>
    <w:rsid w:val="006319B4"/>
    <w:rsid w:val="00631A64"/>
    <w:rsid w:val="00631AFA"/>
    <w:rsid w:val="006321BF"/>
    <w:rsid w:val="00632221"/>
    <w:rsid w:val="00632FA0"/>
    <w:rsid w:val="006331B2"/>
    <w:rsid w:val="00633706"/>
    <w:rsid w:val="00633ABF"/>
    <w:rsid w:val="00633FE3"/>
    <w:rsid w:val="00634391"/>
    <w:rsid w:val="00634583"/>
    <w:rsid w:val="00634FDA"/>
    <w:rsid w:val="0063551E"/>
    <w:rsid w:val="00635A03"/>
    <w:rsid w:val="00636121"/>
    <w:rsid w:val="00636572"/>
    <w:rsid w:val="006365E9"/>
    <w:rsid w:val="006369DB"/>
    <w:rsid w:val="006375F1"/>
    <w:rsid w:val="00637A38"/>
    <w:rsid w:val="00640407"/>
    <w:rsid w:val="006404FA"/>
    <w:rsid w:val="006407BA"/>
    <w:rsid w:val="00640831"/>
    <w:rsid w:val="006408EC"/>
    <w:rsid w:val="00640B1C"/>
    <w:rsid w:val="00640CD2"/>
    <w:rsid w:val="00640E53"/>
    <w:rsid w:val="0064142B"/>
    <w:rsid w:val="00641B45"/>
    <w:rsid w:val="00641FAF"/>
    <w:rsid w:val="00642082"/>
    <w:rsid w:val="00642905"/>
    <w:rsid w:val="006434C6"/>
    <w:rsid w:val="0064367D"/>
    <w:rsid w:val="00643687"/>
    <w:rsid w:val="006437D9"/>
    <w:rsid w:val="00643AE6"/>
    <w:rsid w:val="00643DEC"/>
    <w:rsid w:val="00643E62"/>
    <w:rsid w:val="00644047"/>
    <w:rsid w:val="006440B4"/>
    <w:rsid w:val="006442F2"/>
    <w:rsid w:val="00645716"/>
    <w:rsid w:val="00645A7F"/>
    <w:rsid w:val="00645EB8"/>
    <w:rsid w:val="006466A0"/>
    <w:rsid w:val="006466EF"/>
    <w:rsid w:val="0064685E"/>
    <w:rsid w:val="00646C69"/>
    <w:rsid w:val="00647076"/>
    <w:rsid w:val="00647112"/>
    <w:rsid w:val="00647CE1"/>
    <w:rsid w:val="00647D40"/>
    <w:rsid w:val="00647F87"/>
    <w:rsid w:val="00650194"/>
    <w:rsid w:val="0065053C"/>
    <w:rsid w:val="00650786"/>
    <w:rsid w:val="00650984"/>
    <w:rsid w:val="00650EC4"/>
    <w:rsid w:val="006513D8"/>
    <w:rsid w:val="006519C1"/>
    <w:rsid w:val="00651A78"/>
    <w:rsid w:val="00651F01"/>
    <w:rsid w:val="0065220A"/>
    <w:rsid w:val="00652805"/>
    <w:rsid w:val="006528AC"/>
    <w:rsid w:val="0065297A"/>
    <w:rsid w:val="00652AF6"/>
    <w:rsid w:val="00652D56"/>
    <w:rsid w:val="00652FE2"/>
    <w:rsid w:val="006532B2"/>
    <w:rsid w:val="00653426"/>
    <w:rsid w:val="00653C88"/>
    <w:rsid w:val="00654145"/>
    <w:rsid w:val="006541CB"/>
    <w:rsid w:val="00654B2A"/>
    <w:rsid w:val="00654ED5"/>
    <w:rsid w:val="006550E5"/>
    <w:rsid w:val="006551AF"/>
    <w:rsid w:val="006553E7"/>
    <w:rsid w:val="00655525"/>
    <w:rsid w:val="006556B7"/>
    <w:rsid w:val="0065619A"/>
    <w:rsid w:val="0065628F"/>
    <w:rsid w:val="00656E4E"/>
    <w:rsid w:val="00657275"/>
    <w:rsid w:val="00660741"/>
    <w:rsid w:val="00660F5D"/>
    <w:rsid w:val="006610E7"/>
    <w:rsid w:val="0066155E"/>
    <w:rsid w:val="0066159D"/>
    <w:rsid w:val="0066161F"/>
    <w:rsid w:val="0066251C"/>
    <w:rsid w:val="006625CE"/>
    <w:rsid w:val="00662646"/>
    <w:rsid w:val="006627E8"/>
    <w:rsid w:val="00662E75"/>
    <w:rsid w:val="00663005"/>
    <w:rsid w:val="006630EC"/>
    <w:rsid w:val="0066326B"/>
    <w:rsid w:val="006634C2"/>
    <w:rsid w:val="00663C22"/>
    <w:rsid w:val="00663C67"/>
    <w:rsid w:val="00664055"/>
    <w:rsid w:val="00664393"/>
    <w:rsid w:val="006644FD"/>
    <w:rsid w:val="00664655"/>
    <w:rsid w:val="00664BCE"/>
    <w:rsid w:val="00665256"/>
    <w:rsid w:val="006659CD"/>
    <w:rsid w:val="00665AC1"/>
    <w:rsid w:val="00665BD7"/>
    <w:rsid w:val="00665D5F"/>
    <w:rsid w:val="00665DF9"/>
    <w:rsid w:val="00666181"/>
    <w:rsid w:val="0066624C"/>
    <w:rsid w:val="006662ED"/>
    <w:rsid w:val="006665E6"/>
    <w:rsid w:val="0066672E"/>
    <w:rsid w:val="00666BD0"/>
    <w:rsid w:val="00667374"/>
    <w:rsid w:val="006675AC"/>
    <w:rsid w:val="006675DC"/>
    <w:rsid w:val="00667A3D"/>
    <w:rsid w:val="00667B33"/>
    <w:rsid w:val="00667C7D"/>
    <w:rsid w:val="00667CAD"/>
    <w:rsid w:val="00667E7E"/>
    <w:rsid w:val="00667FC7"/>
    <w:rsid w:val="006703A0"/>
    <w:rsid w:val="00670457"/>
    <w:rsid w:val="00670866"/>
    <w:rsid w:val="00670891"/>
    <w:rsid w:val="00670ECF"/>
    <w:rsid w:val="00670FFC"/>
    <w:rsid w:val="0067112E"/>
    <w:rsid w:val="00671EC3"/>
    <w:rsid w:val="00671FEB"/>
    <w:rsid w:val="0067206E"/>
    <w:rsid w:val="0067210A"/>
    <w:rsid w:val="00672155"/>
    <w:rsid w:val="00673159"/>
    <w:rsid w:val="00673332"/>
    <w:rsid w:val="006733A2"/>
    <w:rsid w:val="00673560"/>
    <w:rsid w:val="006736FA"/>
    <w:rsid w:val="006741EF"/>
    <w:rsid w:val="006748A7"/>
    <w:rsid w:val="00674B15"/>
    <w:rsid w:val="00674B98"/>
    <w:rsid w:val="00674CB1"/>
    <w:rsid w:val="00675096"/>
    <w:rsid w:val="00675411"/>
    <w:rsid w:val="006757BC"/>
    <w:rsid w:val="0067592D"/>
    <w:rsid w:val="006759BD"/>
    <w:rsid w:val="00675C9D"/>
    <w:rsid w:val="00675E26"/>
    <w:rsid w:val="00675EB0"/>
    <w:rsid w:val="0067666E"/>
    <w:rsid w:val="00677238"/>
    <w:rsid w:val="00677917"/>
    <w:rsid w:val="00680070"/>
    <w:rsid w:val="006802E9"/>
    <w:rsid w:val="00680443"/>
    <w:rsid w:val="0068088F"/>
    <w:rsid w:val="0068089D"/>
    <w:rsid w:val="00680E0B"/>
    <w:rsid w:val="00681206"/>
    <w:rsid w:val="00681571"/>
    <w:rsid w:val="00681B16"/>
    <w:rsid w:val="00681DD6"/>
    <w:rsid w:val="00682104"/>
    <w:rsid w:val="00682111"/>
    <w:rsid w:val="006821D1"/>
    <w:rsid w:val="0068328A"/>
    <w:rsid w:val="006832EE"/>
    <w:rsid w:val="00683371"/>
    <w:rsid w:val="00683B48"/>
    <w:rsid w:val="006842FA"/>
    <w:rsid w:val="00684413"/>
    <w:rsid w:val="00684602"/>
    <w:rsid w:val="00684888"/>
    <w:rsid w:val="00685425"/>
    <w:rsid w:val="00685437"/>
    <w:rsid w:val="0068591A"/>
    <w:rsid w:val="00685A0E"/>
    <w:rsid w:val="00686360"/>
    <w:rsid w:val="0068647C"/>
    <w:rsid w:val="00686DA5"/>
    <w:rsid w:val="00687305"/>
    <w:rsid w:val="00687330"/>
    <w:rsid w:val="00687BD8"/>
    <w:rsid w:val="00687C64"/>
    <w:rsid w:val="006903AF"/>
    <w:rsid w:val="00690B3C"/>
    <w:rsid w:val="00690E75"/>
    <w:rsid w:val="0069101E"/>
    <w:rsid w:val="00691356"/>
    <w:rsid w:val="00691ADD"/>
    <w:rsid w:val="00691D09"/>
    <w:rsid w:val="00692023"/>
    <w:rsid w:val="00692251"/>
    <w:rsid w:val="0069284D"/>
    <w:rsid w:val="00692BD6"/>
    <w:rsid w:val="00693A46"/>
    <w:rsid w:val="00693A4B"/>
    <w:rsid w:val="00693B16"/>
    <w:rsid w:val="00693E31"/>
    <w:rsid w:val="00693F36"/>
    <w:rsid w:val="00693FC1"/>
    <w:rsid w:val="006945B5"/>
    <w:rsid w:val="00694EFC"/>
    <w:rsid w:val="00694F1F"/>
    <w:rsid w:val="00695DBA"/>
    <w:rsid w:val="00695ECE"/>
    <w:rsid w:val="006961AC"/>
    <w:rsid w:val="006966E7"/>
    <w:rsid w:val="00696D04"/>
    <w:rsid w:val="00696FE6"/>
    <w:rsid w:val="0069719C"/>
    <w:rsid w:val="00697920"/>
    <w:rsid w:val="00697964"/>
    <w:rsid w:val="006A04EB"/>
    <w:rsid w:val="006A0739"/>
    <w:rsid w:val="006A1374"/>
    <w:rsid w:val="006A1464"/>
    <w:rsid w:val="006A1493"/>
    <w:rsid w:val="006A17BB"/>
    <w:rsid w:val="006A1C1E"/>
    <w:rsid w:val="006A1CE0"/>
    <w:rsid w:val="006A2083"/>
    <w:rsid w:val="006A23BE"/>
    <w:rsid w:val="006A23FB"/>
    <w:rsid w:val="006A2894"/>
    <w:rsid w:val="006A3657"/>
    <w:rsid w:val="006A3818"/>
    <w:rsid w:val="006A38E8"/>
    <w:rsid w:val="006A3D05"/>
    <w:rsid w:val="006A3F43"/>
    <w:rsid w:val="006A43B6"/>
    <w:rsid w:val="006A463D"/>
    <w:rsid w:val="006A5346"/>
    <w:rsid w:val="006A5F68"/>
    <w:rsid w:val="006A5FE0"/>
    <w:rsid w:val="006A653B"/>
    <w:rsid w:val="006A6598"/>
    <w:rsid w:val="006A69A8"/>
    <w:rsid w:val="006A6A83"/>
    <w:rsid w:val="006A6E34"/>
    <w:rsid w:val="006A78B1"/>
    <w:rsid w:val="006A7E7F"/>
    <w:rsid w:val="006A7F28"/>
    <w:rsid w:val="006B01D7"/>
    <w:rsid w:val="006B04B4"/>
    <w:rsid w:val="006B11BF"/>
    <w:rsid w:val="006B1374"/>
    <w:rsid w:val="006B239D"/>
    <w:rsid w:val="006B250C"/>
    <w:rsid w:val="006B2583"/>
    <w:rsid w:val="006B290D"/>
    <w:rsid w:val="006B3279"/>
    <w:rsid w:val="006B35A7"/>
    <w:rsid w:val="006B395D"/>
    <w:rsid w:val="006B3C3B"/>
    <w:rsid w:val="006B3D79"/>
    <w:rsid w:val="006B3FE1"/>
    <w:rsid w:val="006B4AD2"/>
    <w:rsid w:val="006B57F4"/>
    <w:rsid w:val="006B5882"/>
    <w:rsid w:val="006B5ABB"/>
    <w:rsid w:val="006B644F"/>
    <w:rsid w:val="006B6643"/>
    <w:rsid w:val="006B682D"/>
    <w:rsid w:val="006B6856"/>
    <w:rsid w:val="006B6F5D"/>
    <w:rsid w:val="006B7103"/>
    <w:rsid w:val="006B7204"/>
    <w:rsid w:val="006B75DA"/>
    <w:rsid w:val="006B7723"/>
    <w:rsid w:val="006B7A0E"/>
    <w:rsid w:val="006B7A3B"/>
    <w:rsid w:val="006B7B3E"/>
    <w:rsid w:val="006B7C85"/>
    <w:rsid w:val="006C0911"/>
    <w:rsid w:val="006C0C45"/>
    <w:rsid w:val="006C0CBD"/>
    <w:rsid w:val="006C0DAF"/>
    <w:rsid w:val="006C111C"/>
    <w:rsid w:val="006C1858"/>
    <w:rsid w:val="006C20BD"/>
    <w:rsid w:val="006C2149"/>
    <w:rsid w:val="006C25A3"/>
    <w:rsid w:val="006C357B"/>
    <w:rsid w:val="006C3991"/>
    <w:rsid w:val="006C41EE"/>
    <w:rsid w:val="006C4334"/>
    <w:rsid w:val="006C4400"/>
    <w:rsid w:val="006C4727"/>
    <w:rsid w:val="006C478B"/>
    <w:rsid w:val="006C4A20"/>
    <w:rsid w:val="006C567A"/>
    <w:rsid w:val="006C577B"/>
    <w:rsid w:val="006C5A67"/>
    <w:rsid w:val="006C5F38"/>
    <w:rsid w:val="006C6548"/>
    <w:rsid w:val="006C65BC"/>
    <w:rsid w:val="006C7444"/>
    <w:rsid w:val="006C75E9"/>
    <w:rsid w:val="006C7974"/>
    <w:rsid w:val="006C79BF"/>
    <w:rsid w:val="006D01A3"/>
    <w:rsid w:val="006D034D"/>
    <w:rsid w:val="006D0869"/>
    <w:rsid w:val="006D0F64"/>
    <w:rsid w:val="006D11FE"/>
    <w:rsid w:val="006D1344"/>
    <w:rsid w:val="006D1602"/>
    <w:rsid w:val="006D1883"/>
    <w:rsid w:val="006D1A6B"/>
    <w:rsid w:val="006D2938"/>
    <w:rsid w:val="006D3608"/>
    <w:rsid w:val="006D38CE"/>
    <w:rsid w:val="006D39D8"/>
    <w:rsid w:val="006D4234"/>
    <w:rsid w:val="006D44CB"/>
    <w:rsid w:val="006D4BA4"/>
    <w:rsid w:val="006D5337"/>
    <w:rsid w:val="006D5538"/>
    <w:rsid w:val="006D5551"/>
    <w:rsid w:val="006D5EBC"/>
    <w:rsid w:val="006D60F0"/>
    <w:rsid w:val="006D622C"/>
    <w:rsid w:val="006D643E"/>
    <w:rsid w:val="006D6655"/>
    <w:rsid w:val="006D6EA2"/>
    <w:rsid w:val="006D6F32"/>
    <w:rsid w:val="006D7CE6"/>
    <w:rsid w:val="006D7F33"/>
    <w:rsid w:val="006E010B"/>
    <w:rsid w:val="006E0874"/>
    <w:rsid w:val="006E088A"/>
    <w:rsid w:val="006E0EF4"/>
    <w:rsid w:val="006E1052"/>
    <w:rsid w:val="006E1279"/>
    <w:rsid w:val="006E1491"/>
    <w:rsid w:val="006E1A83"/>
    <w:rsid w:val="006E1CDF"/>
    <w:rsid w:val="006E2674"/>
    <w:rsid w:val="006E26A0"/>
    <w:rsid w:val="006E2BEA"/>
    <w:rsid w:val="006E3070"/>
    <w:rsid w:val="006E33BD"/>
    <w:rsid w:val="006E3534"/>
    <w:rsid w:val="006E36D1"/>
    <w:rsid w:val="006E3C22"/>
    <w:rsid w:val="006E447B"/>
    <w:rsid w:val="006E45FB"/>
    <w:rsid w:val="006E489A"/>
    <w:rsid w:val="006E4A35"/>
    <w:rsid w:val="006E4A9D"/>
    <w:rsid w:val="006E5447"/>
    <w:rsid w:val="006E581A"/>
    <w:rsid w:val="006E58DD"/>
    <w:rsid w:val="006E5924"/>
    <w:rsid w:val="006E597E"/>
    <w:rsid w:val="006E5D11"/>
    <w:rsid w:val="006E5EA9"/>
    <w:rsid w:val="006E6050"/>
    <w:rsid w:val="006E60EB"/>
    <w:rsid w:val="006E6B3B"/>
    <w:rsid w:val="006E6C93"/>
    <w:rsid w:val="006E6D82"/>
    <w:rsid w:val="006E6EA6"/>
    <w:rsid w:val="006E6EF9"/>
    <w:rsid w:val="006E7122"/>
    <w:rsid w:val="006E7296"/>
    <w:rsid w:val="006F0046"/>
    <w:rsid w:val="006F0903"/>
    <w:rsid w:val="006F09B0"/>
    <w:rsid w:val="006F09FF"/>
    <w:rsid w:val="006F0D5A"/>
    <w:rsid w:val="006F0D7B"/>
    <w:rsid w:val="006F0DC0"/>
    <w:rsid w:val="006F153F"/>
    <w:rsid w:val="006F1638"/>
    <w:rsid w:val="006F1E60"/>
    <w:rsid w:val="006F1EAD"/>
    <w:rsid w:val="006F228A"/>
    <w:rsid w:val="006F2712"/>
    <w:rsid w:val="006F2A41"/>
    <w:rsid w:val="006F2DA3"/>
    <w:rsid w:val="006F39B8"/>
    <w:rsid w:val="006F3C7A"/>
    <w:rsid w:val="006F40A0"/>
    <w:rsid w:val="006F478E"/>
    <w:rsid w:val="006F50DA"/>
    <w:rsid w:val="006F51D8"/>
    <w:rsid w:val="006F544F"/>
    <w:rsid w:val="006F5470"/>
    <w:rsid w:val="006F5D7A"/>
    <w:rsid w:val="006F6366"/>
    <w:rsid w:val="006F6775"/>
    <w:rsid w:val="006F6890"/>
    <w:rsid w:val="006F6936"/>
    <w:rsid w:val="006F69D0"/>
    <w:rsid w:val="006F6A94"/>
    <w:rsid w:val="006F6C38"/>
    <w:rsid w:val="006F6D29"/>
    <w:rsid w:val="006F6F8E"/>
    <w:rsid w:val="006F73E8"/>
    <w:rsid w:val="006F758A"/>
    <w:rsid w:val="006F78F4"/>
    <w:rsid w:val="006F7C9D"/>
    <w:rsid w:val="007007DB"/>
    <w:rsid w:val="007008C3"/>
    <w:rsid w:val="00700E63"/>
    <w:rsid w:val="00701208"/>
    <w:rsid w:val="00701746"/>
    <w:rsid w:val="00701989"/>
    <w:rsid w:val="00702193"/>
    <w:rsid w:val="00702AB9"/>
    <w:rsid w:val="00702C18"/>
    <w:rsid w:val="007032A7"/>
    <w:rsid w:val="0070412D"/>
    <w:rsid w:val="007043D8"/>
    <w:rsid w:val="007046B5"/>
    <w:rsid w:val="007046FF"/>
    <w:rsid w:val="00704C79"/>
    <w:rsid w:val="00704C94"/>
    <w:rsid w:val="00704E5C"/>
    <w:rsid w:val="00705273"/>
    <w:rsid w:val="007052A1"/>
    <w:rsid w:val="0070573A"/>
    <w:rsid w:val="007063E9"/>
    <w:rsid w:val="0070647B"/>
    <w:rsid w:val="00706BFC"/>
    <w:rsid w:val="00706CBF"/>
    <w:rsid w:val="00706FC4"/>
    <w:rsid w:val="00707788"/>
    <w:rsid w:val="00707855"/>
    <w:rsid w:val="00707AA7"/>
    <w:rsid w:val="00710416"/>
    <w:rsid w:val="00711D86"/>
    <w:rsid w:val="0071200B"/>
    <w:rsid w:val="00712125"/>
    <w:rsid w:val="0071281D"/>
    <w:rsid w:val="00712F3A"/>
    <w:rsid w:val="00713334"/>
    <w:rsid w:val="00713558"/>
    <w:rsid w:val="007139BD"/>
    <w:rsid w:val="00713AAC"/>
    <w:rsid w:val="007140F5"/>
    <w:rsid w:val="007143A2"/>
    <w:rsid w:val="007143BB"/>
    <w:rsid w:val="00714F39"/>
    <w:rsid w:val="00715059"/>
    <w:rsid w:val="00715332"/>
    <w:rsid w:val="00715635"/>
    <w:rsid w:val="007159A1"/>
    <w:rsid w:val="00715A11"/>
    <w:rsid w:val="00715B1D"/>
    <w:rsid w:val="00715C72"/>
    <w:rsid w:val="00716136"/>
    <w:rsid w:val="007169B9"/>
    <w:rsid w:val="00717473"/>
    <w:rsid w:val="00717606"/>
    <w:rsid w:val="00717872"/>
    <w:rsid w:val="00717A2C"/>
    <w:rsid w:val="00717AF0"/>
    <w:rsid w:val="0072024E"/>
    <w:rsid w:val="0072029C"/>
    <w:rsid w:val="00720417"/>
    <w:rsid w:val="00720E76"/>
    <w:rsid w:val="00721994"/>
    <w:rsid w:val="00721B19"/>
    <w:rsid w:val="007221BB"/>
    <w:rsid w:val="0072291E"/>
    <w:rsid w:val="0072299C"/>
    <w:rsid w:val="0072346B"/>
    <w:rsid w:val="0072376E"/>
    <w:rsid w:val="00723B5E"/>
    <w:rsid w:val="00723D2F"/>
    <w:rsid w:val="00723F89"/>
    <w:rsid w:val="00725641"/>
    <w:rsid w:val="00725774"/>
    <w:rsid w:val="00726078"/>
    <w:rsid w:val="007260D0"/>
    <w:rsid w:val="0072683C"/>
    <w:rsid w:val="00726C7A"/>
    <w:rsid w:val="00727617"/>
    <w:rsid w:val="007279C1"/>
    <w:rsid w:val="00727C48"/>
    <w:rsid w:val="00727C7D"/>
    <w:rsid w:val="0073018F"/>
    <w:rsid w:val="007301E9"/>
    <w:rsid w:val="00730264"/>
    <w:rsid w:val="00730750"/>
    <w:rsid w:val="0073084C"/>
    <w:rsid w:val="007310C5"/>
    <w:rsid w:val="007315E2"/>
    <w:rsid w:val="00731814"/>
    <w:rsid w:val="00731858"/>
    <w:rsid w:val="0073273A"/>
    <w:rsid w:val="00732E57"/>
    <w:rsid w:val="00733088"/>
    <w:rsid w:val="00733167"/>
    <w:rsid w:val="00733732"/>
    <w:rsid w:val="00733741"/>
    <w:rsid w:val="00733A72"/>
    <w:rsid w:val="00733A9C"/>
    <w:rsid w:val="00733CFD"/>
    <w:rsid w:val="0073408B"/>
    <w:rsid w:val="00734148"/>
    <w:rsid w:val="0073484A"/>
    <w:rsid w:val="00734C38"/>
    <w:rsid w:val="00734D57"/>
    <w:rsid w:val="00735081"/>
    <w:rsid w:val="0073514D"/>
    <w:rsid w:val="00735512"/>
    <w:rsid w:val="0073553C"/>
    <w:rsid w:val="007359FB"/>
    <w:rsid w:val="0073614D"/>
    <w:rsid w:val="007370EE"/>
    <w:rsid w:val="007407B2"/>
    <w:rsid w:val="007411D6"/>
    <w:rsid w:val="00741278"/>
    <w:rsid w:val="00741905"/>
    <w:rsid w:val="00741D0E"/>
    <w:rsid w:val="007428F3"/>
    <w:rsid w:val="00742D99"/>
    <w:rsid w:val="00742E4B"/>
    <w:rsid w:val="007439A4"/>
    <w:rsid w:val="00743E9A"/>
    <w:rsid w:val="00743F63"/>
    <w:rsid w:val="007440B1"/>
    <w:rsid w:val="00744253"/>
    <w:rsid w:val="007442E1"/>
    <w:rsid w:val="00744401"/>
    <w:rsid w:val="007445FF"/>
    <w:rsid w:val="00745A52"/>
    <w:rsid w:val="00745C6E"/>
    <w:rsid w:val="00745E41"/>
    <w:rsid w:val="00745FC7"/>
    <w:rsid w:val="0074616E"/>
    <w:rsid w:val="007461CF"/>
    <w:rsid w:val="007464D9"/>
    <w:rsid w:val="007470D7"/>
    <w:rsid w:val="0074730B"/>
    <w:rsid w:val="0074733E"/>
    <w:rsid w:val="007473F6"/>
    <w:rsid w:val="007476F9"/>
    <w:rsid w:val="00747712"/>
    <w:rsid w:val="00747BF3"/>
    <w:rsid w:val="007508C5"/>
    <w:rsid w:val="00750BE7"/>
    <w:rsid w:val="00751CEE"/>
    <w:rsid w:val="00752843"/>
    <w:rsid w:val="007532C7"/>
    <w:rsid w:val="007535DA"/>
    <w:rsid w:val="00753F88"/>
    <w:rsid w:val="00753FBA"/>
    <w:rsid w:val="0075557D"/>
    <w:rsid w:val="0075590A"/>
    <w:rsid w:val="00755C95"/>
    <w:rsid w:val="00755D2B"/>
    <w:rsid w:val="00756D3A"/>
    <w:rsid w:val="007573A3"/>
    <w:rsid w:val="00757AAE"/>
    <w:rsid w:val="00760C15"/>
    <w:rsid w:val="00760DB7"/>
    <w:rsid w:val="00760E36"/>
    <w:rsid w:val="0076171F"/>
    <w:rsid w:val="00761D86"/>
    <w:rsid w:val="007620B8"/>
    <w:rsid w:val="007623B1"/>
    <w:rsid w:val="007624E9"/>
    <w:rsid w:val="00762B25"/>
    <w:rsid w:val="00762B26"/>
    <w:rsid w:val="0076317D"/>
    <w:rsid w:val="00763BC2"/>
    <w:rsid w:val="00763DED"/>
    <w:rsid w:val="00763FBE"/>
    <w:rsid w:val="007643D1"/>
    <w:rsid w:val="0076463C"/>
    <w:rsid w:val="0076474B"/>
    <w:rsid w:val="007649BC"/>
    <w:rsid w:val="00764AC8"/>
    <w:rsid w:val="00764D2C"/>
    <w:rsid w:val="00764FDE"/>
    <w:rsid w:val="00765622"/>
    <w:rsid w:val="0076671A"/>
    <w:rsid w:val="007679CE"/>
    <w:rsid w:val="00767DD3"/>
    <w:rsid w:val="0077012D"/>
    <w:rsid w:val="00770850"/>
    <w:rsid w:val="00770E56"/>
    <w:rsid w:val="0077195A"/>
    <w:rsid w:val="007720D1"/>
    <w:rsid w:val="0077223B"/>
    <w:rsid w:val="007722C6"/>
    <w:rsid w:val="007724E9"/>
    <w:rsid w:val="00772B6B"/>
    <w:rsid w:val="00772BD8"/>
    <w:rsid w:val="00773348"/>
    <w:rsid w:val="007733F6"/>
    <w:rsid w:val="00773572"/>
    <w:rsid w:val="0077358D"/>
    <w:rsid w:val="00773874"/>
    <w:rsid w:val="00773A40"/>
    <w:rsid w:val="007741BE"/>
    <w:rsid w:val="007749AA"/>
    <w:rsid w:val="00774E81"/>
    <w:rsid w:val="0077539E"/>
    <w:rsid w:val="00776037"/>
    <w:rsid w:val="007761C9"/>
    <w:rsid w:val="00776212"/>
    <w:rsid w:val="00776D8C"/>
    <w:rsid w:val="0077702C"/>
    <w:rsid w:val="007770F2"/>
    <w:rsid w:val="007775E4"/>
    <w:rsid w:val="00780B3F"/>
    <w:rsid w:val="0078127E"/>
    <w:rsid w:val="007812F7"/>
    <w:rsid w:val="007819A1"/>
    <w:rsid w:val="00781DC1"/>
    <w:rsid w:val="00781DF3"/>
    <w:rsid w:val="007825ED"/>
    <w:rsid w:val="00782745"/>
    <w:rsid w:val="00782A81"/>
    <w:rsid w:val="007833CF"/>
    <w:rsid w:val="007835CD"/>
    <w:rsid w:val="0078455C"/>
    <w:rsid w:val="00784761"/>
    <w:rsid w:val="00784933"/>
    <w:rsid w:val="00785653"/>
    <w:rsid w:val="00785BD8"/>
    <w:rsid w:val="00785C46"/>
    <w:rsid w:val="00785D68"/>
    <w:rsid w:val="0078601A"/>
    <w:rsid w:val="0078602C"/>
    <w:rsid w:val="007865E9"/>
    <w:rsid w:val="00786A1B"/>
    <w:rsid w:val="00786ED6"/>
    <w:rsid w:val="00786FDF"/>
    <w:rsid w:val="0078743D"/>
    <w:rsid w:val="00787AB8"/>
    <w:rsid w:val="007903A9"/>
    <w:rsid w:val="007912D6"/>
    <w:rsid w:val="007918CA"/>
    <w:rsid w:val="00791E1A"/>
    <w:rsid w:val="00791E89"/>
    <w:rsid w:val="00792519"/>
    <w:rsid w:val="0079298B"/>
    <w:rsid w:val="00792CA3"/>
    <w:rsid w:val="00792E9E"/>
    <w:rsid w:val="00793006"/>
    <w:rsid w:val="00793258"/>
    <w:rsid w:val="007933E3"/>
    <w:rsid w:val="00793D50"/>
    <w:rsid w:val="00793F1C"/>
    <w:rsid w:val="007940B3"/>
    <w:rsid w:val="00794110"/>
    <w:rsid w:val="00794699"/>
    <w:rsid w:val="0079487B"/>
    <w:rsid w:val="00794BC8"/>
    <w:rsid w:val="00794C15"/>
    <w:rsid w:val="00794E57"/>
    <w:rsid w:val="0079549E"/>
    <w:rsid w:val="00795B7D"/>
    <w:rsid w:val="00795CA2"/>
    <w:rsid w:val="007961A1"/>
    <w:rsid w:val="007964E7"/>
    <w:rsid w:val="007966FA"/>
    <w:rsid w:val="00796705"/>
    <w:rsid w:val="00796F1E"/>
    <w:rsid w:val="00797688"/>
    <w:rsid w:val="007977EF"/>
    <w:rsid w:val="00797E01"/>
    <w:rsid w:val="007A07F1"/>
    <w:rsid w:val="007A0F16"/>
    <w:rsid w:val="007A2378"/>
    <w:rsid w:val="007A294B"/>
    <w:rsid w:val="007A2A08"/>
    <w:rsid w:val="007A2C4B"/>
    <w:rsid w:val="007A33E0"/>
    <w:rsid w:val="007A354E"/>
    <w:rsid w:val="007A3618"/>
    <w:rsid w:val="007A386A"/>
    <w:rsid w:val="007A3B96"/>
    <w:rsid w:val="007A41A7"/>
    <w:rsid w:val="007A4667"/>
    <w:rsid w:val="007A53A0"/>
    <w:rsid w:val="007A54C4"/>
    <w:rsid w:val="007A574B"/>
    <w:rsid w:val="007A5894"/>
    <w:rsid w:val="007A5BF1"/>
    <w:rsid w:val="007A5D21"/>
    <w:rsid w:val="007A6473"/>
    <w:rsid w:val="007A6871"/>
    <w:rsid w:val="007A69F4"/>
    <w:rsid w:val="007A6D7B"/>
    <w:rsid w:val="007A7244"/>
    <w:rsid w:val="007A73C3"/>
    <w:rsid w:val="007A7BF9"/>
    <w:rsid w:val="007A7C20"/>
    <w:rsid w:val="007A7C32"/>
    <w:rsid w:val="007A7D79"/>
    <w:rsid w:val="007B07CA"/>
    <w:rsid w:val="007B0857"/>
    <w:rsid w:val="007B0B74"/>
    <w:rsid w:val="007B0D85"/>
    <w:rsid w:val="007B1E05"/>
    <w:rsid w:val="007B2579"/>
    <w:rsid w:val="007B2781"/>
    <w:rsid w:val="007B3162"/>
    <w:rsid w:val="007B32E8"/>
    <w:rsid w:val="007B35B2"/>
    <w:rsid w:val="007B3F8D"/>
    <w:rsid w:val="007B4112"/>
    <w:rsid w:val="007B425A"/>
    <w:rsid w:val="007B4274"/>
    <w:rsid w:val="007B54C1"/>
    <w:rsid w:val="007B556A"/>
    <w:rsid w:val="007B5FF0"/>
    <w:rsid w:val="007B60EA"/>
    <w:rsid w:val="007B617F"/>
    <w:rsid w:val="007B6180"/>
    <w:rsid w:val="007B6668"/>
    <w:rsid w:val="007B71F0"/>
    <w:rsid w:val="007B7634"/>
    <w:rsid w:val="007B7649"/>
    <w:rsid w:val="007B76A8"/>
    <w:rsid w:val="007B7DD0"/>
    <w:rsid w:val="007C035A"/>
    <w:rsid w:val="007C03AD"/>
    <w:rsid w:val="007C0D25"/>
    <w:rsid w:val="007C1104"/>
    <w:rsid w:val="007C14F6"/>
    <w:rsid w:val="007C14FD"/>
    <w:rsid w:val="007C181E"/>
    <w:rsid w:val="007C1D2B"/>
    <w:rsid w:val="007C1F53"/>
    <w:rsid w:val="007C2AC4"/>
    <w:rsid w:val="007C316F"/>
    <w:rsid w:val="007C3267"/>
    <w:rsid w:val="007C32FD"/>
    <w:rsid w:val="007C357F"/>
    <w:rsid w:val="007C386F"/>
    <w:rsid w:val="007C3B99"/>
    <w:rsid w:val="007C3E0C"/>
    <w:rsid w:val="007C3E3B"/>
    <w:rsid w:val="007C4ADB"/>
    <w:rsid w:val="007C512E"/>
    <w:rsid w:val="007C5595"/>
    <w:rsid w:val="007C55BC"/>
    <w:rsid w:val="007C5E12"/>
    <w:rsid w:val="007C6007"/>
    <w:rsid w:val="007C61F0"/>
    <w:rsid w:val="007C640D"/>
    <w:rsid w:val="007C6694"/>
    <w:rsid w:val="007C67AF"/>
    <w:rsid w:val="007C681D"/>
    <w:rsid w:val="007C684B"/>
    <w:rsid w:val="007C6897"/>
    <w:rsid w:val="007C6FB3"/>
    <w:rsid w:val="007C7064"/>
    <w:rsid w:val="007C712A"/>
    <w:rsid w:val="007C74FD"/>
    <w:rsid w:val="007C7BAC"/>
    <w:rsid w:val="007D004C"/>
    <w:rsid w:val="007D00CD"/>
    <w:rsid w:val="007D0373"/>
    <w:rsid w:val="007D03F6"/>
    <w:rsid w:val="007D0A59"/>
    <w:rsid w:val="007D0E52"/>
    <w:rsid w:val="007D12DE"/>
    <w:rsid w:val="007D21DC"/>
    <w:rsid w:val="007D28DC"/>
    <w:rsid w:val="007D29D0"/>
    <w:rsid w:val="007D2D72"/>
    <w:rsid w:val="007D2F32"/>
    <w:rsid w:val="007D33D1"/>
    <w:rsid w:val="007D37AC"/>
    <w:rsid w:val="007D382B"/>
    <w:rsid w:val="007D3BC4"/>
    <w:rsid w:val="007D3D22"/>
    <w:rsid w:val="007D456E"/>
    <w:rsid w:val="007D463C"/>
    <w:rsid w:val="007D4E93"/>
    <w:rsid w:val="007D739D"/>
    <w:rsid w:val="007D75D6"/>
    <w:rsid w:val="007D78EC"/>
    <w:rsid w:val="007D7CA1"/>
    <w:rsid w:val="007D7E76"/>
    <w:rsid w:val="007E06D1"/>
    <w:rsid w:val="007E09CF"/>
    <w:rsid w:val="007E0D31"/>
    <w:rsid w:val="007E1D16"/>
    <w:rsid w:val="007E210E"/>
    <w:rsid w:val="007E21E2"/>
    <w:rsid w:val="007E2BDD"/>
    <w:rsid w:val="007E2ED6"/>
    <w:rsid w:val="007E2F9B"/>
    <w:rsid w:val="007E3624"/>
    <w:rsid w:val="007E3F34"/>
    <w:rsid w:val="007E430C"/>
    <w:rsid w:val="007E4543"/>
    <w:rsid w:val="007E4D3A"/>
    <w:rsid w:val="007E5100"/>
    <w:rsid w:val="007E53F5"/>
    <w:rsid w:val="007E59CE"/>
    <w:rsid w:val="007E5AFB"/>
    <w:rsid w:val="007E5BF8"/>
    <w:rsid w:val="007E6A75"/>
    <w:rsid w:val="007E78E5"/>
    <w:rsid w:val="007E7931"/>
    <w:rsid w:val="007F01F3"/>
    <w:rsid w:val="007F0447"/>
    <w:rsid w:val="007F0497"/>
    <w:rsid w:val="007F06A2"/>
    <w:rsid w:val="007F0890"/>
    <w:rsid w:val="007F0D50"/>
    <w:rsid w:val="007F0DBC"/>
    <w:rsid w:val="007F1CA6"/>
    <w:rsid w:val="007F1DDB"/>
    <w:rsid w:val="007F20A6"/>
    <w:rsid w:val="007F21E0"/>
    <w:rsid w:val="007F24DC"/>
    <w:rsid w:val="007F269C"/>
    <w:rsid w:val="007F2B02"/>
    <w:rsid w:val="007F3711"/>
    <w:rsid w:val="007F37E0"/>
    <w:rsid w:val="007F39A8"/>
    <w:rsid w:val="007F3C15"/>
    <w:rsid w:val="007F43E5"/>
    <w:rsid w:val="007F4934"/>
    <w:rsid w:val="007F4ADD"/>
    <w:rsid w:val="007F55AA"/>
    <w:rsid w:val="007F589E"/>
    <w:rsid w:val="007F59C5"/>
    <w:rsid w:val="007F5ADF"/>
    <w:rsid w:val="007F5ED3"/>
    <w:rsid w:val="007F60CA"/>
    <w:rsid w:val="007F62E2"/>
    <w:rsid w:val="007F6778"/>
    <w:rsid w:val="007F6FD1"/>
    <w:rsid w:val="007F7873"/>
    <w:rsid w:val="00800130"/>
    <w:rsid w:val="00800EB6"/>
    <w:rsid w:val="0080109C"/>
    <w:rsid w:val="008013DF"/>
    <w:rsid w:val="00801534"/>
    <w:rsid w:val="0080167F"/>
    <w:rsid w:val="008018E3"/>
    <w:rsid w:val="00801D25"/>
    <w:rsid w:val="00801F8A"/>
    <w:rsid w:val="00802001"/>
    <w:rsid w:val="008027AF"/>
    <w:rsid w:val="008028F3"/>
    <w:rsid w:val="008029A1"/>
    <w:rsid w:val="00802C36"/>
    <w:rsid w:val="008032BC"/>
    <w:rsid w:val="00803439"/>
    <w:rsid w:val="0080356C"/>
    <w:rsid w:val="00803920"/>
    <w:rsid w:val="008039EC"/>
    <w:rsid w:val="00803FE4"/>
    <w:rsid w:val="00804528"/>
    <w:rsid w:val="00804982"/>
    <w:rsid w:val="00804A74"/>
    <w:rsid w:val="00804CCE"/>
    <w:rsid w:val="00804E22"/>
    <w:rsid w:val="00804E8F"/>
    <w:rsid w:val="00804FF7"/>
    <w:rsid w:val="00805255"/>
    <w:rsid w:val="00805DB7"/>
    <w:rsid w:val="008066C5"/>
    <w:rsid w:val="00806E12"/>
    <w:rsid w:val="00806E70"/>
    <w:rsid w:val="008070E0"/>
    <w:rsid w:val="00807222"/>
    <w:rsid w:val="00807438"/>
    <w:rsid w:val="008077DC"/>
    <w:rsid w:val="0080780A"/>
    <w:rsid w:val="008078BB"/>
    <w:rsid w:val="00807DAA"/>
    <w:rsid w:val="00810934"/>
    <w:rsid w:val="00810D31"/>
    <w:rsid w:val="0081165A"/>
    <w:rsid w:val="00811897"/>
    <w:rsid w:val="0081199C"/>
    <w:rsid w:val="00811A41"/>
    <w:rsid w:val="00812126"/>
    <w:rsid w:val="0081247B"/>
    <w:rsid w:val="0081265A"/>
    <w:rsid w:val="008127D2"/>
    <w:rsid w:val="00812A1E"/>
    <w:rsid w:val="00812ABB"/>
    <w:rsid w:val="00812C1B"/>
    <w:rsid w:val="00812D89"/>
    <w:rsid w:val="00812F9E"/>
    <w:rsid w:val="0081304A"/>
    <w:rsid w:val="00813129"/>
    <w:rsid w:val="00813145"/>
    <w:rsid w:val="008140F0"/>
    <w:rsid w:val="00814506"/>
    <w:rsid w:val="00814EB6"/>
    <w:rsid w:val="0081529B"/>
    <w:rsid w:val="0081569E"/>
    <w:rsid w:val="00815E9E"/>
    <w:rsid w:val="0081613D"/>
    <w:rsid w:val="008167C6"/>
    <w:rsid w:val="00816BEF"/>
    <w:rsid w:val="00817143"/>
    <w:rsid w:val="008174EB"/>
    <w:rsid w:val="008179A4"/>
    <w:rsid w:val="00817D05"/>
    <w:rsid w:val="008200A3"/>
    <w:rsid w:val="008200CF"/>
    <w:rsid w:val="008200F4"/>
    <w:rsid w:val="008201E9"/>
    <w:rsid w:val="00820307"/>
    <w:rsid w:val="00820435"/>
    <w:rsid w:val="008204D9"/>
    <w:rsid w:val="00820673"/>
    <w:rsid w:val="00820AD4"/>
    <w:rsid w:val="00820D0B"/>
    <w:rsid w:val="008210E5"/>
    <w:rsid w:val="0082153B"/>
    <w:rsid w:val="00821747"/>
    <w:rsid w:val="00821971"/>
    <w:rsid w:val="00821A68"/>
    <w:rsid w:val="00821C8F"/>
    <w:rsid w:val="00821F1C"/>
    <w:rsid w:val="00822223"/>
    <w:rsid w:val="00822EA4"/>
    <w:rsid w:val="00823192"/>
    <w:rsid w:val="0082321A"/>
    <w:rsid w:val="008237AE"/>
    <w:rsid w:val="00824A22"/>
    <w:rsid w:val="00824E9D"/>
    <w:rsid w:val="008251B1"/>
    <w:rsid w:val="008253A6"/>
    <w:rsid w:val="00825458"/>
    <w:rsid w:val="0082562D"/>
    <w:rsid w:val="00825C04"/>
    <w:rsid w:val="008265EA"/>
    <w:rsid w:val="00826CAE"/>
    <w:rsid w:val="00826E0B"/>
    <w:rsid w:val="00827034"/>
    <w:rsid w:val="0082751D"/>
    <w:rsid w:val="008277C3"/>
    <w:rsid w:val="008300FA"/>
    <w:rsid w:val="00830160"/>
    <w:rsid w:val="00830A4B"/>
    <w:rsid w:val="00830B99"/>
    <w:rsid w:val="00830F95"/>
    <w:rsid w:val="00830FC8"/>
    <w:rsid w:val="00831C9C"/>
    <w:rsid w:val="00832B47"/>
    <w:rsid w:val="00832BEA"/>
    <w:rsid w:val="00833B01"/>
    <w:rsid w:val="00834327"/>
    <w:rsid w:val="008343B1"/>
    <w:rsid w:val="00834424"/>
    <w:rsid w:val="00834426"/>
    <w:rsid w:val="0083468E"/>
    <w:rsid w:val="008346F6"/>
    <w:rsid w:val="00834CC8"/>
    <w:rsid w:val="00834EF3"/>
    <w:rsid w:val="00834F52"/>
    <w:rsid w:val="00834F5F"/>
    <w:rsid w:val="00834FEB"/>
    <w:rsid w:val="00835018"/>
    <w:rsid w:val="0083552A"/>
    <w:rsid w:val="00835622"/>
    <w:rsid w:val="00835924"/>
    <w:rsid w:val="00835FD4"/>
    <w:rsid w:val="008366F1"/>
    <w:rsid w:val="0083674D"/>
    <w:rsid w:val="0083677D"/>
    <w:rsid w:val="00836985"/>
    <w:rsid w:val="00836F14"/>
    <w:rsid w:val="00837040"/>
    <w:rsid w:val="00837121"/>
    <w:rsid w:val="0083783F"/>
    <w:rsid w:val="00837ADC"/>
    <w:rsid w:val="00837BF1"/>
    <w:rsid w:val="00840274"/>
    <w:rsid w:val="0084031A"/>
    <w:rsid w:val="008404A8"/>
    <w:rsid w:val="0084082F"/>
    <w:rsid w:val="0084087E"/>
    <w:rsid w:val="0084091B"/>
    <w:rsid w:val="00840BAB"/>
    <w:rsid w:val="00840C5C"/>
    <w:rsid w:val="008413F6"/>
    <w:rsid w:val="0084168B"/>
    <w:rsid w:val="008428FD"/>
    <w:rsid w:val="0084306B"/>
    <w:rsid w:val="00843246"/>
    <w:rsid w:val="008439D8"/>
    <w:rsid w:val="00843A05"/>
    <w:rsid w:val="0084453A"/>
    <w:rsid w:val="008446E6"/>
    <w:rsid w:val="0084478B"/>
    <w:rsid w:val="00844958"/>
    <w:rsid w:val="0084525E"/>
    <w:rsid w:val="0084609B"/>
    <w:rsid w:val="00846473"/>
    <w:rsid w:val="008464A9"/>
    <w:rsid w:val="00847068"/>
    <w:rsid w:val="00847172"/>
    <w:rsid w:val="00847627"/>
    <w:rsid w:val="008502F4"/>
    <w:rsid w:val="00851D33"/>
    <w:rsid w:val="00852556"/>
    <w:rsid w:val="008528C5"/>
    <w:rsid w:val="008533D9"/>
    <w:rsid w:val="00854837"/>
    <w:rsid w:val="00854BC6"/>
    <w:rsid w:val="008559DF"/>
    <w:rsid w:val="00855CB3"/>
    <w:rsid w:val="00855DBE"/>
    <w:rsid w:val="00855E40"/>
    <w:rsid w:val="00855E57"/>
    <w:rsid w:val="00855E5F"/>
    <w:rsid w:val="00856199"/>
    <w:rsid w:val="0085636F"/>
    <w:rsid w:val="00856E8A"/>
    <w:rsid w:val="00856FB9"/>
    <w:rsid w:val="00857C9D"/>
    <w:rsid w:val="0086051B"/>
    <w:rsid w:val="008606A3"/>
    <w:rsid w:val="00860794"/>
    <w:rsid w:val="00860C8E"/>
    <w:rsid w:val="00860CF8"/>
    <w:rsid w:val="00860DCC"/>
    <w:rsid w:val="00861401"/>
    <w:rsid w:val="0086152A"/>
    <w:rsid w:val="00861FAA"/>
    <w:rsid w:val="008624CD"/>
    <w:rsid w:val="00862F3F"/>
    <w:rsid w:val="00863037"/>
    <w:rsid w:val="00863429"/>
    <w:rsid w:val="00863557"/>
    <w:rsid w:val="0086359F"/>
    <w:rsid w:val="0086390F"/>
    <w:rsid w:val="00863D38"/>
    <w:rsid w:val="00864682"/>
    <w:rsid w:val="00864EAB"/>
    <w:rsid w:val="00866480"/>
    <w:rsid w:val="008666DF"/>
    <w:rsid w:val="008667A4"/>
    <w:rsid w:val="00866BB2"/>
    <w:rsid w:val="00866D5A"/>
    <w:rsid w:val="00866EEA"/>
    <w:rsid w:val="00867331"/>
    <w:rsid w:val="00867638"/>
    <w:rsid w:val="008678A3"/>
    <w:rsid w:val="0086797D"/>
    <w:rsid w:val="00867AB2"/>
    <w:rsid w:val="0087017F"/>
    <w:rsid w:val="00870DD6"/>
    <w:rsid w:val="0087152B"/>
    <w:rsid w:val="0087164C"/>
    <w:rsid w:val="00871675"/>
    <w:rsid w:val="008717D0"/>
    <w:rsid w:val="00871EA4"/>
    <w:rsid w:val="00871FD8"/>
    <w:rsid w:val="00872033"/>
    <w:rsid w:val="008724EA"/>
    <w:rsid w:val="00872573"/>
    <w:rsid w:val="00872C43"/>
    <w:rsid w:val="0087307F"/>
    <w:rsid w:val="008732FE"/>
    <w:rsid w:val="00873FED"/>
    <w:rsid w:val="008743A7"/>
    <w:rsid w:val="008754EA"/>
    <w:rsid w:val="00875871"/>
    <w:rsid w:val="00875AD5"/>
    <w:rsid w:val="00875C43"/>
    <w:rsid w:val="00876245"/>
    <w:rsid w:val="008762A8"/>
    <w:rsid w:val="00876375"/>
    <w:rsid w:val="00877391"/>
    <w:rsid w:val="00877525"/>
    <w:rsid w:val="008775E3"/>
    <w:rsid w:val="00877A44"/>
    <w:rsid w:val="00877D89"/>
    <w:rsid w:val="00877F16"/>
    <w:rsid w:val="00877FA3"/>
    <w:rsid w:val="008807DB"/>
    <w:rsid w:val="00881053"/>
    <w:rsid w:val="008810B1"/>
    <w:rsid w:val="008810EE"/>
    <w:rsid w:val="0088139E"/>
    <w:rsid w:val="008819E4"/>
    <w:rsid w:val="00881C1F"/>
    <w:rsid w:val="00881E46"/>
    <w:rsid w:val="00882128"/>
    <w:rsid w:val="00882149"/>
    <w:rsid w:val="00882FB7"/>
    <w:rsid w:val="008833B3"/>
    <w:rsid w:val="00883BD4"/>
    <w:rsid w:val="008846BC"/>
    <w:rsid w:val="00884C6B"/>
    <w:rsid w:val="008850F6"/>
    <w:rsid w:val="008858A4"/>
    <w:rsid w:val="00885AD2"/>
    <w:rsid w:val="00885CFB"/>
    <w:rsid w:val="00885DF0"/>
    <w:rsid w:val="00886D2E"/>
    <w:rsid w:val="008900F8"/>
    <w:rsid w:val="008909BD"/>
    <w:rsid w:val="00890B8D"/>
    <w:rsid w:val="008911FF"/>
    <w:rsid w:val="008917FE"/>
    <w:rsid w:val="00891C2C"/>
    <w:rsid w:val="00891F6B"/>
    <w:rsid w:val="008921D3"/>
    <w:rsid w:val="008921E0"/>
    <w:rsid w:val="008922D3"/>
    <w:rsid w:val="008931ED"/>
    <w:rsid w:val="008933BF"/>
    <w:rsid w:val="0089346A"/>
    <w:rsid w:val="0089369F"/>
    <w:rsid w:val="008939DD"/>
    <w:rsid w:val="008943B5"/>
    <w:rsid w:val="0089443D"/>
    <w:rsid w:val="00894D15"/>
    <w:rsid w:val="0089521E"/>
    <w:rsid w:val="008953C6"/>
    <w:rsid w:val="00895886"/>
    <w:rsid w:val="00895989"/>
    <w:rsid w:val="00895DE5"/>
    <w:rsid w:val="008963AC"/>
    <w:rsid w:val="00896418"/>
    <w:rsid w:val="00896BDD"/>
    <w:rsid w:val="00897B45"/>
    <w:rsid w:val="00897D0C"/>
    <w:rsid w:val="008A06DE"/>
    <w:rsid w:val="008A0D3E"/>
    <w:rsid w:val="008A20B3"/>
    <w:rsid w:val="008A21C0"/>
    <w:rsid w:val="008A297E"/>
    <w:rsid w:val="008A3A59"/>
    <w:rsid w:val="008A41A9"/>
    <w:rsid w:val="008A45C3"/>
    <w:rsid w:val="008A48CC"/>
    <w:rsid w:val="008A4CA1"/>
    <w:rsid w:val="008A5B25"/>
    <w:rsid w:val="008A618A"/>
    <w:rsid w:val="008A6256"/>
    <w:rsid w:val="008A6C55"/>
    <w:rsid w:val="008A7228"/>
    <w:rsid w:val="008A77B3"/>
    <w:rsid w:val="008A7B8E"/>
    <w:rsid w:val="008A7E9B"/>
    <w:rsid w:val="008B0273"/>
    <w:rsid w:val="008B07DF"/>
    <w:rsid w:val="008B0D25"/>
    <w:rsid w:val="008B19BF"/>
    <w:rsid w:val="008B264C"/>
    <w:rsid w:val="008B3490"/>
    <w:rsid w:val="008B3BCD"/>
    <w:rsid w:val="008B3CDA"/>
    <w:rsid w:val="008B45F7"/>
    <w:rsid w:val="008B51CE"/>
    <w:rsid w:val="008B55D1"/>
    <w:rsid w:val="008B5886"/>
    <w:rsid w:val="008B6158"/>
    <w:rsid w:val="008B6933"/>
    <w:rsid w:val="008B6FC6"/>
    <w:rsid w:val="008B74F2"/>
    <w:rsid w:val="008B78A8"/>
    <w:rsid w:val="008B79CA"/>
    <w:rsid w:val="008B7AEB"/>
    <w:rsid w:val="008B7CD9"/>
    <w:rsid w:val="008C03A1"/>
    <w:rsid w:val="008C0424"/>
    <w:rsid w:val="008C0DA7"/>
    <w:rsid w:val="008C0F0C"/>
    <w:rsid w:val="008C136D"/>
    <w:rsid w:val="008C1587"/>
    <w:rsid w:val="008C19A2"/>
    <w:rsid w:val="008C1A33"/>
    <w:rsid w:val="008C2933"/>
    <w:rsid w:val="008C2944"/>
    <w:rsid w:val="008C2980"/>
    <w:rsid w:val="008C29B8"/>
    <w:rsid w:val="008C2DC8"/>
    <w:rsid w:val="008C35D1"/>
    <w:rsid w:val="008C36EA"/>
    <w:rsid w:val="008C3E77"/>
    <w:rsid w:val="008C41EF"/>
    <w:rsid w:val="008C5A92"/>
    <w:rsid w:val="008C6C75"/>
    <w:rsid w:val="008C7708"/>
    <w:rsid w:val="008C7D60"/>
    <w:rsid w:val="008C7DB1"/>
    <w:rsid w:val="008D038B"/>
    <w:rsid w:val="008D072F"/>
    <w:rsid w:val="008D07F5"/>
    <w:rsid w:val="008D0D51"/>
    <w:rsid w:val="008D1018"/>
    <w:rsid w:val="008D1048"/>
    <w:rsid w:val="008D1346"/>
    <w:rsid w:val="008D14EC"/>
    <w:rsid w:val="008D188B"/>
    <w:rsid w:val="008D21CB"/>
    <w:rsid w:val="008D264D"/>
    <w:rsid w:val="008D2957"/>
    <w:rsid w:val="008D2CFF"/>
    <w:rsid w:val="008D3F80"/>
    <w:rsid w:val="008D41DA"/>
    <w:rsid w:val="008D42FA"/>
    <w:rsid w:val="008D45E8"/>
    <w:rsid w:val="008D497B"/>
    <w:rsid w:val="008D49BC"/>
    <w:rsid w:val="008D50D7"/>
    <w:rsid w:val="008D54C6"/>
    <w:rsid w:val="008D58B3"/>
    <w:rsid w:val="008D5BE7"/>
    <w:rsid w:val="008D5E2D"/>
    <w:rsid w:val="008D605F"/>
    <w:rsid w:val="008D6D3B"/>
    <w:rsid w:val="008D6E1A"/>
    <w:rsid w:val="008D6FBD"/>
    <w:rsid w:val="008D7316"/>
    <w:rsid w:val="008D73C9"/>
    <w:rsid w:val="008E004E"/>
    <w:rsid w:val="008E05BE"/>
    <w:rsid w:val="008E0636"/>
    <w:rsid w:val="008E0A8C"/>
    <w:rsid w:val="008E1003"/>
    <w:rsid w:val="008E129D"/>
    <w:rsid w:val="008E1F32"/>
    <w:rsid w:val="008E2443"/>
    <w:rsid w:val="008E254B"/>
    <w:rsid w:val="008E256C"/>
    <w:rsid w:val="008E2FB0"/>
    <w:rsid w:val="008E340B"/>
    <w:rsid w:val="008E349D"/>
    <w:rsid w:val="008E397D"/>
    <w:rsid w:val="008E3C7D"/>
    <w:rsid w:val="008E419B"/>
    <w:rsid w:val="008E44D9"/>
    <w:rsid w:val="008E48F0"/>
    <w:rsid w:val="008E4D8A"/>
    <w:rsid w:val="008E4DD1"/>
    <w:rsid w:val="008E54F8"/>
    <w:rsid w:val="008E598B"/>
    <w:rsid w:val="008E59CB"/>
    <w:rsid w:val="008E60C1"/>
    <w:rsid w:val="008E60C9"/>
    <w:rsid w:val="008E64F1"/>
    <w:rsid w:val="008E70C9"/>
    <w:rsid w:val="008E765A"/>
    <w:rsid w:val="008E76C4"/>
    <w:rsid w:val="008E7A07"/>
    <w:rsid w:val="008E7C62"/>
    <w:rsid w:val="008F0430"/>
    <w:rsid w:val="008F175B"/>
    <w:rsid w:val="008F200D"/>
    <w:rsid w:val="008F288B"/>
    <w:rsid w:val="008F2F17"/>
    <w:rsid w:val="008F45C3"/>
    <w:rsid w:val="008F46CD"/>
    <w:rsid w:val="008F48C3"/>
    <w:rsid w:val="008F4978"/>
    <w:rsid w:val="008F4A28"/>
    <w:rsid w:val="008F5017"/>
    <w:rsid w:val="008F53AA"/>
    <w:rsid w:val="008F5694"/>
    <w:rsid w:val="008F56C7"/>
    <w:rsid w:val="008F592C"/>
    <w:rsid w:val="008F5C36"/>
    <w:rsid w:val="008F5DDC"/>
    <w:rsid w:val="008F6C54"/>
    <w:rsid w:val="008F6F7D"/>
    <w:rsid w:val="008F70B4"/>
    <w:rsid w:val="008F721D"/>
    <w:rsid w:val="008F7345"/>
    <w:rsid w:val="008F7825"/>
    <w:rsid w:val="008F7C21"/>
    <w:rsid w:val="008F7D38"/>
    <w:rsid w:val="009001F2"/>
    <w:rsid w:val="0090030F"/>
    <w:rsid w:val="00900BAE"/>
    <w:rsid w:val="00901823"/>
    <w:rsid w:val="009018AF"/>
    <w:rsid w:val="00901A45"/>
    <w:rsid w:val="00902816"/>
    <w:rsid w:val="00902965"/>
    <w:rsid w:val="00902A33"/>
    <w:rsid w:val="00903392"/>
    <w:rsid w:val="0090392E"/>
    <w:rsid w:val="009039A4"/>
    <w:rsid w:val="00903F97"/>
    <w:rsid w:val="009046B2"/>
    <w:rsid w:val="00904785"/>
    <w:rsid w:val="009050EA"/>
    <w:rsid w:val="00905D8E"/>
    <w:rsid w:val="009061B1"/>
    <w:rsid w:val="0090626A"/>
    <w:rsid w:val="009063ED"/>
    <w:rsid w:val="009075D6"/>
    <w:rsid w:val="0090764A"/>
    <w:rsid w:val="009105DA"/>
    <w:rsid w:val="00910B35"/>
    <w:rsid w:val="00910E71"/>
    <w:rsid w:val="00910EBA"/>
    <w:rsid w:val="00911850"/>
    <w:rsid w:val="00911AE7"/>
    <w:rsid w:val="00912FFD"/>
    <w:rsid w:val="0091322D"/>
    <w:rsid w:val="0091361D"/>
    <w:rsid w:val="00913631"/>
    <w:rsid w:val="00913801"/>
    <w:rsid w:val="009139AE"/>
    <w:rsid w:val="00913A62"/>
    <w:rsid w:val="00913CEE"/>
    <w:rsid w:val="00913F85"/>
    <w:rsid w:val="00914308"/>
    <w:rsid w:val="009145ED"/>
    <w:rsid w:val="00914A22"/>
    <w:rsid w:val="00914B97"/>
    <w:rsid w:val="00914D25"/>
    <w:rsid w:val="00915095"/>
    <w:rsid w:val="00915196"/>
    <w:rsid w:val="0091523F"/>
    <w:rsid w:val="00915265"/>
    <w:rsid w:val="009162EA"/>
    <w:rsid w:val="00916779"/>
    <w:rsid w:val="00916B30"/>
    <w:rsid w:val="0091700E"/>
    <w:rsid w:val="009172A8"/>
    <w:rsid w:val="00917900"/>
    <w:rsid w:val="00917AF6"/>
    <w:rsid w:val="00917E10"/>
    <w:rsid w:val="0092041D"/>
    <w:rsid w:val="00920C97"/>
    <w:rsid w:val="00921475"/>
    <w:rsid w:val="00921651"/>
    <w:rsid w:val="0092176E"/>
    <w:rsid w:val="00921A3F"/>
    <w:rsid w:val="00921E4E"/>
    <w:rsid w:val="00921F1E"/>
    <w:rsid w:val="00922E09"/>
    <w:rsid w:val="00922EC7"/>
    <w:rsid w:val="009230AA"/>
    <w:rsid w:val="009231C2"/>
    <w:rsid w:val="009236A5"/>
    <w:rsid w:val="00923D1D"/>
    <w:rsid w:val="009240EE"/>
    <w:rsid w:val="009252E9"/>
    <w:rsid w:val="009258B9"/>
    <w:rsid w:val="00925A2E"/>
    <w:rsid w:val="00925E0A"/>
    <w:rsid w:val="00926254"/>
    <w:rsid w:val="0092635F"/>
    <w:rsid w:val="00926447"/>
    <w:rsid w:val="00926546"/>
    <w:rsid w:val="00926B8F"/>
    <w:rsid w:val="00926BB6"/>
    <w:rsid w:val="0092719C"/>
    <w:rsid w:val="0092747F"/>
    <w:rsid w:val="0092767B"/>
    <w:rsid w:val="00927A45"/>
    <w:rsid w:val="00927EE0"/>
    <w:rsid w:val="00930571"/>
    <w:rsid w:val="009309E2"/>
    <w:rsid w:val="00930AD3"/>
    <w:rsid w:val="00930DC8"/>
    <w:rsid w:val="00931E7D"/>
    <w:rsid w:val="009330DB"/>
    <w:rsid w:val="00933166"/>
    <w:rsid w:val="0093330B"/>
    <w:rsid w:val="009337BF"/>
    <w:rsid w:val="009337F4"/>
    <w:rsid w:val="00933FE6"/>
    <w:rsid w:val="009341F5"/>
    <w:rsid w:val="00934663"/>
    <w:rsid w:val="009347D5"/>
    <w:rsid w:val="009347E6"/>
    <w:rsid w:val="00934D84"/>
    <w:rsid w:val="009350E4"/>
    <w:rsid w:val="00935301"/>
    <w:rsid w:val="0093539A"/>
    <w:rsid w:val="009353FF"/>
    <w:rsid w:val="0093559F"/>
    <w:rsid w:val="009356D8"/>
    <w:rsid w:val="00935970"/>
    <w:rsid w:val="00935997"/>
    <w:rsid w:val="00935EB2"/>
    <w:rsid w:val="00935ED5"/>
    <w:rsid w:val="00935FAB"/>
    <w:rsid w:val="009363E9"/>
    <w:rsid w:val="00936F8D"/>
    <w:rsid w:val="0093711A"/>
    <w:rsid w:val="009371BA"/>
    <w:rsid w:val="0093725D"/>
    <w:rsid w:val="0093742E"/>
    <w:rsid w:val="0093797A"/>
    <w:rsid w:val="009379C3"/>
    <w:rsid w:val="00940224"/>
    <w:rsid w:val="009404E7"/>
    <w:rsid w:val="00940639"/>
    <w:rsid w:val="00940665"/>
    <w:rsid w:val="0094094A"/>
    <w:rsid w:val="00940C6C"/>
    <w:rsid w:val="00940F96"/>
    <w:rsid w:val="009413F3"/>
    <w:rsid w:val="00941FA5"/>
    <w:rsid w:val="00942D01"/>
    <w:rsid w:val="009432B7"/>
    <w:rsid w:val="009442F9"/>
    <w:rsid w:val="009442FD"/>
    <w:rsid w:val="009444D2"/>
    <w:rsid w:val="009449D5"/>
    <w:rsid w:val="00944A9C"/>
    <w:rsid w:val="00944C5E"/>
    <w:rsid w:val="00944CC8"/>
    <w:rsid w:val="0094549D"/>
    <w:rsid w:val="00945AF4"/>
    <w:rsid w:val="0094618B"/>
    <w:rsid w:val="00946910"/>
    <w:rsid w:val="00946DC8"/>
    <w:rsid w:val="00947130"/>
    <w:rsid w:val="00947499"/>
    <w:rsid w:val="009477DE"/>
    <w:rsid w:val="00947BE7"/>
    <w:rsid w:val="00947BFA"/>
    <w:rsid w:val="0095033D"/>
    <w:rsid w:val="009507E6"/>
    <w:rsid w:val="009508EB"/>
    <w:rsid w:val="00950D92"/>
    <w:rsid w:val="00951153"/>
    <w:rsid w:val="00951328"/>
    <w:rsid w:val="0095155F"/>
    <w:rsid w:val="00951667"/>
    <w:rsid w:val="00951F70"/>
    <w:rsid w:val="009522F3"/>
    <w:rsid w:val="00952A5D"/>
    <w:rsid w:val="00953026"/>
    <w:rsid w:val="0095369E"/>
    <w:rsid w:val="00954083"/>
    <w:rsid w:val="009545F3"/>
    <w:rsid w:val="00954E0A"/>
    <w:rsid w:val="00954EEB"/>
    <w:rsid w:val="00954F9A"/>
    <w:rsid w:val="00954FC8"/>
    <w:rsid w:val="009559C2"/>
    <w:rsid w:val="009559D6"/>
    <w:rsid w:val="009563CA"/>
    <w:rsid w:val="00956AB5"/>
    <w:rsid w:val="00957E45"/>
    <w:rsid w:val="00957EC1"/>
    <w:rsid w:val="00957F78"/>
    <w:rsid w:val="00957F9F"/>
    <w:rsid w:val="00960350"/>
    <w:rsid w:val="009605C4"/>
    <w:rsid w:val="0096075F"/>
    <w:rsid w:val="009608A3"/>
    <w:rsid w:val="00960978"/>
    <w:rsid w:val="00960989"/>
    <w:rsid w:val="00960ACA"/>
    <w:rsid w:val="009612B6"/>
    <w:rsid w:val="0096225E"/>
    <w:rsid w:val="00962DCA"/>
    <w:rsid w:val="00962ED2"/>
    <w:rsid w:val="00963630"/>
    <w:rsid w:val="00963743"/>
    <w:rsid w:val="00963A1C"/>
    <w:rsid w:val="00963BB0"/>
    <w:rsid w:val="00964B2E"/>
    <w:rsid w:val="009650C8"/>
    <w:rsid w:val="0096531F"/>
    <w:rsid w:val="00965EC5"/>
    <w:rsid w:val="00965F48"/>
    <w:rsid w:val="00966859"/>
    <w:rsid w:val="009669C2"/>
    <w:rsid w:val="00966A6D"/>
    <w:rsid w:val="00966CF6"/>
    <w:rsid w:val="00966D76"/>
    <w:rsid w:val="00966E88"/>
    <w:rsid w:val="00967468"/>
    <w:rsid w:val="009675E1"/>
    <w:rsid w:val="00967D90"/>
    <w:rsid w:val="009700F7"/>
    <w:rsid w:val="00970737"/>
    <w:rsid w:val="00970D7F"/>
    <w:rsid w:val="00970DC2"/>
    <w:rsid w:val="00971035"/>
    <w:rsid w:val="009711C8"/>
    <w:rsid w:val="009714DE"/>
    <w:rsid w:val="00971615"/>
    <w:rsid w:val="00971909"/>
    <w:rsid w:val="009721B3"/>
    <w:rsid w:val="0097245F"/>
    <w:rsid w:val="00973F99"/>
    <w:rsid w:val="009742DA"/>
    <w:rsid w:val="00974329"/>
    <w:rsid w:val="0097484B"/>
    <w:rsid w:val="00974909"/>
    <w:rsid w:val="00974CAD"/>
    <w:rsid w:val="00974D4C"/>
    <w:rsid w:val="00974EFA"/>
    <w:rsid w:val="0097529B"/>
    <w:rsid w:val="0097557D"/>
    <w:rsid w:val="00975B0C"/>
    <w:rsid w:val="00975F2C"/>
    <w:rsid w:val="009766D5"/>
    <w:rsid w:val="00976809"/>
    <w:rsid w:val="00976DDE"/>
    <w:rsid w:val="0097731B"/>
    <w:rsid w:val="009773CD"/>
    <w:rsid w:val="009773FB"/>
    <w:rsid w:val="00977913"/>
    <w:rsid w:val="00977B47"/>
    <w:rsid w:val="00977CB3"/>
    <w:rsid w:val="00977E53"/>
    <w:rsid w:val="00980192"/>
    <w:rsid w:val="00980328"/>
    <w:rsid w:val="009805A0"/>
    <w:rsid w:val="009807E3"/>
    <w:rsid w:val="0098091F"/>
    <w:rsid w:val="00980AEA"/>
    <w:rsid w:val="00980B43"/>
    <w:rsid w:val="009812CD"/>
    <w:rsid w:val="00981D06"/>
    <w:rsid w:val="00982156"/>
    <w:rsid w:val="00982399"/>
    <w:rsid w:val="00982405"/>
    <w:rsid w:val="00983301"/>
    <w:rsid w:val="00983490"/>
    <w:rsid w:val="0098373E"/>
    <w:rsid w:val="0098446A"/>
    <w:rsid w:val="00984506"/>
    <w:rsid w:val="00984FFA"/>
    <w:rsid w:val="0098510A"/>
    <w:rsid w:val="00985A1D"/>
    <w:rsid w:val="00985C17"/>
    <w:rsid w:val="00985D14"/>
    <w:rsid w:val="009861D0"/>
    <w:rsid w:val="00986267"/>
    <w:rsid w:val="0098635E"/>
    <w:rsid w:val="00986653"/>
    <w:rsid w:val="00986919"/>
    <w:rsid w:val="00986B1A"/>
    <w:rsid w:val="00987158"/>
    <w:rsid w:val="00987BF9"/>
    <w:rsid w:val="009905AA"/>
    <w:rsid w:val="00990955"/>
    <w:rsid w:val="00990A10"/>
    <w:rsid w:val="00990A35"/>
    <w:rsid w:val="00990BC4"/>
    <w:rsid w:val="00990D6B"/>
    <w:rsid w:val="00990F5D"/>
    <w:rsid w:val="009910B3"/>
    <w:rsid w:val="00991330"/>
    <w:rsid w:val="009913D2"/>
    <w:rsid w:val="00991415"/>
    <w:rsid w:val="00991C64"/>
    <w:rsid w:val="009922C4"/>
    <w:rsid w:val="0099264C"/>
    <w:rsid w:val="00992865"/>
    <w:rsid w:val="00992B8C"/>
    <w:rsid w:val="00992BC1"/>
    <w:rsid w:val="00993B3E"/>
    <w:rsid w:val="00993BAD"/>
    <w:rsid w:val="0099478E"/>
    <w:rsid w:val="00994E24"/>
    <w:rsid w:val="0099535B"/>
    <w:rsid w:val="009955BA"/>
    <w:rsid w:val="00995625"/>
    <w:rsid w:val="00995AB1"/>
    <w:rsid w:val="00996473"/>
    <w:rsid w:val="00996741"/>
    <w:rsid w:val="009968FA"/>
    <w:rsid w:val="00996A42"/>
    <w:rsid w:val="00996F62"/>
    <w:rsid w:val="00997C5A"/>
    <w:rsid w:val="009A00ED"/>
    <w:rsid w:val="009A0347"/>
    <w:rsid w:val="009A06DD"/>
    <w:rsid w:val="009A0AC2"/>
    <w:rsid w:val="009A11B4"/>
    <w:rsid w:val="009A123A"/>
    <w:rsid w:val="009A13DA"/>
    <w:rsid w:val="009A188F"/>
    <w:rsid w:val="009A26A4"/>
    <w:rsid w:val="009A2D5F"/>
    <w:rsid w:val="009A3670"/>
    <w:rsid w:val="009A374C"/>
    <w:rsid w:val="009A3786"/>
    <w:rsid w:val="009A38BD"/>
    <w:rsid w:val="009A3BED"/>
    <w:rsid w:val="009A42E3"/>
    <w:rsid w:val="009A43BE"/>
    <w:rsid w:val="009A4EE8"/>
    <w:rsid w:val="009A52D0"/>
    <w:rsid w:val="009A536F"/>
    <w:rsid w:val="009A5768"/>
    <w:rsid w:val="009A5CA3"/>
    <w:rsid w:val="009A5DB7"/>
    <w:rsid w:val="009A5FD6"/>
    <w:rsid w:val="009A6C7B"/>
    <w:rsid w:val="009A6F7F"/>
    <w:rsid w:val="009A7167"/>
    <w:rsid w:val="009A7A71"/>
    <w:rsid w:val="009B044E"/>
    <w:rsid w:val="009B04FC"/>
    <w:rsid w:val="009B0A4B"/>
    <w:rsid w:val="009B1EDB"/>
    <w:rsid w:val="009B1EE1"/>
    <w:rsid w:val="009B1F84"/>
    <w:rsid w:val="009B20DA"/>
    <w:rsid w:val="009B2514"/>
    <w:rsid w:val="009B2C05"/>
    <w:rsid w:val="009B2E9C"/>
    <w:rsid w:val="009B3180"/>
    <w:rsid w:val="009B36B2"/>
    <w:rsid w:val="009B39DA"/>
    <w:rsid w:val="009B3C3A"/>
    <w:rsid w:val="009B40BF"/>
    <w:rsid w:val="009B4879"/>
    <w:rsid w:val="009B48DC"/>
    <w:rsid w:val="009B4A31"/>
    <w:rsid w:val="009B4D69"/>
    <w:rsid w:val="009B50E1"/>
    <w:rsid w:val="009B522E"/>
    <w:rsid w:val="009B5433"/>
    <w:rsid w:val="009B5839"/>
    <w:rsid w:val="009B6829"/>
    <w:rsid w:val="009B683E"/>
    <w:rsid w:val="009B690C"/>
    <w:rsid w:val="009B6957"/>
    <w:rsid w:val="009B6C94"/>
    <w:rsid w:val="009B6CE6"/>
    <w:rsid w:val="009B6F5C"/>
    <w:rsid w:val="009B72EA"/>
    <w:rsid w:val="009B78DD"/>
    <w:rsid w:val="009B7D1C"/>
    <w:rsid w:val="009C0157"/>
    <w:rsid w:val="009C0357"/>
    <w:rsid w:val="009C0399"/>
    <w:rsid w:val="009C04C9"/>
    <w:rsid w:val="009C08A3"/>
    <w:rsid w:val="009C17D4"/>
    <w:rsid w:val="009C1A6E"/>
    <w:rsid w:val="009C1B94"/>
    <w:rsid w:val="009C1F19"/>
    <w:rsid w:val="009C2371"/>
    <w:rsid w:val="009C2481"/>
    <w:rsid w:val="009C24BB"/>
    <w:rsid w:val="009C2A32"/>
    <w:rsid w:val="009C2C52"/>
    <w:rsid w:val="009C30A4"/>
    <w:rsid w:val="009C324A"/>
    <w:rsid w:val="009C399E"/>
    <w:rsid w:val="009C3E3D"/>
    <w:rsid w:val="009C4763"/>
    <w:rsid w:val="009C48AF"/>
    <w:rsid w:val="009C4A77"/>
    <w:rsid w:val="009C501F"/>
    <w:rsid w:val="009C511E"/>
    <w:rsid w:val="009C53E0"/>
    <w:rsid w:val="009C5B82"/>
    <w:rsid w:val="009C60C0"/>
    <w:rsid w:val="009C64C5"/>
    <w:rsid w:val="009C682B"/>
    <w:rsid w:val="009C69E3"/>
    <w:rsid w:val="009C6BD7"/>
    <w:rsid w:val="009C6D60"/>
    <w:rsid w:val="009C6E7B"/>
    <w:rsid w:val="009C79E6"/>
    <w:rsid w:val="009C7E5E"/>
    <w:rsid w:val="009C7EAD"/>
    <w:rsid w:val="009D054E"/>
    <w:rsid w:val="009D085C"/>
    <w:rsid w:val="009D0BA5"/>
    <w:rsid w:val="009D14B9"/>
    <w:rsid w:val="009D1796"/>
    <w:rsid w:val="009D1AA7"/>
    <w:rsid w:val="009D1C8E"/>
    <w:rsid w:val="009D1D7A"/>
    <w:rsid w:val="009D1E66"/>
    <w:rsid w:val="009D2256"/>
    <w:rsid w:val="009D2B1F"/>
    <w:rsid w:val="009D2CC0"/>
    <w:rsid w:val="009D31DB"/>
    <w:rsid w:val="009D3958"/>
    <w:rsid w:val="009D4B90"/>
    <w:rsid w:val="009D57E0"/>
    <w:rsid w:val="009D5C62"/>
    <w:rsid w:val="009D5C75"/>
    <w:rsid w:val="009D5EB8"/>
    <w:rsid w:val="009D6261"/>
    <w:rsid w:val="009D6E36"/>
    <w:rsid w:val="009D77B4"/>
    <w:rsid w:val="009E077B"/>
    <w:rsid w:val="009E097A"/>
    <w:rsid w:val="009E1106"/>
    <w:rsid w:val="009E143B"/>
    <w:rsid w:val="009E207C"/>
    <w:rsid w:val="009E222F"/>
    <w:rsid w:val="009E26F7"/>
    <w:rsid w:val="009E2A90"/>
    <w:rsid w:val="009E2B32"/>
    <w:rsid w:val="009E2F75"/>
    <w:rsid w:val="009E3328"/>
    <w:rsid w:val="009E348C"/>
    <w:rsid w:val="009E3649"/>
    <w:rsid w:val="009E389E"/>
    <w:rsid w:val="009E38FF"/>
    <w:rsid w:val="009E3CA4"/>
    <w:rsid w:val="009E3D5A"/>
    <w:rsid w:val="009E3D9A"/>
    <w:rsid w:val="009E3FFD"/>
    <w:rsid w:val="009E4047"/>
    <w:rsid w:val="009E40FA"/>
    <w:rsid w:val="009E44F0"/>
    <w:rsid w:val="009E4556"/>
    <w:rsid w:val="009E4A82"/>
    <w:rsid w:val="009E50E8"/>
    <w:rsid w:val="009E52B0"/>
    <w:rsid w:val="009E562C"/>
    <w:rsid w:val="009E5ECC"/>
    <w:rsid w:val="009E60A5"/>
    <w:rsid w:val="009E6137"/>
    <w:rsid w:val="009E65C1"/>
    <w:rsid w:val="009E694D"/>
    <w:rsid w:val="009E6D72"/>
    <w:rsid w:val="009E6F9D"/>
    <w:rsid w:val="009E7147"/>
    <w:rsid w:val="009E7258"/>
    <w:rsid w:val="009E7743"/>
    <w:rsid w:val="009E7FC3"/>
    <w:rsid w:val="009F056B"/>
    <w:rsid w:val="009F0610"/>
    <w:rsid w:val="009F0623"/>
    <w:rsid w:val="009F08F9"/>
    <w:rsid w:val="009F0B28"/>
    <w:rsid w:val="009F0DE6"/>
    <w:rsid w:val="009F1D53"/>
    <w:rsid w:val="009F1ED0"/>
    <w:rsid w:val="009F233E"/>
    <w:rsid w:val="009F2DCE"/>
    <w:rsid w:val="009F324B"/>
    <w:rsid w:val="009F4311"/>
    <w:rsid w:val="009F4413"/>
    <w:rsid w:val="009F460E"/>
    <w:rsid w:val="009F4644"/>
    <w:rsid w:val="009F49E8"/>
    <w:rsid w:val="009F4E60"/>
    <w:rsid w:val="009F4EA0"/>
    <w:rsid w:val="009F5219"/>
    <w:rsid w:val="009F521A"/>
    <w:rsid w:val="009F5A4F"/>
    <w:rsid w:val="009F633E"/>
    <w:rsid w:val="009F7287"/>
    <w:rsid w:val="009F7B42"/>
    <w:rsid w:val="009F7C71"/>
    <w:rsid w:val="009F7D76"/>
    <w:rsid w:val="009F7EF4"/>
    <w:rsid w:val="00A00405"/>
    <w:rsid w:val="00A00949"/>
    <w:rsid w:val="00A014D7"/>
    <w:rsid w:val="00A01920"/>
    <w:rsid w:val="00A020BC"/>
    <w:rsid w:val="00A02645"/>
    <w:rsid w:val="00A03458"/>
    <w:rsid w:val="00A03926"/>
    <w:rsid w:val="00A03C7B"/>
    <w:rsid w:val="00A03E78"/>
    <w:rsid w:val="00A03F45"/>
    <w:rsid w:val="00A04010"/>
    <w:rsid w:val="00A0444B"/>
    <w:rsid w:val="00A044D9"/>
    <w:rsid w:val="00A04854"/>
    <w:rsid w:val="00A04F2F"/>
    <w:rsid w:val="00A052E5"/>
    <w:rsid w:val="00A05AC4"/>
    <w:rsid w:val="00A060B7"/>
    <w:rsid w:val="00A06111"/>
    <w:rsid w:val="00A0618C"/>
    <w:rsid w:val="00A06E20"/>
    <w:rsid w:val="00A074FD"/>
    <w:rsid w:val="00A07ABC"/>
    <w:rsid w:val="00A07E8D"/>
    <w:rsid w:val="00A07F71"/>
    <w:rsid w:val="00A103B8"/>
    <w:rsid w:val="00A10495"/>
    <w:rsid w:val="00A1052E"/>
    <w:rsid w:val="00A10CC1"/>
    <w:rsid w:val="00A10D32"/>
    <w:rsid w:val="00A11010"/>
    <w:rsid w:val="00A11051"/>
    <w:rsid w:val="00A1113E"/>
    <w:rsid w:val="00A11186"/>
    <w:rsid w:val="00A11335"/>
    <w:rsid w:val="00A11559"/>
    <w:rsid w:val="00A119F0"/>
    <w:rsid w:val="00A11A6E"/>
    <w:rsid w:val="00A11B6A"/>
    <w:rsid w:val="00A12216"/>
    <w:rsid w:val="00A126B8"/>
    <w:rsid w:val="00A12BED"/>
    <w:rsid w:val="00A13571"/>
    <w:rsid w:val="00A148C7"/>
    <w:rsid w:val="00A149A8"/>
    <w:rsid w:val="00A149AE"/>
    <w:rsid w:val="00A1594F"/>
    <w:rsid w:val="00A1622B"/>
    <w:rsid w:val="00A16425"/>
    <w:rsid w:val="00A17289"/>
    <w:rsid w:val="00A173FB"/>
    <w:rsid w:val="00A17782"/>
    <w:rsid w:val="00A17A38"/>
    <w:rsid w:val="00A17DF1"/>
    <w:rsid w:val="00A20A1C"/>
    <w:rsid w:val="00A2105C"/>
    <w:rsid w:val="00A211D9"/>
    <w:rsid w:val="00A2160F"/>
    <w:rsid w:val="00A217D4"/>
    <w:rsid w:val="00A218E3"/>
    <w:rsid w:val="00A224F9"/>
    <w:rsid w:val="00A23956"/>
    <w:rsid w:val="00A23CA4"/>
    <w:rsid w:val="00A24354"/>
    <w:rsid w:val="00A243AC"/>
    <w:rsid w:val="00A258EB"/>
    <w:rsid w:val="00A2629E"/>
    <w:rsid w:val="00A26790"/>
    <w:rsid w:val="00A26BAE"/>
    <w:rsid w:val="00A26FC2"/>
    <w:rsid w:val="00A273B9"/>
    <w:rsid w:val="00A27418"/>
    <w:rsid w:val="00A27433"/>
    <w:rsid w:val="00A27756"/>
    <w:rsid w:val="00A27905"/>
    <w:rsid w:val="00A27BCD"/>
    <w:rsid w:val="00A27DA4"/>
    <w:rsid w:val="00A27F32"/>
    <w:rsid w:val="00A301A8"/>
    <w:rsid w:val="00A3027F"/>
    <w:rsid w:val="00A302A7"/>
    <w:rsid w:val="00A304F5"/>
    <w:rsid w:val="00A30FDB"/>
    <w:rsid w:val="00A3183F"/>
    <w:rsid w:val="00A318E4"/>
    <w:rsid w:val="00A31F50"/>
    <w:rsid w:val="00A32F14"/>
    <w:rsid w:val="00A33B12"/>
    <w:rsid w:val="00A34857"/>
    <w:rsid w:val="00A34DA4"/>
    <w:rsid w:val="00A34FDE"/>
    <w:rsid w:val="00A35433"/>
    <w:rsid w:val="00A35CEE"/>
    <w:rsid w:val="00A360FA"/>
    <w:rsid w:val="00A36218"/>
    <w:rsid w:val="00A367BA"/>
    <w:rsid w:val="00A367BC"/>
    <w:rsid w:val="00A367EB"/>
    <w:rsid w:val="00A3699B"/>
    <w:rsid w:val="00A40039"/>
    <w:rsid w:val="00A4004A"/>
    <w:rsid w:val="00A4046D"/>
    <w:rsid w:val="00A40D20"/>
    <w:rsid w:val="00A41417"/>
    <w:rsid w:val="00A41B1C"/>
    <w:rsid w:val="00A4225F"/>
    <w:rsid w:val="00A42819"/>
    <w:rsid w:val="00A42B5D"/>
    <w:rsid w:val="00A432E0"/>
    <w:rsid w:val="00A435C3"/>
    <w:rsid w:val="00A43AED"/>
    <w:rsid w:val="00A444ED"/>
    <w:rsid w:val="00A44A8E"/>
    <w:rsid w:val="00A44C73"/>
    <w:rsid w:val="00A468CF"/>
    <w:rsid w:val="00A4794A"/>
    <w:rsid w:val="00A5029A"/>
    <w:rsid w:val="00A502C6"/>
    <w:rsid w:val="00A50A8A"/>
    <w:rsid w:val="00A512AD"/>
    <w:rsid w:val="00A51917"/>
    <w:rsid w:val="00A519DC"/>
    <w:rsid w:val="00A5229C"/>
    <w:rsid w:val="00A52776"/>
    <w:rsid w:val="00A5289A"/>
    <w:rsid w:val="00A52C46"/>
    <w:rsid w:val="00A5397B"/>
    <w:rsid w:val="00A54844"/>
    <w:rsid w:val="00A54AE0"/>
    <w:rsid w:val="00A54DBB"/>
    <w:rsid w:val="00A5562D"/>
    <w:rsid w:val="00A557B0"/>
    <w:rsid w:val="00A561EA"/>
    <w:rsid w:val="00A56362"/>
    <w:rsid w:val="00A5656F"/>
    <w:rsid w:val="00A56C65"/>
    <w:rsid w:val="00A56FCF"/>
    <w:rsid w:val="00A575DF"/>
    <w:rsid w:val="00A60519"/>
    <w:rsid w:val="00A60985"/>
    <w:rsid w:val="00A618CD"/>
    <w:rsid w:val="00A61A81"/>
    <w:rsid w:val="00A623A5"/>
    <w:rsid w:val="00A623BF"/>
    <w:rsid w:val="00A626E1"/>
    <w:rsid w:val="00A62BF2"/>
    <w:rsid w:val="00A6382E"/>
    <w:rsid w:val="00A63C6A"/>
    <w:rsid w:val="00A64630"/>
    <w:rsid w:val="00A64F89"/>
    <w:rsid w:val="00A6518C"/>
    <w:rsid w:val="00A654FC"/>
    <w:rsid w:val="00A65AD6"/>
    <w:rsid w:val="00A6671F"/>
    <w:rsid w:val="00A66E93"/>
    <w:rsid w:val="00A67521"/>
    <w:rsid w:val="00A6755E"/>
    <w:rsid w:val="00A676A1"/>
    <w:rsid w:val="00A67DD0"/>
    <w:rsid w:val="00A70166"/>
    <w:rsid w:val="00A708C0"/>
    <w:rsid w:val="00A7112F"/>
    <w:rsid w:val="00A7117A"/>
    <w:rsid w:val="00A71949"/>
    <w:rsid w:val="00A71BB8"/>
    <w:rsid w:val="00A71BE2"/>
    <w:rsid w:val="00A71DA6"/>
    <w:rsid w:val="00A71DC9"/>
    <w:rsid w:val="00A72089"/>
    <w:rsid w:val="00A734C8"/>
    <w:rsid w:val="00A73918"/>
    <w:rsid w:val="00A73D0D"/>
    <w:rsid w:val="00A73FDA"/>
    <w:rsid w:val="00A74245"/>
    <w:rsid w:val="00A747D3"/>
    <w:rsid w:val="00A7489D"/>
    <w:rsid w:val="00A74906"/>
    <w:rsid w:val="00A74AD3"/>
    <w:rsid w:val="00A74F7F"/>
    <w:rsid w:val="00A7559E"/>
    <w:rsid w:val="00A75AC7"/>
    <w:rsid w:val="00A76258"/>
    <w:rsid w:val="00A77037"/>
    <w:rsid w:val="00A771E6"/>
    <w:rsid w:val="00A77D0B"/>
    <w:rsid w:val="00A77EC2"/>
    <w:rsid w:val="00A806BB"/>
    <w:rsid w:val="00A80E70"/>
    <w:rsid w:val="00A81014"/>
    <w:rsid w:val="00A814D1"/>
    <w:rsid w:val="00A83106"/>
    <w:rsid w:val="00A83340"/>
    <w:rsid w:val="00A83403"/>
    <w:rsid w:val="00A835B5"/>
    <w:rsid w:val="00A83B0C"/>
    <w:rsid w:val="00A83B12"/>
    <w:rsid w:val="00A84029"/>
    <w:rsid w:val="00A84352"/>
    <w:rsid w:val="00A8475F"/>
    <w:rsid w:val="00A85248"/>
    <w:rsid w:val="00A85655"/>
    <w:rsid w:val="00A85921"/>
    <w:rsid w:val="00A85F6F"/>
    <w:rsid w:val="00A85F8D"/>
    <w:rsid w:val="00A85FFC"/>
    <w:rsid w:val="00A87376"/>
    <w:rsid w:val="00A9006A"/>
    <w:rsid w:val="00A9095E"/>
    <w:rsid w:val="00A90CB0"/>
    <w:rsid w:val="00A90CB1"/>
    <w:rsid w:val="00A90CDF"/>
    <w:rsid w:val="00A91983"/>
    <w:rsid w:val="00A93081"/>
    <w:rsid w:val="00A933CE"/>
    <w:rsid w:val="00A93906"/>
    <w:rsid w:val="00A93C67"/>
    <w:rsid w:val="00A94106"/>
    <w:rsid w:val="00A947ED"/>
    <w:rsid w:val="00A94D1B"/>
    <w:rsid w:val="00A94F26"/>
    <w:rsid w:val="00A95575"/>
    <w:rsid w:val="00A95A42"/>
    <w:rsid w:val="00A95AD2"/>
    <w:rsid w:val="00A96091"/>
    <w:rsid w:val="00A960D6"/>
    <w:rsid w:val="00A96EB2"/>
    <w:rsid w:val="00A971F3"/>
    <w:rsid w:val="00A976BA"/>
    <w:rsid w:val="00A97745"/>
    <w:rsid w:val="00A97A0C"/>
    <w:rsid w:val="00A97BB8"/>
    <w:rsid w:val="00AA0717"/>
    <w:rsid w:val="00AA07B0"/>
    <w:rsid w:val="00AA0E2F"/>
    <w:rsid w:val="00AA180F"/>
    <w:rsid w:val="00AA1934"/>
    <w:rsid w:val="00AA29D6"/>
    <w:rsid w:val="00AA2C94"/>
    <w:rsid w:val="00AA2FD3"/>
    <w:rsid w:val="00AA3198"/>
    <w:rsid w:val="00AA3D03"/>
    <w:rsid w:val="00AA435C"/>
    <w:rsid w:val="00AA4387"/>
    <w:rsid w:val="00AA44B9"/>
    <w:rsid w:val="00AA4636"/>
    <w:rsid w:val="00AA474B"/>
    <w:rsid w:val="00AA4DB5"/>
    <w:rsid w:val="00AA5137"/>
    <w:rsid w:val="00AA5554"/>
    <w:rsid w:val="00AA5893"/>
    <w:rsid w:val="00AA697E"/>
    <w:rsid w:val="00AA6B21"/>
    <w:rsid w:val="00AA6BFD"/>
    <w:rsid w:val="00AA70DE"/>
    <w:rsid w:val="00AA7351"/>
    <w:rsid w:val="00AA7C33"/>
    <w:rsid w:val="00AB035E"/>
    <w:rsid w:val="00AB0A78"/>
    <w:rsid w:val="00AB0A8E"/>
    <w:rsid w:val="00AB0AB7"/>
    <w:rsid w:val="00AB0BE5"/>
    <w:rsid w:val="00AB1328"/>
    <w:rsid w:val="00AB218B"/>
    <w:rsid w:val="00AB27DD"/>
    <w:rsid w:val="00AB2851"/>
    <w:rsid w:val="00AB2A07"/>
    <w:rsid w:val="00AB2A11"/>
    <w:rsid w:val="00AB2D87"/>
    <w:rsid w:val="00AB32D9"/>
    <w:rsid w:val="00AB3327"/>
    <w:rsid w:val="00AB33DD"/>
    <w:rsid w:val="00AB3AD4"/>
    <w:rsid w:val="00AB3E74"/>
    <w:rsid w:val="00AB48C5"/>
    <w:rsid w:val="00AB4C37"/>
    <w:rsid w:val="00AB4ED4"/>
    <w:rsid w:val="00AB52DB"/>
    <w:rsid w:val="00AB54F9"/>
    <w:rsid w:val="00AB5532"/>
    <w:rsid w:val="00AB5994"/>
    <w:rsid w:val="00AB5BB2"/>
    <w:rsid w:val="00AB62C5"/>
    <w:rsid w:val="00AB6BF5"/>
    <w:rsid w:val="00AB6C59"/>
    <w:rsid w:val="00AB6CE9"/>
    <w:rsid w:val="00AB6F99"/>
    <w:rsid w:val="00AB757A"/>
    <w:rsid w:val="00AB76F9"/>
    <w:rsid w:val="00AB7E34"/>
    <w:rsid w:val="00AB7FB2"/>
    <w:rsid w:val="00AC006A"/>
    <w:rsid w:val="00AC04F9"/>
    <w:rsid w:val="00AC151C"/>
    <w:rsid w:val="00AC1810"/>
    <w:rsid w:val="00AC1B3C"/>
    <w:rsid w:val="00AC1D61"/>
    <w:rsid w:val="00AC3267"/>
    <w:rsid w:val="00AC37BD"/>
    <w:rsid w:val="00AC381C"/>
    <w:rsid w:val="00AC41E1"/>
    <w:rsid w:val="00AC4A6C"/>
    <w:rsid w:val="00AC4CC7"/>
    <w:rsid w:val="00AC5436"/>
    <w:rsid w:val="00AC54D6"/>
    <w:rsid w:val="00AC5965"/>
    <w:rsid w:val="00AC5C35"/>
    <w:rsid w:val="00AC5E28"/>
    <w:rsid w:val="00AC5FCE"/>
    <w:rsid w:val="00AC60DD"/>
    <w:rsid w:val="00AC6AED"/>
    <w:rsid w:val="00AC6C15"/>
    <w:rsid w:val="00AC74C2"/>
    <w:rsid w:val="00AC768C"/>
    <w:rsid w:val="00AC7ABD"/>
    <w:rsid w:val="00AD076E"/>
    <w:rsid w:val="00AD097D"/>
    <w:rsid w:val="00AD09B4"/>
    <w:rsid w:val="00AD09BF"/>
    <w:rsid w:val="00AD0B7D"/>
    <w:rsid w:val="00AD0CB7"/>
    <w:rsid w:val="00AD0D36"/>
    <w:rsid w:val="00AD0F0E"/>
    <w:rsid w:val="00AD181A"/>
    <w:rsid w:val="00AD1848"/>
    <w:rsid w:val="00AD1A3E"/>
    <w:rsid w:val="00AD1C4C"/>
    <w:rsid w:val="00AD2755"/>
    <w:rsid w:val="00AD2E04"/>
    <w:rsid w:val="00AD2E67"/>
    <w:rsid w:val="00AD35A8"/>
    <w:rsid w:val="00AD42A3"/>
    <w:rsid w:val="00AD4B73"/>
    <w:rsid w:val="00AD5105"/>
    <w:rsid w:val="00AD5502"/>
    <w:rsid w:val="00AD5561"/>
    <w:rsid w:val="00AD5594"/>
    <w:rsid w:val="00AD5A06"/>
    <w:rsid w:val="00AD5BC8"/>
    <w:rsid w:val="00AD5CAB"/>
    <w:rsid w:val="00AD6205"/>
    <w:rsid w:val="00AD62A0"/>
    <w:rsid w:val="00AD63FB"/>
    <w:rsid w:val="00AD68F9"/>
    <w:rsid w:val="00AD6A18"/>
    <w:rsid w:val="00AD6BBE"/>
    <w:rsid w:val="00AD6D68"/>
    <w:rsid w:val="00AD6D97"/>
    <w:rsid w:val="00AD7310"/>
    <w:rsid w:val="00AD7935"/>
    <w:rsid w:val="00AD7FCA"/>
    <w:rsid w:val="00AE04E6"/>
    <w:rsid w:val="00AE09DC"/>
    <w:rsid w:val="00AE146B"/>
    <w:rsid w:val="00AE19D1"/>
    <w:rsid w:val="00AE1DCB"/>
    <w:rsid w:val="00AE2419"/>
    <w:rsid w:val="00AE2540"/>
    <w:rsid w:val="00AE259C"/>
    <w:rsid w:val="00AE2825"/>
    <w:rsid w:val="00AE28FC"/>
    <w:rsid w:val="00AE2A0F"/>
    <w:rsid w:val="00AE319A"/>
    <w:rsid w:val="00AE34D4"/>
    <w:rsid w:val="00AE36D1"/>
    <w:rsid w:val="00AE3DA3"/>
    <w:rsid w:val="00AE497A"/>
    <w:rsid w:val="00AE4C1F"/>
    <w:rsid w:val="00AE4EA6"/>
    <w:rsid w:val="00AE5640"/>
    <w:rsid w:val="00AE57BA"/>
    <w:rsid w:val="00AE5972"/>
    <w:rsid w:val="00AE5F82"/>
    <w:rsid w:val="00AE611B"/>
    <w:rsid w:val="00AE6556"/>
    <w:rsid w:val="00AE6600"/>
    <w:rsid w:val="00AE6614"/>
    <w:rsid w:val="00AE6665"/>
    <w:rsid w:val="00AE69FF"/>
    <w:rsid w:val="00AE7935"/>
    <w:rsid w:val="00AE7AD1"/>
    <w:rsid w:val="00AE7B8A"/>
    <w:rsid w:val="00AF0507"/>
    <w:rsid w:val="00AF0C2F"/>
    <w:rsid w:val="00AF0C71"/>
    <w:rsid w:val="00AF1159"/>
    <w:rsid w:val="00AF11AE"/>
    <w:rsid w:val="00AF1240"/>
    <w:rsid w:val="00AF12A0"/>
    <w:rsid w:val="00AF1989"/>
    <w:rsid w:val="00AF21D7"/>
    <w:rsid w:val="00AF222C"/>
    <w:rsid w:val="00AF239E"/>
    <w:rsid w:val="00AF284F"/>
    <w:rsid w:val="00AF3324"/>
    <w:rsid w:val="00AF35CD"/>
    <w:rsid w:val="00AF362B"/>
    <w:rsid w:val="00AF3B2F"/>
    <w:rsid w:val="00AF46F7"/>
    <w:rsid w:val="00AF4755"/>
    <w:rsid w:val="00AF4801"/>
    <w:rsid w:val="00AF4B0A"/>
    <w:rsid w:val="00AF50D9"/>
    <w:rsid w:val="00AF519D"/>
    <w:rsid w:val="00AF5277"/>
    <w:rsid w:val="00AF5D00"/>
    <w:rsid w:val="00AF5F6B"/>
    <w:rsid w:val="00AF6049"/>
    <w:rsid w:val="00AF6277"/>
    <w:rsid w:val="00AF7280"/>
    <w:rsid w:val="00AF72F0"/>
    <w:rsid w:val="00AF7371"/>
    <w:rsid w:val="00AF7A1A"/>
    <w:rsid w:val="00B000C9"/>
    <w:rsid w:val="00B00870"/>
    <w:rsid w:val="00B00B67"/>
    <w:rsid w:val="00B01069"/>
    <w:rsid w:val="00B019DA"/>
    <w:rsid w:val="00B01A49"/>
    <w:rsid w:val="00B01B1A"/>
    <w:rsid w:val="00B01D38"/>
    <w:rsid w:val="00B0214A"/>
    <w:rsid w:val="00B02E69"/>
    <w:rsid w:val="00B033F6"/>
    <w:rsid w:val="00B036F2"/>
    <w:rsid w:val="00B0380C"/>
    <w:rsid w:val="00B038FC"/>
    <w:rsid w:val="00B03A74"/>
    <w:rsid w:val="00B03C44"/>
    <w:rsid w:val="00B04106"/>
    <w:rsid w:val="00B04352"/>
    <w:rsid w:val="00B045FD"/>
    <w:rsid w:val="00B04E8D"/>
    <w:rsid w:val="00B0506C"/>
    <w:rsid w:val="00B05789"/>
    <w:rsid w:val="00B05D8D"/>
    <w:rsid w:val="00B0606E"/>
    <w:rsid w:val="00B060E1"/>
    <w:rsid w:val="00B0637E"/>
    <w:rsid w:val="00B06574"/>
    <w:rsid w:val="00B06AA4"/>
    <w:rsid w:val="00B07095"/>
    <w:rsid w:val="00B0718C"/>
    <w:rsid w:val="00B07271"/>
    <w:rsid w:val="00B0785D"/>
    <w:rsid w:val="00B078A1"/>
    <w:rsid w:val="00B07A9E"/>
    <w:rsid w:val="00B108D3"/>
    <w:rsid w:val="00B10DAF"/>
    <w:rsid w:val="00B10ED7"/>
    <w:rsid w:val="00B11E99"/>
    <w:rsid w:val="00B124D6"/>
    <w:rsid w:val="00B126FD"/>
    <w:rsid w:val="00B129EA"/>
    <w:rsid w:val="00B12B15"/>
    <w:rsid w:val="00B12E6D"/>
    <w:rsid w:val="00B13177"/>
    <w:rsid w:val="00B1376D"/>
    <w:rsid w:val="00B13E0D"/>
    <w:rsid w:val="00B13E15"/>
    <w:rsid w:val="00B14CC4"/>
    <w:rsid w:val="00B15F54"/>
    <w:rsid w:val="00B16B7F"/>
    <w:rsid w:val="00B16C9D"/>
    <w:rsid w:val="00B17259"/>
    <w:rsid w:val="00B1748A"/>
    <w:rsid w:val="00B17592"/>
    <w:rsid w:val="00B175A7"/>
    <w:rsid w:val="00B17736"/>
    <w:rsid w:val="00B17879"/>
    <w:rsid w:val="00B17BB7"/>
    <w:rsid w:val="00B20A49"/>
    <w:rsid w:val="00B20EA2"/>
    <w:rsid w:val="00B21E4E"/>
    <w:rsid w:val="00B21FDA"/>
    <w:rsid w:val="00B223A0"/>
    <w:rsid w:val="00B22569"/>
    <w:rsid w:val="00B229EC"/>
    <w:rsid w:val="00B22EC8"/>
    <w:rsid w:val="00B22F4F"/>
    <w:rsid w:val="00B233B8"/>
    <w:rsid w:val="00B23C65"/>
    <w:rsid w:val="00B23F35"/>
    <w:rsid w:val="00B24650"/>
    <w:rsid w:val="00B247B6"/>
    <w:rsid w:val="00B24B68"/>
    <w:rsid w:val="00B24DAF"/>
    <w:rsid w:val="00B258E3"/>
    <w:rsid w:val="00B25B70"/>
    <w:rsid w:val="00B25BAA"/>
    <w:rsid w:val="00B25F30"/>
    <w:rsid w:val="00B25FC2"/>
    <w:rsid w:val="00B26117"/>
    <w:rsid w:val="00B2627D"/>
    <w:rsid w:val="00B26283"/>
    <w:rsid w:val="00B265B2"/>
    <w:rsid w:val="00B269DD"/>
    <w:rsid w:val="00B27026"/>
    <w:rsid w:val="00B2760E"/>
    <w:rsid w:val="00B27D3E"/>
    <w:rsid w:val="00B3022A"/>
    <w:rsid w:val="00B30469"/>
    <w:rsid w:val="00B307D2"/>
    <w:rsid w:val="00B30AD9"/>
    <w:rsid w:val="00B31125"/>
    <w:rsid w:val="00B311C1"/>
    <w:rsid w:val="00B31574"/>
    <w:rsid w:val="00B318A6"/>
    <w:rsid w:val="00B31937"/>
    <w:rsid w:val="00B31944"/>
    <w:rsid w:val="00B31D74"/>
    <w:rsid w:val="00B32184"/>
    <w:rsid w:val="00B32ACC"/>
    <w:rsid w:val="00B33025"/>
    <w:rsid w:val="00B336F7"/>
    <w:rsid w:val="00B3374A"/>
    <w:rsid w:val="00B33DFA"/>
    <w:rsid w:val="00B341F7"/>
    <w:rsid w:val="00B344AF"/>
    <w:rsid w:val="00B345AC"/>
    <w:rsid w:val="00B346DD"/>
    <w:rsid w:val="00B3474B"/>
    <w:rsid w:val="00B34FEF"/>
    <w:rsid w:val="00B3515A"/>
    <w:rsid w:val="00B35387"/>
    <w:rsid w:val="00B35A95"/>
    <w:rsid w:val="00B35F09"/>
    <w:rsid w:val="00B360C6"/>
    <w:rsid w:val="00B36342"/>
    <w:rsid w:val="00B364D5"/>
    <w:rsid w:val="00B3677A"/>
    <w:rsid w:val="00B36984"/>
    <w:rsid w:val="00B36BC4"/>
    <w:rsid w:val="00B37087"/>
    <w:rsid w:val="00B3744C"/>
    <w:rsid w:val="00B37A4F"/>
    <w:rsid w:val="00B37AB7"/>
    <w:rsid w:val="00B40631"/>
    <w:rsid w:val="00B40A66"/>
    <w:rsid w:val="00B40AC1"/>
    <w:rsid w:val="00B41292"/>
    <w:rsid w:val="00B41595"/>
    <w:rsid w:val="00B416D6"/>
    <w:rsid w:val="00B418AA"/>
    <w:rsid w:val="00B41A57"/>
    <w:rsid w:val="00B41E8E"/>
    <w:rsid w:val="00B42054"/>
    <w:rsid w:val="00B42331"/>
    <w:rsid w:val="00B4267E"/>
    <w:rsid w:val="00B42745"/>
    <w:rsid w:val="00B42BA6"/>
    <w:rsid w:val="00B42D1D"/>
    <w:rsid w:val="00B42F68"/>
    <w:rsid w:val="00B4353C"/>
    <w:rsid w:val="00B438AD"/>
    <w:rsid w:val="00B43A03"/>
    <w:rsid w:val="00B44472"/>
    <w:rsid w:val="00B444BA"/>
    <w:rsid w:val="00B44B77"/>
    <w:rsid w:val="00B44DE8"/>
    <w:rsid w:val="00B45A5C"/>
    <w:rsid w:val="00B45BAF"/>
    <w:rsid w:val="00B45BCB"/>
    <w:rsid w:val="00B45CD7"/>
    <w:rsid w:val="00B45D00"/>
    <w:rsid w:val="00B46759"/>
    <w:rsid w:val="00B4676C"/>
    <w:rsid w:val="00B467F4"/>
    <w:rsid w:val="00B46A23"/>
    <w:rsid w:val="00B47586"/>
    <w:rsid w:val="00B47A9A"/>
    <w:rsid w:val="00B47B3B"/>
    <w:rsid w:val="00B50230"/>
    <w:rsid w:val="00B503D8"/>
    <w:rsid w:val="00B507E9"/>
    <w:rsid w:val="00B509DD"/>
    <w:rsid w:val="00B511F2"/>
    <w:rsid w:val="00B52199"/>
    <w:rsid w:val="00B52517"/>
    <w:rsid w:val="00B52A05"/>
    <w:rsid w:val="00B53E6B"/>
    <w:rsid w:val="00B54248"/>
    <w:rsid w:val="00B545A2"/>
    <w:rsid w:val="00B54D68"/>
    <w:rsid w:val="00B54F6A"/>
    <w:rsid w:val="00B551F4"/>
    <w:rsid w:val="00B558C2"/>
    <w:rsid w:val="00B563B8"/>
    <w:rsid w:val="00B56651"/>
    <w:rsid w:val="00B56708"/>
    <w:rsid w:val="00B568CD"/>
    <w:rsid w:val="00B5718A"/>
    <w:rsid w:val="00B578F4"/>
    <w:rsid w:val="00B57AFE"/>
    <w:rsid w:val="00B609A2"/>
    <w:rsid w:val="00B609FD"/>
    <w:rsid w:val="00B60D70"/>
    <w:rsid w:val="00B61735"/>
    <w:rsid w:val="00B61EEC"/>
    <w:rsid w:val="00B62D37"/>
    <w:rsid w:val="00B637B1"/>
    <w:rsid w:val="00B6453D"/>
    <w:rsid w:val="00B64C48"/>
    <w:rsid w:val="00B64CC7"/>
    <w:rsid w:val="00B65634"/>
    <w:rsid w:val="00B658B4"/>
    <w:rsid w:val="00B65D62"/>
    <w:rsid w:val="00B660AA"/>
    <w:rsid w:val="00B662DC"/>
    <w:rsid w:val="00B6636A"/>
    <w:rsid w:val="00B66BAA"/>
    <w:rsid w:val="00B66D0C"/>
    <w:rsid w:val="00B67148"/>
    <w:rsid w:val="00B6719F"/>
    <w:rsid w:val="00B67E1E"/>
    <w:rsid w:val="00B7055A"/>
    <w:rsid w:val="00B70DD5"/>
    <w:rsid w:val="00B7158C"/>
    <w:rsid w:val="00B71D00"/>
    <w:rsid w:val="00B722A0"/>
    <w:rsid w:val="00B727B9"/>
    <w:rsid w:val="00B72BCB"/>
    <w:rsid w:val="00B731A3"/>
    <w:rsid w:val="00B734FD"/>
    <w:rsid w:val="00B73768"/>
    <w:rsid w:val="00B73AFC"/>
    <w:rsid w:val="00B73CFD"/>
    <w:rsid w:val="00B73E00"/>
    <w:rsid w:val="00B74130"/>
    <w:rsid w:val="00B7429E"/>
    <w:rsid w:val="00B74771"/>
    <w:rsid w:val="00B7536D"/>
    <w:rsid w:val="00B756A7"/>
    <w:rsid w:val="00B75831"/>
    <w:rsid w:val="00B75C6B"/>
    <w:rsid w:val="00B76288"/>
    <w:rsid w:val="00B764CA"/>
    <w:rsid w:val="00B767C3"/>
    <w:rsid w:val="00B7695F"/>
    <w:rsid w:val="00B779F9"/>
    <w:rsid w:val="00B800F4"/>
    <w:rsid w:val="00B80264"/>
    <w:rsid w:val="00B80370"/>
    <w:rsid w:val="00B805A5"/>
    <w:rsid w:val="00B80626"/>
    <w:rsid w:val="00B80627"/>
    <w:rsid w:val="00B80648"/>
    <w:rsid w:val="00B807DA"/>
    <w:rsid w:val="00B80827"/>
    <w:rsid w:val="00B80ECF"/>
    <w:rsid w:val="00B81395"/>
    <w:rsid w:val="00B813A1"/>
    <w:rsid w:val="00B81673"/>
    <w:rsid w:val="00B81F53"/>
    <w:rsid w:val="00B82594"/>
    <w:rsid w:val="00B82806"/>
    <w:rsid w:val="00B82836"/>
    <w:rsid w:val="00B82B15"/>
    <w:rsid w:val="00B8300D"/>
    <w:rsid w:val="00B83416"/>
    <w:rsid w:val="00B83421"/>
    <w:rsid w:val="00B83EC3"/>
    <w:rsid w:val="00B84369"/>
    <w:rsid w:val="00B8452A"/>
    <w:rsid w:val="00B849C1"/>
    <w:rsid w:val="00B84DF4"/>
    <w:rsid w:val="00B858FC"/>
    <w:rsid w:val="00B864BF"/>
    <w:rsid w:val="00B86885"/>
    <w:rsid w:val="00B872FB"/>
    <w:rsid w:val="00B875BA"/>
    <w:rsid w:val="00B87659"/>
    <w:rsid w:val="00B87CB7"/>
    <w:rsid w:val="00B9042F"/>
    <w:rsid w:val="00B907CC"/>
    <w:rsid w:val="00B90934"/>
    <w:rsid w:val="00B9119C"/>
    <w:rsid w:val="00B9133A"/>
    <w:rsid w:val="00B9185E"/>
    <w:rsid w:val="00B91F36"/>
    <w:rsid w:val="00B920A1"/>
    <w:rsid w:val="00B9292C"/>
    <w:rsid w:val="00B929C4"/>
    <w:rsid w:val="00B9331A"/>
    <w:rsid w:val="00B9348A"/>
    <w:rsid w:val="00B93C8D"/>
    <w:rsid w:val="00B93DAA"/>
    <w:rsid w:val="00B94709"/>
    <w:rsid w:val="00B9473B"/>
    <w:rsid w:val="00B94DFF"/>
    <w:rsid w:val="00B957A6"/>
    <w:rsid w:val="00B95B46"/>
    <w:rsid w:val="00B95F8A"/>
    <w:rsid w:val="00B961ED"/>
    <w:rsid w:val="00B96239"/>
    <w:rsid w:val="00B962B3"/>
    <w:rsid w:val="00B962F7"/>
    <w:rsid w:val="00B965A3"/>
    <w:rsid w:val="00B9666A"/>
    <w:rsid w:val="00B96FBD"/>
    <w:rsid w:val="00B97003"/>
    <w:rsid w:val="00B97231"/>
    <w:rsid w:val="00B97411"/>
    <w:rsid w:val="00B97830"/>
    <w:rsid w:val="00BA0537"/>
    <w:rsid w:val="00BA07B6"/>
    <w:rsid w:val="00BA0816"/>
    <w:rsid w:val="00BA0FFF"/>
    <w:rsid w:val="00BA19B7"/>
    <w:rsid w:val="00BA27D0"/>
    <w:rsid w:val="00BA2BA5"/>
    <w:rsid w:val="00BA334D"/>
    <w:rsid w:val="00BA360C"/>
    <w:rsid w:val="00BA3D49"/>
    <w:rsid w:val="00BA40EB"/>
    <w:rsid w:val="00BA449A"/>
    <w:rsid w:val="00BA4B81"/>
    <w:rsid w:val="00BA4BAA"/>
    <w:rsid w:val="00BA4E93"/>
    <w:rsid w:val="00BA5638"/>
    <w:rsid w:val="00BA5E42"/>
    <w:rsid w:val="00BA5F9F"/>
    <w:rsid w:val="00BA6D76"/>
    <w:rsid w:val="00BA762E"/>
    <w:rsid w:val="00BA76E4"/>
    <w:rsid w:val="00BA76F3"/>
    <w:rsid w:val="00BA7C28"/>
    <w:rsid w:val="00BA7C93"/>
    <w:rsid w:val="00BB0205"/>
    <w:rsid w:val="00BB06B1"/>
    <w:rsid w:val="00BB0EE0"/>
    <w:rsid w:val="00BB128B"/>
    <w:rsid w:val="00BB15C9"/>
    <w:rsid w:val="00BB1A9D"/>
    <w:rsid w:val="00BB22EB"/>
    <w:rsid w:val="00BB2BC0"/>
    <w:rsid w:val="00BB424F"/>
    <w:rsid w:val="00BB4369"/>
    <w:rsid w:val="00BB43E3"/>
    <w:rsid w:val="00BB4989"/>
    <w:rsid w:val="00BB4CA6"/>
    <w:rsid w:val="00BB4D84"/>
    <w:rsid w:val="00BB571D"/>
    <w:rsid w:val="00BB6661"/>
    <w:rsid w:val="00BB6830"/>
    <w:rsid w:val="00BB6ACA"/>
    <w:rsid w:val="00BB6AE2"/>
    <w:rsid w:val="00BB6B5E"/>
    <w:rsid w:val="00BB6B73"/>
    <w:rsid w:val="00BB6F88"/>
    <w:rsid w:val="00BB717D"/>
    <w:rsid w:val="00BB7309"/>
    <w:rsid w:val="00BB7597"/>
    <w:rsid w:val="00BB7748"/>
    <w:rsid w:val="00BB777B"/>
    <w:rsid w:val="00BB77AC"/>
    <w:rsid w:val="00BB7D41"/>
    <w:rsid w:val="00BC0657"/>
    <w:rsid w:val="00BC0A1C"/>
    <w:rsid w:val="00BC0EA9"/>
    <w:rsid w:val="00BC16CC"/>
    <w:rsid w:val="00BC178D"/>
    <w:rsid w:val="00BC27A2"/>
    <w:rsid w:val="00BC2958"/>
    <w:rsid w:val="00BC3699"/>
    <w:rsid w:val="00BC3F8D"/>
    <w:rsid w:val="00BC4DCC"/>
    <w:rsid w:val="00BC55C3"/>
    <w:rsid w:val="00BC6058"/>
    <w:rsid w:val="00BC6309"/>
    <w:rsid w:val="00BC66DF"/>
    <w:rsid w:val="00BC6798"/>
    <w:rsid w:val="00BC6C32"/>
    <w:rsid w:val="00BC6CD9"/>
    <w:rsid w:val="00BC6F24"/>
    <w:rsid w:val="00BC714D"/>
    <w:rsid w:val="00BC75EB"/>
    <w:rsid w:val="00BC7918"/>
    <w:rsid w:val="00BC7F76"/>
    <w:rsid w:val="00BD0044"/>
    <w:rsid w:val="00BD061E"/>
    <w:rsid w:val="00BD0627"/>
    <w:rsid w:val="00BD06D7"/>
    <w:rsid w:val="00BD099D"/>
    <w:rsid w:val="00BD0C96"/>
    <w:rsid w:val="00BD136C"/>
    <w:rsid w:val="00BD1580"/>
    <w:rsid w:val="00BD1995"/>
    <w:rsid w:val="00BD1CAA"/>
    <w:rsid w:val="00BD2214"/>
    <w:rsid w:val="00BD23AE"/>
    <w:rsid w:val="00BD2661"/>
    <w:rsid w:val="00BD26EE"/>
    <w:rsid w:val="00BD27DA"/>
    <w:rsid w:val="00BD2B20"/>
    <w:rsid w:val="00BD2D3E"/>
    <w:rsid w:val="00BD3119"/>
    <w:rsid w:val="00BD3152"/>
    <w:rsid w:val="00BD33B0"/>
    <w:rsid w:val="00BD3DCA"/>
    <w:rsid w:val="00BD4206"/>
    <w:rsid w:val="00BD45EB"/>
    <w:rsid w:val="00BD4A60"/>
    <w:rsid w:val="00BD5033"/>
    <w:rsid w:val="00BD5325"/>
    <w:rsid w:val="00BD53CC"/>
    <w:rsid w:val="00BD567F"/>
    <w:rsid w:val="00BD57B5"/>
    <w:rsid w:val="00BD6078"/>
    <w:rsid w:val="00BD6DB5"/>
    <w:rsid w:val="00BD6DE4"/>
    <w:rsid w:val="00BD6F5D"/>
    <w:rsid w:val="00BD760D"/>
    <w:rsid w:val="00BD7A01"/>
    <w:rsid w:val="00BD7B76"/>
    <w:rsid w:val="00BD7D0E"/>
    <w:rsid w:val="00BD7ED9"/>
    <w:rsid w:val="00BE010D"/>
    <w:rsid w:val="00BE0442"/>
    <w:rsid w:val="00BE05F0"/>
    <w:rsid w:val="00BE07A3"/>
    <w:rsid w:val="00BE0937"/>
    <w:rsid w:val="00BE0DE1"/>
    <w:rsid w:val="00BE13B6"/>
    <w:rsid w:val="00BE15BC"/>
    <w:rsid w:val="00BE190F"/>
    <w:rsid w:val="00BE1E89"/>
    <w:rsid w:val="00BE2101"/>
    <w:rsid w:val="00BE2549"/>
    <w:rsid w:val="00BE2D25"/>
    <w:rsid w:val="00BE2F23"/>
    <w:rsid w:val="00BE36B5"/>
    <w:rsid w:val="00BE3A46"/>
    <w:rsid w:val="00BE4282"/>
    <w:rsid w:val="00BE468B"/>
    <w:rsid w:val="00BE4C6A"/>
    <w:rsid w:val="00BE4D4F"/>
    <w:rsid w:val="00BE4E51"/>
    <w:rsid w:val="00BE4E8E"/>
    <w:rsid w:val="00BE5285"/>
    <w:rsid w:val="00BE54A4"/>
    <w:rsid w:val="00BE64A7"/>
    <w:rsid w:val="00BE68C7"/>
    <w:rsid w:val="00BE6CFF"/>
    <w:rsid w:val="00BF006F"/>
    <w:rsid w:val="00BF010B"/>
    <w:rsid w:val="00BF01B2"/>
    <w:rsid w:val="00BF1028"/>
    <w:rsid w:val="00BF10C2"/>
    <w:rsid w:val="00BF13A9"/>
    <w:rsid w:val="00BF1779"/>
    <w:rsid w:val="00BF2188"/>
    <w:rsid w:val="00BF2371"/>
    <w:rsid w:val="00BF2CF3"/>
    <w:rsid w:val="00BF2F92"/>
    <w:rsid w:val="00BF30B4"/>
    <w:rsid w:val="00BF3758"/>
    <w:rsid w:val="00BF38AE"/>
    <w:rsid w:val="00BF3965"/>
    <w:rsid w:val="00BF3C2E"/>
    <w:rsid w:val="00BF42F1"/>
    <w:rsid w:val="00BF46AF"/>
    <w:rsid w:val="00BF4C58"/>
    <w:rsid w:val="00BF4FB2"/>
    <w:rsid w:val="00BF539F"/>
    <w:rsid w:val="00BF56B0"/>
    <w:rsid w:val="00BF5DC8"/>
    <w:rsid w:val="00BF628A"/>
    <w:rsid w:val="00BF6617"/>
    <w:rsid w:val="00BF6698"/>
    <w:rsid w:val="00BF677A"/>
    <w:rsid w:val="00BF6830"/>
    <w:rsid w:val="00BF695D"/>
    <w:rsid w:val="00BF6A5B"/>
    <w:rsid w:val="00BF7429"/>
    <w:rsid w:val="00BF75EF"/>
    <w:rsid w:val="00BF770D"/>
    <w:rsid w:val="00BF7A5D"/>
    <w:rsid w:val="00BF7A7D"/>
    <w:rsid w:val="00C0035C"/>
    <w:rsid w:val="00C0042C"/>
    <w:rsid w:val="00C0074B"/>
    <w:rsid w:val="00C00D26"/>
    <w:rsid w:val="00C010EC"/>
    <w:rsid w:val="00C01490"/>
    <w:rsid w:val="00C01BF3"/>
    <w:rsid w:val="00C0217F"/>
    <w:rsid w:val="00C023FA"/>
    <w:rsid w:val="00C02545"/>
    <w:rsid w:val="00C02694"/>
    <w:rsid w:val="00C026A8"/>
    <w:rsid w:val="00C02A9A"/>
    <w:rsid w:val="00C02B77"/>
    <w:rsid w:val="00C02D22"/>
    <w:rsid w:val="00C02F8D"/>
    <w:rsid w:val="00C031C5"/>
    <w:rsid w:val="00C03739"/>
    <w:rsid w:val="00C042C2"/>
    <w:rsid w:val="00C04415"/>
    <w:rsid w:val="00C0442D"/>
    <w:rsid w:val="00C04447"/>
    <w:rsid w:val="00C045B8"/>
    <w:rsid w:val="00C04696"/>
    <w:rsid w:val="00C04CA6"/>
    <w:rsid w:val="00C05393"/>
    <w:rsid w:val="00C05B63"/>
    <w:rsid w:val="00C06560"/>
    <w:rsid w:val="00C0677D"/>
    <w:rsid w:val="00C069AB"/>
    <w:rsid w:val="00C06A7A"/>
    <w:rsid w:val="00C06DF0"/>
    <w:rsid w:val="00C0788F"/>
    <w:rsid w:val="00C07A60"/>
    <w:rsid w:val="00C07C6B"/>
    <w:rsid w:val="00C10290"/>
    <w:rsid w:val="00C10304"/>
    <w:rsid w:val="00C10926"/>
    <w:rsid w:val="00C10D00"/>
    <w:rsid w:val="00C10ED7"/>
    <w:rsid w:val="00C11723"/>
    <w:rsid w:val="00C11B84"/>
    <w:rsid w:val="00C12090"/>
    <w:rsid w:val="00C120D1"/>
    <w:rsid w:val="00C121FC"/>
    <w:rsid w:val="00C12804"/>
    <w:rsid w:val="00C12CA3"/>
    <w:rsid w:val="00C13187"/>
    <w:rsid w:val="00C131ED"/>
    <w:rsid w:val="00C13988"/>
    <w:rsid w:val="00C139F0"/>
    <w:rsid w:val="00C13FDC"/>
    <w:rsid w:val="00C14100"/>
    <w:rsid w:val="00C14358"/>
    <w:rsid w:val="00C14413"/>
    <w:rsid w:val="00C14526"/>
    <w:rsid w:val="00C15082"/>
    <w:rsid w:val="00C15396"/>
    <w:rsid w:val="00C1585D"/>
    <w:rsid w:val="00C15BF8"/>
    <w:rsid w:val="00C15C40"/>
    <w:rsid w:val="00C15D4E"/>
    <w:rsid w:val="00C16075"/>
    <w:rsid w:val="00C16219"/>
    <w:rsid w:val="00C164D7"/>
    <w:rsid w:val="00C164DB"/>
    <w:rsid w:val="00C16573"/>
    <w:rsid w:val="00C16C18"/>
    <w:rsid w:val="00C1736C"/>
    <w:rsid w:val="00C177B1"/>
    <w:rsid w:val="00C17D0F"/>
    <w:rsid w:val="00C17EB7"/>
    <w:rsid w:val="00C207C8"/>
    <w:rsid w:val="00C20F57"/>
    <w:rsid w:val="00C214E5"/>
    <w:rsid w:val="00C21E65"/>
    <w:rsid w:val="00C22A4F"/>
    <w:rsid w:val="00C22D88"/>
    <w:rsid w:val="00C2449A"/>
    <w:rsid w:val="00C24662"/>
    <w:rsid w:val="00C248BF"/>
    <w:rsid w:val="00C24AA6"/>
    <w:rsid w:val="00C251CE"/>
    <w:rsid w:val="00C255C1"/>
    <w:rsid w:val="00C2562D"/>
    <w:rsid w:val="00C2643F"/>
    <w:rsid w:val="00C2664D"/>
    <w:rsid w:val="00C26B90"/>
    <w:rsid w:val="00C27002"/>
    <w:rsid w:val="00C27196"/>
    <w:rsid w:val="00C271DD"/>
    <w:rsid w:val="00C272E9"/>
    <w:rsid w:val="00C27F83"/>
    <w:rsid w:val="00C27FBD"/>
    <w:rsid w:val="00C27FF7"/>
    <w:rsid w:val="00C305DD"/>
    <w:rsid w:val="00C3097A"/>
    <w:rsid w:val="00C30CF2"/>
    <w:rsid w:val="00C30DD5"/>
    <w:rsid w:val="00C3132B"/>
    <w:rsid w:val="00C317B2"/>
    <w:rsid w:val="00C31C86"/>
    <w:rsid w:val="00C321C8"/>
    <w:rsid w:val="00C322B0"/>
    <w:rsid w:val="00C3239B"/>
    <w:rsid w:val="00C32798"/>
    <w:rsid w:val="00C32EA6"/>
    <w:rsid w:val="00C3331C"/>
    <w:rsid w:val="00C333EA"/>
    <w:rsid w:val="00C34091"/>
    <w:rsid w:val="00C34599"/>
    <w:rsid w:val="00C347FE"/>
    <w:rsid w:val="00C34B9D"/>
    <w:rsid w:val="00C352F3"/>
    <w:rsid w:val="00C353D8"/>
    <w:rsid w:val="00C354AF"/>
    <w:rsid w:val="00C35760"/>
    <w:rsid w:val="00C35D05"/>
    <w:rsid w:val="00C36424"/>
    <w:rsid w:val="00C3651C"/>
    <w:rsid w:val="00C36577"/>
    <w:rsid w:val="00C37AC4"/>
    <w:rsid w:val="00C37E8D"/>
    <w:rsid w:val="00C401FA"/>
    <w:rsid w:val="00C405D7"/>
    <w:rsid w:val="00C408A1"/>
    <w:rsid w:val="00C40B43"/>
    <w:rsid w:val="00C40ECC"/>
    <w:rsid w:val="00C41F96"/>
    <w:rsid w:val="00C42CAD"/>
    <w:rsid w:val="00C438E7"/>
    <w:rsid w:val="00C444EB"/>
    <w:rsid w:val="00C444F7"/>
    <w:rsid w:val="00C4489C"/>
    <w:rsid w:val="00C448EB"/>
    <w:rsid w:val="00C452C2"/>
    <w:rsid w:val="00C4547B"/>
    <w:rsid w:val="00C45603"/>
    <w:rsid w:val="00C45652"/>
    <w:rsid w:val="00C456AA"/>
    <w:rsid w:val="00C45A6C"/>
    <w:rsid w:val="00C45BB6"/>
    <w:rsid w:val="00C45BDA"/>
    <w:rsid w:val="00C45CD5"/>
    <w:rsid w:val="00C4634D"/>
    <w:rsid w:val="00C4691D"/>
    <w:rsid w:val="00C46DB5"/>
    <w:rsid w:val="00C47279"/>
    <w:rsid w:val="00C472BB"/>
    <w:rsid w:val="00C47711"/>
    <w:rsid w:val="00C47B3F"/>
    <w:rsid w:val="00C50004"/>
    <w:rsid w:val="00C50063"/>
    <w:rsid w:val="00C5011A"/>
    <w:rsid w:val="00C5018E"/>
    <w:rsid w:val="00C50AD6"/>
    <w:rsid w:val="00C50E6B"/>
    <w:rsid w:val="00C50F46"/>
    <w:rsid w:val="00C50F5A"/>
    <w:rsid w:val="00C51A01"/>
    <w:rsid w:val="00C51DCD"/>
    <w:rsid w:val="00C51E60"/>
    <w:rsid w:val="00C52031"/>
    <w:rsid w:val="00C52059"/>
    <w:rsid w:val="00C5223A"/>
    <w:rsid w:val="00C529BF"/>
    <w:rsid w:val="00C52DA6"/>
    <w:rsid w:val="00C53B0E"/>
    <w:rsid w:val="00C53E69"/>
    <w:rsid w:val="00C543D4"/>
    <w:rsid w:val="00C54549"/>
    <w:rsid w:val="00C546A4"/>
    <w:rsid w:val="00C54A31"/>
    <w:rsid w:val="00C54A77"/>
    <w:rsid w:val="00C551A4"/>
    <w:rsid w:val="00C551E9"/>
    <w:rsid w:val="00C5537D"/>
    <w:rsid w:val="00C55574"/>
    <w:rsid w:val="00C560A8"/>
    <w:rsid w:val="00C562AC"/>
    <w:rsid w:val="00C56CF8"/>
    <w:rsid w:val="00C574F1"/>
    <w:rsid w:val="00C57538"/>
    <w:rsid w:val="00C577C4"/>
    <w:rsid w:val="00C60808"/>
    <w:rsid w:val="00C61078"/>
    <w:rsid w:val="00C6120B"/>
    <w:rsid w:val="00C616F9"/>
    <w:rsid w:val="00C617A8"/>
    <w:rsid w:val="00C6183A"/>
    <w:rsid w:val="00C61EB7"/>
    <w:rsid w:val="00C62149"/>
    <w:rsid w:val="00C621FC"/>
    <w:rsid w:val="00C638E4"/>
    <w:rsid w:val="00C63D4E"/>
    <w:rsid w:val="00C64EA4"/>
    <w:rsid w:val="00C652F7"/>
    <w:rsid w:val="00C654AD"/>
    <w:rsid w:val="00C6554F"/>
    <w:rsid w:val="00C656BE"/>
    <w:rsid w:val="00C65EE3"/>
    <w:rsid w:val="00C66510"/>
    <w:rsid w:val="00C671BC"/>
    <w:rsid w:val="00C67873"/>
    <w:rsid w:val="00C703D8"/>
    <w:rsid w:val="00C7080E"/>
    <w:rsid w:val="00C70A1A"/>
    <w:rsid w:val="00C70A49"/>
    <w:rsid w:val="00C71B8D"/>
    <w:rsid w:val="00C726D9"/>
    <w:rsid w:val="00C72BA2"/>
    <w:rsid w:val="00C72C35"/>
    <w:rsid w:val="00C72CBB"/>
    <w:rsid w:val="00C7307B"/>
    <w:rsid w:val="00C732A7"/>
    <w:rsid w:val="00C73D23"/>
    <w:rsid w:val="00C74B25"/>
    <w:rsid w:val="00C75479"/>
    <w:rsid w:val="00C75A9A"/>
    <w:rsid w:val="00C7601B"/>
    <w:rsid w:val="00C76159"/>
    <w:rsid w:val="00C764CA"/>
    <w:rsid w:val="00C76623"/>
    <w:rsid w:val="00C7689A"/>
    <w:rsid w:val="00C76D7C"/>
    <w:rsid w:val="00C76F34"/>
    <w:rsid w:val="00C7755C"/>
    <w:rsid w:val="00C778C9"/>
    <w:rsid w:val="00C77F54"/>
    <w:rsid w:val="00C80190"/>
    <w:rsid w:val="00C80325"/>
    <w:rsid w:val="00C80948"/>
    <w:rsid w:val="00C80B74"/>
    <w:rsid w:val="00C80DFC"/>
    <w:rsid w:val="00C81296"/>
    <w:rsid w:val="00C81428"/>
    <w:rsid w:val="00C827E5"/>
    <w:rsid w:val="00C828BD"/>
    <w:rsid w:val="00C82D1C"/>
    <w:rsid w:val="00C839F7"/>
    <w:rsid w:val="00C84253"/>
    <w:rsid w:val="00C84449"/>
    <w:rsid w:val="00C8487A"/>
    <w:rsid w:val="00C85112"/>
    <w:rsid w:val="00C851E3"/>
    <w:rsid w:val="00C85325"/>
    <w:rsid w:val="00C859C3"/>
    <w:rsid w:val="00C85E46"/>
    <w:rsid w:val="00C85F40"/>
    <w:rsid w:val="00C86042"/>
    <w:rsid w:val="00C86376"/>
    <w:rsid w:val="00C863A2"/>
    <w:rsid w:val="00C86525"/>
    <w:rsid w:val="00C867DF"/>
    <w:rsid w:val="00C86846"/>
    <w:rsid w:val="00C86C62"/>
    <w:rsid w:val="00C86CE1"/>
    <w:rsid w:val="00C871CD"/>
    <w:rsid w:val="00C8731C"/>
    <w:rsid w:val="00C87328"/>
    <w:rsid w:val="00C90177"/>
    <w:rsid w:val="00C90E42"/>
    <w:rsid w:val="00C91208"/>
    <w:rsid w:val="00C913BE"/>
    <w:rsid w:val="00C916F9"/>
    <w:rsid w:val="00C91FC0"/>
    <w:rsid w:val="00C92B2B"/>
    <w:rsid w:val="00C93189"/>
    <w:rsid w:val="00C93672"/>
    <w:rsid w:val="00C93B8A"/>
    <w:rsid w:val="00C93D59"/>
    <w:rsid w:val="00C948FD"/>
    <w:rsid w:val="00C952F8"/>
    <w:rsid w:val="00C953A4"/>
    <w:rsid w:val="00C95564"/>
    <w:rsid w:val="00C95A3E"/>
    <w:rsid w:val="00C95D96"/>
    <w:rsid w:val="00C95E68"/>
    <w:rsid w:val="00C95F45"/>
    <w:rsid w:val="00C95F9B"/>
    <w:rsid w:val="00C963CD"/>
    <w:rsid w:val="00C96FE6"/>
    <w:rsid w:val="00C97119"/>
    <w:rsid w:val="00C97A9F"/>
    <w:rsid w:val="00CA0221"/>
    <w:rsid w:val="00CA080A"/>
    <w:rsid w:val="00CA084F"/>
    <w:rsid w:val="00CA0FB8"/>
    <w:rsid w:val="00CA17CF"/>
    <w:rsid w:val="00CA1C00"/>
    <w:rsid w:val="00CA2BAE"/>
    <w:rsid w:val="00CA3AE4"/>
    <w:rsid w:val="00CA3E49"/>
    <w:rsid w:val="00CA42FA"/>
    <w:rsid w:val="00CA46A3"/>
    <w:rsid w:val="00CA49C7"/>
    <w:rsid w:val="00CA4A33"/>
    <w:rsid w:val="00CA5792"/>
    <w:rsid w:val="00CA5AFA"/>
    <w:rsid w:val="00CA600D"/>
    <w:rsid w:val="00CA63EF"/>
    <w:rsid w:val="00CA6E5D"/>
    <w:rsid w:val="00CA7319"/>
    <w:rsid w:val="00CA7DF1"/>
    <w:rsid w:val="00CB0349"/>
    <w:rsid w:val="00CB0392"/>
    <w:rsid w:val="00CB0554"/>
    <w:rsid w:val="00CB05DD"/>
    <w:rsid w:val="00CB0878"/>
    <w:rsid w:val="00CB08F2"/>
    <w:rsid w:val="00CB0F11"/>
    <w:rsid w:val="00CB20B7"/>
    <w:rsid w:val="00CB2521"/>
    <w:rsid w:val="00CB2723"/>
    <w:rsid w:val="00CB2A99"/>
    <w:rsid w:val="00CB2C5A"/>
    <w:rsid w:val="00CB304B"/>
    <w:rsid w:val="00CB349D"/>
    <w:rsid w:val="00CB4514"/>
    <w:rsid w:val="00CB4782"/>
    <w:rsid w:val="00CB50A0"/>
    <w:rsid w:val="00CB5497"/>
    <w:rsid w:val="00CB632E"/>
    <w:rsid w:val="00CB633F"/>
    <w:rsid w:val="00CB6341"/>
    <w:rsid w:val="00CB69BC"/>
    <w:rsid w:val="00CB7024"/>
    <w:rsid w:val="00CB70C4"/>
    <w:rsid w:val="00CB75F2"/>
    <w:rsid w:val="00CB75FC"/>
    <w:rsid w:val="00CB776E"/>
    <w:rsid w:val="00CB7A95"/>
    <w:rsid w:val="00CC00BD"/>
    <w:rsid w:val="00CC021D"/>
    <w:rsid w:val="00CC0595"/>
    <w:rsid w:val="00CC0A3E"/>
    <w:rsid w:val="00CC0B87"/>
    <w:rsid w:val="00CC0D36"/>
    <w:rsid w:val="00CC1163"/>
    <w:rsid w:val="00CC1699"/>
    <w:rsid w:val="00CC1B7C"/>
    <w:rsid w:val="00CC205D"/>
    <w:rsid w:val="00CC2299"/>
    <w:rsid w:val="00CC2366"/>
    <w:rsid w:val="00CC2D33"/>
    <w:rsid w:val="00CC3471"/>
    <w:rsid w:val="00CC39DC"/>
    <w:rsid w:val="00CC3D18"/>
    <w:rsid w:val="00CC3EEA"/>
    <w:rsid w:val="00CC3FC8"/>
    <w:rsid w:val="00CC4412"/>
    <w:rsid w:val="00CC532B"/>
    <w:rsid w:val="00CC55D2"/>
    <w:rsid w:val="00CC5851"/>
    <w:rsid w:val="00CC5A29"/>
    <w:rsid w:val="00CC5BE0"/>
    <w:rsid w:val="00CC627E"/>
    <w:rsid w:val="00CC653B"/>
    <w:rsid w:val="00CC67CE"/>
    <w:rsid w:val="00CC6DB3"/>
    <w:rsid w:val="00CC75F6"/>
    <w:rsid w:val="00CC762D"/>
    <w:rsid w:val="00CC797B"/>
    <w:rsid w:val="00CC7AC6"/>
    <w:rsid w:val="00CC7C99"/>
    <w:rsid w:val="00CD0146"/>
    <w:rsid w:val="00CD0805"/>
    <w:rsid w:val="00CD08F1"/>
    <w:rsid w:val="00CD1725"/>
    <w:rsid w:val="00CD1BFE"/>
    <w:rsid w:val="00CD1DD9"/>
    <w:rsid w:val="00CD1DE5"/>
    <w:rsid w:val="00CD1ED7"/>
    <w:rsid w:val="00CD2168"/>
    <w:rsid w:val="00CD2789"/>
    <w:rsid w:val="00CD2B83"/>
    <w:rsid w:val="00CD2E2B"/>
    <w:rsid w:val="00CD31FB"/>
    <w:rsid w:val="00CD340A"/>
    <w:rsid w:val="00CD3613"/>
    <w:rsid w:val="00CD3DF9"/>
    <w:rsid w:val="00CD3F29"/>
    <w:rsid w:val="00CD40EF"/>
    <w:rsid w:val="00CD43AE"/>
    <w:rsid w:val="00CD571F"/>
    <w:rsid w:val="00CD5D92"/>
    <w:rsid w:val="00CD5DEA"/>
    <w:rsid w:val="00CD61EA"/>
    <w:rsid w:val="00CD6A5C"/>
    <w:rsid w:val="00CD7162"/>
    <w:rsid w:val="00CD770E"/>
    <w:rsid w:val="00CD7C58"/>
    <w:rsid w:val="00CD7D5F"/>
    <w:rsid w:val="00CE0681"/>
    <w:rsid w:val="00CE0BD5"/>
    <w:rsid w:val="00CE10B0"/>
    <w:rsid w:val="00CE194C"/>
    <w:rsid w:val="00CE1F9A"/>
    <w:rsid w:val="00CE2523"/>
    <w:rsid w:val="00CE27EA"/>
    <w:rsid w:val="00CE2F02"/>
    <w:rsid w:val="00CE34AE"/>
    <w:rsid w:val="00CE36CE"/>
    <w:rsid w:val="00CE3D72"/>
    <w:rsid w:val="00CE3F0A"/>
    <w:rsid w:val="00CE4125"/>
    <w:rsid w:val="00CE417B"/>
    <w:rsid w:val="00CE4536"/>
    <w:rsid w:val="00CE4EB3"/>
    <w:rsid w:val="00CE5129"/>
    <w:rsid w:val="00CE5155"/>
    <w:rsid w:val="00CE52D2"/>
    <w:rsid w:val="00CE58E9"/>
    <w:rsid w:val="00CE5A21"/>
    <w:rsid w:val="00CE5B4F"/>
    <w:rsid w:val="00CE610E"/>
    <w:rsid w:val="00CE630E"/>
    <w:rsid w:val="00CE6AA1"/>
    <w:rsid w:val="00CE6CBB"/>
    <w:rsid w:val="00CE6DA2"/>
    <w:rsid w:val="00CE6E79"/>
    <w:rsid w:val="00CE767C"/>
    <w:rsid w:val="00CE771F"/>
    <w:rsid w:val="00CE77B3"/>
    <w:rsid w:val="00CF1524"/>
    <w:rsid w:val="00CF19AA"/>
    <w:rsid w:val="00CF1D02"/>
    <w:rsid w:val="00CF1D74"/>
    <w:rsid w:val="00CF1F34"/>
    <w:rsid w:val="00CF2136"/>
    <w:rsid w:val="00CF27E4"/>
    <w:rsid w:val="00CF2B5C"/>
    <w:rsid w:val="00CF2BC3"/>
    <w:rsid w:val="00CF2F8F"/>
    <w:rsid w:val="00CF3057"/>
    <w:rsid w:val="00CF3BC8"/>
    <w:rsid w:val="00CF48EA"/>
    <w:rsid w:val="00CF4F05"/>
    <w:rsid w:val="00CF51B4"/>
    <w:rsid w:val="00CF533B"/>
    <w:rsid w:val="00CF5410"/>
    <w:rsid w:val="00CF5ABD"/>
    <w:rsid w:val="00CF5BA9"/>
    <w:rsid w:val="00CF5E83"/>
    <w:rsid w:val="00CF5EFA"/>
    <w:rsid w:val="00CF6893"/>
    <w:rsid w:val="00CF68BF"/>
    <w:rsid w:val="00CF70FB"/>
    <w:rsid w:val="00CF78B5"/>
    <w:rsid w:val="00CF7A75"/>
    <w:rsid w:val="00D001B1"/>
    <w:rsid w:val="00D01017"/>
    <w:rsid w:val="00D015DE"/>
    <w:rsid w:val="00D02016"/>
    <w:rsid w:val="00D02EA7"/>
    <w:rsid w:val="00D0307A"/>
    <w:rsid w:val="00D036DA"/>
    <w:rsid w:val="00D0370B"/>
    <w:rsid w:val="00D048EA"/>
    <w:rsid w:val="00D04D9F"/>
    <w:rsid w:val="00D051AC"/>
    <w:rsid w:val="00D05244"/>
    <w:rsid w:val="00D052C2"/>
    <w:rsid w:val="00D05890"/>
    <w:rsid w:val="00D0593D"/>
    <w:rsid w:val="00D06051"/>
    <w:rsid w:val="00D0618F"/>
    <w:rsid w:val="00D0639D"/>
    <w:rsid w:val="00D065D3"/>
    <w:rsid w:val="00D077CA"/>
    <w:rsid w:val="00D07812"/>
    <w:rsid w:val="00D0796E"/>
    <w:rsid w:val="00D07B05"/>
    <w:rsid w:val="00D07F42"/>
    <w:rsid w:val="00D10A3C"/>
    <w:rsid w:val="00D10C66"/>
    <w:rsid w:val="00D10FA8"/>
    <w:rsid w:val="00D110B0"/>
    <w:rsid w:val="00D1153C"/>
    <w:rsid w:val="00D121A4"/>
    <w:rsid w:val="00D12321"/>
    <w:rsid w:val="00D127BE"/>
    <w:rsid w:val="00D129F4"/>
    <w:rsid w:val="00D12AF4"/>
    <w:rsid w:val="00D12D80"/>
    <w:rsid w:val="00D133A7"/>
    <w:rsid w:val="00D134D0"/>
    <w:rsid w:val="00D13AE0"/>
    <w:rsid w:val="00D13E79"/>
    <w:rsid w:val="00D13EDC"/>
    <w:rsid w:val="00D13FFA"/>
    <w:rsid w:val="00D15355"/>
    <w:rsid w:val="00D15379"/>
    <w:rsid w:val="00D164E8"/>
    <w:rsid w:val="00D1677F"/>
    <w:rsid w:val="00D16D3E"/>
    <w:rsid w:val="00D17182"/>
    <w:rsid w:val="00D17380"/>
    <w:rsid w:val="00D17717"/>
    <w:rsid w:val="00D1774D"/>
    <w:rsid w:val="00D17853"/>
    <w:rsid w:val="00D17CF6"/>
    <w:rsid w:val="00D17E73"/>
    <w:rsid w:val="00D17EA9"/>
    <w:rsid w:val="00D2074D"/>
    <w:rsid w:val="00D20832"/>
    <w:rsid w:val="00D20A48"/>
    <w:rsid w:val="00D20CB1"/>
    <w:rsid w:val="00D20DC2"/>
    <w:rsid w:val="00D20DFA"/>
    <w:rsid w:val="00D210D8"/>
    <w:rsid w:val="00D2151C"/>
    <w:rsid w:val="00D21D12"/>
    <w:rsid w:val="00D222C2"/>
    <w:rsid w:val="00D22357"/>
    <w:rsid w:val="00D22426"/>
    <w:rsid w:val="00D225E6"/>
    <w:rsid w:val="00D228B1"/>
    <w:rsid w:val="00D22B91"/>
    <w:rsid w:val="00D22DA7"/>
    <w:rsid w:val="00D23059"/>
    <w:rsid w:val="00D23371"/>
    <w:rsid w:val="00D23395"/>
    <w:rsid w:val="00D23BF9"/>
    <w:rsid w:val="00D23D7C"/>
    <w:rsid w:val="00D24282"/>
    <w:rsid w:val="00D24313"/>
    <w:rsid w:val="00D2615C"/>
    <w:rsid w:val="00D26490"/>
    <w:rsid w:val="00D264AF"/>
    <w:rsid w:val="00D269D6"/>
    <w:rsid w:val="00D26C18"/>
    <w:rsid w:val="00D26D12"/>
    <w:rsid w:val="00D27514"/>
    <w:rsid w:val="00D2781C"/>
    <w:rsid w:val="00D30E53"/>
    <w:rsid w:val="00D30EA2"/>
    <w:rsid w:val="00D30FD0"/>
    <w:rsid w:val="00D30FF9"/>
    <w:rsid w:val="00D3183B"/>
    <w:rsid w:val="00D321A2"/>
    <w:rsid w:val="00D324E8"/>
    <w:rsid w:val="00D327B6"/>
    <w:rsid w:val="00D32855"/>
    <w:rsid w:val="00D329CF"/>
    <w:rsid w:val="00D32C59"/>
    <w:rsid w:val="00D32D2C"/>
    <w:rsid w:val="00D32E34"/>
    <w:rsid w:val="00D32FA6"/>
    <w:rsid w:val="00D33486"/>
    <w:rsid w:val="00D33625"/>
    <w:rsid w:val="00D33711"/>
    <w:rsid w:val="00D339D8"/>
    <w:rsid w:val="00D33D0F"/>
    <w:rsid w:val="00D34449"/>
    <w:rsid w:val="00D34495"/>
    <w:rsid w:val="00D34543"/>
    <w:rsid w:val="00D34AE5"/>
    <w:rsid w:val="00D34C37"/>
    <w:rsid w:val="00D35B97"/>
    <w:rsid w:val="00D36405"/>
    <w:rsid w:val="00D366A0"/>
    <w:rsid w:val="00D36911"/>
    <w:rsid w:val="00D36AE2"/>
    <w:rsid w:val="00D36B82"/>
    <w:rsid w:val="00D36EB0"/>
    <w:rsid w:val="00D37151"/>
    <w:rsid w:val="00D37910"/>
    <w:rsid w:val="00D37D64"/>
    <w:rsid w:val="00D37DC1"/>
    <w:rsid w:val="00D37E97"/>
    <w:rsid w:val="00D4061A"/>
    <w:rsid w:val="00D406FE"/>
    <w:rsid w:val="00D41561"/>
    <w:rsid w:val="00D41AA5"/>
    <w:rsid w:val="00D41AE6"/>
    <w:rsid w:val="00D41C85"/>
    <w:rsid w:val="00D41CF2"/>
    <w:rsid w:val="00D41D50"/>
    <w:rsid w:val="00D422B6"/>
    <w:rsid w:val="00D4265D"/>
    <w:rsid w:val="00D426AE"/>
    <w:rsid w:val="00D4275A"/>
    <w:rsid w:val="00D42814"/>
    <w:rsid w:val="00D4285F"/>
    <w:rsid w:val="00D42AD5"/>
    <w:rsid w:val="00D43A98"/>
    <w:rsid w:val="00D43E5A"/>
    <w:rsid w:val="00D43EB8"/>
    <w:rsid w:val="00D443ED"/>
    <w:rsid w:val="00D444F2"/>
    <w:rsid w:val="00D4459D"/>
    <w:rsid w:val="00D446DB"/>
    <w:rsid w:val="00D4472C"/>
    <w:rsid w:val="00D44ADB"/>
    <w:rsid w:val="00D459D1"/>
    <w:rsid w:val="00D4605C"/>
    <w:rsid w:val="00D463FA"/>
    <w:rsid w:val="00D46637"/>
    <w:rsid w:val="00D46992"/>
    <w:rsid w:val="00D46D29"/>
    <w:rsid w:val="00D46EBC"/>
    <w:rsid w:val="00D4794D"/>
    <w:rsid w:val="00D47D06"/>
    <w:rsid w:val="00D47F9A"/>
    <w:rsid w:val="00D50618"/>
    <w:rsid w:val="00D50840"/>
    <w:rsid w:val="00D5182B"/>
    <w:rsid w:val="00D52095"/>
    <w:rsid w:val="00D520C8"/>
    <w:rsid w:val="00D52AC1"/>
    <w:rsid w:val="00D52C49"/>
    <w:rsid w:val="00D52DB2"/>
    <w:rsid w:val="00D54798"/>
    <w:rsid w:val="00D54947"/>
    <w:rsid w:val="00D5495E"/>
    <w:rsid w:val="00D54D53"/>
    <w:rsid w:val="00D54DD0"/>
    <w:rsid w:val="00D551FC"/>
    <w:rsid w:val="00D558CD"/>
    <w:rsid w:val="00D55B35"/>
    <w:rsid w:val="00D566EA"/>
    <w:rsid w:val="00D57DF3"/>
    <w:rsid w:val="00D60496"/>
    <w:rsid w:val="00D605B3"/>
    <w:rsid w:val="00D609B5"/>
    <w:rsid w:val="00D609CC"/>
    <w:rsid w:val="00D60F5D"/>
    <w:rsid w:val="00D60FF2"/>
    <w:rsid w:val="00D61096"/>
    <w:rsid w:val="00D61721"/>
    <w:rsid w:val="00D620E0"/>
    <w:rsid w:val="00D6283F"/>
    <w:rsid w:val="00D6316C"/>
    <w:rsid w:val="00D6327D"/>
    <w:rsid w:val="00D632BF"/>
    <w:rsid w:val="00D636A3"/>
    <w:rsid w:val="00D6381A"/>
    <w:rsid w:val="00D63825"/>
    <w:rsid w:val="00D63BC2"/>
    <w:rsid w:val="00D63F6D"/>
    <w:rsid w:val="00D64235"/>
    <w:rsid w:val="00D646A8"/>
    <w:rsid w:val="00D64778"/>
    <w:rsid w:val="00D65239"/>
    <w:rsid w:val="00D655FA"/>
    <w:rsid w:val="00D6578C"/>
    <w:rsid w:val="00D65881"/>
    <w:rsid w:val="00D65925"/>
    <w:rsid w:val="00D65EDA"/>
    <w:rsid w:val="00D664B1"/>
    <w:rsid w:val="00D66894"/>
    <w:rsid w:val="00D66B1B"/>
    <w:rsid w:val="00D66EE3"/>
    <w:rsid w:val="00D66F69"/>
    <w:rsid w:val="00D6782F"/>
    <w:rsid w:val="00D67B85"/>
    <w:rsid w:val="00D704DC"/>
    <w:rsid w:val="00D706CE"/>
    <w:rsid w:val="00D706EC"/>
    <w:rsid w:val="00D712CE"/>
    <w:rsid w:val="00D71500"/>
    <w:rsid w:val="00D716CD"/>
    <w:rsid w:val="00D71797"/>
    <w:rsid w:val="00D717A1"/>
    <w:rsid w:val="00D72024"/>
    <w:rsid w:val="00D728C4"/>
    <w:rsid w:val="00D72EC0"/>
    <w:rsid w:val="00D730E2"/>
    <w:rsid w:val="00D73550"/>
    <w:rsid w:val="00D73695"/>
    <w:rsid w:val="00D73D68"/>
    <w:rsid w:val="00D73F86"/>
    <w:rsid w:val="00D743DA"/>
    <w:rsid w:val="00D74B64"/>
    <w:rsid w:val="00D74C6D"/>
    <w:rsid w:val="00D74D83"/>
    <w:rsid w:val="00D75060"/>
    <w:rsid w:val="00D752B7"/>
    <w:rsid w:val="00D758E7"/>
    <w:rsid w:val="00D75AD5"/>
    <w:rsid w:val="00D75B61"/>
    <w:rsid w:val="00D75B67"/>
    <w:rsid w:val="00D75D51"/>
    <w:rsid w:val="00D76807"/>
    <w:rsid w:val="00D7687E"/>
    <w:rsid w:val="00D76B93"/>
    <w:rsid w:val="00D76D5A"/>
    <w:rsid w:val="00D77775"/>
    <w:rsid w:val="00D777B4"/>
    <w:rsid w:val="00D77A85"/>
    <w:rsid w:val="00D77E9F"/>
    <w:rsid w:val="00D8096B"/>
    <w:rsid w:val="00D80AC8"/>
    <w:rsid w:val="00D80D40"/>
    <w:rsid w:val="00D812D7"/>
    <w:rsid w:val="00D812EC"/>
    <w:rsid w:val="00D812F0"/>
    <w:rsid w:val="00D8154D"/>
    <w:rsid w:val="00D81A26"/>
    <w:rsid w:val="00D81DEE"/>
    <w:rsid w:val="00D820E9"/>
    <w:rsid w:val="00D82692"/>
    <w:rsid w:val="00D828DF"/>
    <w:rsid w:val="00D830FA"/>
    <w:rsid w:val="00D83156"/>
    <w:rsid w:val="00D83317"/>
    <w:rsid w:val="00D8361B"/>
    <w:rsid w:val="00D84152"/>
    <w:rsid w:val="00D8423F"/>
    <w:rsid w:val="00D84345"/>
    <w:rsid w:val="00D84463"/>
    <w:rsid w:val="00D84AA3"/>
    <w:rsid w:val="00D84C29"/>
    <w:rsid w:val="00D84F69"/>
    <w:rsid w:val="00D85C14"/>
    <w:rsid w:val="00D8641C"/>
    <w:rsid w:val="00D86ADF"/>
    <w:rsid w:val="00D86DC5"/>
    <w:rsid w:val="00D86F77"/>
    <w:rsid w:val="00D870E5"/>
    <w:rsid w:val="00D87256"/>
    <w:rsid w:val="00D87282"/>
    <w:rsid w:val="00D872F0"/>
    <w:rsid w:val="00D8761A"/>
    <w:rsid w:val="00D87661"/>
    <w:rsid w:val="00D876D6"/>
    <w:rsid w:val="00D87B4F"/>
    <w:rsid w:val="00D90737"/>
    <w:rsid w:val="00D91314"/>
    <w:rsid w:val="00D91E17"/>
    <w:rsid w:val="00D922D7"/>
    <w:rsid w:val="00D9240C"/>
    <w:rsid w:val="00D92D2C"/>
    <w:rsid w:val="00D930FA"/>
    <w:rsid w:val="00D93357"/>
    <w:rsid w:val="00D93D11"/>
    <w:rsid w:val="00D93EDC"/>
    <w:rsid w:val="00D94805"/>
    <w:rsid w:val="00D95F83"/>
    <w:rsid w:val="00D965A7"/>
    <w:rsid w:val="00D9662B"/>
    <w:rsid w:val="00D975B3"/>
    <w:rsid w:val="00D97F64"/>
    <w:rsid w:val="00DA019E"/>
    <w:rsid w:val="00DA0253"/>
    <w:rsid w:val="00DA08E9"/>
    <w:rsid w:val="00DA1221"/>
    <w:rsid w:val="00DA1302"/>
    <w:rsid w:val="00DA13C7"/>
    <w:rsid w:val="00DA1410"/>
    <w:rsid w:val="00DA1E35"/>
    <w:rsid w:val="00DA259F"/>
    <w:rsid w:val="00DA29A7"/>
    <w:rsid w:val="00DA2AD6"/>
    <w:rsid w:val="00DA31C9"/>
    <w:rsid w:val="00DA4392"/>
    <w:rsid w:val="00DA49C9"/>
    <w:rsid w:val="00DA4CB1"/>
    <w:rsid w:val="00DA6261"/>
    <w:rsid w:val="00DA67B6"/>
    <w:rsid w:val="00DA683D"/>
    <w:rsid w:val="00DA6F98"/>
    <w:rsid w:val="00DA6FDD"/>
    <w:rsid w:val="00DA7594"/>
    <w:rsid w:val="00DA7FC2"/>
    <w:rsid w:val="00DB0632"/>
    <w:rsid w:val="00DB0661"/>
    <w:rsid w:val="00DB0900"/>
    <w:rsid w:val="00DB0D80"/>
    <w:rsid w:val="00DB10AD"/>
    <w:rsid w:val="00DB13FF"/>
    <w:rsid w:val="00DB1D33"/>
    <w:rsid w:val="00DB1FE3"/>
    <w:rsid w:val="00DB2028"/>
    <w:rsid w:val="00DB239C"/>
    <w:rsid w:val="00DB2426"/>
    <w:rsid w:val="00DB2931"/>
    <w:rsid w:val="00DB37A5"/>
    <w:rsid w:val="00DB3C93"/>
    <w:rsid w:val="00DB403B"/>
    <w:rsid w:val="00DB41D5"/>
    <w:rsid w:val="00DB41DF"/>
    <w:rsid w:val="00DB4773"/>
    <w:rsid w:val="00DB490D"/>
    <w:rsid w:val="00DB4AB1"/>
    <w:rsid w:val="00DB4AFF"/>
    <w:rsid w:val="00DB4BBE"/>
    <w:rsid w:val="00DB5503"/>
    <w:rsid w:val="00DB5D83"/>
    <w:rsid w:val="00DB5E5E"/>
    <w:rsid w:val="00DB620B"/>
    <w:rsid w:val="00DB657D"/>
    <w:rsid w:val="00DB6AAF"/>
    <w:rsid w:val="00DB7134"/>
    <w:rsid w:val="00DB7B3A"/>
    <w:rsid w:val="00DC0304"/>
    <w:rsid w:val="00DC0B80"/>
    <w:rsid w:val="00DC0B84"/>
    <w:rsid w:val="00DC12D7"/>
    <w:rsid w:val="00DC16E8"/>
    <w:rsid w:val="00DC1D11"/>
    <w:rsid w:val="00DC205F"/>
    <w:rsid w:val="00DC220A"/>
    <w:rsid w:val="00DC2501"/>
    <w:rsid w:val="00DC260E"/>
    <w:rsid w:val="00DC3738"/>
    <w:rsid w:val="00DC37E3"/>
    <w:rsid w:val="00DC3C95"/>
    <w:rsid w:val="00DC3CC7"/>
    <w:rsid w:val="00DC3D9D"/>
    <w:rsid w:val="00DC3E5B"/>
    <w:rsid w:val="00DC3FA6"/>
    <w:rsid w:val="00DC43C8"/>
    <w:rsid w:val="00DC4549"/>
    <w:rsid w:val="00DC4DA0"/>
    <w:rsid w:val="00DC4F15"/>
    <w:rsid w:val="00DC5596"/>
    <w:rsid w:val="00DC584E"/>
    <w:rsid w:val="00DC5EAF"/>
    <w:rsid w:val="00DC5F4A"/>
    <w:rsid w:val="00DC6203"/>
    <w:rsid w:val="00DC6538"/>
    <w:rsid w:val="00DC68D7"/>
    <w:rsid w:val="00DC6AAC"/>
    <w:rsid w:val="00DC704D"/>
    <w:rsid w:val="00DC7AE2"/>
    <w:rsid w:val="00DC7B82"/>
    <w:rsid w:val="00DC7B85"/>
    <w:rsid w:val="00DD0033"/>
    <w:rsid w:val="00DD04E9"/>
    <w:rsid w:val="00DD0502"/>
    <w:rsid w:val="00DD0719"/>
    <w:rsid w:val="00DD085D"/>
    <w:rsid w:val="00DD08BF"/>
    <w:rsid w:val="00DD095C"/>
    <w:rsid w:val="00DD0A0C"/>
    <w:rsid w:val="00DD0C50"/>
    <w:rsid w:val="00DD0E7E"/>
    <w:rsid w:val="00DD0FEF"/>
    <w:rsid w:val="00DD1062"/>
    <w:rsid w:val="00DD1138"/>
    <w:rsid w:val="00DD16F8"/>
    <w:rsid w:val="00DD1806"/>
    <w:rsid w:val="00DD2900"/>
    <w:rsid w:val="00DD2B0D"/>
    <w:rsid w:val="00DD3379"/>
    <w:rsid w:val="00DD3630"/>
    <w:rsid w:val="00DD3C66"/>
    <w:rsid w:val="00DD3E6F"/>
    <w:rsid w:val="00DD3F08"/>
    <w:rsid w:val="00DD40E0"/>
    <w:rsid w:val="00DD461A"/>
    <w:rsid w:val="00DD470D"/>
    <w:rsid w:val="00DD4FEC"/>
    <w:rsid w:val="00DD5041"/>
    <w:rsid w:val="00DD545A"/>
    <w:rsid w:val="00DD5668"/>
    <w:rsid w:val="00DD588C"/>
    <w:rsid w:val="00DD5C18"/>
    <w:rsid w:val="00DD6154"/>
    <w:rsid w:val="00DD7036"/>
    <w:rsid w:val="00DD7433"/>
    <w:rsid w:val="00DD7C24"/>
    <w:rsid w:val="00DD7E42"/>
    <w:rsid w:val="00DE0682"/>
    <w:rsid w:val="00DE0E30"/>
    <w:rsid w:val="00DE0E97"/>
    <w:rsid w:val="00DE14FE"/>
    <w:rsid w:val="00DE1EEB"/>
    <w:rsid w:val="00DE1FA3"/>
    <w:rsid w:val="00DE2D4D"/>
    <w:rsid w:val="00DE3466"/>
    <w:rsid w:val="00DE36C5"/>
    <w:rsid w:val="00DE38FE"/>
    <w:rsid w:val="00DE391D"/>
    <w:rsid w:val="00DE3A30"/>
    <w:rsid w:val="00DE4027"/>
    <w:rsid w:val="00DE434B"/>
    <w:rsid w:val="00DE4C60"/>
    <w:rsid w:val="00DE567C"/>
    <w:rsid w:val="00DE56E2"/>
    <w:rsid w:val="00DE58F0"/>
    <w:rsid w:val="00DE58FD"/>
    <w:rsid w:val="00DE5936"/>
    <w:rsid w:val="00DE5B56"/>
    <w:rsid w:val="00DE73DF"/>
    <w:rsid w:val="00DE757C"/>
    <w:rsid w:val="00DF033F"/>
    <w:rsid w:val="00DF05BD"/>
    <w:rsid w:val="00DF080B"/>
    <w:rsid w:val="00DF0BAB"/>
    <w:rsid w:val="00DF10C8"/>
    <w:rsid w:val="00DF14A6"/>
    <w:rsid w:val="00DF28C2"/>
    <w:rsid w:val="00DF2C92"/>
    <w:rsid w:val="00DF2D5B"/>
    <w:rsid w:val="00DF2FA9"/>
    <w:rsid w:val="00DF336E"/>
    <w:rsid w:val="00DF3425"/>
    <w:rsid w:val="00DF38B0"/>
    <w:rsid w:val="00DF4027"/>
    <w:rsid w:val="00DF41B8"/>
    <w:rsid w:val="00DF4BCA"/>
    <w:rsid w:val="00DF4C93"/>
    <w:rsid w:val="00DF4D6D"/>
    <w:rsid w:val="00DF5B5E"/>
    <w:rsid w:val="00DF664D"/>
    <w:rsid w:val="00DF666D"/>
    <w:rsid w:val="00DF6C8B"/>
    <w:rsid w:val="00DF74BA"/>
    <w:rsid w:val="00DF76F8"/>
    <w:rsid w:val="00E00403"/>
    <w:rsid w:val="00E005F3"/>
    <w:rsid w:val="00E009C0"/>
    <w:rsid w:val="00E00AB8"/>
    <w:rsid w:val="00E00BB3"/>
    <w:rsid w:val="00E00E87"/>
    <w:rsid w:val="00E00F9C"/>
    <w:rsid w:val="00E01118"/>
    <w:rsid w:val="00E014F2"/>
    <w:rsid w:val="00E024FA"/>
    <w:rsid w:val="00E025E9"/>
    <w:rsid w:val="00E0287B"/>
    <w:rsid w:val="00E02C7C"/>
    <w:rsid w:val="00E03251"/>
    <w:rsid w:val="00E035E9"/>
    <w:rsid w:val="00E037B9"/>
    <w:rsid w:val="00E03AEF"/>
    <w:rsid w:val="00E03C0F"/>
    <w:rsid w:val="00E04603"/>
    <w:rsid w:val="00E04DA8"/>
    <w:rsid w:val="00E0602F"/>
    <w:rsid w:val="00E0614F"/>
    <w:rsid w:val="00E061C4"/>
    <w:rsid w:val="00E06246"/>
    <w:rsid w:val="00E06676"/>
    <w:rsid w:val="00E066E9"/>
    <w:rsid w:val="00E06703"/>
    <w:rsid w:val="00E074E3"/>
    <w:rsid w:val="00E07A76"/>
    <w:rsid w:val="00E101CC"/>
    <w:rsid w:val="00E105B2"/>
    <w:rsid w:val="00E11027"/>
    <w:rsid w:val="00E11676"/>
    <w:rsid w:val="00E118CB"/>
    <w:rsid w:val="00E1193E"/>
    <w:rsid w:val="00E119B9"/>
    <w:rsid w:val="00E11D14"/>
    <w:rsid w:val="00E12311"/>
    <w:rsid w:val="00E125BC"/>
    <w:rsid w:val="00E12920"/>
    <w:rsid w:val="00E12B1F"/>
    <w:rsid w:val="00E12B6A"/>
    <w:rsid w:val="00E131D4"/>
    <w:rsid w:val="00E134AE"/>
    <w:rsid w:val="00E13653"/>
    <w:rsid w:val="00E13BFD"/>
    <w:rsid w:val="00E13F67"/>
    <w:rsid w:val="00E14449"/>
    <w:rsid w:val="00E1444F"/>
    <w:rsid w:val="00E1445C"/>
    <w:rsid w:val="00E1475A"/>
    <w:rsid w:val="00E14C4B"/>
    <w:rsid w:val="00E14EAD"/>
    <w:rsid w:val="00E152D5"/>
    <w:rsid w:val="00E1535D"/>
    <w:rsid w:val="00E154B0"/>
    <w:rsid w:val="00E15654"/>
    <w:rsid w:val="00E15BE7"/>
    <w:rsid w:val="00E16518"/>
    <w:rsid w:val="00E17B20"/>
    <w:rsid w:val="00E17F2E"/>
    <w:rsid w:val="00E203C1"/>
    <w:rsid w:val="00E20B3A"/>
    <w:rsid w:val="00E20B90"/>
    <w:rsid w:val="00E20C50"/>
    <w:rsid w:val="00E215D0"/>
    <w:rsid w:val="00E21689"/>
    <w:rsid w:val="00E21779"/>
    <w:rsid w:val="00E21886"/>
    <w:rsid w:val="00E21917"/>
    <w:rsid w:val="00E21A98"/>
    <w:rsid w:val="00E21AE8"/>
    <w:rsid w:val="00E21C99"/>
    <w:rsid w:val="00E21CBE"/>
    <w:rsid w:val="00E21CBF"/>
    <w:rsid w:val="00E220E5"/>
    <w:rsid w:val="00E2228B"/>
    <w:rsid w:val="00E23033"/>
    <w:rsid w:val="00E23869"/>
    <w:rsid w:val="00E2397B"/>
    <w:rsid w:val="00E23C27"/>
    <w:rsid w:val="00E24BC5"/>
    <w:rsid w:val="00E251F0"/>
    <w:rsid w:val="00E25C78"/>
    <w:rsid w:val="00E25D2E"/>
    <w:rsid w:val="00E26120"/>
    <w:rsid w:val="00E26280"/>
    <w:rsid w:val="00E26B96"/>
    <w:rsid w:val="00E26D1B"/>
    <w:rsid w:val="00E26EC0"/>
    <w:rsid w:val="00E271F8"/>
    <w:rsid w:val="00E273C1"/>
    <w:rsid w:val="00E27C54"/>
    <w:rsid w:val="00E27F31"/>
    <w:rsid w:val="00E27F4D"/>
    <w:rsid w:val="00E3083C"/>
    <w:rsid w:val="00E30E2A"/>
    <w:rsid w:val="00E315C1"/>
    <w:rsid w:val="00E31736"/>
    <w:rsid w:val="00E31C17"/>
    <w:rsid w:val="00E31E58"/>
    <w:rsid w:val="00E31E73"/>
    <w:rsid w:val="00E32675"/>
    <w:rsid w:val="00E32926"/>
    <w:rsid w:val="00E329F1"/>
    <w:rsid w:val="00E3322A"/>
    <w:rsid w:val="00E33937"/>
    <w:rsid w:val="00E34869"/>
    <w:rsid w:val="00E34959"/>
    <w:rsid w:val="00E34A44"/>
    <w:rsid w:val="00E35334"/>
    <w:rsid w:val="00E35376"/>
    <w:rsid w:val="00E35FA1"/>
    <w:rsid w:val="00E36958"/>
    <w:rsid w:val="00E3698E"/>
    <w:rsid w:val="00E369C0"/>
    <w:rsid w:val="00E36ADF"/>
    <w:rsid w:val="00E370A4"/>
    <w:rsid w:val="00E370D8"/>
    <w:rsid w:val="00E371CF"/>
    <w:rsid w:val="00E37215"/>
    <w:rsid w:val="00E372EC"/>
    <w:rsid w:val="00E37634"/>
    <w:rsid w:val="00E37C23"/>
    <w:rsid w:val="00E40078"/>
    <w:rsid w:val="00E40A1A"/>
    <w:rsid w:val="00E40B73"/>
    <w:rsid w:val="00E41256"/>
    <w:rsid w:val="00E41E8F"/>
    <w:rsid w:val="00E4231C"/>
    <w:rsid w:val="00E42922"/>
    <w:rsid w:val="00E42AFA"/>
    <w:rsid w:val="00E42CE3"/>
    <w:rsid w:val="00E43F76"/>
    <w:rsid w:val="00E44028"/>
    <w:rsid w:val="00E44A99"/>
    <w:rsid w:val="00E44C28"/>
    <w:rsid w:val="00E44CF3"/>
    <w:rsid w:val="00E44E4C"/>
    <w:rsid w:val="00E45059"/>
    <w:rsid w:val="00E45E1F"/>
    <w:rsid w:val="00E45E81"/>
    <w:rsid w:val="00E462B6"/>
    <w:rsid w:val="00E46528"/>
    <w:rsid w:val="00E47E4C"/>
    <w:rsid w:val="00E50009"/>
    <w:rsid w:val="00E50151"/>
    <w:rsid w:val="00E50FFB"/>
    <w:rsid w:val="00E51155"/>
    <w:rsid w:val="00E51389"/>
    <w:rsid w:val="00E51504"/>
    <w:rsid w:val="00E5154D"/>
    <w:rsid w:val="00E51E96"/>
    <w:rsid w:val="00E52949"/>
    <w:rsid w:val="00E52AE4"/>
    <w:rsid w:val="00E52E31"/>
    <w:rsid w:val="00E5348D"/>
    <w:rsid w:val="00E5356A"/>
    <w:rsid w:val="00E5379D"/>
    <w:rsid w:val="00E53800"/>
    <w:rsid w:val="00E53B0F"/>
    <w:rsid w:val="00E544E6"/>
    <w:rsid w:val="00E55022"/>
    <w:rsid w:val="00E550A8"/>
    <w:rsid w:val="00E5536F"/>
    <w:rsid w:val="00E553A3"/>
    <w:rsid w:val="00E55C8E"/>
    <w:rsid w:val="00E55D7A"/>
    <w:rsid w:val="00E56135"/>
    <w:rsid w:val="00E562E1"/>
    <w:rsid w:val="00E56460"/>
    <w:rsid w:val="00E56ABD"/>
    <w:rsid w:val="00E56BBA"/>
    <w:rsid w:val="00E57114"/>
    <w:rsid w:val="00E5797E"/>
    <w:rsid w:val="00E57B5D"/>
    <w:rsid w:val="00E57C7D"/>
    <w:rsid w:val="00E62143"/>
    <w:rsid w:val="00E621B4"/>
    <w:rsid w:val="00E62230"/>
    <w:rsid w:val="00E62F5D"/>
    <w:rsid w:val="00E633CD"/>
    <w:rsid w:val="00E635AE"/>
    <w:rsid w:val="00E63978"/>
    <w:rsid w:val="00E64E5B"/>
    <w:rsid w:val="00E64FEA"/>
    <w:rsid w:val="00E65199"/>
    <w:rsid w:val="00E652A2"/>
    <w:rsid w:val="00E656C9"/>
    <w:rsid w:val="00E656D6"/>
    <w:rsid w:val="00E656DA"/>
    <w:rsid w:val="00E65836"/>
    <w:rsid w:val="00E65F06"/>
    <w:rsid w:val="00E664C2"/>
    <w:rsid w:val="00E66CB4"/>
    <w:rsid w:val="00E66D38"/>
    <w:rsid w:val="00E67A33"/>
    <w:rsid w:val="00E67DBB"/>
    <w:rsid w:val="00E67E71"/>
    <w:rsid w:val="00E70605"/>
    <w:rsid w:val="00E70741"/>
    <w:rsid w:val="00E70C86"/>
    <w:rsid w:val="00E70CCB"/>
    <w:rsid w:val="00E70E2F"/>
    <w:rsid w:val="00E70E75"/>
    <w:rsid w:val="00E717F0"/>
    <w:rsid w:val="00E7187B"/>
    <w:rsid w:val="00E71A25"/>
    <w:rsid w:val="00E71E2D"/>
    <w:rsid w:val="00E7254E"/>
    <w:rsid w:val="00E7256E"/>
    <w:rsid w:val="00E727B2"/>
    <w:rsid w:val="00E72918"/>
    <w:rsid w:val="00E729CF"/>
    <w:rsid w:val="00E729D5"/>
    <w:rsid w:val="00E72D79"/>
    <w:rsid w:val="00E73973"/>
    <w:rsid w:val="00E73DBF"/>
    <w:rsid w:val="00E73DFB"/>
    <w:rsid w:val="00E74022"/>
    <w:rsid w:val="00E7423D"/>
    <w:rsid w:val="00E74B30"/>
    <w:rsid w:val="00E75610"/>
    <w:rsid w:val="00E75990"/>
    <w:rsid w:val="00E759E1"/>
    <w:rsid w:val="00E769EF"/>
    <w:rsid w:val="00E76A9B"/>
    <w:rsid w:val="00E76B98"/>
    <w:rsid w:val="00E77169"/>
    <w:rsid w:val="00E773F3"/>
    <w:rsid w:val="00E77463"/>
    <w:rsid w:val="00E77B13"/>
    <w:rsid w:val="00E77FA4"/>
    <w:rsid w:val="00E800EB"/>
    <w:rsid w:val="00E8046C"/>
    <w:rsid w:val="00E805BC"/>
    <w:rsid w:val="00E80613"/>
    <w:rsid w:val="00E80803"/>
    <w:rsid w:val="00E80A44"/>
    <w:rsid w:val="00E80DFC"/>
    <w:rsid w:val="00E8101B"/>
    <w:rsid w:val="00E815F2"/>
    <w:rsid w:val="00E81991"/>
    <w:rsid w:val="00E819CB"/>
    <w:rsid w:val="00E8283A"/>
    <w:rsid w:val="00E82DE6"/>
    <w:rsid w:val="00E82E19"/>
    <w:rsid w:val="00E82F58"/>
    <w:rsid w:val="00E82FE8"/>
    <w:rsid w:val="00E837EC"/>
    <w:rsid w:val="00E83B74"/>
    <w:rsid w:val="00E840EE"/>
    <w:rsid w:val="00E8436E"/>
    <w:rsid w:val="00E84988"/>
    <w:rsid w:val="00E84F64"/>
    <w:rsid w:val="00E85498"/>
    <w:rsid w:val="00E85544"/>
    <w:rsid w:val="00E85954"/>
    <w:rsid w:val="00E85AB6"/>
    <w:rsid w:val="00E85D19"/>
    <w:rsid w:val="00E872BA"/>
    <w:rsid w:val="00E87625"/>
    <w:rsid w:val="00E877C0"/>
    <w:rsid w:val="00E87C0F"/>
    <w:rsid w:val="00E87DB2"/>
    <w:rsid w:val="00E87DEE"/>
    <w:rsid w:val="00E90767"/>
    <w:rsid w:val="00E90942"/>
    <w:rsid w:val="00E90A7A"/>
    <w:rsid w:val="00E90D38"/>
    <w:rsid w:val="00E912B5"/>
    <w:rsid w:val="00E91E05"/>
    <w:rsid w:val="00E91F6D"/>
    <w:rsid w:val="00E923EA"/>
    <w:rsid w:val="00E92481"/>
    <w:rsid w:val="00E92AB5"/>
    <w:rsid w:val="00E92F04"/>
    <w:rsid w:val="00E92FC9"/>
    <w:rsid w:val="00E934C2"/>
    <w:rsid w:val="00E93617"/>
    <w:rsid w:val="00E93F0F"/>
    <w:rsid w:val="00E94EF2"/>
    <w:rsid w:val="00E94FB7"/>
    <w:rsid w:val="00E95581"/>
    <w:rsid w:val="00E9580C"/>
    <w:rsid w:val="00E95AEF"/>
    <w:rsid w:val="00E96805"/>
    <w:rsid w:val="00E96893"/>
    <w:rsid w:val="00E968AA"/>
    <w:rsid w:val="00E96A74"/>
    <w:rsid w:val="00E96AB6"/>
    <w:rsid w:val="00E96D42"/>
    <w:rsid w:val="00E96FF7"/>
    <w:rsid w:val="00EA035B"/>
    <w:rsid w:val="00EA03C6"/>
    <w:rsid w:val="00EA0B25"/>
    <w:rsid w:val="00EA11A7"/>
    <w:rsid w:val="00EA1492"/>
    <w:rsid w:val="00EA244C"/>
    <w:rsid w:val="00EA2893"/>
    <w:rsid w:val="00EA28DF"/>
    <w:rsid w:val="00EA2DA1"/>
    <w:rsid w:val="00EA31F9"/>
    <w:rsid w:val="00EA3430"/>
    <w:rsid w:val="00EA3640"/>
    <w:rsid w:val="00EA3BE3"/>
    <w:rsid w:val="00EA3C82"/>
    <w:rsid w:val="00EA3CBD"/>
    <w:rsid w:val="00EA4369"/>
    <w:rsid w:val="00EA4B7D"/>
    <w:rsid w:val="00EA4C7C"/>
    <w:rsid w:val="00EA4C99"/>
    <w:rsid w:val="00EA4FEE"/>
    <w:rsid w:val="00EA592C"/>
    <w:rsid w:val="00EA6B23"/>
    <w:rsid w:val="00EA6B81"/>
    <w:rsid w:val="00EA6BCF"/>
    <w:rsid w:val="00EA6E55"/>
    <w:rsid w:val="00EA7766"/>
    <w:rsid w:val="00EB028C"/>
    <w:rsid w:val="00EB0299"/>
    <w:rsid w:val="00EB031D"/>
    <w:rsid w:val="00EB0B72"/>
    <w:rsid w:val="00EB0D8B"/>
    <w:rsid w:val="00EB105C"/>
    <w:rsid w:val="00EB1CCC"/>
    <w:rsid w:val="00EB209D"/>
    <w:rsid w:val="00EB227D"/>
    <w:rsid w:val="00EB252D"/>
    <w:rsid w:val="00EB2546"/>
    <w:rsid w:val="00EB2797"/>
    <w:rsid w:val="00EB2DFF"/>
    <w:rsid w:val="00EB310F"/>
    <w:rsid w:val="00EB3662"/>
    <w:rsid w:val="00EB3A6C"/>
    <w:rsid w:val="00EB3B03"/>
    <w:rsid w:val="00EB4F87"/>
    <w:rsid w:val="00EB4FD1"/>
    <w:rsid w:val="00EB7A0A"/>
    <w:rsid w:val="00EC01A5"/>
    <w:rsid w:val="00EC0D13"/>
    <w:rsid w:val="00EC12EB"/>
    <w:rsid w:val="00EC1933"/>
    <w:rsid w:val="00EC2659"/>
    <w:rsid w:val="00EC2B5F"/>
    <w:rsid w:val="00EC32E5"/>
    <w:rsid w:val="00EC3A0D"/>
    <w:rsid w:val="00EC3C4D"/>
    <w:rsid w:val="00EC3CEE"/>
    <w:rsid w:val="00EC459E"/>
    <w:rsid w:val="00EC4727"/>
    <w:rsid w:val="00EC4E70"/>
    <w:rsid w:val="00EC5B99"/>
    <w:rsid w:val="00EC623A"/>
    <w:rsid w:val="00EC6EE3"/>
    <w:rsid w:val="00EC7097"/>
    <w:rsid w:val="00EC7738"/>
    <w:rsid w:val="00EC7D95"/>
    <w:rsid w:val="00ED05CD"/>
    <w:rsid w:val="00ED0B71"/>
    <w:rsid w:val="00ED0C4F"/>
    <w:rsid w:val="00ED1A0B"/>
    <w:rsid w:val="00ED1AA7"/>
    <w:rsid w:val="00ED1F37"/>
    <w:rsid w:val="00ED20E6"/>
    <w:rsid w:val="00ED2123"/>
    <w:rsid w:val="00ED2134"/>
    <w:rsid w:val="00ED2299"/>
    <w:rsid w:val="00ED2C2A"/>
    <w:rsid w:val="00ED342F"/>
    <w:rsid w:val="00ED3632"/>
    <w:rsid w:val="00ED38E9"/>
    <w:rsid w:val="00ED3C0E"/>
    <w:rsid w:val="00ED3F1D"/>
    <w:rsid w:val="00ED42B1"/>
    <w:rsid w:val="00ED44BA"/>
    <w:rsid w:val="00ED44C9"/>
    <w:rsid w:val="00ED4C24"/>
    <w:rsid w:val="00ED4CD2"/>
    <w:rsid w:val="00ED568F"/>
    <w:rsid w:val="00ED589B"/>
    <w:rsid w:val="00ED6979"/>
    <w:rsid w:val="00ED6A9C"/>
    <w:rsid w:val="00ED7182"/>
    <w:rsid w:val="00ED7528"/>
    <w:rsid w:val="00ED75D9"/>
    <w:rsid w:val="00ED799E"/>
    <w:rsid w:val="00ED7C40"/>
    <w:rsid w:val="00EE0244"/>
    <w:rsid w:val="00EE031F"/>
    <w:rsid w:val="00EE084F"/>
    <w:rsid w:val="00EE0935"/>
    <w:rsid w:val="00EE0CB7"/>
    <w:rsid w:val="00EE156C"/>
    <w:rsid w:val="00EE15EB"/>
    <w:rsid w:val="00EE187D"/>
    <w:rsid w:val="00EE1EFD"/>
    <w:rsid w:val="00EE1FB0"/>
    <w:rsid w:val="00EE20CF"/>
    <w:rsid w:val="00EE2320"/>
    <w:rsid w:val="00EE271B"/>
    <w:rsid w:val="00EE297B"/>
    <w:rsid w:val="00EE2A9C"/>
    <w:rsid w:val="00EE3286"/>
    <w:rsid w:val="00EE3520"/>
    <w:rsid w:val="00EE35DC"/>
    <w:rsid w:val="00EE3848"/>
    <w:rsid w:val="00EE386E"/>
    <w:rsid w:val="00EE389F"/>
    <w:rsid w:val="00EE3DE8"/>
    <w:rsid w:val="00EE46E6"/>
    <w:rsid w:val="00EE4ABF"/>
    <w:rsid w:val="00EE4C63"/>
    <w:rsid w:val="00EE4E56"/>
    <w:rsid w:val="00EE53CC"/>
    <w:rsid w:val="00EE54D2"/>
    <w:rsid w:val="00EE5552"/>
    <w:rsid w:val="00EE59CF"/>
    <w:rsid w:val="00EE5A32"/>
    <w:rsid w:val="00EE5B72"/>
    <w:rsid w:val="00EE5CA0"/>
    <w:rsid w:val="00EE61E4"/>
    <w:rsid w:val="00EE6952"/>
    <w:rsid w:val="00EE6B37"/>
    <w:rsid w:val="00EE6CDD"/>
    <w:rsid w:val="00EE6FCA"/>
    <w:rsid w:val="00EE7134"/>
    <w:rsid w:val="00EE76C6"/>
    <w:rsid w:val="00EE78EF"/>
    <w:rsid w:val="00EE7AA1"/>
    <w:rsid w:val="00EE7B25"/>
    <w:rsid w:val="00EF0762"/>
    <w:rsid w:val="00EF129E"/>
    <w:rsid w:val="00EF1543"/>
    <w:rsid w:val="00EF16B4"/>
    <w:rsid w:val="00EF1809"/>
    <w:rsid w:val="00EF1CD1"/>
    <w:rsid w:val="00EF297B"/>
    <w:rsid w:val="00EF349A"/>
    <w:rsid w:val="00EF34B8"/>
    <w:rsid w:val="00EF3967"/>
    <w:rsid w:val="00EF3ABF"/>
    <w:rsid w:val="00EF3C71"/>
    <w:rsid w:val="00EF41B6"/>
    <w:rsid w:val="00EF41D9"/>
    <w:rsid w:val="00EF43B1"/>
    <w:rsid w:val="00EF4422"/>
    <w:rsid w:val="00EF4E08"/>
    <w:rsid w:val="00EF57CE"/>
    <w:rsid w:val="00EF59A1"/>
    <w:rsid w:val="00EF61EF"/>
    <w:rsid w:val="00EF6512"/>
    <w:rsid w:val="00EF6D1B"/>
    <w:rsid w:val="00EF7327"/>
    <w:rsid w:val="00EF7705"/>
    <w:rsid w:val="00EF77EC"/>
    <w:rsid w:val="00EF7AC4"/>
    <w:rsid w:val="00EF7B18"/>
    <w:rsid w:val="00F00992"/>
    <w:rsid w:val="00F00E46"/>
    <w:rsid w:val="00F00E8C"/>
    <w:rsid w:val="00F013D0"/>
    <w:rsid w:val="00F029FF"/>
    <w:rsid w:val="00F03299"/>
    <w:rsid w:val="00F037F4"/>
    <w:rsid w:val="00F03D33"/>
    <w:rsid w:val="00F040A6"/>
    <w:rsid w:val="00F040F8"/>
    <w:rsid w:val="00F04184"/>
    <w:rsid w:val="00F04233"/>
    <w:rsid w:val="00F04563"/>
    <w:rsid w:val="00F046E8"/>
    <w:rsid w:val="00F047F8"/>
    <w:rsid w:val="00F0496F"/>
    <w:rsid w:val="00F04FF6"/>
    <w:rsid w:val="00F051E5"/>
    <w:rsid w:val="00F05273"/>
    <w:rsid w:val="00F0558F"/>
    <w:rsid w:val="00F05DFC"/>
    <w:rsid w:val="00F0603F"/>
    <w:rsid w:val="00F06367"/>
    <w:rsid w:val="00F065A2"/>
    <w:rsid w:val="00F067B5"/>
    <w:rsid w:val="00F06A57"/>
    <w:rsid w:val="00F070F2"/>
    <w:rsid w:val="00F070F9"/>
    <w:rsid w:val="00F0749C"/>
    <w:rsid w:val="00F07B21"/>
    <w:rsid w:val="00F07C15"/>
    <w:rsid w:val="00F10F1F"/>
    <w:rsid w:val="00F10F5B"/>
    <w:rsid w:val="00F11367"/>
    <w:rsid w:val="00F11F46"/>
    <w:rsid w:val="00F1210B"/>
    <w:rsid w:val="00F130B5"/>
    <w:rsid w:val="00F131EC"/>
    <w:rsid w:val="00F132BD"/>
    <w:rsid w:val="00F135B9"/>
    <w:rsid w:val="00F136E7"/>
    <w:rsid w:val="00F13C75"/>
    <w:rsid w:val="00F140A6"/>
    <w:rsid w:val="00F1444B"/>
    <w:rsid w:val="00F14584"/>
    <w:rsid w:val="00F146A9"/>
    <w:rsid w:val="00F1520D"/>
    <w:rsid w:val="00F1596F"/>
    <w:rsid w:val="00F15E83"/>
    <w:rsid w:val="00F1611C"/>
    <w:rsid w:val="00F16685"/>
    <w:rsid w:val="00F167FA"/>
    <w:rsid w:val="00F16A48"/>
    <w:rsid w:val="00F16ACE"/>
    <w:rsid w:val="00F16C0E"/>
    <w:rsid w:val="00F174F1"/>
    <w:rsid w:val="00F175D9"/>
    <w:rsid w:val="00F17B6C"/>
    <w:rsid w:val="00F17D4C"/>
    <w:rsid w:val="00F20403"/>
    <w:rsid w:val="00F20418"/>
    <w:rsid w:val="00F2065D"/>
    <w:rsid w:val="00F208C5"/>
    <w:rsid w:val="00F20AF8"/>
    <w:rsid w:val="00F20C6D"/>
    <w:rsid w:val="00F20EAA"/>
    <w:rsid w:val="00F21221"/>
    <w:rsid w:val="00F212DE"/>
    <w:rsid w:val="00F21618"/>
    <w:rsid w:val="00F21A4F"/>
    <w:rsid w:val="00F21AA6"/>
    <w:rsid w:val="00F21CD6"/>
    <w:rsid w:val="00F21DB1"/>
    <w:rsid w:val="00F21EED"/>
    <w:rsid w:val="00F2203F"/>
    <w:rsid w:val="00F225E9"/>
    <w:rsid w:val="00F22700"/>
    <w:rsid w:val="00F2375E"/>
    <w:rsid w:val="00F24005"/>
    <w:rsid w:val="00F2416E"/>
    <w:rsid w:val="00F249F3"/>
    <w:rsid w:val="00F24E71"/>
    <w:rsid w:val="00F2516F"/>
    <w:rsid w:val="00F252FB"/>
    <w:rsid w:val="00F255BE"/>
    <w:rsid w:val="00F25676"/>
    <w:rsid w:val="00F2634A"/>
    <w:rsid w:val="00F26669"/>
    <w:rsid w:val="00F268CC"/>
    <w:rsid w:val="00F26C4D"/>
    <w:rsid w:val="00F26FAE"/>
    <w:rsid w:val="00F27619"/>
    <w:rsid w:val="00F27787"/>
    <w:rsid w:val="00F305AE"/>
    <w:rsid w:val="00F3067C"/>
    <w:rsid w:val="00F30A66"/>
    <w:rsid w:val="00F30EAB"/>
    <w:rsid w:val="00F31416"/>
    <w:rsid w:val="00F314D5"/>
    <w:rsid w:val="00F315FD"/>
    <w:rsid w:val="00F3167A"/>
    <w:rsid w:val="00F31D0C"/>
    <w:rsid w:val="00F321CB"/>
    <w:rsid w:val="00F321CC"/>
    <w:rsid w:val="00F321F5"/>
    <w:rsid w:val="00F3228C"/>
    <w:rsid w:val="00F32538"/>
    <w:rsid w:val="00F32A00"/>
    <w:rsid w:val="00F32DF8"/>
    <w:rsid w:val="00F32FFA"/>
    <w:rsid w:val="00F33245"/>
    <w:rsid w:val="00F33357"/>
    <w:rsid w:val="00F3356A"/>
    <w:rsid w:val="00F335C3"/>
    <w:rsid w:val="00F33A31"/>
    <w:rsid w:val="00F33C7C"/>
    <w:rsid w:val="00F33E3B"/>
    <w:rsid w:val="00F340E8"/>
    <w:rsid w:val="00F3435E"/>
    <w:rsid w:val="00F34452"/>
    <w:rsid w:val="00F34819"/>
    <w:rsid w:val="00F349E0"/>
    <w:rsid w:val="00F35ED8"/>
    <w:rsid w:val="00F3622D"/>
    <w:rsid w:val="00F368F3"/>
    <w:rsid w:val="00F36E2F"/>
    <w:rsid w:val="00F370F9"/>
    <w:rsid w:val="00F37242"/>
    <w:rsid w:val="00F376D2"/>
    <w:rsid w:val="00F37D2F"/>
    <w:rsid w:val="00F40C9F"/>
    <w:rsid w:val="00F40F21"/>
    <w:rsid w:val="00F413AE"/>
    <w:rsid w:val="00F414E3"/>
    <w:rsid w:val="00F41C70"/>
    <w:rsid w:val="00F42003"/>
    <w:rsid w:val="00F428D4"/>
    <w:rsid w:val="00F42AA7"/>
    <w:rsid w:val="00F42E73"/>
    <w:rsid w:val="00F42F82"/>
    <w:rsid w:val="00F43567"/>
    <w:rsid w:val="00F44017"/>
    <w:rsid w:val="00F4429A"/>
    <w:rsid w:val="00F4449A"/>
    <w:rsid w:val="00F44772"/>
    <w:rsid w:val="00F44BA8"/>
    <w:rsid w:val="00F44E82"/>
    <w:rsid w:val="00F44EC8"/>
    <w:rsid w:val="00F44EF8"/>
    <w:rsid w:val="00F4507E"/>
    <w:rsid w:val="00F457DE"/>
    <w:rsid w:val="00F45890"/>
    <w:rsid w:val="00F45969"/>
    <w:rsid w:val="00F4598A"/>
    <w:rsid w:val="00F459A9"/>
    <w:rsid w:val="00F46E51"/>
    <w:rsid w:val="00F47518"/>
    <w:rsid w:val="00F475B0"/>
    <w:rsid w:val="00F47A21"/>
    <w:rsid w:val="00F47AA8"/>
    <w:rsid w:val="00F47C82"/>
    <w:rsid w:val="00F501F7"/>
    <w:rsid w:val="00F502F3"/>
    <w:rsid w:val="00F5067C"/>
    <w:rsid w:val="00F5078D"/>
    <w:rsid w:val="00F50ECA"/>
    <w:rsid w:val="00F5155F"/>
    <w:rsid w:val="00F516AB"/>
    <w:rsid w:val="00F5182A"/>
    <w:rsid w:val="00F52612"/>
    <w:rsid w:val="00F52D1C"/>
    <w:rsid w:val="00F52DDA"/>
    <w:rsid w:val="00F52F92"/>
    <w:rsid w:val="00F53159"/>
    <w:rsid w:val="00F53261"/>
    <w:rsid w:val="00F54030"/>
    <w:rsid w:val="00F54060"/>
    <w:rsid w:val="00F54630"/>
    <w:rsid w:val="00F54738"/>
    <w:rsid w:val="00F54D91"/>
    <w:rsid w:val="00F5526B"/>
    <w:rsid w:val="00F55424"/>
    <w:rsid w:val="00F55739"/>
    <w:rsid w:val="00F55A67"/>
    <w:rsid w:val="00F55B21"/>
    <w:rsid w:val="00F55B2F"/>
    <w:rsid w:val="00F55EC1"/>
    <w:rsid w:val="00F564B0"/>
    <w:rsid w:val="00F56738"/>
    <w:rsid w:val="00F56A83"/>
    <w:rsid w:val="00F5758D"/>
    <w:rsid w:val="00F57D4B"/>
    <w:rsid w:val="00F57DE6"/>
    <w:rsid w:val="00F6003A"/>
    <w:rsid w:val="00F60666"/>
    <w:rsid w:val="00F607FE"/>
    <w:rsid w:val="00F60C0B"/>
    <w:rsid w:val="00F61560"/>
    <w:rsid w:val="00F61EE2"/>
    <w:rsid w:val="00F61FD0"/>
    <w:rsid w:val="00F620F5"/>
    <w:rsid w:val="00F624F2"/>
    <w:rsid w:val="00F62B1C"/>
    <w:rsid w:val="00F62F2D"/>
    <w:rsid w:val="00F63C65"/>
    <w:rsid w:val="00F63F04"/>
    <w:rsid w:val="00F640D0"/>
    <w:rsid w:val="00F64312"/>
    <w:rsid w:val="00F6462F"/>
    <w:rsid w:val="00F64BED"/>
    <w:rsid w:val="00F65007"/>
    <w:rsid w:val="00F656B7"/>
    <w:rsid w:val="00F65CBE"/>
    <w:rsid w:val="00F66517"/>
    <w:rsid w:val="00F66687"/>
    <w:rsid w:val="00F670E5"/>
    <w:rsid w:val="00F67208"/>
    <w:rsid w:val="00F672E2"/>
    <w:rsid w:val="00F67A83"/>
    <w:rsid w:val="00F67ACB"/>
    <w:rsid w:val="00F67B07"/>
    <w:rsid w:val="00F70153"/>
    <w:rsid w:val="00F70263"/>
    <w:rsid w:val="00F7060D"/>
    <w:rsid w:val="00F707C2"/>
    <w:rsid w:val="00F71281"/>
    <w:rsid w:val="00F71AB4"/>
    <w:rsid w:val="00F72157"/>
    <w:rsid w:val="00F723FD"/>
    <w:rsid w:val="00F727B6"/>
    <w:rsid w:val="00F728E4"/>
    <w:rsid w:val="00F72F33"/>
    <w:rsid w:val="00F7345D"/>
    <w:rsid w:val="00F735B3"/>
    <w:rsid w:val="00F7364F"/>
    <w:rsid w:val="00F736FC"/>
    <w:rsid w:val="00F740B8"/>
    <w:rsid w:val="00F7483B"/>
    <w:rsid w:val="00F74D4D"/>
    <w:rsid w:val="00F75201"/>
    <w:rsid w:val="00F75212"/>
    <w:rsid w:val="00F75456"/>
    <w:rsid w:val="00F75501"/>
    <w:rsid w:val="00F75900"/>
    <w:rsid w:val="00F75A2A"/>
    <w:rsid w:val="00F75F90"/>
    <w:rsid w:val="00F763D0"/>
    <w:rsid w:val="00F76657"/>
    <w:rsid w:val="00F767B5"/>
    <w:rsid w:val="00F76FE7"/>
    <w:rsid w:val="00F77848"/>
    <w:rsid w:val="00F778BB"/>
    <w:rsid w:val="00F77911"/>
    <w:rsid w:val="00F77B57"/>
    <w:rsid w:val="00F77D78"/>
    <w:rsid w:val="00F8028C"/>
    <w:rsid w:val="00F807DD"/>
    <w:rsid w:val="00F80DEB"/>
    <w:rsid w:val="00F81C69"/>
    <w:rsid w:val="00F81FB6"/>
    <w:rsid w:val="00F82868"/>
    <w:rsid w:val="00F8293F"/>
    <w:rsid w:val="00F82B21"/>
    <w:rsid w:val="00F82C9A"/>
    <w:rsid w:val="00F831F5"/>
    <w:rsid w:val="00F834CF"/>
    <w:rsid w:val="00F839BD"/>
    <w:rsid w:val="00F83B04"/>
    <w:rsid w:val="00F83DFD"/>
    <w:rsid w:val="00F8460B"/>
    <w:rsid w:val="00F84A24"/>
    <w:rsid w:val="00F84AF3"/>
    <w:rsid w:val="00F84C87"/>
    <w:rsid w:val="00F84CA5"/>
    <w:rsid w:val="00F84D4D"/>
    <w:rsid w:val="00F84D77"/>
    <w:rsid w:val="00F8502C"/>
    <w:rsid w:val="00F856BF"/>
    <w:rsid w:val="00F85F80"/>
    <w:rsid w:val="00F86BA1"/>
    <w:rsid w:val="00F86C1D"/>
    <w:rsid w:val="00F86F4E"/>
    <w:rsid w:val="00F86FB7"/>
    <w:rsid w:val="00F8738D"/>
    <w:rsid w:val="00F87FA0"/>
    <w:rsid w:val="00F9000D"/>
    <w:rsid w:val="00F901D6"/>
    <w:rsid w:val="00F9156C"/>
    <w:rsid w:val="00F91602"/>
    <w:rsid w:val="00F919E9"/>
    <w:rsid w:val="00F91BCA"/>
    <w:rsid w:val="00F91DDA"/>
    <w:rsid w:val="00F92012"/>
    <w:rsid w:val="00F9203A"/>
    <w:rsid w:val="00F924B4"/>
    <w:rsid w:val="00F924B7"/>
    <w:rsid w:val="00F9272B"/>
    <w:rsid w:val="00F9298F"/>
    <w:rsid w:val="00F92B83"/>
    <w:rsid w:val="00F92F16"/>
    <w:rsid w:val="00F9388E"/>
    <w:rsid w:val="00F94362"/>
    <w:rsid w:val="00F9511A"/>
    <w:rsid w:val="00F954AD"/>
    <w:rsid w:val="00F9560E"/>
    <w:rsid w:val="00F95A54"/>
    <w:rsid w:val="00F967AA"/>
    <w:rsid w:val="00F969C4"/>
    <w:rsid w:val="00F96A80"/>
    <w:rsid w:val="00F96BD8"/>
    <w:rsid w:val="00F96E16"/>
    <w:rsid w:val="00F975E0"/>
    <w:rsid w:val="00F97736"/>
    <w:rsid w:val="00F97974"/>
    <w:rsid w:val="00FA00A7"/>
    <w:rsid w:val="00FA072C"/>
    <w:rsid w:val="00FA0790"/>
    <w:rsid w:val="00FA08C5"/>
    <w:rsid w:val="00FA09A2"/>
    <w:rsid w:val="00FA0A26"/>
    <w:rsid w:val="00FA0CD6"/>
    <w:rsid w:val="00FA0D65"/>
    <w:rsid w:val="00FA13CB"/>
    <w:rsid w:val="00FA149E"/>
    <w:rsid w:val="00FA1A1C"/>
    <w:rsid w:val="00FA21C1"/>
    <w:rsid w:val="00FA2CF3"/>
    <w:rsid w:val="00FA58CA"/>
    <w:rsid w:val="00FA5AC4"/>
    <w:rsid w:val="00FA5DB2"/>
    <w:rsid w:val="00FA5EBC"/>
    <w:rsid w:val="00FA6B33"/>
    <w:rsid w:val="00FA6E5A"/>
    <w:rsid w:val="00FA7290"/>
    <w:rsid w:val="00FA75CA"/>
    <w:rsid w:val="00FA773E"/>
    <w:rsid w:val="00FA77DA"/>
    <w:rsid w:val="00FA7A61"/>
    <w:rsid w:val="00FA7B26"/>
    <w:rsid w:val="00FA7D29"/>
    <w:rsid w:val="00FB0188"/>
    <w:rsid w:val="00FB09D9"/>
    <w:rsid w:val="00FB0A18"/>
    <w:rsid w:val="00FB0F5D"/>
    <w:rsid w:val="00FB0F8E"/>
    <w:rsid w:val="00FB1AD6"/>
    <w:rsid w:val="00FB2022"/>
    <w:rsid w:val="00FB2964"/>
    <w:rsid w:val="00FB2A30"/>
    <w:rsid w:val="00FB2E47"/>
    <w:rsid w:val="00FB30B5"/>
    <w:rsid w:val="00FB3655"/>
    <w:rsid w:val="00FB3E83"/>
    <w:rsid w:val="00FB48A4"/>
    <w:rsid w:val="00FB49AE"/>
    <w:rsid w:val="00FB4D44"/>
    <w:rsid w:val="00FB53C6"/>
    <w:rsid w:val="00FB57BA"/>
    <w:rsid w:val="00FB5D9A"/>
    <w:rsid w:val="00FB6481"/>
    <w:rsid w:val="00FB6CB0"/>
    <w:rsid w:val="00FB7275"/>
    <w:rsid w:val="00FB7298"/>
    <w:rsid w:val="00FB7D84"/>
    <w:rsid w:val="00FC04D3"/>
    <w:rsid w:val="00FC0CBC"/>
    <w:rsid w:val="00FC0DC7"/>
    <w:rsid w:val="00FC0EA9"/>
    <w:rsid w:val="00FC0F23"/>
    <w:rsid w:val="00FC1644"/>
    <w:rsid w:val="00FC16F6"/>
    <w:rsid w:val="00FC1899"/>
    <w:rsid w:val="00FC1DDF"/>
    <w:rsid w:val="00FC1ED3"/>
    <w:rsid w:val="00FC2187"/>
    <w:rsid w:val="00FC31DB"/>
    <w:rsid w:val="00FC3202"/>
    <w:rsid w:val="00FC33DF"/>
    <w:rsid w:val="00FC3574"/>
    <w:rsid w:val="00FC3E25"/>
    <w:rsid w:val="00FC43AA"/>
    <w:rsid w:val="00FC49CE"/>
    <w:rsid w:val="00FC4F3C"/>
    <w:rsid w:val="00FC5855"/>
    <w:rsid w:val="00FC5947"/>
    <w:rsid w:val="00FC5EE4"/>
    <w:rsid w:val="00FC6108"/>
    <w:rsid w:val="00FC6512"/>
    <w:rsid w:val="00FC68C8"/>
    <w:rsid w:val="00FC6B92"/>
    <w:rsid w:val="00FC6E82"/>
    <w:rsid w:val="00FD0606"/>
    <w:rsid w:val="00FD0A4B"/>
    <w:rsid w:val="00FD124C"/>
    <w:rsid w:val="00FD14F2"/>
    <w:rsid w:val="00FD1645"/>
    <w:rsid w:val="00FD1DDE"/>
    <w:rsid w:val="00FD281B"/>
    <w:rsid w:val="00FD291C"/>
    <w:rsid w:val="00FD2B09"/>
    <w:rsid w:val="00FD2E95"/>
    <w:rsid w:val="00FD3BB7"/>
    <w:rsid w:val="00FD4354"/>
    <w:rsid w:val="00FD4979"/>
    <w:rsid w:val="00FD4A76"/>
    <w:rsid w:val="00FD4C55"/>
    <w:rsid w:val="00FD4FAA"/>
    <w:rsid w:val="00FD5712"/>
    <w:rsid w:val="00FD58CD"/>
    <w:rsid w:val="00FD5BAF"/>
    <w:rsid w:val="00FD5CAD"/>
    <w:rsid w:val="00FD62CF"/>
    <w:rsid w:val="00FD635A"/>
    <w:rsid w:val="00FD6830"/>
    <w:rsid w:val="00FD6F2C"/>
    <w:rsid w:val="00FD7B3E"/>
    <w:rsid w:val="00FD7E04"/>
    <w:rsid w:val="00FE0339"/>
    <w:rsid w:val="00FE070E"/>
    <w:rsid w:val="00FE0EA0"/>
    <w:rsid w:val="00FE1296"/>
    <w:rsid w:val="00FE1D2F"/>
    <w:rsid w:val="00FE201A"/>
    <w:rsid w:val="00FE26B0"/>
    <w:rsid w:val="00FE2C18"/>
    <w:rsid w:val="00FE3455"/>
    <w:rsid w:val="00FE34CD"/>
    <w:rsid w:val="00FE387D"/>
    <w:rsid w:val="00FE46A6"/>
    <w:rsid w:val="00FE46CE"/>
    <w:rsid w:val="00FE47D3"/>
    <w:rsid w:val="00FE4BB9"/>
    <w:rsid w:val="00FE5155"/>
    <w:rsid w:val="00FE531E"/>
    <w:rsid w:val="00FE5644"/>
    <w:rsid w:val="00FE568F"/>
    <w:rsid w:val="00FE57EB"/>
    <w:rsid w:val="00FE5889"/>
    <w:rsid w:val="00FE58BC"/>
    <w:rsid w:val="00FE5C65"/>
    <w:rsid w:val="00FE5EB8"/>
    <w:rsid w:val="00FE606C"/>
    <w:rsid w:val="00FE60A4"/>
    <w:rsid w:val="00FE60FC"/>
    <w:rsid w:val="00FE634E"/>
    <w:rsid w:val="00FE6BAA"/>
    <w:rsid w:val="00FE7341"/>
    <w:rsid w:val="00FE765F"/>
    <w:rsid w:val="00FE7871"/>
    <w:rsid w:val="00FE7879"/>
    <w:rsid w:val="00FF03A6"/>
    <w:rsid w:val="00FF0527"/>
    <w:rsid w:val="00FF067D"/>
    <w:rsid w:val="00FF0FD0"/>
    <w:rsid w:val="00FF1327"/>
    <w:rsid w:val="00FF163B"/>
    <w:rsid w:val="00FF1796"/>
    <w:rsid w:val="00FF1BF9"/>
    <w:rsid w:val="00FF22A0"/>
    <w:rsid w:val="00FF3084"/>
    <w:rsid w:val="00FF3A88"/>
    <w:rsid w:val="00FF3EBC"/>
    <w:rsid w:val="00FF4B20"/>
    <w:rsid w:val="00FF4B83"/>
    <w:rsid w:val="00FF51A6"/>
    <w:rsid w:val="00FF52BE"/>
    <w:rsid w:val="00FF59D8"/>
    <w:rsid w:val="00FF5B34"/>
    <w:rsid w:val="00FF6239"/>
    <w:rsid w:val="00FF6292"/>
    <w:rsid w:val="00FF6471"/>
    <w:rsid w:val="00FF66AD"/>
    <w:rsid w:val="00FF69E3"/>
    <w:rsid w:val="00FF6CED"/>
    <w:rsid w:val="00FF6CF7"/>
    <w:rsid w:val="00FF7182"/>
    <w:rsid w:val="00FF71B6"/>
    <w:rsid w:val="00FF7742"/>
    <w:rsid w:val="00FF7D43"/>
    <w:rsid w:val="00FF7EAC"/>
    <w:rsid w:val="060F373D"/>
    <w:rsid w:val="0866916B"/>
    <w:rsid w:val="08A461E8"/>
    <w:rsid w:val="0B512C9A"/>
    <w:rsid w:val="0B7F68F1"/>
    <w:rsid w:val="0DC274CA"/>
    <w:rsid w:val="0E91DCC4"/>
    <w:rsid w:val="1099540E"/>
    <w:rsid w:val="10DF9025"/>
    <w:rsid w:val="113AFD35"/>
    <w:rsid w:val="12CD715B"/>
    <w:rsid w:val="132D394C"/>
    <w:rsid w:val="14146111"/>
    <w:rsid w:val="1517661C"/>
    <w:rsid w:val="1698941B"/>
    <w:rsid w:val="1830F131"/>
    <w:rsid w:val="1A2B92A8"/>
    <w:rsid w:val="1D6CA599"/>
    <w:rsid w:val="1DD6B812"/>
    <w:rsid w:val="1DE93820"/>
    <w:rsid w:val="1DF4AEDE"/>
    <w:rsid w:val="20BF500C"/>
    <w:rsid w:val="22DAA4F0"/>
    <w:rsid w:val="23B00268"/>
    <w:rsid w:val="260BDD5B"/>
    <w:rsid w:val="289A4949"/>
    <w:rsid w:val="2A608844"/>
    <w:rsid w:val="2CD488CF"/>
    <w:rsid w:val="2E591B10"/>
    <w:rsid w:val="2E656E8B"/>
    <w:rsid w:val="30892795"/>
    <w:rsid w:val="30CE2169"/>
    <w:rsid w:val="31E37913"/>
    <w:rsid w:val="34C10743"/>
    <w:rsid w:val="400B42E9"/>
    <w:rsid w:val="435BC56A"/>
    <w:rsid w:val="4499DDF3"/>
    <w:rsid w:val="45F44E1C"/>
    <w:rsid w:val="4A319BA3"/>
    <w:rsid w:val="4A5614F3"/>
    <w:rsid w:val="4AE2EFF9"/>
    <w:rsid w:val="4B8367D7"/>
    <w:rsid w:val="4B992F76"/>
    <w:rsid w:val="4D0FE953"/>
    <w:rsid w:val="4EC7340F"/>
    <w:rsid w:val="535F2F6E"/>
    <w:rsid w:val="56908DE3"/>
    <w:rsid w:val="57F6856C"/>
    <w:rsid w:val="59D95DEB"/>
    <w:rsid w:val="5BA9AE2C"/>
    <w:rsid w:val="5E38DE16"/>
    <w:rsid w:val="5EB711D1"/>
    <w:rsid w:val="61E6D97A"/>
    <w:rsid w:val="636B05B0"/>
    <w:rsid w:val="63EB9BA4"/>
    <w:rsid w:val="660503D2"/>
    <w:rsid w:val="683B167F"/>
    <w:rsid w:val="687AA3A1"/>
    <w:rsid w:val="6901DCB4"/>
    <w:rsid w:val="6F631D99"/>
    <w:rsid w:val="70EDF76F"/>
    <w:rsid w:val="729A4B1D"/>
    <w:rsid w:val="75B53BE5"/>
    <w:rsid w:val="77899EAA"/>
    <w:rsid w:val="77F3F936"/>
    <w:rsid w:val="7945ECAA"/>
    <w:rsid w:val="7B808E93"/>
    <w:rsid w:val="7BEDDA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8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C18"/>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3539DD"/>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qFormat/>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qFormat/>
    <w:rsid w:val="00FB3E83"/>
    <w:pPr>
      <w:keepNext/>
      <w:keepLines/>
      <w:numPr>
        <w:ilvl w:val="6"/>
        <w:numId w:val="19"/>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text,List Paragraph1,Recommendation,List Paragraph11,#List Paragraph,Bullet point,Body Text1,Bullet Point,Bulletr List Paragraph,Bullets,Content descriptions,FooterText,L,List Bullet 1,List Paragraph2,List Paragraph21,Listeafsnit1,列"/>
    <w:basedOn w:val="Normal"/>
    <w:link w:val="ListParagraphChar"/>
    <w:uiPriority w:val="34"/>
    <w:qFormat/>
    <w:rsid w:val="002E2186"/>
    <w:pPr>
      <w:numPr>
        <w:numId w:val="17"/>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Ind w:w="0" w:type="nil"/>
      <w:tblCellMar>
        <w:left w:w="0" w:type="dxa"/>
        <w:right w:w="0" w:type="dxa"/>
      </w:tblCellMar>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35"/>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Ind w:w="0" w:type="nil"/>
      <w:tblCellMar>
        <w:left w:w="0" w:type="dxa"/>
        <w:right w:w="0" w:type="dxa"/>
      </w:tblCellMar>
    </w:tblPr>
    <w:tcPr>
      <w:shd w:val="clear" w:color="auto" w:fill="F2F2F2" w:themeFill="background1" w:themeFillShade="F2"/>
    </w:tc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rsid w:val="0022668B"/>
    <w:rPr>
      <w:vertAlign w:val="superscript"/>
    </w:rPr>
  </w:style>
  <w:style w:type="paragraph" w:styleId="FootnoteText">
    <w:name w:val="footnote text"/>
    <w:basedOn w:val="Normal"/>
    <w:link w:val="FootnoteTextChar"/>
    <w:qFormat/>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18"/>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3539DD"/>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18"/>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3"/>
      </w:numPr>
    </w:pPr>
  </w:style>
  <w:style w:type="paragraph" w:customStyle="1" w:styleId="List1Numbered2">
    <w:name w:val="List 1 Numbered 2"/>
    <w:basedOn w:val="Normal"/>
    <w:uiPriority w:val="2"/>
    <w:qFormat/>
    <w:rsid w:val="0022668B"/>
    <w:pPr>
      <w:numPr>
        <w:ilvl w:val="1"/>
        <w:numId w:val="13"/>
      </w:numPr>
    </w:pPr>
  </w:style>
  <w:style w:type="paragraph" w:customStyle="1" w:styleId="List1Numbered3">
    <w:name w:val="List 1 Numbered 3"/>
    <w:basedOn w:val="Normal"/>
    <w:uiPriority w:val="2"/>
    <w:qFormat/>
    <w:rsid w:val="0022668B"/>
    <w:pPr>
      <w:numPr>
        <w:ilvl w:val="2"/>
        <w:numId w:val="13"/>
      </w:numPr>
    </w:pPr>
  </w:style>
  <w:style w:type="paragraph" w:styleId="NoSpacing">
    <w:name w:val="No Spacing"/>
    <w:link w:val="NoSpacingChar"/>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4"/>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5"/>
      </w:numPr>
    </w:pPr>
  </w:style>
  <w:style w:type="paragraph" w:customStyle="1" w:styleId="TableTitle">
    <w:name w:val="Table Title"/>
    <w:basedOn w:val="FigureTitle"/>
    <w:uiPriority w:val="12"/>
    <w:qFormat/>
    <w:rsid w:val="0022668B"/>
    <w:pPr>
      <w:numPr>
        <w:numId w:val="16"/>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F3228C"/>
    <w:pPr>
      <w:tabs>
        <w:tab w:val="right" w:leader="dot" w:pos="10206"/>
      </w:tabs>
      <w:ind w:left="567" w:hanging="567"/>
    </w:pPr>
    <w:rPr>
      <w:rFonts w:ascii="Gotham Medium" w:hAnsi="Gotham Medium"/>
    </w:rPr>
  </w:style>
  <w:style w:type="paragraph" w:styleId="TOC3">
    <w:name w:val="toc 3"/>
    <w:basedOn w:val="Normal"/>
    <w:next w:val="Normal"/>
    <w:autoRedefine/>
    <w:uiPriority w:val="39"/>
    <w:rsid w:val="002C32CE"/>
    <w:pPr>
      <w:tabs>
        <w:tab w:val="right" w:leader="dot" w:pos="10206"/>
      </w:tabs>
      <w:spacing w:before="60"/>
      <w:ind w:left="794" w:hanging="510"/>
    </w:pPr>
    <w:rPr>
      <w:rFonts w:ascii="Gotham Medium" w:hAnsi="Gotham Medium"/>
    </w:rPr>
  </w:style>
  <w:style w:type="paragraph" w:styleId="TOC4">
    <w:name w:val="toc 4"/>
    <w:basedOn w:val="Normal"/>
    <w:next w:val="Normal"/>
    <w:autoRedefine/>
    <w:uiPriority w:val="39"/>
    <w:rsid w:val="002C32CE"/>
    <w:pPr>
      <w:tabs>
        <w:tab w:val="right" w:leader="dot" w:pos="10206"/>
      </w:tabs>
      <w:spacing w:before="60"/>
      <w:ind w:left="1134" w:hanging="567"/>
    </w:pPr>
    <w:rPr>
      <w:noProof/>
    </w:r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paragraph" w:styleId="Date">
    <w:name w:val="Date"/>
    <w:basedOn w:val="Normal"/>
    <w:next w:val="Normal"/>
    <w:link w:val="DateChar"/>
    <w:unhideWhenUsed/>
    <w:rsid w:val="00FD4979"/>
  </w:style>
  <w:style w:type="character" w:customStyle="1" w:styleId="DateChar">
    <w:name w:val="Date Char"/>
    <w:basedOn w:val="DefaultParagraphFont"/>
    <w:link w:val="Date"/>
    <w:rsid w:val="00FD4979"/>
    <w:rPr>
      <w:rFonts w:ascii="Gotham Book" w:hAnsi="Gotham Book"/>
      <w:sz w:val="20"/>
    </w:rPr>
  </w:style>
  <w:style w:type="paragraph" w:styleId="Quote">
    <w:name w:val="Quote"/>
    <w:basedOn w:val="Normal"/>
    <w:next w:val="Normal"/>
    <w:link w:val="QuoteChar"/>
    <w:uiPriority w:val="29"/>
    <w:qFormat/>
    <w:rsid w:val="00FD497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FD4979"/>
    <w:rPr>
      <w:rFonts w:eastAsiaTheme="minorHAnsi" w:cstheme="minorBidi"/>
      <w:i/>
      <w:iCs/>
      <w:color w:val="404040" w:themeColor="text1" w:themeTint="BF"/>
      <w:kern w:val="2"/>
      <w:sz w:val="22"/>
      <w:szCs w:val="22"/>
      <w:lang w:eastAsia="en-US"/>
      <w14:ligatures w14:val="standardContextual"/>
    </w:rPr>
  </w:style>
  <w:style w:type="paragraph" w:styleId="IntenseQuote">
    <w:name w:val="Intense Quote"/>
    <w:basedOn w:val="Normal"/>
    <w:next w:val="Normal"/>
    <w:link w:val="IntenseQuoteChar"/>
    <w:uiPriority w:val="30"/>
    <w:qFormat/>
    <w:rsid w:val="00FD4979"/>
    <w:pPr>
      <w:pBdr>
        <w:top w:val="single" w:sz="4" w:space="10" w:color="379AC4" w:themeColor="accent1" w:themeShade="BF"/>
        <w:bottom w:val="single" w:sz="4" w:space="10" w:color="379AC4" w:themeColor="accent1" w:themeShade="BF"/>
      </w:pBdr>
      <w:spacing w:before="360" w:after="360" w:line="259" w:lineRule="auto"/>
      <w:ind w:left="864" w:right="864"/>
      <w:jc w:val="center"/>
    </w:pPr>
    <w:rPr>
      <w:rFonts w:asciiTheme="minorHAnsi" w:eastAsiaTheme="minorHAnsi" w:hAnsiTheme="minorHAnsi" w:cstheme="minorBidi"/>
      <w:i/>
      <w:iCs/>
      <w:color w:val="379AC4"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FD4979"/>
    <w:rPr>
      <w:rFonts w:eastAsiaTheme="minorHAnsi" w:cstheme="minorBidi"/>
      <w:i/>
      <w:iCs/>
      <w:color w:val="379AC4"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FD4979"/>
    <w:rPr>
      <w:b/>
      <w:bCs/>
      <w:smallCaps/>
      <w:color w:val="379AC4" w:themeColor="accent1" w:themeShade="BF"/>
      <w:spacing w:val="5"/>
    </w:rPr>
  </w:style>
  <w:style w:type="character" w:styleId="CommentReference">
    <w:name w:val="annotation reference"/>
    <w:basedOn w:val="DefaultParagraphFont"/>
    <w:uiPriority w:val="99"/>
    <w:unhideWhenUsed/>
    <w:rsid w:val="00FD4979"/>
    <w:rPr>
      <w:sz w:val="16"/>
      <w:szCs w:val="16"/>
    </w:rPr>
  </w:style>
  <w:style w:type="paragraph" w:styleId="CommentText">
    <w:name w:val="annotation text"/>
    <w:basedOn w:val="Normal"/>
    <w:link w:val="CommentTextChar"/>
    <w:uiPriority w:val="99"/>
    <w:unhideWhenUsed/>
    <w:rsid w:val="00FD4979"/>
    <w:pPr>
      <w:spacing w:before="0" w:after="160" w:line="240" w:lineRule="auto"/>
    </w:pPr>
    <w:rPr>
      <w:rFonts w:asciiTheme="minorHAnsi" w:eastAsiaTheme="minorHAnsi" w:hAnsiTheme="minorHAnsi" w:cstheme="minorBidi"/>
      <w:color w:val="auto"/>
      <w:kern w:val="2"/>
      <w:szCs w:val="20"/>
      <w:lang w:eastAsia="en-US"/>
      <w14:ligatures w14:val="standardContextual"/>
    </w:rPr>
  </w:style>
  <w:style w:type="character" w:customStyle="1" w:styleId="CommentTextChar">
    <w:name w:val="Comment Text Char"/>
    <w:basedOn w:val="DefaultParagraphFont"/>
    <w:link w:val="CommentText"/>
    <w:uiPriority w:val="99"/>
    <w:rsid w:val="00FD4979"/>
    <w:rPr>
      <w:rFonts w:eastAsiaTheme="minorHAnsi" w:cstheme="minorBidi"/>
      <w:color w:val="auto"/>
      <w:kern w:val="2"/>
      <w:sz w:val="20"/>
      <w:szCs w:val="20"/>
      <w:lang w:eastAsia="en-US"/>
      <w14:ligatures w14:val="standardContextual"/>
    </w:rPr>
  </w:style>
  <w:style w:type="paragraph" w:styleId="CommentSubject">
    <w:name w:val="annotation subject"/>
    <w:basedOn w:val="CommentText"/>
    <w:next w:val="CommentText"/>
    <w:link w:val="CommentSubjectChar"/>
    <w:semiHidden/>
    <w:unhideWhenUsed/>
    <w:rsid w:val="00FD4979"/>
    <w:rPr>
      <w:b/>
      <w:bCs/>
    </w:rPr>
  </w:style>
  <w:style w:type="character" w:customStyle="1" w:styleId="CommentSubjectChar">
    <w:name w:val="Comment Subject Char"/>
    <w:basedOn w:val="CommentTextChar"/>
    <w:link w:val="CommentSubject"/>
    <w:semiHidden/>
    <w:rsid w:val="00FD4979"/>
    <w:rPr>
      <w:rFonts w:eastAsiaTheme="minorHAnsi" w:cstheme="minorBidi"/>
      <w:b/>
      <w:bCs/>
      <w:color w:val="auto"/>
      <w:kern w:val="2"/>
      <w:sz w:val="20"/>
      <w:szCs w:val="20"/>
      <w:lang w:eastAsia="en-US"/>
      <w14:ligatures w14:val="standardContextual"/>
    </w:rPr>
  </w:style>
  <w:style w:type="character" w:customStyle="1" w:styleId="NoSpacingChar">
    <w:name w:val="No Spacing Char"/>
    <w:basedOn w:val="DefaultParagraphFont"/>
    <w:link w:val="NoSpacing"/>
    <w:uiPriority w:val="1"/>
    <w:rsid w:val="00FD4979"/>
    <w:rPr>
      <w:rFonts w:eastAsiaTheme="minorHAnsi" w:cstheme="minorBidi"/>
      <w:lang w:eastAsia="en-US"/>
    </w:rPr>
  </w:style>
  <w:style w:type="character" w:styleId="PlaceholderText">
    <w:name w:val="Placeholder Text"/>
    <w:basedOn w:val="DefaultParagraphFont"/>
    <w:uiPriority w:val="99"/>
    <w:semiHidden/>
    <w:rsid w:val="00FD4979"/>
    <w:rPr>
      <w:color w:val="666666"/>
    </w:rPr>
  </w:style>
  <w:style w:type="character" w:customStyle="1" w:styleId="cf01">
    <w:name w:val="cf01"/>
    <w:basedOn w:val="DefaultParagraphFont"/>
    <w:rsid w:val="00FD4979"/>
    <w:rPr>
      <w:rFonts w:ascii="Segoe UI" w:hAnsi="Segoe UI" w:cs="Segoe UI" w:hint="default"/>
      <w:sz w:val="18"/>
      <w:szCs w:val="18"/>
    </w:rPr>
  </w:style>
  <w:style w:type="character" w:customStyle="1" w:styleId="ListParagraphChar">
    <w:name w:val="List Paragraph Char"/>
    <w:aliases w:val="Table text Char,List Paragraph1 Char,Recommendation Char,List Paragraph11 Char,#List Paragraph Char,Bullet point Char,Body Text1 Char,Bullet Point Char,Bulletr List Paragraph Char,Bullets Char,Content descriptions Char,L Char,列 Char"/>
    <w:basedOn w:val="DefaultParagraphFont"/>
    <w:link w:val="ListParagraph"/>
    <w:uiPriority w:val="34"/>
    <w:qFormat/>
    <w:locked/>
    <w:rsid w:val="00FD4979"/>
    <w:rPr>
      <w:rFonts w:ascii="Gotham Book" w:hAnsi="Gotham Book"/>
      <w:sz w:val="20"/>
    </w:rPr>
  </w:style>
  <w:style w:type="table" w:customStyle="1" w:styleId="TableGrid1">
    <w:name w:val="Table Grid1"/>
    <w:basedOn w:val="TableNormal"/>
    <w:next w:val="TableGrid"/>
    <w:uiPriority w:val="39"/>
    <w:rsid w:val="00FD4979"/>
    <w:pPr>
      <w:spacing w:before="0" w:after="0" w:line="240" w:lineRule="auto"/>
    </w:pPr>
    <w:rPr>
      <w:rFonts w:eastAsiaTheme="minorHAnsi" w:cstheme="minorBidi"/>
      <w:color w:val="auto"/>
      <w:kern w:val="2"/>
      <w:sz w:val="22"/>
      <w:szCs w:val="22"/>
      <w:lang w:eastAsia="en-US"/>
      <w14:ligatures w14:val="standardContextual"/>
    </w:rPr>
    <w:tblPr>
      <w:tblInd w:w="0" w:type="nil"/>
      <w:tblCellMar>
        <w:left w:w="0" w:type="dxa"/>
        <w:right w:w="0" w:type="dxa"/>
      </w:tblCellMar>
    </w:tblPr>
  </w:style>
  <w:style w:type="paragraph" w:styleId="Revision">
    <w:name w:val="Revision"/>
    <w:hidden/>
    <w:uiPriority w:val="99"/>
    <w:semiHidden/>
    <w:rsid w:val="00FD4979"/>
    <w:pPr>
      <w:spacing w:before="0" w:after="0" w:line="240" w:lineRule="auto"/>
    </w:pPr>
    <w:rPr>
      <w:rFonts w:eastAsiaTheme="minorHAnsi" w:cstheme="minorBidi"/>
      <w:color w:val="auto"/>
      <w:kern w:val="2"/>
      <w:sz w:val="22"/>
      <w:szCs w:val="22"/>
      <w:lang w:eastAsia="en-US"/>
      <w14:ligatures w14:val="standardContextual"/>
    </w:rPr>
  </w:style>
  <w:style w:type="character" w:customStyle="1" w:styleId="apple-converted-space">
    <w:name w:val="apple-converted-space"/>
    <w:basedOn w:val="DefaultParagraphFont"/>
    <w:rsid w:val="00FD4979"/>
  </w:style>
  <w:style w:type="character" w:customStyle="1" w:styleId="ref-journal">
    <w:name w:val="ref-journal"/>
    <w:basedOn w:val="DefaultParagraphFont"/>
    <w:rsid w:val="00FD4979"/>
  </w:style>
  <w:style w:type="character" w:customStyle="1" w:styleId="ref-vol">
    <w:name w:val="ref-vol"/>
    <w:basedOn w:val="DefaultParagraphFont"/>
    <w:rsid w:val="00FD4979"/>
  </w:style>
  <w:style w:type="character" w:customStyle="1" w:styleId="CommentTextChar1">
    <w:name w:val="Comment Text Char1"/>
    <w:basedOn w:val="DefaultParagraphFont"/>
    <w:uiPriority w:val="99"/>
    <w:rsid w:val="00FD4979"/>
    <w:rPr>
      <w:rFonts w:ascii="Gotham Book" w:eastAsiaTheme="minorHAnsi" w:hAnsi="Gotham Book" w:cstheme="minorBidi"/>
      <w:color w:val="auto"/>
      <w:kern w:val="2"/>
      <w:sz w:val="20"/>
      <w:szCs w:val="20"/>
      <w:lang w:eastAsia="en-US"/>
      <w14:ligatures w14:val="standardContextual"/>
    </w:rPr>
  </w:style>
  <w:style w:type="table" w:styleId="ListTable3-Accent1">
    <w:name w:val="List Table 3 Accent 1"/>
    <w:basedOn w:val="TableNormal"/>
    <w:uiPriority w:val="48"/>
    <w:rsid w:val="00FD4979"/>
    <w:pPr>
      <w:spacing w:before="0" w:after="0" w:line="240" w:lineRule="auto"/>
    </w:pPr>
    <w:rPr>
      <w:rFonts w:eastAsiaTheme="minorHAnsi" w:cstheme="minorBidi"/>
      <w:color w:val="auto"/>
      <w:kern w:val="2"/>
      <w:sz w:val="22"/>
      <w:szCs w:val="22"/>
      <w:lang w:eastAsia="en-US"/>
      <w14:ligatures w14:val="standardContextual"/>
    </w:rPr>
    <w:tblPr>
      <w:tblStyleRowBandSize w:val="1"/>
      <w:tblStyleColBandSize w:val="1"/>
      <w:tblInd w:w="0" w:type="nil"/>
      <w:tblBorders>
        <w:top w:val="single" w:sz="4" w:space="0" w:color="77BCD9" w:themeColor="accent1"/>
        <w:left w:val="single" w:sz="4" w:space="0" w:color="77BCD9" w:themeColor="accent1"/>
        <w:bottom w:val="single" w:sz="4" w:space="0" w:color="77BCD9" w:themeColor="accent1"/>
        <w:right w:val="single" w:sz="4" w:space="0" w:color="77BCD9" w:themeColor="accent1"/>
      </w:tblBorders>
      <w:tblCellMar>
        <w:left w:w="0" w:type="dxa"/>
        <w:right w:w="0" w:type="dxa"/>
      </w:tblCellMar>
    </w:tblPr>
    <w:tblStylePr w:type="firstRow">
      <w:rPr>
        <w:b/>
        <w:bCs/>
        <w:color w:val="FFFFFF" w:themeColor="background1"/>
      </w:rPr>
      <w:tblPr/>
      <w:tcPr>
        <w:shd w:val="clear" w:color="auto" w:fill="77BCD9" w:themeFill="accent1"/>
      </w:tcPr>
    </w:tblStylePr>
    <w:tblStylePr w:type="lastRow">
      <w:rPr>
        <w:b/>
        <w:bCs/>
      </w:rPr>
      <w:tblPr/>
      <w:tcPr>
        <w:tcBorders>
          <w:top w:val="double" w:sz="4" w:space="0" w:color="77BCD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7BCD9" w:themeColor="accent1"/>
          <w:right w:val="single" w:sz="4" w:space="0" w:color="77BCD9" w:themeColor="accent1"/>
        </w:tcBorders>
      </w:tcPr>
    </w:tblStylePr>
    <w:tblStylePr w:type="band1Horz">
      <w:tblPr/>
      <w:tcPr>
        <w:tcBorders>
          <w:top w:val="single" w:sz="4" w:space="0" w:color="77BCD9" w:themeColor="accent1"/>
          <w:bottom w:val="single" w:sz="4" w:space="0" w:color="77BCD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7BCD9" w:themeColor="accent1"/>
          <w:left w:val="nil"/>
        </w:tcBorders>
      </w:tcPr>
    </w:tblStylePr>
    <w:tblStylePr w:type="swCell">
      <w:tblPr/>
      <w:tcPr>
        <w:tcBorders>
          <w:top w:val="double" w:sz="4" w:space="0" w:color="77BCD9" w:themeColor="accent1"/>
          <w:right w:val="nil"/>
        </w:tcBorders>
      </w:tcPr>
    </w:tblStylePr>
  </w:style>
  <w:style w:type="paragraph" w:customStyle="1" w:styleId="pf1">
    <w:name w:val="pf1"/>
    <w:basedOn w:val="Normal"/>
    <w:rsid w:val="00FD4979"/>
    <w:pPr>
      <w:spacing w:before="100" w:beforeAutospacing="1" w:after="100" w:afterAutospacing="1" w:line="240" w:lineRule="auto"/>
      <w:ind w:left="700"/>
    </w:pPr>
    <w:rPr>
      <w:rFonts w:ascii="Times New Roman" w:eastAsia="Times New Roman" w:hAnsi="Times New Roman"/>
      <w:color w:val="auto"/>
      <w:sz w:val="24"/>
      <w:szCs w:val="24"/>
    </w:rPr>
  </w:style>
  <w:style w:type="paragraph" w:customStyle="1" w:styleId="pf0">
    <w:name w:val="pf0"/>
    <w:basedOn w:val="Normal"/>
    <w:rsid w:val="00FD4979"/>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cf21">
    <w:name w:val="cf21"/>
    <w:basedOn w:val="DefaultParagraphFont"/>
    <w:rsid w:val="00FD4979"/>
    <w:rPr>
      <w:rFonts w:ascii="Segoe UI" w:hAnsi="Segoe UI" w:cs="Segoe UI" w:hint="default"/>
      <w:i/>
      <w:iCs/>
      <w:sz w:val="18"/>
      <w:szCs w:val="18"/>
    </w:rPr>
  </w:style>
  <w:style w:type="numbering" w:customStyle="1" w:styleId="NoList1">
    <w:name w:val="No List1"/>
    <w:next w:val="NoList"/>
    <w:uiPriority w:val="99"/>
    <w:semiHidden/>
    <w:unhideWhenUsed/>
    <w:rsid w:val="00FD4979"/>
  </w:style>
  <w:style w:type="table" w:customStyle="1" w:styleId="TableGrid2">
    <w:name w:val="Table Grid2"/>
    <w:basedOn w:val="TableNormal"/>
    <w:next w:val="TableGrid"/>
    <w:uiPriority w:val="39"/>
    <w:rsid w:val="00FD4979"/>
    <w:rPr>
      <w:rFonts w:eastAsiaTheme="minorHAnsi" w:cstheme="minorBidi"/>
      <w:color w:val="000000"/>
      <w:lang w:eastAsia="en-US"/>
    </w:rPr>
    <w:tblPr>
      <w:tblInd w:w="0" w:type="nil"/>
      <w:tblCellMar>
        <w:left w:w="0" w:type="dxa"/>
        <w:right w:w="0" w:type="dxa"/>
      </w:tblCellMar>
    </w:tblPr>
  </w:style>
  <w:style w:type="numbering" w:customStyle="1" w:styleId="BoxedBullets1">
    <w:name w:val="Boxed Bullets1"/>
    <w:uiPriority w:val="99"/>
    <w:rsid w:val="00FD4979"/>
  </w:style>
  <w:style w:type="table" w:customStyle="1" w:styleId="GridTable5Dark-Accent11">
    <w:name w:val="Grid Table 5 Dark - Accent 11"/>
    <w:basedOn w:val="TableNormal"/>
    <w:next w:val="GridTable5Dark-Accent1"/>
    <w:uiPriority w:val="50"/>
    <w:rsid w:val="00FD4979"/>
    <w:rPr>
      <w:rFonts w:eastAsiaTheme="minorHAnsi" w:cstheme="minorBidi"/>
      <w:color w:val="000000"/>
      <w:lang w:eastAsia="en-US"/>
    </w:rPr>
    <w:tblPr>
      <w:tblInd w:w="0" w:type="nil"/>
      <w:tblCellMar>
        <w:left w:w="0" w:type="dxa"/>
        <w:right w:w="0" w:type="dxa"/>
      </w:tblCellMar>
    </w:tblPr>
    <w:tblStylePr w:type="firstRow">
      <w:rPr>
        <w:b/>
        <w:bCs/>
        <w:color w:val="FFFFFF"/>
      </w:rPr>
    </w:tblStylePr>
    <w:tblStylePr w:type="lastRow">
      <w:rPr>
        <w:b/>
        <w:bCs/>
        <w:color w:val="FFFFFF"/>
      </w:rPr>
    </w:tblStylePr>
    <w:tblStylePr w:type="firstCol">
      <w:rPr>
        <w:b/>
        <w:bCs/>
        <w:color w:val="FFFFFF"/>
      </w:rPr>
    </w:tblStylePr>
    <w:tblStylePr w:type="lastCol">
      <w:rPr>
        <w:b/>
        <w:bCs/>
        <w:color w:val="FFFFFF"/>
      </w:rPr>
    </w:tblStylePr>
  </w:style>
  <w:style w:type="paragraph" w:customStyle="1" w:styleId="TOC41">
    <w:name w:val="TOC 41"/>
    <w:basedOn w:val="Normal"/>
    <w:next w:val="Normal"/>
    <w:autoRedefine/>
    <w:uiPriority w:val="39"/>
    <w:rsid w:val="00FD4979"/>
    <w:pPr>
      <w:tabs>
        <w:tab w:val="right" w:pos="9628"/>
      </w:tabs>
      <w:spacing w:before="60" w:after="160" w:line="259" w:lineRule="auto"/>
      <w:ind w:left="1135" w:hanging="851"/>
    </w:pPr>
    <w:rPr>
      <w:rFonts w:eastAsiaTheme="minorHAnsi" w:cstheme="minorBidi"/>
      <w:color w:val="auto"/>
      <w:kern w:val="2"/>
      <w:szCs w:val="22"/>
      <w:lang w:eastAsia="en-US"/>
      <w14:ligatures w14:val="standardContextual"/>
    </w:rPr>
  </w:style>
  <w:style w:type="numbering" w:customStyle="1" w:styleId="NoList2">
    <w:name w:val="No List2"/>
    <w:next w:val="NoList"/>
    <w:uiPriority w:val="99"/>
    <w:semiHidden/>
    <w:unhideWhenUsed/>
    <w:rsid w:val="00FD4979"/>
  </w:style>
  <w:style w:type="table" w:customStyle="1" w:styleId="TableGrid3">
    <w:name w:val="Table Grid3"/>
    <w:basedOn w:val="TableNormal"/>
    <w:next w:val="TableGrid"/>
    <w:uiPriority w:val="39"/>
    <w:rsid w:val="00FD4979"/>
    <w:rPr>
      <w:rFonts w:eastAsiaTheme="minorHAnsi" w:cstheme="minorBidi"/>
      <w:color w:val="000000"/>
      <w:lang w:eastAsia="en-US"/>
    </w:rPr>
    <w:tblPr>
      <w:tblInd w:w="0" w:type="nil"/>
      <w:tblCellMar>
        <w:left w:w="0" w:type="dxa"/>
        <w:right w:w="0" w:type="dxa"/>
      </w:tblCellMar>
    </w:tblPr>
  </w:style>
  <w:style w:type="numbering" w:customStyle="1" w:styleId="RList1">
    <w:name w:val="R List1"/>
    <w:uiPriority w:val="99"/>
    <w:rsid w:val="00FD4979"/>
    <w:pPr>
      <w:numPr>
        <w:numId w:val="20"/>
      </w:numPr>
    </w:pPr>
  </w:style>
  <w:style w:type="numbering" w:customStyle="1" w:styleId="AppendixNumbers1">
    <w:name w:val="Appendix Numbers1"/>
    <w:uiPriority w:val="99"/>
    <w:rsid w:val="00FD4979"/>
    <w:pPr>
      <w:numPr>
        <w:numId w:val="21"/>
      </w:numPr>
    </w:pPr>
  </w:style>
  <w:style w:type="numbering" w:customStyle="1" w:styleId="BoxedBullets2">
    <w:name w:val="Boxed Bullets2"/>
    <w:uiPriority w:val="99"/>
    <w:rsid w:val="00FD4979"/>
    <w:pPr>
      <w:numPr>
        <w:numId w:val="22"/>
      </w:numPr>
    </w:pPr>
  </w:style>
  <w:style w:type="numbering" w:customStyle="1" w:styleId="DefaultBullets1">
    <w:name w:val="Default Bullets1"/>
    <w:uiPriority w:val="99"/>
    <w:rsid w:val="00FD4979"/>
    <w:pPr>
      <w:numPr>
        <w:numId w:val="23"/>
      </w:numPr>
    </w:pPr>
  </w:style>
  <w:style w:type="table" w:customStyle="1" w:styleId="GridTable5Dark-Accent12">
    <w:name w:val="Grid Table 5 Dark - Accent 12"/>
    <w:basedOn w:val="TableNormal"/>
    <w:next w:val="GridTable5Dark-Accent1"/>
    <w:uiPriority w:val="50"/>
    <w:rsid w:val="00FD4979"/>
    <w:rPr>
      <w:rFonts w:eastAsiaTheme="minorHAnsi" w:cstheme="minorBidi"/>
      <w:color w:val="000000"/>
      <w:lang w:eastAsia="en-US"/>
    </w:rPr>
    <w:tblPr>
      <w:tblInd w:w="0" w:type="nil"/>
      <w:tblCellMar>
        <w:left w:w="0" w:type="dxa"/>
        <w:right w:w="0" w:type="dxa"/>
      </w:tblCellMar>
    </w:tblPr>
    <w:tblStylePr w:type="firstRow">
      <w:rPr>
        <w:b/>
        <w:bCs/>
        <w:color w:val="FFFFFF"/>
      </w:rPr>
    </w:tblStylePr>
    <w:tblStylePr w:type="lastRow">
      <w:rPr>
        <w:b/>
        <w:bCs/>
        <w:color w:val="FFFFFF"/>
      </w:rPr>
    </w:tblStylePr>
    <w:tblStylePr w:type="firstCol">
      <w:rPr>
        <w:b/>
        <w:bCs/>
        <w:color w:val="FFFFFF"/>
      </w:rPr>
    </w:tblStylePr>
    <w:tblStylePr w:type="lastCol">
      <w:rPr>
        <w:b/>
        <w:bCs/>
        <w:color w:val="FFFFFF"/>
      </w:rPr>
    </w:tblStylePr>
  </w:style>
  <w:style w:type="table" w:customStyle="1" w:styleId="DefaultTable11">
    <w:name w:val="Default Table 11"/>
    <w:basedOn w:val="GridTable5Dark-Accent1"/>
    <w:uiPriority w:val="99"/>
    <w:rsid w:val="00FD4979"/>
    <w:pPr>
      <w:spacing w:before="60"/>
    </w:pPr>
    <w:rPr>
      <w:color w:val="000000"/>
    </w:rPr>
    <w:tblPr/>
    <w:tcPr>
      <w:shd w:val="clear" w:color="auto" w:fill="auto"/>
    </w:tcPr>
    <w:tblStylePr w:type="firstRow">
      <w:pPr>
        <w:wordWrap/>
        <w:spacing w:beforeLines="0" w:before="60" w:beforeAutospacing="0" w:afterLines="0" w:after="60" w:afterAutospacing="0" w:line="240" w:lineRule="auto"/>
      </w:pPr>
      <w:rPr>
        <w:rFonts w:ascii="Arial" w:hAnsi="Arial"/>
        <w:b/>
        <w:bCs/>
        <w:caps w:val="0"/>
        <w:smallCaps w:val="0"/>
        <w:color w:val="FFFFFF"/>
        <w:sz w:val="18"/>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Row">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firstCol">
      <w:rPr>
        <w:b/>
        <w:bCs/>
        <w:color w:val="FFFFFF"/>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Col">
      <w:pPr>
        <w:jc w:val="right"/>
      </w:pPr>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band1Vert">
      <w:tblPr/>
      <w:tcPr>
        <w:shd w:val="clear" w:color="auto" w:fill="E3F1F7"/>
      </w:tcPr>
    </w:tblStylePr>
    <w:tblStylePr w:type="band2Vert">
      <w:tblPr/>
      <w:tcPr>
        <w:shd w:val="clear" w:color="auto" w:fill="C8E4EF"/>
      </w:tcPr>
    </w:tblStylePr>
    <w:tblStylePr w:type="band1Horz">
      <w:tblPr/>
      <w:tcPr>
        <w:shd w:val="clear" w:color="auto" w:fill="C8E4EF" w:themeFill="accent1" w:themeFillTint="66"/>
      </w:tcPr>
    </w:tblStylePr>
  </w:style>
  <w:style w:type="table" w:customStyle="1" w:styleId="DefaultTable21">
    <w:name w:val="Default Table 21"/>
    <w:basedOn w:val="TableNormal"/>
    <w:uiPriority w:val="99"/>
    <w:rsid w:val="00FD4979"/>
    <w:rPr>
      <w:rFonts w:eastAsiaTheme="minorHAnsi" w:cstheme="minorBidi"/>
      <w:color w:val="000000"/>
      <w:lang w:eastAsia="en-US"/>
    </w:rPr>
    <w:tblPr>
      <w:tblInd w:w="0" w:type="nil"/>
      <w:tblCellMar>
        <w:left w:w="0" w:type="dxa"/>
        <w:right w:w="0" w:type="dxa"/>
      </w:tblCellMar>
    </w:tblPr>
    <w:tblStylePr w:type="firstRow">
      <w:rPr>
        <w:b/>
      </w:rPr>
    </w:tblStylePr>
    <w:tblStylePr w:type="lastRow">
      <w:rPr>
        <w:b/>
      </w:rPr>
    </w:tblStylePr>
    <w:tblStylePr w:type="firstCol">
      <w:rPr>
        <w:b/>
      </w:rPr>
    </w:tblStylePr>
    <w:tblStylePr w:type="lastCol">
      <w:rPr>
        <w:b/>
      </w:rPr>
    </w:tblStylePr>
  </w:style>
  <w:style w:type="numbering" w:customStyle="1" w:styleId="FigureNumbers1">
    <w:name w:val="Figure Numbers1"/>
    <w:uiPriority w:val="99"/>
    <w:rsid w:val="00FD4979"/>
    <w:pPr>
      <w:numPr>
        <w:numId w:val="24"/>
      </w:numPr>
    </w:pPr>
  </w:style>
  <w:style w:type="numbering" w:customStyle="1" w:styleId="KCBullets1">
    <w:name w:val="KC Bullets1"/>
    <w:uiPriority w:val="99"/>
    <w:rsid w:val="00FD4979"/>
    <w:pPr>
      <w:numPr>
        <w:numId w:val="26"/>
      </w:numPr>
    </w:pPr>
  </w:style>
  <w:style w:type="numbering" w:customStyle="1" w:styleId="List1Numbered10">
    <w:name w:val="List 1 Numbered1"/>
    <w:uiPriority w:val="99"/>
    <w:rsid w:val="00FD4979"/>
    <w:pPr>
      <w:numPr>
        <w:numId w:val="27"/>
      </w:numPr>
    </w:pPr>
  </w:style>
  <w:style w:type="numbering" w:customStyle="1" w:styleId="NumberedHeadings1">
    <w:name w:val="Numbered Headings1"/>
    <w:uiPriority w:val="99"/>
    <w:rsid w:val="00FD4979"/>
    <w:pPr>
      <w:numPr>
        <w:numId w:val="25"/>
      </w:numPr>
    </w:pPr>
  </w:style>
  <w:style w:type="numbering" w:customStyle="1" w:styleId="TableNumbers1">
    <w:name w:val="Table Numbers1"/>
    <w:uiPriority w:val="99"/>
    <w:rsid w:val="00FD4979"/>
    <w:pPr>
      <w:numPr>
        <w:numId w:val="28"/>
      </w:numPr>
    </w:pPr>
  </w:style>
  <w:style w:type="paragraph" w:customStyle="1" w:styleId="TOC42">
    <w:name w:val="TOC 42"/>
    <w:basedOn w:val="Normal"/>
    <w:next w:val="Normal"/>
    <w:autoRedefine/>
    <w:uiPriority w:val="39"/>
    <w:rsid w:val="00FD4979"/>
    <w:pPr>
      <w:tabs>
        <w:tab w:val="right" w:pos="9628"/>
      </w:tabs>
      <w:spacing w:before="60" w:after="160" w:line="259" w:lineRule="auto"/>
      <w:ind w:left="1135" w:hanging="851"/>
    </w:pPr>
    <w:rPr>
      <w:rFonts w:eastAsiaTheme="minorHAnsi" w:cstheme="minorBidi"/>
      <w:color w:val="auto"/>
      <w:kern w:val="2"/>
      <w:szCs w:val="22"/>
      <w:lang w:eastAsia="en-US"/>
      <w14:ligatures w14:val="standardContextual"/>
    </w:rPr>
  </w:style>
  <w:style w:type="table" w:customStyle="1" w:styleId="greytable">
    <w:name w:val="grey table"/>
    <w:basedOn w:val="TableNormal"/>
    <w:uiPriority w:val="99"/>
    <w:rsid w:val="00D22357"/>
    <w:pPr>
      <w:spacing w:before="0" w:after="0" w:line="240" w:lineRule="auto"/>
    </w:pPr>
    <w:tblPr>
      <w:tblInd w:w="0" w:type="nil"/>
      <w:tblCellMar>
        <w:left w:w="0" w:type="dxa"/>
        <w:right w:w="0" w:type="dxa"/>
      </w:tblCellMar>
    </w:tblPr>
  </w:style>
  <w:style w:type="paragraph" w:styleId="TOC5">
    <w:name w:val="toc 5"/>
    <w:basedOn w:val="Normal"/>
    <w:next w:val="Normal"/>
    <w:autoRedefine/>
    <w:uiPriority w:val="39"/>
    <w:unhideWhenUsed/>
    <w:rsid w:val="00AB2A07"/>
    <w:pPr>
      <w:spacing w:before="0" w:after="100" w:line="278" w:lineRule="auto"/>
      <w:ind w:left="960"/>
    </w:pPr>
    <w:rPr>
      <w:rFonts w:asciiTheme="minorHAnsi" w:hAnsiTheme="minorHAnsi" w:cstheme="minorBidi"/>
      <w:color w:val="auto"/>
      <w:kern w:val="2"/>
      <w:sz w:val="24"/>
      <w:szCs w:val="24"/>
      <w14:ligatures w14:val="standardContextual"/>
    </w:rPr>
  </w:style>
  <w:style w:type="paragraph" w:styleId="TOC6">
    <w:name w:val="toc 6"/>
    <w:basedOn w:val="Normal"/>
    <w:next w:val="Normal"/>
    <w:autoRedefine/>
    <w:uiPriority w:val="39"/>
    <w:unhideWhenUsed/>
    <w:rsid w:val="00AB2A07"/>
    <w:pPr>
      <w:spacing w:before="0" w:after="100" w:line="278" w:lineRule="auto"/>
      <w:ind w:left="1200"/>
    </w:pPr>
    <w:rPr>
      <w:rFonts w:asciiTheme="minorHAnsi" w:hAnsiTheme="minorHAnsi" w:cstheme="minorBidi"/>
      <w:color w:val="auto"/>
      <w:kern w:val="2"/>
      <w:sz w:val="24"/>
      <w:szCs w:val="24"/>
      <w14:ligatures w14:val="standardContextual"/>
    </w:rPr>
  </w:style>
  <w:style w:type="paragraph" w:styleId="TOC7">
    <w:name w:val="toc 7"/>
    <w:basedOn w:val="Normal"/>
    <w:next w:val="Normal"/>
    <w:autoRedefine/>
    <w:uiPriority w:val="39"/>
    <w:unhideWhenUsed/>
    <w:rsid w:val="00AB2A07"/>
    <w:pPr>
      <w:spacing w:before="0" w:after="100" w:line="278" w:lineRule="auto"/>
      <w:ind w:left="1440"/>
    </w:pPr>
    <w:rPr>
      <w:rFonts w:asciiTheme="minorHAnsi" w:hAnsiTheme="minorHAnsi" w:cstheme="minorBidi"/>
      <w:color w:val="auto"/>
      <w:kern w:val="2"/>
      <w:sz w:val="24"/>
      <w:szCs w:val="24"/>
      <w14:ligatures w14:val="standardContextual"/>
    </w:rPr>
  </w:style>
  <w:style w:type="paragraph" w:styleId="TOC8">
    <w:name w:val="toc 8"/>
    <w:basedOn w:val="Normal"/>
    <w:next w:val="Normal"/>
    <w:autoRedefine/>
    <w:uiPriority w:val="39"/>
    <w:unhideWhenUsed/>
    <w:rsid w:val="00AB2A07"/>
    <w:pPr>
      <w:spacing w:before="0" w:after="100" w:line="278" w:lineRule="auto"/>
      <w:ind w:left="1680"/>
    </w:pPr>
    <w:rPr>
      <w:rFonts w:asciiTheme="minorHAnsi" w:hAnsiTheme="minorHAnsi" w:cstheme="minorBidi"/>
      <w:color w:val="auto"/>
      <w:kern w:val="2"/>
      <w:sz w:val="24"/>
      <w:szCs w:val="24"/>
      <w14:ligatures w14:val="standardContextual"/>
    </w:rPr>
  </w:style>
  <w:style w:type="paragraph" w:styleId="TOC9">
    <w:name w:val="toc 9"/>
    <w:basedOn w:val="Normal"/>
    <w:next w:val="Normal"/>
    <w:autoRedefine/>
    <w:uiPriority w:val="39"/>
    <w:unhideWhenUsed/>
    <w:rsid w:val="00AB2A07"/>
    <w:pPr>
      <w:spacing w:before="0" w:after="100" w:line="278" w:lineRule="auto"/>
      <w:ind w:left="1920"/>
    </w:pPr>
    <w:rPr>
      <w:rFonts w:asciiTheme="minorHAnsi" w:hAnsiTheme="minorHAnsi" w:cstheme="minorBidi"/>
      <w:color w:val="auto"/>
      <w:kern w:val="2"/>
      <w:sz w:val="24"/>
      <w:szCs w:val="24"/>
      <w14:ligatures w14:val="standardContextual"/>
    </w:rPr>
  </w:style>
  <w:style w:type="paragraph" w:styleId="TableofFigures">
    <w:name w:val="table of figures"/>
    <w:basedOn w:val="Normal"/>
    <w:next w:val="Normal"/>
    <w:unhideWhenUsed/>
    <w:rsid w:val="00AB2A07"/>
    <w:pPr>
      <w:spacing w:after="0"/>
    </w:pPr>
  </w:style>
  <w:style w:type="character" w:styleId="Mention">
    <w:name w:val="Mention"/>
    <w:basedOn w:val="DefaultParagraphFont"/>
    <w:uiPriority w:val="99"/>
    <w:unhideWhenUsed/>
    <w:rsid w:val="00D812F0"/>
    <w:rPr>
      <w:color w:val="2B579A"/>
      <w:shd w:val="clear" w:color="auto" w:fill="E1DFDD"/>
    </w:rPr>
  </w:style>
  <w:style w:type="table" w:styleId="TableGridLight">
    <w:name w:val="Grid Table Light"/>
    <w:basedOn w:val="TableNormal"/>
    <w:uiPriority w:val="40"/>
    <w:rsid w:val="000947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2">
    <w:name w:val="List Table 3 Accent 2"/>
    <w:basedOn w:val="TableNormal"/>
    <w:uiPriority w:val="48"/>
    <w:rsid w:val="00694EFC"/>
    <w:pPr>
      <w:spacing w:after="0" w:line="240" w:lineRule="auto"/>
    </w:pPr>
    <w:tblPr>
      <w:tblStyleRowBandSize w:val="1"/>
      <w:tblStyleColBandSize w:val="1"/>
      <w:tblBorders>
        <w:top w:val="single" w:sz="4" w:space="0" w:color="005F85" w:themeColor="accent2"/>
        <w:left w:val="single" w:sz="4" w:space="0" w:color="005F85" w:themeColor="accent2"/>
        <w:bottom w:val="single" w:sz="4" w:space="0" w:color="005F85" w:themeColor="accent2"/>
        <w:right w:val="single" w:sz="4" w:space="0" w:color="005F85" w:themeColor="accent2"/>
      </w:tblBorders>
    </w:tblPr>
    <w:tblStylePr w:type="firstRow">
      <w:rPr>
        <w:b/>
        <w:bCs/>
        <w:color w:val="FFFFFF" w:themeColor="background1"/>
      </w:rPr>
      <w:tblPr/>
      <w:tcPr>
        <w:shd w:val="clear" w:color="auto" w:fill="005F85" w:themeFill="accent2"/>
      </w:tcPr>
    </w:tblStylePr>
    <w:tblStylePr w:type="lastRow">
      <w:rPr>
        <w:b/>
        <w:bCs/>
      </w:rPr>
      <w:tblPr/>
      <w:tcPr>
        <w:tcBorders>
          <w:top w:val="double" w:sz="4" w:space="0" w:color="005F8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F85" w:themeColor="accent2"/>
          <w:right w:val="single" w:sz="4" w:space="0" w:color="005F85" w:themeColor="accent2"/>
        </w:tcBorders>
      </w:tcPr>
    </w:tblStylePr>
    <w:tblStylePr w:type="band1Horz">
      <w:tblPr/>
      <w:tcPr>
        <w:tcBorders>
          <w:top w:val="single" w:sz="4" w:space="0" w:color="005F85" w:themeColor="accent2"/>
          <w:bottom w:val="single" w:sz="4" w:space="0" w:color="005F8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F85" w:themeColor="accent2"/>
          <w:left w:val="nil"/>
        </w:tcBorders>
      </w:tcPr>
    </w:tblStylePr>
    <w:tblStylePr w:type="swCell">
      <w:tblPr/>
      <w:tcPr>
        <w:tcBorders>
          <w:top w:val="double" w:sz="4" w:space="0" w:color="005F85" w:themeColor="accent2"/>
          <w:right w:val="nil"/>
        </w:tcBorders>
      </w:tcPr>
    </w:tblStylePr>
  </w:style>
  <w:style w:type="paragraph" w:styleId="BodyText">
    <w:name w:val="Body Text"/>
    <w:basedOn w:val="Normal"/>
    <w:link w:val="BodyTextChar"/>
    <w:unhideWhenUsed/>
    <w:rsid w:val="007F6FD1"/>
    <w:pPr>
      <w:spacing w:after="120"/>
    </w:pPr>
  </w:style>
  <w:style w:type="character" w:customStyle="1" w:styleId="BodyTextChar">
    <w:name w:val="Body Text Char"/>
    <w:basedOn w:val="DefaultParagraphFont"/>
    <w:link w:val="BodyText"/>
    <w:rsid w:val="007F6FD1"/>
    <w:rPr>
      <w:rFonts w:ascii="Gotham Book" w:hAnsi="Gotham Book"/>
      <w:sz w:val="20"/>
    </w:rPr>
  </w:style>
  <w:style w:type="paragraph" w:styleId="BlockText">
    <w:name w:val="Block Text"/>
    <w:basedOn w:val="Normal"/>
    <w:unhideWhenUsed/>
    <w:rsid w:val="00173795"/>
    <w:pPr>
      <w:pBdr>
        <w:top w:val="single" w:sz="2" w:space="10" w:color="77BCD9" w:themeColor="accent1"/>
        <w:left w:val="single" w:sz="2" w:space="10" w:color="77BCD9" w:themeColor="accent1"/>
        <w:bottom w:val="single" w:sz="2" w:space="10" w:color="77BCD9" w:themeColor="accent1"/>
        <w:right w:val="single" w:sz="2" w:space="10" w:color="77BCD9" w:themeColor="accent1"/>
      </w:pBdr>
      <w:ind w:left="1152" w:right="1152"/>
    </w:pPr>
    <w:rPr>
      <w:rFonts w:asciiTheme="minorHAnsi" w:hAnsiTheme="minorHAnsi" w:cstheme="minorBidi"/>
      <w:i/>
      <w:iCs/>
      <w:color w:val="77BCD9" w:themeColor="accent1"/>
    </w:rPr>
  </w:style>
  <w:style w:type="paragraph" w:styleId="NormalWeb">
    <w:name w:val="Normal (Web)"/>
    <w:basedOn w:val="Normal"/>
    <w:uiPriority w:val="99"/>
    <w:semiHidden/>
    <w:unhideWhenUsed/>
    <w:rsid w:val="00D730E2"/>
    <w:pPr>
      <w:spacing w:before="100" w:beforeAutospacing="1" w:after="100" w:afterAutospacing="1" w:line="240" w:lineRule="auto"/>
    </w:pPr>
    <w:rPr>
      <w:rFonts w:ascii="Times New Roman" w:eastAsia="Times New Roman" w:hAnsi="Times New Roman"/>
      <w:color w:val="auto"/>
      <w:sz w:val="24"/>
      <w:szCs w:val="24"/>
    </w:rPr>
  </w:style>
  <w:style w:type="table" w:styleId="GridTable4">
    <w:name w:val="Grid Table 4"/>
    <w:basedOn w:val="TableNormal"/>
    <w:uiPriority w:val="49"/>
    <w:rsid w:val="00A126B8"/>
    <w:pPr>
      <w:spacing w:after="0" w:line="240" w:lineRule="auto"/>
    </w:pPr>
    <w:tblPr>
      <w:tblStyleRowBandSize w:val="1"/>
      <w:tblStyleColBandSize w:val="1"/>
    </w:tblPr>
    <w:tcPr>
      <w:tcBorders>
        <w:left w:val="single" w:sz="4" w:space="0" w:color="000000" w:themeColor="text1"/>
        <w:right w:val="single" w:sz="4" w:space="0" w:color="000000" w:themeColor="text1"/>
      </w:tcBorders>
      <w:shd w:val="clear" w:color="auto" w:fill="CCCCCC" w:themeFill="tex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styleId="SubtleEmphasis">
    <w:name w:val="Subtle Emphasis"/>
    <w:basedOn w:val="DefaultParagraphFont"/>
    <w:uiPriority w:val="19"/>
    <w:rsid w:val="00B0637E"/>
    <w:rPr>
      <w:i/>
      <w:iCs/>
      <w:color w:val="404040" w:themeColor="text1" w:themeTint="BF"/>
    </w:rPr>
  </w:style>
  <w:style w:type="character" w:styleId="SubtleReference">
    <w:name w:val="Subtle Reference"/>
    <w:basedOn w:val="DefaultParagraphFont"/>
    <w:uiPriority w:val="31"/>
    <w:rsid w:val="00B0637E"/>
    <w:rPr>
      <w:smallCaps/>
      <w:color w:val="5A5A5A" w:themeColor="text1" w:themeTint="A5"/>
    </w:rPr>
  </w:style>
  <w:style w:type="paragraph" w:customStyle="1" w:styleId="TableText">
    <w:name w:val="Table Text"/>
    <w:basedOn w:val="BodyText"/>
    <w:qFormat/>
    <w:rsid w:val="00DD0502"/>
    <w:pPr>
      <w:spacing w:before="60" w:after="60" w:line="240" w:lineRule="auto"/>
    </w:pPr>
    <w:rPr>
      <w:rFonts w:ascii="Arial" w:eastAsiaTheme="minorHAnsi" w:hAnsi="Arial" w:cstheme="minorBidi"/>
      <w:color w:val="auto"/>
      <w:szCs w:val="20"/>
      <w:lang w:val="en-GB" w:eastAsia="en-US"/>
    </w:rPr>
  </w:style>
  <w:style w:type="table" w:customStyle="1" w:styleId="SLROption1">
    <w:name w:val="SLR Option 1"/>
    <w:basedOn w:val="TableNormal"/>
    <w:rsid w:val="00CD1725"/>
    <w:pPr>
      <w:spacing w:before="60" w:line="240" w:lineRule="auto"/>
    </w:pPr>
    <w:rPr>
      <w:rFonts w:ascii="Arial" w:eastAsia="Times New Roman" w:hAnsi="Arial"/>
      <w:color w:val="aut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Gotham Medium" w:hAnsi="Gotham Medium"/>
        <w:sz w:val="18"/>
      </w:rPr>
      <w:tblPr/>
      <w:trPr>
        <w:tblHeader/>
      </w:trPr>
    </w:tblStylePr>
  </w:style>
  <w:style w:type="paragraph" w:customStyle="1" w:styleId="EndNoteBibliography">
    <w:name w:val="EndNote Bibliography"/>
    <w:basedOn w:val="Normal"/>
    <w:link w:val="EndNoteBibliographyChar"/>
    <w:rsid w:val="00E7256E"/>
    <w:pPr>
      <w:spacing w:after="280" w:line="240" w:lineRule="auto"/>
    </w:pPr>
    <w:rPr>
      <w:rFonts w:eastAsiaTheme="minorHAnsi" w:cstheme="minorBidi"/>
      <w:noProof/>
      <w:color w:val="auto"/>
      <w:kern w:val="2"/>
      <w:szCs w:val="22"/>
      <w:lang w:val="en-US" w:eastAsia="en-US"/>
      <w14:ligatures w14:val="standardContextual"/>
    </w:rPr>
  </w:style>
  <w:style w:type="character" w:customStyle="1" w:styleId="EndNoteBibliographyChar">
    <w:name w:val="EndNote Bibliography Char"/>
    <w:basedOn w:val="DefaultParagraphFont"/>
    <w:link w:val="EndNoteBibliography"/>
    <w:rsid w:val="00E7256E"/>
    <w:rPr>
      <w:rFonts w:ascii="Gotham Book" w:eastAsiaTheme="minorHAnsi" w:hAnsi="Gotham Book" w:cstheme="minorBidi"/>
      <w:noProof/>
      <w:color w:val="auto"/>
      <w:kern w:val="2"/>
      <w:sz w:val="20"/>
      <w:szCs w:val="22"/>
      <w:lang w:val="en-US" w:eastAsia="en-US"/>
      <w14:ligatures w14:val="standardContextual"/>
    </w:rPr>
  </w:style>
  <w:style w:type="table" w:styleId="GridTable5Dark">
    <w:name w:val="Grid Table 5 Dark"/>
    <w:basedOn w:val="TableNormal"/>
    <w:uiPriority w:val="50"/>
    <w:rsid w:val="000728AE"/>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StylePr>
  </w:style>
  <w:style w:type="character" w:customStyle="1" w:styleId="CommentTextChar2">
    <w:name w:val="Comment Text Char2"/>
    <w:basedOn w:val="DefaultParagraphFont"/>
    <w:uiPriority w:val="99"/>
    <w:rsid w:val="00015DCE"/>
    <w:rPr>
      <w:sz w:val="20"/>
      <w:szCs w:val="20"/>
    </w:rPr>
  </w:style>
  <w:style w:type="paragraph" w:customStyle="1" w:styleId="EndNoteBibliographyTitle">
    <w:name w:val="EndNote Bibliography Title"/>
    <w:basedOn w:val="Normal"/>
    <w:link w:val="EndNoteBibliographyTitleChar"/>
    <w:rsid w:val="00BB7597"/>
    <w:pPr>
      <w:spacing w:after="0"/>
      <w:jc w:val="center"/>
    </w:pPr>
    <w:rPr>
      <w:noProof/>
    </w:rPr>
  </w:style>
  <w:style w:type="character" w:customStyle="1" w:styleId="EndNoteBibliographyTitleChar">
    <w:name w:val="EndNote Bibliography Title Char"/>
    <w:basedOn w:val="DefaultParagraphFont"/>
    <w:link w:val="EndNoteBibliographyTitle"/>
    <w:rsid w:val="00BB7597"/>
    <w:rPr>
      <w:rFonts w:ascii="Gotham Book" w:hAnsi="Gotham Book"/>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hyperlink" Target="https://www.health.govt.nz/system/files/2011-10/a-focus-on-nutrition-v2.pdf" TargetMode="External"/><Relationship Id="rId42" Type="http://schemas.openxmlformats.org/officeDocument/2006/relationships/hyperlink" Target="https://www.eatforhealth.gov.au/sites/default/files/files/the_guidelines/n55c_dietary_guidelines_food_modelling.pdf" TargetMode="External"/><Relationship Id="rId47" Type="http://schemas.openxmlformats.org/officeDocument/2006/relationships/hyperlink" Target="https://efsa.onlinelibrary.wiley.com/doi/10.2903/j.efsa.2023.8006" TargetMode="External"/><Relationship Id="rId50" Type="http://schemas.openxmlformats.org/officeDocument/2006/relationships/hyperlink" Target="https://efsa.onlinelibrary.wiley.com/doi/10.2903/j.efsa.2023.8006" TargetMode="External"/><Relationship Id="rId55" Type="http://schemas.openxmlformats.org/officeDocument/2006/relationships/hyperlink" Target="https://efsa.onlinelibrary.wiley.com/doi/10.2903/j.efsa.2023.8006" TargetMode="External"/><Relationship Id="rId63" Type="http://schemas.openxmlformats.org/officeDocument/2006/relationships/footer" Target="footer5.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atforhealth.gov.au/nutrient-reference-values/glossary" TargetMode="External"/><Relationship Id="rId29" Type="http://schemas.openxmlformats.org/officeDocument/2006/relationships/hyperlink" Target="https://www.eatforhealth.gov.au/nutrient-reference-values/glossary" TargetMode="Externa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yperlink" Target="https://www.abs.gov.au/statistics/health/food-and-nutrition/usual-nutrient-intakes/latest-release" TargetMode="External"/><Relationship Id="rId37" Type="http://schemas.openxmlformats.org/officeDocument/2006/relationships/hyperlink" Target="https://www.legislation.gov.au/Latest/F2017C00048" TargetMode="External"/><Relationship Id="rId40" Type="http://schemas.openxmlformats.org/officeDocument/2006/relationships/hyperlink" Target="https://www.tga.gov.au/news/safety-updates/medicines-containing-vitamin-b6-pyridoxine-pyridoxal-or-pyridoxamine" TargetMode="External"/><Relationship Id="rId45" Type="http://schemas.openxmlformats.org/officeDocument/2006/relationships/hyperlink" Target="https://efsa.onlinelibrary.wiley.com/doi/10.2903/j.efsa.2023.8006" TargetMode="External"/><Relationship Id="rId53" Type="http://schemas.openxmlformats.org/officeDocument/2006/relationships/hyperlink" Target="https://efsa.onlinelibrary.wiley.com/doi/10.2903/j.efsa.2023.8006" TargetMode="External"/><Relationship Id="rId58" Type="http://schemas.openxmlformats.org/officeDocument/2006/relationships/hyperlink" Target="https://efsa.onlinelibrary.wiley.com/doi/10.2903/j.efsa.2023.8006" TargetMode="External"/><Relationship Id="rId66"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hyperlink" Target="https://efsa.onlinelibrary.wiley.com/doi/10.2903/j.efsa.2023.8006" TargetMode="External"/><Relationship Id="rId19" Type="http://schemas.openxmlformats.org/officeDocument/2006/relationships/hyperlink" Target="https://www.eatforhealth.gov.au/nutrient-reference-values/glossary" TargetMode="External"/><Relationship Id="rId14" Type="http://schemas.openxmlformats.org/officeDocument/2006/relationships/hyperlink" Target="https://www.eatforhealth.gov.au/nutrient-reference-values/glossary" TargetMode="External"/><Relationship Id="rId22" Type="http://schemas.openxmlformats.org/officeDocument/2006/relationships/header" Target="header2.xml"/><Relationship Id="rId27" Type="http://schemas.openxmlformats.org/officeDocument/2006/relationships/hyperlink" Target="https://www.eatforhealth.gov.au/nutrient-reference-values/glossary" TargetMode="External"/><Relationship Id="rId30" Type="http://schemas.openxmlformats.org/officeDocument/2006/relationships/header" Target="header4.xml"/><Relationship Id="rId35" Type="http://schemas.openxmlformats.org/officeDocument/2006/relationships/header" Target="header5.xml"/><Relationship Id="rId43" Type="http://schemas.openxmlformats.org/officeDocument/2006/relationships/hyperlink" Target="https://www.abs.gov.au/statistics/health/food-and-nutrition/usual-nutrient-intakes/latest-release" TargetMode="External"/><Relationship Id="rId48" Type="http://schemas.openxmlformats.org/officeDocument/2006/relationships/hyperlink" Target="https://efsa.onlinelibrary.wiley.com/doi/10.2903/j.efsa.2023.8006" TargetMode="External"/><Relationship Id="rId56" Type="http://schemas.openxmlformats.org/officeDocument/2006/relationships/hyperlink" Target="https://efsa.onlinelibrary.wiley.com/doi/10.2903/j.efsa.2023.8006" TargetMode="External"/><Relationship Id="rId64" Type="http://schemas.openxmlformats.org/officeDocument/2006/relationships/hyperlink" Target="https://www.eatforhealth.gov.au/nutrient-reference-values/resources" TargetMode="External"/><Relationship Id="rId8" Type="http://schemas.openxmlformats.org/officeDocument/2006/relationships/settings" Target="settings.xml"/><Relationship Id="rId51" Type="http://schemas.openxmlformats.org/officeDocument/2006/relationships/hyperlink" Target="https://efsa.onlinelibrary.wiley.com/doi/10.2903/j.efsa.2023.8006" TargetMode="External"/><Relationship Id="rId3" Type="http://schemas.openxmlformats.org/officeDocument/2006/relationships/customXml" Target="../customXml/item3.xml"/><Relationship Id="rId12" Type="http://schemas.openxmlformats.org/officeDocument/2006/relationships/hyperlink" Target="https://www.eatforhealth.gov.au/nutrient-reference-values/glossary" TargetMode="External"/><Relationship Id="rId17" Type="http://schemas.openxmlformats.org/officeDocument/2006/relationships/hyperlink" Target="https://www.eatforhealth.gov.au/nutrient-reference-values/glossary" TargetMode="External"/><Relationship Id="rId25" Type="http://schemas.openxmlformats.org/officeDocument/2006/relationships/header" Target="header3.xml"/><Relationship Id="rId33" Type="http://schemas.openxmlformats.org/officeDocument/2006/relationships/image" Target="media/image3.jpeg"/><Relationship Id="rId38" Type="http://schemas.openxmlformats.org/officeDocument/2006/relationships/hyperlink" Target="https://www.legislation.gov.au/F2015L00449/latest" TargetMode="External"/><Relationship Id="rId46" Type="http://schemas.openxmlformats.org/officeDocument/2006/relationships/hyperlink" Target="https://efsa.onlinelibrary.wiley.com/doi/10.2903/j.efsa.2023.8006" TargetMode="External"/><Relationship Id="rId59" Type="http://schemas.openxmlformats.org/officeDocument/2006/relationships/hyperlink" Target="https://efsa.onlinelibrary.wiley.com/doi/10.2903/j.efsa.2023.8006" TargetMode="External"/><Relationship Id="rId67" Type="http://schemas.openxmlformats.org/officeDocument/2006/relationships/fontTable" Target="fontTable.xml"/><Relationship Id="rId20" Type="http://schemas.openxmlformats.org/officeDocument/2006/relationships/hyperlink" Target="https://www.eatforhealth.gov.au/nutrient-reference-values/glossary" TargetMode="External"/><Relationship Id="rId41" Type="http://schemas.openxmlformats.org/officeDocument/2006/relationships/hyperlink" Target="https://www.eatforhealth.gov.au/sites/default/files/files/the_guidelines/n55c_dietary_guidelines_food_modelling.pdf" TargetMode="External"/><Relationship Id="rId54" Type="http://schemas.openxmlformats.org/officeDocument/2006/relationships/hyperlink" Target="https://efsa.onlinelibrary.wiley.com/doi/10.2903/j.efsa.2023.8006" TargetMode="External"/><Relationship Id="rId62" Type="http://schemas.openxmlformats.org/officeDocument/2006/relationships/hyperlink" Target="https://efsa.onlinelibrary.wiley.com/doi/10.2903/j.efsa.2023.8006"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atforhealth.gov.au/nutrient-reference-values/glossary" TargetMode="External"/><Relationship Id="rId23" Type="http://schemas.openxmlformats.org/officeDocument/2006/relationships/footer" Target="footer1.xml"/><Relationship Id="rId28" Type="http://schemas.openxmlformats.org/officeDocument/2006/relationships/hyperlink" Target="https://www.eatforhealth.gov.au/nutrient-reference-values/glossary" TargetMode="External"/><Relationship Id="rId36" Type="http://schemas.openxmlformats.org/officeDocument/2006/relationships/hyperlink" Target="https://www.foodstandards.gov.au/consumer/food-fortification/vitamin-added" TargetMode="External"/><Relationship Id="rId49" Type="http://schemas.openxmlformats.org/officeDocument/2006/relationships/hyperlink" Target="https://efsa.onlinelibrary.wiley.com/doi/10.2903/j.efsa.2023.8006" TargetMode="External"/><Relationship Id="rId57" Type="http://schemas.openxmlformats.org/officeDocument/2006/relationships/hyperlink" Target="https://efsa.onlinelibrary.wiley.com/doi/10.2903/j.efsa.2023.8006" TargetMode="External"/><Relationship Id="rId10" Type="http://schemas.openxmlformats.org/officeDocument/2006/relationships/footnotes" Target="footnotes.xml"/><Relationship Id="rId31" Type="http://schemas.openxmlformats.org/officeDocument/2006/relationships/footer" Target="footer4.xml"/><Relationship Id="rId44" Type="http://schemas.openxmlformats.org/officeDocument/2006/relationships/hyperlink" Target="https://www.health.govt.nz/system/files/2011-11/nzfoodnzchildren.pdf" TargetMode="External"/><Relationship Id="rId52" Type="http://schemas.openxmlformats.org/officeDocument/2006/relationships/hyperlink" Target="https://efsa.onlinelibrary.wiley.com/doi/10.2903/j.efsa.2023.8006" TargetMode="External"/><Relationship Id="rId60" Type="http://schemas.openxmlformats.org/officeDocument/2006/relationships/hyperlink" Target="https://efsa.onlinelibrary.wiley.com/doi/10.2903/j.efsa.2023.8006" TargetMode="External"/><Relationship Id="rId65"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atforhealth.gov.au/nutrient-reference-values/glossary" TargetMode="External"/><Relationship Id="rId18" Type="http://schemas.openxmlformats.org/officeDocument/2006/relationships/hyperlink" Target="https://www.eatforhealth.gov.au/nutrient-reference-values/glossary" TargetMode="External"/><Relationship Id="rId39" Type="http://schemas.openxmlformats.org/officeDocument/2006/relationships/hyperlink" Target="https://www.legislation.gov.au/F2015L00463/lates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4994564-c68c-4417-8c9c-13eb9ecde3d6">
      <Terms xmlns="http://schemas.microsoft.com/office/infopath/2007/PartnerControls"/>
    </lcf76f155ced4ddcb4097134ff3c332f>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TaxCatchAll xmlns="ef8499da-f70f-48c9-a6de-e578977a26c0" xsi:nil="true"/>
    <_dlc_DocId xmlns="ef8499da-f70f-48c9-a6de-e578977a26c0">RESTRANS-1864802524-206893</_dlc_DocId>
    <_dlc_DocIdUrl xmlns="ef8499da-f70f-48c9-a6de-e578977a26c0">
      <Url>https://nhmrc.sharepoint.com/sites/restrans/_layouts/15/DocIdRedir.aspx?ID=RESTRANS-1864802524-206893</Url>
      <Description>RESTRANS-1864802524-206893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4D1BFD-9C58-4D3D-A4C1-25C46CBEC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customXml/itemProps3.xml><?xml version="1.0" encoding="utf-8"?>
<ds:datastoreItem xmlns:ds="http://schemas.openxmlformats.org/officeDocument/2006/customXml" ds:itemID="{CFEDC626-0ECE-4430-B120-8BB8E66BBD05}">
  <ds:schemaRefs>
    <ds:schemaRef ds:uri="http://schemas.microsoft.com/sharepoint/v3/contenttype/forms"/>
  </ds:schemaRefs>
</ds:datastoreItem>
</file>

<file path=customXml/itemProps4.xml><?xml version="1.0" encoding="utf-8"?>
<ds:datastoreItem xmlns:ds="http://schemas.openxmlformats.org/officeDocument/2006/customXml" ds:itemID="{2D6B3111-EB76-4430-887D-6CE1548F0E2E}">
  <ds:schemaRefs>
    <ds:schemaRef ds:uri="http://schemas.microsoft.com/office/2006/metadata/properties"/>
    <ds:schemaRef ds:uri="http://schemas.microsoft.com/office/infopath/2007/PartnerControls"/>
    <ds:schemaRef ds:uri="http://schemas.microsoft.com/sharepoint/v3"/>
    <ds:schemaRef ds:uri="f4994564-c68c-4417-8c9c-13eb9ecde3d6"/>
    <ds:schemaRef ds:uri="ef8499da-f70f-48c9-a6de-e578977a26c0"/>
  </ds:schemaRefs>
</ds:datastoreItem>
</file>

<file path=customXml/itemProps5.xml><?xml version="1.0" encoding="utf-8"?>
<ds:datastoreItem xmlns:ds="http://schemas.openxmlformats.org/officeDocument/2006/customXml" ds:itemID="{CCD990FA-84FE-475F-A2E0-38E2E051993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12700</Words>
  <Characters>69601</Characters>
  <Application>Microsoft Office Word</Application>
  <DocSecurity>0</DocSecurity>
  <Lines>1618</Lines>
  <Paragraphs>1055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81246</CharactersWithSpaces>
  <SharedDoc>false</SharedDoc>
  <HLinks>
    <vt:vector size="246" baseType="variant">
      <vt:variant>
        <vt:i4>1245234</vt:i4>
      </vt:variant>
      <vt:variant>
        <vt:i4>120</vt:i4>
      </vt:variant>
      <vt:variant>
        <vt:i4>0</vt:i4>
      </vt:variant>
      <vt:variant>
        <vt:i4>5</vt:i4>
      </vt:variant>
      <vt:variant>
        <vt:lpwstr>https://efsa.onlinelibrary.wiley.com/doi/10.2903/j.efsa.2023.8006</vt:lpwstr>
      </vt:variant>
      <vt:variant>
        <vt:lpwstr>efs28006-note-0012_44</vt:lpwstr>
      </vt:variant>
      <vt:variant>
        <vt:i4>1179698</vt:i4>
      </vt:variant>
      <vt:variant>
        <vt:i4>117</vt:i4>
      </vt:variant>
      <vt:variant>
        <vt:i4>0</vt:i4>
      </vt:variant>
      <vt:variant>
        <vt:i4>5</vt:i4>
      </vt:variant>
      <vt:variant>
        <vt:lpwstr>https://efsa.onlinelibrary.wiley.com/doi/10.2903/j.efsa.2023.8006</vt:lpwstr>
      </vt:variant>
      <vt:variant>
        <vt:lpwstr>efs28006-note-0013_43</vt:lpwstr>
      </vt:variant>
      <vt:variant>
        <vt:i4>1048626</vt:i4>
      </vt:variant>
      <vt:variant>
        <vt:i4>114</vt:i4>
      </vt:variant>
      <vt:variant>
        <vt:i4>0</vt:i4>
      </vt:variant>
      <vt:variant>
        <vt:i4>5</vt:i4>
      </vt:variant>
      <vt:variant>
        <vt:lpwstr>https://efsa.onlinelibrary.wiley.com/doi/10.2903/j.efsa.2023.8006</vt:lpwstr>
      </vt:variant>
      <vt:variant>
        <vt:lpwstr>efs28006-note-0011_42</vt:lpwstr>
      </vt:variant>
      <vt:variant>
        <vt:i4>1179698</vt:i4>
      </vt:variant>
      <vt:variant>
        <vt:i4>111</vt:i4>
      </vt:variant>
      <vt:variant>
        <vt:i4>0</vt:i4>
      </vt:variant>
      <vt:variant>
        <vt:i4>5</vt:i4>
      </vt:variant>
      <vt:variant>
        <vt:lpwstr>https://efsa.onlinelibrary.wiley.com/doi/10.2903/j.efsa.2023.8006</vt:lpwstr>
      </vt:variant>
      <vt:variant>
        <vt:lpwstr>efs28006-note-0013_41</vt:lpwstr>
      </vt:variant>
      <vt:variant>
        <vt:i4>1048626</vt:i4>
      </vt:variant>
      <vt:variant>
        <vt:i4>108</vt:i4>
      </vt:variant>
      <vt:variant>
        <vt:i4>0</vt:i4>
      </vt:variant>
      <vt:variant>
        <vt:i4>5</vt:i4>
      </vt:variant>
      <vt:variant>
        <vt:lpwstr>https://efsa.onlinelibrary.wiley.com/doi/10.2903/j.efsa.2023.8006</vt:lpwstr>
      </vt:variant>
      <vt:variant>
        <vt:lpwstr>efs28006-note-0011_40</vt:lpwstr>
      </vt:variant>
      <vt:variant>
        <vt:i4>1310770</vt:i4>
      </vt:variant>
      <vt:variant>
        <vt:i4>105</vt:i4>
      </vt:variant>
      <vt:variant>
        <vt:i4>0</vt:i4>
      </vt:variant>
      <vt:variant>
        <vt:i4>5</vt:i4>
      </vt:variant>
      <vt:variant>
        <vt:lpwstr>https://efsa.onlinelibrary.wiley.com/doi/10.2903/j.efsa.2023.8006</vt:lpwstr>
      </vt:variant>
      <vt:variant>
        <vt:lpwstr>efs28006-note-0012_39</vt:lpwstr>
      </vt:variant>
      <vt:variant>
        <vt:i4>1507378</vt:i4>
      </vt:variant>
      <vt:variant>
        <vt:i4>102</vt:i4>
      </vt:variant>
      <vt:variant>
        <vt:i4>0</vt:i4>
      </vt:variant>
      <vt:variant>
        <vt:i4>5</vt:i4>
      </vt:variant>
      <vt:variant>
        <vt:lpwstr>https://efsa.onlinelibrary.wiley.com/doi/10.2903/j.efsa.2023.8006</vt:lpwstr>
      </vt:variant>
      <vt:variant>
        <vt:lpwstr>efs28006-note-0011_38</vt:lpwstr>
      </vt:variant>
      <vt:variant>
        <vt:i4>1507378</vt:i4>
      </vt:variant>
      <vt:variant>
        <vt:i4>99</vt:i4>
      </vt:variant>
      <vt:variant>
        <vt:i4>0</vt:i4>
      </vt:variant>
      <vt:variant>
        <vt:i4>5</vt:i4>
      </vt:variant>
      <vt:variant>
        <vt:lpwstr>https://efsa.onlinelibrary.wiley.com/doi/10.2903/j.efsa.2023.8006</vt:lpwstr>
      </vt:variant>
      <vt:variant>
        <vt:lpwstr>efs28006-note-0011_37</vt:lpwstr>
      </vt:variant>
      <vt:variant>
        <vt:i4>1310770</vt:i4>
      </vt:variant>
      <vt:variant>
        <vt:i4>96</vt:i4>
      </vt:variant>
      <vt:variant>
        <vt:i4>0</vt:i4>
      </vt:variant>
      <vt:variant>
        <vt:i4>5</vt:i4>
      </vt:variant>
      <vt:variant>
        <vt:lpwstr>https://efsa.onlinelibrary.wiley.com/doi/10.2903/j.efsa.2023.8006</vt:lpwstr>
      </vt:variant>
      <vt:variant>
        <vt:lpwstr>efs28006-note-0012_36</vt:lpwstr>
      </vt:variant>
      <vt:variant>
        <vt:i4>1507378</vt:i4>
      </vt:variant>
      <vt:variant>
        <vt:i4>93</vt:i4>
      </vt:variant>
      <vt:variant>
        <vt:i4>0</vt:i4>
      </vt:variant>
      <vt:variant>
        <vt:i4>5</vt:i4>
      </vt:variant>
      <vt:variant>
        <vt:lpwstr>https://efsa.onlinelibrary.wiley.com/doi/10.2903/j.efsa.2023.8006</vt:lpwstr>
      </vt:variant>
      <vt:variant>
        <vt:lpwstr>efs28006-note-0011_35</vt:lpwstr>
      </vt:variant>
      <vt:variant>
        <vt:i4>1507378</vt:i4>
      </vt:variant>
      <vt:variant>
        <vt:i4>90</vt:i4>
      </vt:variant>
      <vt:variant>
        <vt:i4>0</vt:i4>
      </vt:variant>
      <vt:variant>
        <vt:i4>5</vt:i4>
      </vt:variant>
      <vt:variant>
        <vt:lpwstr>https://efsa.onlinelibrary.wiley.com/doi/10.2903/j.efsa.2023.8006</vt:lpwstr>
      </vt:variant>
      <vt:variant>
        <vt:lpwstr>efs28006-note-0011_34</vt:lpwstr>
      </vt:variant>
      <vt:variant>
        <vt:i4>1310770</vt:i4>
      </vt:variant>
      <vt:variant>
        <vt:i4>87</vt:i4>
      </vt:variant>
      <vt:variant>
        <vt:i4>0</vt:i4>
      </vt:variant>
      <vt:variant>
        <vt:i4>5</vt:i4>
      </vt:variant>
      <vt:variant>
        <vt:lpwstr>https://efsa.onlinelibrary.wiley.com/doi/10.2903/j.efsa.2023.8006</vt:lpwstr>
      </vt:variant>
      <vt:variant>
        <vt:lpwstr>efs28006-note-0012_33</vt:lpwstr>
      </vt:variant>
      <vt:variant>
        <vt:i4>1507378</vt:i4>
      </vt:variant>
      <vt:variant>
        <vt:i4>84</vt:i4>
      </vt:variant>
      <vt:variant>
        <vt:i4>0</vt:i4>
      </vt:variant>
      <vt:variant>
        <vt:i4>5</vt:i4>
      </vt:variant>
      <vt:variant>
        <vt:lpwstr>https://efsa.onlinelibrary.wiley.com/doi/10.2903/j.efsa.2023.8006</vt:lpwstr>
      </vt:variant>
      <vt:variant>
        <vt:lpwstr>efs28006-note-0011_32</vt:lpwstr>
      </vt:variant>
      <vt:variant>
        <vt:i4>1507378</vt:i4>
      </vt:variant>
      <vt:variant>
        <vt:i4>81</vt:i4>
      </vt:variant>
      <vt:variant>
        <vt:i4>0</vt:i4>
      </vt:variant>
      <vt:variant>
        <vt:i4>5</vt:i4>
      </vt:variant>
      <vt:variant>
        <vt:lpwstr>https://efsa.onlinelibrary.wiley.com/doi/10.2903/j.efsa.2023.8006</vt:lpwstr>
      </vt:variant>
      <vt:variant>
        <vt:lpwstr>efs28006-note-0011_31</vt:lpwstr>
      </vt:variant>
      <vt:variant>
        <vt:i4>1310770</vt:i4>
      </vt:variant>
      <vt:variant>
        <vt:i4>78</vt:i4>
      </vt:variant>
      <vt:variant>
        <vt:i4>0</vt:i4>
      </vt:variant>
      <vt:variant>
        <vt:i4>5</vt:i4>
      </vt:variant>
      <vt:variant>
        <vt:lpwstr>https://efsa.onlinelibrary.wiley.com/doi/10.2903/j.efsa.2023.8006</vt:lpwstr>
      </vt:variant>
      <vt:variant>
        <vt:lpwstr>efs28006-note-0012_30</vt:lpwstr>
      </vt:variant>
      <vt:variant>
        <vt:i4>1179667</vt:i4>
      </vt:variant>
      <vt:variant>
        <vt:i4>75</vt:i4>
      </vt:variant>
      <vt:variant>
        <vt:i4>0</vt:i4>
      </vt:variant>
      <vt:variant>
        <vt:i4>5</vt:i4>
      </vt:variant>
      <vt:variant>
        <vt:lpwstr>https://efsa.onlinelibrary.wiley.com/doi/10.2903/j.efsa.2023.8006</vt:lpwstr>
      </vt:variant>
      <vt:variant>
        <vt:lpwstr>efs28006-bib-0109</vt:lpwstr>
      </vt:variant>
      <vt:variant>
        <vt:i4>1376274</vt:i4>
      </vt:variant>
      <vt:variant>
        <vt:i4>72</vt:i4>
      </vt:variant>
      <vt:variant>
        <vt:i4>0</vt:i4>
      </vt:variant>
      <vt:variant>
        <vt:i4>5</vt:i4>
      </vt:variant>
      <vt:variant>
        <vt:lpwstr>https://efsa.onlinelibrary.wiley.com/doi/10.2903/j.efsa.2023.8006</vt:lpwstr>
      </vt:variant>
      <vt:variant>
        <vt:lpwstr>efs28006-bib-0076</vt:lpwstr>
      </vt:variant>
      <vt:variant>
        <vt:i4>1048595</vt:i4>
      </vt:variant>
      <vt:variant>
        <vt:i4>69</vt:i4>
      </vt:variant>
      <vt:variant>
        <vt:i4>0</vt:i4>
      </vt:variant>
      <vt:variant>
        <vt:i4>5</vt:i4>
      </vt:variant>
      <vt:variant>
        <vt:lpwstr>https://efsa.onlinelibrary.wiley.com/doi/10.2903/j.efsa.2023.8006</vt:lpwstr>
      </vt:variant>
      <vt:variant>
        <vt:lpwstr>efs28006-bib-0129</vt:lpwstr>
      </vt:variant>
      <vt:variant>
        <vt:i4>2031623</vt:i4>
      </vt:variant>
      <vt:variant>
        <vt:i4>66</vt:i4>
      </vt:variant>
      <vt:variant>
        <vt:i4>0</vt:i4>
      </vt:variant>
      <vt:variant>
        <vt:i4>5</vt:i4>
      </vt:variant>
      <vt:variant>
        <vt:lpwstr>https://www.health.govt.nz/system/files/2011-11/nzfoodnzchildren.pdf</vt:lpwstr>
      </vt:variant>
      <vt:variant>
        <vt:lpwstr/>
      </vt:variant>
      <vt:variant>
        <vt:i4>6226010</vt:i4>
      </vt:variant>
      <vt:variant>
        <vt:i4>63</vt:i4>
      </vt:variant>
      <vt:variant>
        <vt:i4>0</vt:i4>
      </vt:variant>
      <vt:variant>
        <vt:i4>5</vt:i4>
      </vt:variant>
      <vt:variant>
        <vt:lpwstr>https://www.abs.gov.au/statistics/health/food-and-nutrition/usual-nutrient-intakes/latest-release</vt:lpwstr>
      </vt:variant>
      <vt:variant>
        <vt:lpwstr/>
      </vt:variant>
      <vt:variant>
        <vt:i4>7340048</vt:i4>
      </vt:variant>
      <vt:variant>
        <vt:i4>60</vt:i4>
      </vt:variant>
      <vt:variant>
        <vt:i4>0</vt:i4>
      </vt:variant>
      <vt:variant>
        <vt:i4>5</vt:i4>
      </vt:variant>
      <vt:variant>
        <vt:lpwstr>https://www.eatforhealth.gov.au/sites/default/files/files/the_guidelines/n55c_dietary_guidelines_food_modelling.pdf</vt:lpwstr>
      </vt:variant>
      <vt:variant>
        <vt:lpwstr/>
      </vt:variant>
      <vt:variant>
        <vt:i4>7340048</vt:i4>
      </vt:variant>
      <vt:variant>
        <vt:i4>57</vt:i4>
      </vt:variant>
      <vt:variant>
        <vt:i4>0</vt:i4>
      </vt:variant>
      <vt:variant>
        <vt:i4>5</vt:i4>
      </vt:variant>
      <vt:variant>
        <vt:lpwstr>https://www.eatforhealth.gov.au/sites/default/files/files/the_guidelines/n55c_dietary_guidelines_food_modelling.pdf</vt:lpwstr>
      </vt:variant>
      <vt:variant>
        <vt:lpwstr/>
      </vt:variant>
      <vt:variant>
        <vt:i4>2424864</vt:i4>
      </vt:variant>
      <vt:variant>
        <vt:i4>54</vt:i4>
      </vt:variant>
      <vt:variant>
        <vt:i4>0</vt:i4>
      </vt:variant>
      <vt:variant>
        <vt:i4>5</vt:i4>
      </vt:variant>
      <vt:variant>
        <vt:lpwstr>https://www.tga.gov.au/news/safety-updates/medicines-containing-vitamin-b6-pyridoxine-pyridoxal-or-pyridoxamine</vt:lpwstr>
      </vt:variant>
      <vt:variant>
        <vt:lpwstr/>
      </vt:variant>
      <vt:variant>
        <vt:i4>1441859</vt:i4>
      </vt:variant>
      <vt:variant>
        <vt:i4>51</vt:i4>
      </vt:variant>
      <vt:variant>
        <vt:i4>0</vt:i4>
      </vt:variant>
      <vt:variant>
        <vt:i4>5</vt:i4>
      </vt:variant>
      <vt:variant>
        <vt:lpwstr>https://www.legislation.gov.au/F2015L00463/latest</vt:lpwstr>
      </vt:variant>
      <vt:variant>
        <vt:lpwstr/>
      </vt:variant>
      <vt:variant>
        <vt:i4>1835073</vt:i4>
      </vt:variant>
      <vt:variant>
        <vt:i4>48</vt:i4>
      </vt:variant>
      <vt:variant>
        <vt:i4>0</vt:i4>
      </vt:variant>
      <vt:variant>
        <vt:i4>5</vt:i4>
      </vt:variant>
      <vt:variant>
        <vt:lpwstr>https://www.legislation.gov.au/F2015L00449/latest</vt:lpwstr>
      </vt:variant>
      <vt:variant>
        <vt:lpwstr/>
      </vt:variant>
      <vt:variant>
        <vt:i4>589840</vt:i4>
      </vt:variant>
      <vt:variant>
        <vt:i4>45</vt:i4>
      </vt:variant>
      <vt:variant>
        <vt:i4>0</vt:i4>
      </vt:variant>
      <vt:variant>
        <vt:i4>5</vt:i4>
      </vt:variant>
      <vt:variant>
        <vt:lpwstr>https://www.legislation.gov.au/Latest/F2017C00048</vt:lpwstr>
      </vt:variant>
      <vt:variant>
        <vt:lpwstr/>
      </vt:variant>
      <vt:variant>
        <vt:i4>7143457</vt:i4>
      </vt:variant>
      <vt:variant>
        <vt:i4>42</vt:i4>
      </vt:variant>
      <vt:variant>
        <vt:i4>0</vt:i4>
      </vt:variant>
      <vt:variant>
        <vt:i4>5</vt:i4>
      </vt:variant>
      <vt:variant>
        <vt:lpwstr>https://www.foodstandards.gov.au/consumer/food-fortification/vitamin-added</vt:lpwstr>
      </vt:variant>
      <vt:variant>
        <vt:lpwstr/>
      </vt:variant>
      <vt:variant>
        <vt:i4>2490472</vt:i4>
      </vt:variant>
      <vt:variant>
        <vt:i4>39</vt:i4>
      </vt:variant>
      <vt:variant>
        <vt:i4>0</vt:i4>
      </vt:variant>
      <vt:variant>
        <vt:i4>5</vt:i4>
      </vt:variant>
      <vt:variant>
        <vt:lpwstr>https://www.health.govt.nz/system/files/2011-10/a-focus-on-nutrition-v2.pdf</vt:lpwstr>
      </vt:variant>
      <vt:variant>
        <vt:lpwstr/>
      </vt:variant>
      <vt:variant>
        <vt:i4>6226010</vt:i4>
      </vt:variant>
      <vt:variant>
        <vt:i4>36</vt:i4>
      </vt:variant>
      <vt:variant>
        <vt:i4>0</vt:i4>
      </vt:variant>
      <vt:variant>
        <vt:i4>5</vt:i4>
      </vt:variant>
      <vt:variant>
        <vt:lpwstr>https://www.abs.gov.au/statistics/health/food-and-nutrition/usual-nutrient-intakes/latest-release</vt:lpwstr>
      </vt:variant>
      <vt:variant>
        <vt:lpwstr/>
      </vt:variant>
      <vt:variant>
        <vt:i4>4391004</vt:i4>
      </vt:variant>
      <vt:variant>
        <vt:i4>33</vt:i4>
      </vt:variant>
      <vt:variant>
        <vt:i4>0</vt:i4>
      </vt:variant>
      <vt:variant>
        <vt:i4>5</vt:i4>
      </vt:variant>
      <vt:variant>
        <vt:lpwstr>https://www.eatforhealth.gov.au/nutrient-reference-values/glossary</vt:lpwstr>
      </vt:variant>
      <vt:variant>
        <vt:lpwstr>PLP</vt:lpwstr>
      </vt:variant>
      <vt:variant>
        <vt:i4>4391004</vt:i4>
      </vt:variant>
      <vt:variant>
        <vt:i4>30</vt:i4>
      </vt:variant>
      <vt:variant>
        <vt:i4>0</vt:i4>
      </vt:variant>
      <vt:variant>
        <vt:i4>5</vt:i4>
      </vt:variant>
      <vt:variant>
        <vt:lpwstr>https://www.eatforhealth.gov.au/nutrient-reference-values/glossary</vt:lpwstr>
      </vt:variant>
      <vt:variant>
        <vt:lpwstr>PLP</vt:lpwstr>
      </vt:variant>
      <vt:variant>
        <vt:i4>4259932</vt:i4>
      </vt:variant>
      <vt:variant>
        <vt:i4>27</vt:i4>
      </vt:variant>
      <vt:variant>
        <vt:i4>0</vt:i4>
      </vt:variant>
      <vt:variant>
        <vt:i4>5</vt:i4>
      </vt:variant>
      <vt:variant>
        <vt:lpwstr>https://www.eatforhealth.gov.au/nutrient-reference-values/glossary</vt:lpwstr>
      </vt:variant>
      <vt:variant>
        <vt:lpwstr>PN</vt:lpwstr>
      </vt:variant>
      <vt:variant>
        <vt:i4>4259932</vt:i4>
      </vt:variant>
      <vt:variant>
        <vt:i4>24</vt:i4>
      </vt:variant>
      <vt:variant>
        <vt:i4>0</vt:i4>
      </vt:variant>
      <vt:variant>
        <vt:i4>5</vt:i4>
      </vt:variant>
      <vt:variant>
        <vt:lpwstr>https://www.eatforhealth.gov.au/nutrient-reference-values/glossary</vt:lpwstr>
      </vt:variant>
      <vt:variant>
        <vt:lpwstr>PN</vt:lpwstr>
      </vt:variant>
      <vt:variant>
        <vt:i4>4325468</vt:i4>
      </vt:variant>
      <vt:variant>
        <vt:i4>21</vt:i4>
      </vt:variant>
      <vt:variant>
        <vt:i4>0</vt:i4>
      </vt:variant>
      <vt:variant>
        <vt:i4>5</vt:i4>
      </vt:variant>
      <vt:variant>
        <vt:lpwstr>https://www.eatforhealth.gov.au/nutrient-reference-values/glossary</vt:lpwstr>
      </vt:variant>
      <vt:variant>
        <vt:lpwstr>PMP</vt:lpwstr>
      </vt:variant>
      <vt:variant>
        <vt:i4>4391004</vt:i4>
      </vt:variant>
      <vt:variant>
        <vt:i4>18</vt:i4>
      </vt:variant>
      <vt:variant>
        <vt:i4>0</vt:i4>
      </vt:variant>
      <vt:variant>
        <vt:i4>5</vt:i4>
      </vt:variant>
      <vt:variant>
        <vt:lpwstr>https://www.eatforhealth.gov.au/nutrient-reference-values/glossary</vt:lpwstr>
      </vt:variant>
      <vt:variant>
        <vt:lpwstr>PLP</vt:lpwstr>
      </vt:variant>
      <vt:variant>
        <vt:i4>4325468</vt:i4>
      </vt:variant>
      <vt:variant>
        <vt:i4>15</vt:i4>
      </vt:variant>
      <vt:variant>
        <vt:i4>0</vt:i4>
      </vt:variant>
      <vt:variant>
        <vt:i4>5</vt:i4>
      </vt:variant>
      <vt:variant>
        <vt:lpwstr>https://www.eatforhealth.gov.au/nutrient-reference-values/glossary</vt:lpwstr>
      </vt:variant>
      <vt:variant>
        <vt:lpwstr>PMP</vt:lpwstr>
      </vt:variant>
      <vt:variant>
        <vt:i4>4391004</vt:i4>
      </vt:variant>
      <vt:variant>
        <vt:i4>12</vt:i4>
      </vt:variant>
      <vt:variant>
        <vt:i4>0</vt:i4>
      </vt:variant>
      <vt:variant>
        <vt:i4>5</vt:i4>
      </vt:variant>
      <vt:variant>
        <vt:lpwstr>https://www.eatforhealth.gov.au/nutrient-reference-values/glossary</vt:lpwstr>
      </vt:variant>
      <vt:variant>
        <vt:lpwstr>PLP</vt:lpwstr>
      </vt:variant>
      <vt:variant>
        <vt:i4>4259932</vt:i4>
      </vt:variant>
      <vt:variant>
        <vt:i4>9</vt:i4>
      </vt:variant>
      <vt:variant>
        <vt:i4>0</vt:i4>
      </vt:variant>
      <vt:variant>
        <vt:i4>5</vt:i4>
      </vt:variant>
      <vt:variant>
        <vt:lpwstr>https://www.eatforhealth.gov.au/nutrient-reference-values/glossary</vt:lpwstr>
      </vt:variant>
      <vt:variant>
        <vt:lpwstr>PNP</vt:lpwstr>
      </vt:variant>
      <vt:variant>
        <vt:i4>4259932</vt:i4>
      </vt:variant>
      <vt:variant>
        <vt:i4>6</vt:i4>
      </vt:variant>
      <vt:variant>
        <vt:i4>0</vt:i4>
      </vt:variant>
      <vt:variant>
        <vt:i4>5</vt:i4>
      </vt:variant>
      <vt:variant>
        <vt:lpwstr>https://www.eatforhealth.gov.au/nutrient-reference-values/glossary</vt:lpwstr>
      </vt:variant>
      <vt:variant>
        <vt:lpwstr>PN</vt:lpwstr>
      </vt:variant>
      <vt:variant>
        <vt:i4>4325468</vt:i4>
      </vt:variant>
      <vt:variant>
        <vt:i4>3</vt:i4>
      </vt:variant>
      <vt:variant>
        <vt:i4>0</vt:i4>
      </vt:variant>
      <vt:variant>
        <vt:i4>5</vt:i4>
      </vt:variant>
      <vt:variant>
        <vt:lpwstr>https://www.eatforhealth.gov.au/nutrient-reference-values/glossary</vt:lpwstr>
      </vt:variant>
      <vt:variant>
        <vt:lpwstr>PMP</vt:lpwstr>
      </vt:variant>
      <vt:variant>
        <vt:i4>4391004</vt:i4>
      </vt:variant>
      <vt:variant>
        <vt:i4>0</vt:i4>
      </vt:variant>
      <vt:variant>
        <vt:i4>0</vt:i4>
      </vt:variant>
      <vt:variant>
        <vt:i4>5</vt:i4>
      </vt:variant>
      <vt:variant>
        <vt:lpwstr>https://www.eatforhealth.gov.au/nutrient-reference-values/glossary</vt:lpwstr>
      </vt:variant>
      <vt:variant>
        <vt:lpwstr>PLP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2026-08-19T03:03:00Z</dcterms:created>
  <dcterms:modified xsi:type="dcterms:W3CDTF">2026-08-20T00:07:00Z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3539f333,27758f88,364d24b4,66493edc</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lassificationContentMarkingFooterShapeIds">
    <vt:lpwstr>b203612,3cc88d37,59ec1ae5,4394467a,14ecbf95</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9a5e7792-7543-4db2-bcc9-9caeff0b8eb1_Enabled">
    <vt:lpwstr>true</vt:lpwstr>
  </property>
  <property fmtid="{D5CDD505-2E9C-101B-9397-08002B2CF9AE}" pid="9" name="MSIP_Label_9a5e7792-7543-4db2-bcc9-9caeff0b8eb1_SetDate">
    <vt:lpwstr>2026-08-12T04:21:51Z</vt:lpwstr>
  </property>
  <property fmtid="{D5CDD505-2E9C-101B-9397-08002B2CF9AE}" pid="10" name="MSIP_Label_9a5e7792-7543-4db2-bcc9-9caeff0b8eb1_Method">
    <vt:lpwstr>Privileged</vt:lpwstr>
  </property>
  <property fmtid="{D5CDD505-2E9C-101B-9397-08002B2CF9AE}" pid="11" name="MSIP_Label_9a5e7792-7543-4db2-bcc9-9caeff0b8eb1_Name">
    <vt:lpwstr>OFFICIAL</vt:lpwstr>
  </property>
  <property fmtid="{D5CDD505-2E9C-101B-9397-08002B2CF9AE}" pid="12" name="MSIP_Label_9a5e7792-7543-4db2-bcc9-9caeff0b8eb1_SiteId">
    <vt:lpwstr>402fca06-dc9c-412f-9bf9-1a335a4671f7</vt:lpwstr>
  </property>
  <property fmtid="{D5CDD505-2E9C-101B-9397-08002B2CF9AE}" pid="13" name="MSIP_Label_9a5e7792-7543-4db2-bcc9-9caeff0b8eb1_ActionId">
    <vt:lpwstr>d783e562-db68-44b8-97bb-66879b97b31c</vt:lpwstr>
  </property>
  <property fmtid="{D5CDD505-2E9C-101B-9397-08002B2CF9AE}" pid="14" name="MSIP_Label_9a5e7792-7543-4db2-bcc9-9caeff0b8eb1_ContentBits">
    <vt:lpwstr>3</vt:lpwstr>
  </property>
  <property fmtid="{D5CDD505-2E9C-101B-9397-08002B2CF9AE}" pid="15" name="MSIP_Label_9a5e7792-7543-4db2-bcc9-9caeff0b8eb1_Tag">
    <vt:lpwstr>10, 0, 1, 1</vt:lpwstr>
  </property>
  <property fmtid="{D5CDD505-2E9C-101B-9397-08002B2CF9AE}" pid="16" name="ContentTypeId">
    <vt:lpwstr>0x01010018030A58EFCB05439C4C109195641468</vt:lpwstr>
  </property>
  <property fmtid="{D5CDD505-2E9C-101B-9397-08002B2CF9AE}" pid="17" name="_dlc_DocIdItemGuid">
    <vt:lpwstr>384208b4-3396-4a20-858d-86869d791164</vt:lpwstr>
  </property>
  <property fmtid="{D5CDD505-2E9C-101B-9397-08002B2CF9AE}" pid="18" name="MediaServiceImageTags">
    <vt:lpwstr/>
  </property>
  <property fmtid="{D5CDD505-2E9C-101B-9397-08002B2CF9AE}" pid="19" name="docLang">
    <vt:lpwstr>en</vt:lpwstr>
  </property>
</Properties>
</file>